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color w:val="auto"/>
          <w:highlight w:val="none"/>
        </w:rPr>
      </w:pPr>
      <w:r>
        <w:rPr>
          <w:rFonts w:hint="eastAsia"/>
          <w:color w:val="auto"/>
          <w:highlight w:val="none"/>
        </w:rPr>
        <w:t xml:space="preserve"> </w:t>
      </w:r>
    </w:p>
    <w:p>
      <w:pPr>
        <w:rPr>
          <w:color w:val="auto"/>
          <w:highlight w:val="none"/>
        </w:rPr>
      </w:pPr>
    </w:p>
    <w:p>
      <w:pPr>
        <w:rPr>
          <w:rFonts w:ascii="宋体" w:hAnsi="宋体"/>
          <w:b/>
          <w:color w:val="auto"/>
          <w:sz w:val="48"/>
          <w:szCs w:val="46"/>
          <w:highlight w:val="none"/>
        </w:rPr>
      </w:pPr>
    </w:p>
    <w:p>
      <w:pPr>
        <w:spacing w:line="360" w:lineRule="auto"/>
        <w:jc w:val="center"/>
        <w:rPr>
          <w:color w:val="auto"/>
          <w:sz w:val="36"/>
          <w:highlight w:val="none"/>
          <w:u w:val="single"/>
        </w:rPr>
      </w:pPr>
      <w:r>
        <w:rPr>
          <w:rFonts w:hint="eastAsia" w:ascii="宋体" w:hAnsi="宋体"/>
          <w:b/>
          <w:color w:val="auto"/>
          <w:sz w:val="48"/>
          <w:szCs w:val="46"/>
          <w:highlight w:val="none"/>
          <w:lang w:eastAsia="zh-CN"/>
        </w:rPr>
        <w:t>广州市残疾人托养中心（星安居）10kV供配电工程施工专业承包</w:t>
      </w: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pStyle w:val="13"/>
        <w:rPr>
          <w:color w:val="auto"/>
          <w:sz w:val="36"/>
          <w:highlight w:val="none"/>
          <w:u w:val="single"/>
        </w:rPr>
      </w:pPr>
    </w:p>
    <w:p>
      <w:pPr>
        <w:rPr>
          <w:color w:val="auto"/>
          <w:highlight w:val="none"/>
        </w:rPr>
      </w:pPr>
    </w:p>
    <w:p>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ind w:firstLine="2560" w:firstLineChars="800"/>
        <w:rPr>
          <w:color w:val="auto"/>
          <w:sz w:val="32"/>
          <w:highlight w:val="none"/>
        </w:rPr>
      </w:pPr>
    </w:p>
    <w:p>
      <w:pPr>
        <w:pStyle w:val="13"/>
        <w:rPr>
          <w:color w:val="auto"/>
          <w:sz w:val="32"/>
          <w:highlight w:val="none"/>
        </w:rPr>
      </w:pPr>
    </w:p>
    <w:p>
      <w:pPr>
        <w:rPr>
          <w:color w:val="auto"/>
          <w:highlight w:val="none"/>
        </w:rPr>
      </w:pPr>
    </w:p>
    <w:p>
      <w:pPr>
        <w:spacing w:line="360" w:lineRule="auto"/>
        <w:ind w:firstLine="2560" w:firstLineChars="800"/>
        <w:rPr>
          <w:color w:val="auto"/>
          <w:sz w:val="32"/>
          <w:highlight w:val="none"/>
        </w:rPr>
      </w:pPr>
    </w:p>
    <w:p>
      <w:pPr>
        <w:tabs>
          <w:tab w:val="left" w:pos="2513"/>
        </w:tabs>
        <w:spacing w:line="360" w:lineRule="auto"/>
        <w:rPr>
          <w:color w:val="auto"/>
          <w:sz w:val="52"/>
          <w:highlight w:val="none"/>
        </w:rPr>
      </w:pPr>
      <w:r>
        <w:rPr>
          <w:rFonts w:hint="eastAsia"/>
          <w:color w:val="auto"/>
          <w:sz w:val="52"/>
          <w:highlight w:val="none"/>
        </w:rPr>
        <w:tab/>
      </w: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广州市重点公共建设项目管理中心</w:t>
      </w:r>
    </w:p>
    <w:p>
      <w:pPr>
        <w:spacing w:line="360" w:lineRule="auto"/>
        <w:ind w:firstLine="945"/>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广东省机电设备招标有限公司</w:t>
      </w:r>
    </w:p>
    <w:p>
      <w:pPr>
        <w:spacing w:line="360" w:lineRule="auto"/>
        <w:ind w:firstLine="960" w:firstLineChars="300"/>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ascii="宋体" w:hAnsi="宋体" w:cs="宋体"/>
          <w:color w:val="auto"/>
          <w:sz w:val="32"/>
          <w:highlight w:val="none"/>
          <w:u w:val="single"/>
        </w:rPr>
        <w:t>202</w:t>
      </w:r>
      <w:r>
        <w:rPr>
          <w:rFonts w:hint="eastAsia" w:ascii="宋体" w:hAnsi="宋体" w:cs="宋体"/>
          <w:color w:val="auto"/>
          <w:sz w:val="32"/>
          <w:highlight w:val="none"/>
          <w:u w:val="single"/>
          <w:lang w:val="en-US" w:eastAsia="zh-CN"/>
        </w:rPr>
        <w:t>4</w:t>
      </w:r>
      <w:r>
        <w:rPr>
          <w:rFonts w:hint="eastAsia" w:ascii="宋体" w:hAnsi="宋体" w:cs="宋体"/>
          <w:color w:val="auto"/>
          <w:sz w:val="32"/>
          <w:highlight w:val="none"/>
        </w:rPr>
        <w:t>年</w:t>
      </w:r>
      <w:r>
        <w:rPr>
          <w:rFonts w:hint="eastAsia" w:ascii="宋体" w:hAnsi="宋体" w:cs="宋体"/>
          <w:color w:val="auto"/>
          <w:sz w:val="32"/>
          <w:highlight w:val="none"/>
          <w:u w:val="single"/>
          <w:lang w:val="en-US" w:eastAsia="zh-CN"/>
        </w:rPr>
        <w:t>5</w:t>
      </w:r>
      <w:r>
        <w:rPr>
          <w:rFonts w:hint="eastAsia" w:ascii="宋体" w:hAnsi="宋体" w:cs="宋体"/>
          <w:color w:val="auto"/>
          <w:sz w:val="30"/>
          <w:szCs w:val="30"/>
          <w:highlight w:val="none"/>
        </w:rPr>
        <w:t>月</w:t>
      </w:r>
    </w:p>
    <w:p>
      <w:pPr>
        <w:ind w:firstLine="632" w:firstLineChars="300"/>
        <w:jc w:val="center"/>
        <w:rPr>
          <w:b/>
          <w:bCs/>
          <w:color w:val="auto"/>
          <w:highlight w:val="none"/>
          <w:u w:val="single"/>
        </w:rPr>
        <w:sectPr>
          <w:headerReference r:id="rId3" w:type="default"/>
          <w:headerReference r:id="rId4" w:type="even"/>
          <w:footerReference r:id="rId5" w:type="even"/>
          <w:pgSz w:w="11906" w:h="16838"/>
          <w:pgMar w:top="1440" w:right="1800" w:bottom="1440" w:left="1800" w:header="851" w:footer="992" w:gutter="0"/>
          <w:cols w:space="720" w:num="1"/>
          <w:docGrid w:type="lines" w:linePitch="312" w:charSpace="0"/>
        </w:sectPr>
      </w:pPr>
    </w:p>
    <w:p>
      <w:pPr>
        <w:ind w:firstLine="843" w:firstLineChars="300"/>
        <w:jc w:val="center"/>
        <w:rPr>
          <w:rFonts w:ascii="宋体" w:hAnsi="宋体"/>
          <w:b/>
          <w:caps/>
          <w:color w:val="auto"/>
          <w:kern w:val="0"/>
          <w:highlight w:val="none"/>
        </w:rPr>
      </w:pPr>
      <w:r>
        <w:rPr>
          <w:rFonts w:hint="eastAsia"/>
          <w:b/>
          <w:bCs/>
          <w:color w:val="auto"/>
          <w:sz w:val="28"/>
          <w:szCs w:val="28"/>
          <w:highlight w:val="none"/>
          <w:u w:val="single"/>
        </w:rPr>
        <w:t>目录</w:t>
      </w:r>
    </w:p>
    <w:p>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  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19</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20</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bookmarkStart w:id="283" w:name="_GoBack"/>
      <w:bookmarkEnd w:id="283"/>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21</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28</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29</w:t>
      </w:r>
      <w:r>
        <w:rPr>
          <w:color w:val="auto"/>
          <w:sz w:val="24"/>
          <w:szCs w:val="20"/>
          <w:highlight w:val="none"/>
        </w:rPr>
        <w:fldChar w:fldCharType="end"/>
      </w:r>
      <w:r>
        <w:rPr>
          <w:color w:val="auto"/>
          <w:sz w:val="24"/>
          <w:szCs w:val="20"/>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  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32</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  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49</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  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60</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  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95</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  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128</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  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129</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  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130</w:t>
      </w:r>
      <w:r>
        <w:rPr>
          <w:b/>
          <w:caps/>
          <w:color w:val="auto"/>
          <w:kern w:val="0"/>
          <w:sz w:val="24"/>
          <w:szCs w:val="32"/>
          <w:highlight w:val="none"/>
        </w:rPr>
        <w:fldChar w:fldCharType="end"/>
      </w:r>
      <w:r>
        <w:rPr>
          <w:b/>
          <w:caps/>
          <w:color w:val="auto"/>
          <w:kern w:val="0"/>
          <w:sz w:val="24"/>
          <w:szCs w:val="32"/>
          <w:highlight w:val="none"/>
        </w:rPr>
        <w:fldChar w:fldCharType="end"/>
      </w:r>
    </w:p>
    <w:p>
      <w:pPr>
        <w:widowControl/>
        <w:jc w:val="center"/>
        <w:rPr>
          <w:color w:val="auto"/>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b/>
          <w:color w:val="auto"/>
          <w:sz w:val="28"/>
          <w:szCs w:val="28"/>
          <w:highlight w:val="none"/>
        </w:rPr>
      </w:pPr>
      <w:r>
        <w:rPr>
          <w:color w:val="auto"/>
          <w:highlight w:val="none"/>
        </w:rPr>
        <w:fldChar w:fldCharType="end"/>
      </w:r>
      <w:bookmarkStart w:id="2" w:name="_Toc62056014"/>
      <w:bookmarkStart w:id="3" w:name="_Toc2272545"/>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投标须知</w:t>
      </w:r>
      <w:bookmarkEnd w:id="2"/>
      <w:bookmarkEnd w:id="3"/>
    </w:p>
    <w:p>
      <w:pPr>
        <w:keepNext/>
        <w:keepLines/>
        <w:spacing w:before="120" w:after="120" w:line="415" w:lineRule="auto"/>
        <w:jc w:val="center"/>
        <w:outlineLvl w:val="1"/>
        <w:rPr>
          <w:rFonts w:ascii="Arial" w:hAnsi="Arial"/>
          <w:b/>
          <w:color w:val="auto"/>
          <w:sz w:val="28"/>
          <w:szCs w:val="24"/>
          <w:highlight w:val="none"/>
        </w:rPr>
      </w:pPr>
      <w:bookmarkStart w:id="4" w:name="_Toc2272546"/>
      <w:bookmarkStart w:id="5" w:name="_Toc62056015"/>
      <w:r>
        <w:rPr>
          <w:rFonts w:hint="eastAsia" w:ascii="Arial" w:hAnsi="Arial"/>
          <w:b/>
          <w:color w:val="auto"/>
          <w:sz w:val="28"/>
          <w:szCs w:val="24"/>
          <w:highlight w:val="none"/>
        </w:rPr>
        <w:t>一、投标须知前附表</w:t>
      </w:r>
      <w:bookmarkEnd w:id="4"/>
      <w:bookmarkEnd w:id="5"/>
    </w:p>
    <w:p>
      <w:pPr>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4"/>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58"/>
              <w:rPr>
                <w:rFonts w:hint="default"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firstLine="458"/>
              <w:jc w:val="center"/>
              <w:rPr>
                <w:rFonts w:hint="default"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招标人（即发包人）： </w:t>
            </w:r>
            <w:r>
              <w:rPr>
                <w:rFonts w:hint="eastAsia" w:ascii="宋体" w:hAnsi="宋体" w:cs="宋体"/>
                <w:color w:val="auto"/>
                <w:szCs w:val="21"/>
                <w:highlight w:val="none"/>
                <w:u w:val="single"/>
              </w:rPr>
              <w:t>广州市重点公共建设项目管理中心</w:t>
            </w:r>
          </w:p>
          <w:p>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广东省机电设备招标有限公司</w:t>
            </w:r>
          </w:p>
          <w:p>
            <w:pPr>
              <w:pStyle w:val="32"/>
              <w:keepNext w:val="0"/>
              <w:keepLines w:val="0"/>
              <w:widowControl/>
              <w:suppressLineNumbers w:val="0"/>
              <w:spacing w:before="0" w:beforeAutospacing="0" w:after="0" w:afterAutospacing="0" w:line="320" w:lineRule="exact"/>
              <w:ind w:left="0" w:right="0" w:firstLine="0" w:firstLineChars="0"/>
              <w:rPr>
                <w:rFonts w:hint="eastAsia" w:ascii="宋体" w:hAnsi="宋体" w:eastAsia="宋体" w:cs="宋体"/>
                <w:color w:val="auto"/>
                <w:spacing w:val="0"/>
                <w:highlight w:val="none"/>
                <w:lang w:eastAsia="zh-CN"/>
              </w:rPr>
            </w:pPr>
            <w:r>
              <w:rPr>
                <w:rFonts w:hint="eastAsia" w:ascii="宋体" w:hAnsi="宋体" w:cs="宋体"/>
                <w:color w:val="auto"/>
                <w:spacing w:val="0"/>
                <w:sz w:val="21"/>
                <w:szCs w:val="21"/>
                <w:highlight w:val="none"/>
              </w:rPr>
              <w:t>设计单位：</w:t>
            </w:r>
            <w:r>
              <w:rPr>
                <w:rFonts w:hint="eastAsia" w:ascii="宋体" w:hAnsi="宋体" w:cs="宋体"/>
                <w:color w:val="auto"/>
                <w:spacing w:val="0"/>
                <w:sz w:val="21"/>
                <w:szCs w:val="21"/>
                <w:highlight w:val="none"/>
                <w:u w:val="single"/>
              </w:rPr>
              <w:t>华南理工大学建筑设计研究院有限公司</w:t>
            </w:r>
          </w:p>
          <w:p>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监理单位：</w:t>
            </w:r>
            <w:r>
              <w:rPr>
                <w:rFonts w:hint="eastAsia" w:ascii="宋体" w:hAnsi="宋体" w:cs="宋体"/>
                <w:color w:val="auto"/>
                <w:highlight w:val="none"/>
                <w:u w:val="single"/>
              </w:rPr>
              <w:t>广东工程建设监理有限公司</w:t>
            </w:r>
          </w:p>
          <w:p>
            <w:pPr>
              <w:keepNext w:val="0"/>
              <w:keepLines w:val="0"/>
              <w:suppressLineNumbers w:val="0"/>
              <w:spacing w:before="0" w:beforeAutospacing="0" w:after="0" w:afterAutospacing="0"/>
              <w:ind w:left="0" w:right="0"/>
              <w:rPr>
                <w:rFonts w:hint="default" w:ascii="宋体" w:hAnsi="宋体"/>
                <w:color w:val="auto"/>
                <w:szCs w:val="21"/>
                <w:highlight w:val="none"/>
                <w:u w:val="single"/>
                <w:lang w:val="en-US" w:eastAsia="zh-CN"/>
              </w:rPr>
            </w:pPr>
            <w:r>
              <w:rPr>
                <w:rFonts w:hint="eastAsia" w:ascii="宋体" w:hAnsi="宋体" w:cs="宋体"/>
                <w:color w:val="auto"/>
                <w:szCs w:val="21"/>
                <w:highlight w:val="none"/>
              </w:rPr>
              <w:t>检测机构：</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u w:val="single"/>
                <w:lang w:bidi="ar"/>
              </w:rPr>
              <w:t>另行通知</w:t>
            </w:r>
            <w:r>
              <w:rPr>
                <w:rFonts w:hint="eastAsia" w:ascii="宋体" w:hAnsi="宋体"/>
                <w:color w:val="auto"/>
                <w:szCs w:val="21"/>
                <w:highlight w:val="none"/>
                <w:u w:val="single"/>
                <w:lang w:val="en-US" w:eastAsia="zh-CN"/>
              </w:rPr>
              <w:t xml:space="preserve"> </w:t>
            </w:r>
          </w:p>
          <w:p>
            <w:pPr>
              <w:keepNext w:val="0"/>
              <w:keepLines w:val="0"/>
              <w:suppressLineNumbers w:val="0"/>
              <w:spacing w:before="0" w:beforeAutospacing="0" w:after="0" w:afterAutospacing="0"/>
              <w:ind w:left="0" w:right="0"/>
              <w:rPr>
                <w:rFonts w:hint="default" w:ascii="宋体" w:hAnsi="宋体"/>
                <w:color w:val="auto"/>
                <w:highlight w:val="none"/>
                <w:u w:val="none"/>
              </w:rPr>
            </w:pPr>
            <w:r>
              <w:rPr>
                <w:rFonts w:hint="eastAsia" w:ascii="宋体" w:hAnsi="宋体"/>
                <w:bCs/>
                <w:snapToGrid w:val="0"/>
                <w:color w:val="auto"/>
                <w:kern w:val="0"/>
                <w:szCs w:val="21"/>
                <w:highlight w:val="none"/>
                <w:u w:val="none"/>
              </w:rPr>
              <w:t>施工图审查单位：</w:t>
            </w:r>
            <w:r>
              <w:rPr>
                <w:rFonts w:hint="eastAsia" w:ascii="宋体" w:hAnsi="宋体" w:cs="宋体"/>
                <w:color w:val="auto"/>
                <w:szCs w:val="21"/>
                <w:highlight w:val="none"/>
                <w:u w:val="single"/>
                <w:lang w:bidi="ar"/>
              </w:rPr>
              <w:t>另行通知</w:t>
            </w:r>
          </w:p>
          <w:p>
            <w:pPr>
              <w:keepNext w:val="0"/>
              <w:keepLines w:val="0"/>
              <w:suppressLineNumbers w:val="0"/>
              <w:spacing w:before="0" w:beforeAutospacing="0" w:after="0" w:afterAutospacing="0" w:line="320" w:lineRule="exact"/>
              <w:ind w:left="0" w:right="0"/>
              <w:rPr>
                <w:rFonts w:hint="default" w:ascii="宋体" w:hAnsi="宋体" w:eastAsia="宋体"/>
                <w:bCs/>
                <w:snapToGrid w:val="0"/>
                <w:color w:val="auto"/>
                <w:kern w:val="0"/>
                <w:szCs w:val="21"/>
                <w:highlight w:val="none"/>
                <w:u w:val="single"/>
                <w:lang w:val="en-US" w:eastAsia="zh-CN"/>
              </w:rPr>
            </w:pPr>
            <w:r>
              <w:rPr>
                <w:rFonts w:hint="eastAsia" w:ascii="宋体" w:hAnsi="宋体"/>
                <w:color w:val="auto"/>
                <w:szCs w:val="21"/>
                <w:highlight w:val="none"/>
                <w:u w:val="none"/>
              </w:rPr>
              <w:t>建筑工程施工总承包单位：</w:t>
            </w:r>
            <w:r>
              <w:rPr>
                <w:rFonts w:hint="default" w:ascii="宋体" w:hAnsi="宋体"/>
                <w:color w:val="auto"/>
                <w:szCs w:val="21"/>
                <w:highlight w:val="none"/>
                <w:u w:val="single"/>
              </w:rPr>
              <w:t>广州协安建设工程有限公司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广州市残疾人托养中心（星安居）10kV供配电工程施工专业承包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szCs w:val="21"/>
                <w:highlight w:val="none"/>
                <w:u w:val="single"/>
              </w:rPr>
              <w:t>广州市增城区。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highlight w:val="none"/>
                <w:u w:val="singl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招标文件施工合同约定的计价方式进行计价和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color w:val="auto"/>
                <w:szCs w:val="21"/>
                <w:highlight w:val="none"/>
                <w:u w:val="single"/>
              </w:rPr>
              <w:t>一次竣工验收合格</w:t>
            </w:r>
            <w:r>
              <w:rPr>
                <w:rFonts w:hint="default"/>
                <w:color w:val="auto"/>
                <w:szCs w:val="21"/>
                <w:highlight w:val="none"/>
                <w:u w:val="single"/>
              </w:rPr>
              <w:t>，</w:t>
            </w:r>
            <w:r>
              <w:rPr>
                <w:rFonts w:hint="eastAsia"/>
                <w:color w:val="auto"/>
                <w:szCs w:val="21"/>
                <w:highlight w:val="none"/>
                <w:u w:val="single"/>
              </w:rPr>
              <w:t>且达到供电部门送电的要求。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bCs/>
                <w:snapToGrid w:val="0"/>
                <w:color w:val="auto"/>
                <w:kern w:val="0"/>
                <w:highlight w:val="none"/>
                <w:u w:val="single"/>
              </w:rPr>
              <w:t>按招标文件、招标图纸、工程量清单、有关资料及说明，承接本工程，具体内容以招标文件及工程量清单、招标图纸为准。</w:t>
            </w:r>
            <w:r>
              <w:rPr>
                <w:rFonts w:hint="eastAsia"/>
                <w:color w:val="auto"/>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highlight w:val="none"/>
              </w:rPr>
              <w:t>本工程总工期</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 xml:space="preserve"> 180 </w:t>
            </w:r>
            <w:r>
              <w:rPr>
                <w:rFonts w:hint="eastAsia" w:ascii="宋体" w:hAnsi="宋体" w:cs="宋体"/>
                <w:color w:val="auto"/>
                <w:szCs w:val="21"/>
                <w:highlight w:val="none"/>
              </w:rPr>
              <w:t>个日历天，计划2024年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 </w:t>
            </w:r>
            <w:r>
              <w:rPr>
                <w:rFonts w:hint="eastAsia" w:ascii="宋体" w:hAnsi="宋体" w:cs="宋体"/>
                <w:color w:val="auto"/>
                <w:szCs w:val="21"/>
                <w:highlight w:val="none"/>
              </w:rPr>
              <w:t>日开工，2024年</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11 </w:t>
            </w:r>
            <w:r>
              <w:rPr>
                <w:rFonts w:hint="eastAsia" w:ascii="宋体" w:hAnsi="宋体" w:cs="宋体"/>
                <w:color w:val="auto"/>
                <w:szCs w:val="21"/>
                <w:highlight w:val="none"/>
              </w:rPr>
              <w:t>月</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27 </w:t>
            </w:r>
            <w:r>
              <w:rPr>
                <w:rFonts w:hint="eastAsia" w:ascii="宋体" w:hAnsi="宋体" w:cs="宋体"/>
                <w:color w:val="auto"/>
                <w:szCs w:val="21"/>
                <w:highlight w:val="none"/>
              </w:rPr>
              <w:t>日</w:t>
            </w:r>
            <w:r>
              <w:rPr>
                <w:rFonts w:hint="eastAsia" w:ascii="宋体" w:hAnsi="宋体"/>
                <w:color w:val="auto"/>
                <w:highlight w:val="none"/>
              </w:rPr>
              <w:t>竣工，具体开工日期以总监理工程师发出的开工令为准。（具体工期要求详见第五章）。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u w:val="single"/>
              </w:rPr>
            </w:pPr>
            <w:r>
              <w:rPr>
                <w:rFonts w:hint="eastAsia" w:ascii="宋体" w:hAnsi="宋体"/>
                <w:color w:val="auto"/>
                <w:highlight w:val="none"/>
                <w:u w:val="single"/>
              </w:rPr>
              <w:t>由市基本建设统筹资金。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58"/>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u w:val="single"/>
              </w:rPr>
            </w:pPr>
            <w:r>
              <w:rPr>
                <w:rFonts w:hint="eastAsia"/>
                <w:b/>
                <w:bCs/>
                <w:color w:val="auto"/>
                <w:highlight w:val="none"/>
                <w:u w:val="single"/>
                <w:lang w:val="en-US" w:eastAsia="zh-CN"/>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 w:val="20"/>
                <w:szCs w:val="21"/>
                <w:highlight w:val="none"/>
              </w:rPr>
            </w:pPr>
            <w:r>
              <w:rPr>
                <w:rFonts w:hint="eastAsia"/>
                <w:color w:val="auto"/>
                <w:highlight w:val="none"/>
              </w:rPr>
              <w:t>招标人不集中组织，投标人自行踏勘。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疑问提交时间：</w:t>
            </w:r>
            <w:r>
              <w:rPr>
                <w:rFonts w:hint="default"/>
                <w:color w:val="auto"/>
                <w:szCs w:val="21"/>
                <w:highlight w:val="none"/>
                <w:u w:val="single"/>
              </w:rPr>
              <w:t xml:space="preserve"> </w:t>
            </w:r>
            <w:r>
              <w:rPr>
                <w:rFonts w:hint="eastAsia"/>
                <w:color w:val="auto"/>
                <w:szCs w:val="21"/>
                <w:highlight w:val="none"/>
                <w:u w:val="single"/>
                <w:lang w:eastAsia="zh-CN"/>
              </w:rPr>
              <w:t>2</w:t>
            </w:r>
            <w:r>
              <w:rPr>
                <w:rFonts w:hint="eastAsia"/>
                <w:color w:val="auto"/>
                <w:szCs w:val="21"/>
                <w:highlight w:val="none"/>
                <w:u w:val="single"/>
                <w:lang w:val="en-US" w:eastAsia="zh-CN"/>
              </w:rPr>
              <w:t>024</w:t>
            </w:r>
            <w:r>
              <w:rPr>
                <w:rFonts w:hint="default"/>
                <w:color w:val="auto"/>
                <w:szCs w:val="21"/>
                <w:highlight w:val="none"/>
                <w:u w:val="single"/>
              </w:rPr>
              <w:t xml:space="preserve"> </w:t>
            </w:r>
            <w:r>
              <w:rPr>
                <w:rFonts w:hint="eastAsia"/>
                <w:color w:val="auto"/>
                <w:szCs w:val="21"/>
                <w:highlight w:val="none"/>
              </w:rPr>
              <w:t>年</w:t>
            </w:r>
            <w:r>
              <w:rPr>
                <w:rFonts w:hint="default"/>
                <w:color w:val="auto"/>
                <w:szCs w:val="21"/>
                <w:highlight w:val="none"/>
                <w:u w:val="single"/>
              </w:rPr>
              <w:t xml:space="preserve">   </w:t>
            </w:r>
            <w:r>
              <w:rPr>
                <w:rFonts w:hint="eastAsia"/>
                <w:color w:val="auto"/>
                <w:szCs w:val="21"/>
                <w:highlight w:val="none"/>
              </w:rPr>
              <w:t>月</w:t>
            </w:r>
            <w:r>
              <w:rPr>
                <w:rFonts w:hint="default"/>
                <w:color w:val="auto"/>
                <w:szCs w:val="21"/>
                <w:highlight w:val="none"/>
                <w:u w:val="single"/>
              </w:rPr>
              <w:t xml:space="preserve">   </w:t>
            </w:r>
            <w:r>
              <w:rPr>
                <w:rFonts w:hint="eastAsia"/>
                <w:color w:val="auto"/>
                <w:szCs w:val="21"/>
                <w:highlight w:val="none"/>
              </w:rPr>
              <w:t>日</w:t>
            </w:r>
            <w:r>
              <w:rPr>
                <w:rFonts w:hint="default"/>
                <w:color w:val="auto"/>
                <w:szCs w:val="21"/>
                <w:highlight w:val="none"/>
                <w:u w:val="single"/>
              </w:rPr>
              <w:t xml:space="preserve">   </w:t>
            </w:r>
            <w:r>
              <w:rPr>
                <w:rFonts w:hint="eastAsia"/>
                <w:color w:val="auto"/>
                <w:szCs w:val="21"/>
                <w:highlight w:val="none"/>
              </w:rPr>
              <w:t>时</w:t>
            </w:r>
            <w:r>
              <w:rPr>
                <w:rFonts w:hint="eastAsia" w:ascii="宋体" w:hAnsi="宋体"/>
                <w:color w:val="auto"/>
                <w:szCs w:val="21"/>
                <w:highlight w:val="none"/>
              </w:rPr>
              <w:t>前(提交投标文件截止时间18天前)；</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形式：投标人的疑问通过广州公共资源交易中心交易平台提交。</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20</w:t>
            </w:r>
            <w:r>
              <w:rPr>
                <w:rFonts w:hint="default"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strike/>
                <w:color w:val="auto"/>
                <w:szCs w:val="21"/>
                <w:highlight w:val="none"/>
              </w:rPr>
            </w:pPr>
            <w:r>
              <w:rPr>
                <w:rFonts w:hint="default" w:ascii="宋体" w:hAnsi="宋体"/>
                <w:color w:val="auto"/>
                <w:szCs w:val="21"/>
                <w:highlight w:val="none"/>
                <w:u w:val="single"/>
              </w:rPr>
              <w:t xml:space="preserve"> </w:t>
            </w:r>
            <w:r>
              <w:rPr>
                <w:rFonts w:hint="eastAsia" w:ascii="宋体" w:hAnsi="宋体"/>
                <w:color w:val="auto"/>
                <w:szCs w:val="21"/>
                <w:highlight w:val="none"/>
                <w:u w:val="single"/>
                <w:lang w:eastAsia="zh-CN"/>
              </w:rPr>
              <w:t>2</w:t>
            </w:r>
            <w:r>
              <w:rPr>
                <w:rFonts w:hint="eastAsia" w:ascii="宋体" w:hAnsi="宋体"/>
                <w:color w:val="auto"/>
                <w:szCs w:val="21"/>
                <w:highlight w:val="none"/>
                <w:u w:val="single"/>
                <w:lang w:val="en-US" w:eastAsia="zh-CN"/>
              </w:rPr>
              <w:t>024</w:t>
            </w:r>
            <w:r>
              <w:rPr>
                <w:rFonts w:hint="default" w:ascii="宋体" w:hAnsi="宋体"/>
                <w:color w:val="auto"/>
                <w:szCs w:val="21"/>
                <w:highlight w:val="none"/>
                <w:u w:val="single"/>
              </w:rPr>
              <w:t xml:space="preserve"> </w:t>
            </w:r>
            <w:r>
              <w:rPr>
                <w:rFonts w:hint="eastAsia" w:ascii="宋体" w:hAnsi="宋体"/>
                <w:color w:val="auto"/>
                <w:szCs w:val="21"/>
                <w:highlight w:val="none"/>
              </w:rPr>
              <w:t>年</w:t>
            </w:r>
            <w:r>
              <w:rPr>
                <w:rFonts w:hint="default" w:ascii="宋体" w:hAnsi="宋体"/>
                <w:color w:val="auto"/>
                <w:szCs w:val="21"/>
                <w:highlight w:val="none"/>
                <w:u w:val="single"/>
              </w:rPr>
              <w:t xml:space="preserve">   </w:t>
            </w:r>
            <w:r>
              <w:rPr>
                <w:rFonts w:hint="eastAsia" w:ascii="宋体" w:hAnsi="宋体"/>
                <w:color w:val="auto"/>
                <w:szCs w:val="21"/>
                <w:highlight w:val="none"/>
              </w:rPr>
              <w:t>月</w:t>
            </w:r>
            <w:r>
              <w:rPr>
                <w:rFonts w:hint="default" w:ascii="宋体" w:hAnsi="宋体"/>
                <w:color w:val="auto"/>
                <w:szCs w:val="21"/>
                <w:highlight w:val="none"/>
                <w:u w:val="single"/>
              </w:rPr>
              <w:t xml:space="preserve">    </w:t>
            </w:r>
            <w:r>
              <w:rPr>
                <w:rFonts w:hint="eastAsia" w:ascii="宋体" w:hAnsi="宋体"/>
                <w:color w:val="auto"/>
                <w:szCs w:val="21"/>
                <w:highlight w:val="none"/>
              </w:rPr>
              <w:t>日</w:t>
            </w:r>
            <w:r>
              <w:rPr>
                <w:rFonts w:hint="default" w:ascii="宋体" w:hAnsi="宋体"/>
                <w:color w:val="auto"/>
                <w:szCs w:val="21"/>
                <w:highlight w:val="none"/>
                <w:u w:val="single"/>
              </w:rPr>
              <w:t xml:space="preserve">   </w:t>
            </w:r>
            <w:r>
              <w:rPr>
                <w:rFonts w:hint="eastAsia" w:ascii="宋体" w:hAnsi="宋体"/>
                <w:color w:val="auto"/>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1、开标开始时间：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u w:val="single"/>
                <w:lang w:eastAsia="zh-CN" w:bidi="ar"/>
              </w:rPr>
              <w:t>2</w:t>
            </w:r>
            <w:r>
              <w:rPr>
                <w:rFonts w:hint="eastAsia" w:ascii="宋体" w:hAnsi="宋体" w:cs="宋体"/>
                <w:bCs/>
                <w:color w:val="auto"/>
                <w:kern w:val="0"/>
                <w:szCs w:val="21"/>
                <w:highlight w:val="none"/>
                <w:u w:val="single"/>
                <w:lang w:val="en-US" w:eastAsia="zh-CN" w:bidi="ar"/>
              </w:rPr>
              <w:t>024</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eastAsia="zh-CN" w:bidi="ar"/>
              </w:rPr>
              <w:t>广州公共资源交易中心网站最新指引</w:t>
            </w:r>
            <w:r>
              <w:rPr>
                <w:rFonts w:hint="eastAsia" w:ascii="宋体" w:hAnsi="宋体" w:cs="宋体"/>
                <w:b/>
                <w:color w:val="auto"/>
                <w:kern w:val="0"/>
                <w:szCs w:val="21"/>
                <w:highlight w:val="none"/>
                <w:lang w:bidi="ar"/>
              </w:rPr>
              <w:t>。</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2、递交投标文件备用光盘时间：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u w:val="single"/>
                <w:lang w:eastAsia="zh-CN" w:bidi="ar"/>
              </w:rPr>
              <w:t>2</w:t>
            </w:r>
            <w:r>
              <w:rPr>
                <w:rFonts w:hint="eastAsia" w:ascii="宋体" w:hAnsi="宋体" w:cs="宋体"/>
                <w:bCs/>
                <w:color w:val="auto"/>
                <w:kern w:val="0"/>
                <w:szCs w:val="21"/>
                <w:highlight w:val="none"/>
                <w:u w:val="single"/>
                <w:lang w:val="en-US" w:eastAsia="zh-CN" w:bidi="ar"/>
              </w:rPr>
              <w:t>024</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分至</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u w:val="single"/>
                <w:lang w:eastAsia="zh-CN" w:bidi="ar"/>
              </w:rPr>
              <w:t>2</w:t>
            </w:r>
            <w:r>
              <w:rPr>
                <w:rFonts w:hint="eastAsia" w:ascii="宋体" w:hAnsi="宋体" w:cs="宋体"/>
                <w:bCs/>
                <w:color w:val="auto"/>
                <w:kern w:val="0"/>
                <w:szCs w:val="21"/>
                <w:highlight w:val="none"/>
                <w:u w:val="single"/>
                <w:lang w:val="en-US" w:eastAsia="zh-CN" w:bidi="ar"/>
              </w:rPr>
              <w:t>024</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   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分；递交地点：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olor w:val="auto"/>
                <w:highlight w:val="none"/>
                <w:u w:val="single"/>
              </w:rPr>
              <w:t>注：投标人</w:t>
            </w:r>
            <w:r>
              <w:rPr>
                <w:rFonts w:hint="eastAsia" w:ascii="宋体" w:hAnsi="宋体"/>
                <w:color w:val="auto"/>
                <w:szCs w:val="21"/>
                <w:highlight w:val="none"/>
                <w:u w:val="single"/>
              </w:rPr>
              <w:t>应凭法定代表人证明书及法定代表人授权委托书（如适用）递交投标文件备用光盘。</w:t>
            </w:r>
            <w:r>
              <w:rPr>
                <w:rFonts w:hint="eastAsia" w:ascii="宋体" w:hAnsi="宋体" w:cs="宋体"/>
                <w:bCs/>
                <w:color w:val="auto"/>
                <w:kern w:val="0"/>
                <w:szCs w:val="21"/>
                <w:highlight w:val="none"/>
                <w:lang w:bidi="ar"/>
              </w:rPr>
              <w:t>(建议安排在投标文件截止时间前15分钟至投标文件截止时间）</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22"/>
              <w:keepNext w:val="0"/>
              <w:keepLines w:val="0"/>
              <w:suppressLineNumbers w:val="0"/>
              <w:spacing w:before="0" w:beforeAutospacing="0" w:afterAutospacing="0"/>
              <w:ind w:left="0" w:right="0" w:firstLine="0"/>
              <w:rPr>
                <w:rFonts w:hint="default"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pPr>
              <w:keepNext w:val="0"/>
              <w:keepLines w:val="0"/>
              <w:suppressLineNumbers w:val="0"/>
              <w:spacing w:before="0" w:beforeAutospacing="0" w:after="120" w:afterAutospacing="0"/>
              <w:ind w:left="0" w:right="0" w:firstLine="420" w:firstLineChars="200"/>
              <w:rPr>
                <w:rFonts w:hint="default" w:ascii="宋体" w:hAnsi="宋体"/>
                <w:b/>
                <w:color w:val="auto"/>
                <w:szCs w:val="21"/>
                <w:highlight w:val="none"/>
                <w:u w:val="single"/>
              </w:rPr>
            </w:pPr>
            <w:r>
              <w:rPr>
                <w:rFonts w:hint="eastAsia" w:ascii="宋体" w:hAnsi="宋体"/>
                <w:color w:val="auto"/>
                <w:szCs w:val="21"/>
                <w:highlight w:val="none"/>
                <w:u w:val="single"/>
              </w:rPr>
              <w:t>投标人总得分=技术得分×技术得分权重（20%）＋经济得分×经济得分权重（80%）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方式一：</w:t>
            </w:r>
            <w:r>
              <w:rPr>
                <w:rFonts w:hint="eastAsia"/>
                <w:color w:val="auto"/>
                <w:highlight w:val="none"/>
                <w:u w:val="single"/>
              </w:rPr>
              <w:t>中标人自主选择提供履约保证金的形式，履约保证金为中标价款的</w:t>
            </w:r>
            <w:r>
              <w:rPr>
                <w:rFonts w:hint="eastAsia" w:ascii="宋体" w:hAnsi="宋体"/>
                <w:color w:val="auto"/>
                <w:highlight w:val="none"/>
                <w:u w:val="single"/>
              </w:rPr>
              <w:t>10%。</w:t>
            </w:r>
            <w:r>
              <w:rPr>
                <w:rFonts w:hint="eastAsia"/>
                <w:color w:val="auto"/>
                <w:highlight w:val="none"/>
              </w:rPr>
              <w:t>（具体形式详见合同）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宋体"/>
                <w:color w:val="auto"/>
                <w:kern w:val="2"/>
                <w:sz w:val="21"/>
                <w:szCs w:val="21"/>
                <w:highlight w:val="none"/>
                <w:u w:val="single"/>
                <w:lang w:val="en-US" w:eastAsia="zh-CN" w:bidi="ar"/>
              </w:rPr>
              <w:t xml:space="preserve"> 5634492.78 </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widowControl w:val="0"/>
              <w:suppressLineNumbers w:val="0"/>
              <w:spacing w:before="0" w:beforeAutospacing="0" w:after="0" w:afterAutospacing="0"/>
              <w:ind w:left="0" w:right="0"/>
              <w:jc w:val="both"/>
              <w:rPr>
                <w:rFonts w:hint="default"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宋体"/>
                <w:color w:val="auto"/>
                <w:kern w:val="2"/>
                <w:sz w:val="21"/>
                <w:szCs w:val="21"/>
                <w:highlight w:val="none"/>
                <w:u w:val="single"/>
                <w:lang w:val="en-US" w:eastAsia="zh-CN" w:bidi="ar"/>
              </w:rPr>
              <w:t xml:space="preserve"> 148820.78 </w:t>
            </w:r>
            <w:r>
              <w:rPr>
                <w:rFonts w:hint="eastAsia" w:ascii="宋体" w:hAnsi="宋体"/>
                <w:color w:val="auto"/>
                <w:szCs w:val="21"/>
                <w:highlight w:val="none"/>
              </w:rPr>
              <w:t>元，暂列金额为</w:t>
            </w:r>
            <w:r>
              <w:rPr>
                <w:rFonts w:hint="eastAsia" w:ascii="宋体" w:hAnsi="宋体"/>
                <w:color w:val="auto"/>
                <w:szCs w:val="21"/>
                <w:highlight w:val="none"/>
                <w:u w:val="single"/>
                <w:lang w:bidi="ar"/>
              </w:rPr>
              <w:t xml:space="preserve"> </w:t>
            </w:r>
            <w:r>
              <w:rPr>
                <w:rFonts w:hint="eastAsia" w:ascii="宋体" w:hAnsi="宋体"/>
                <w:color w:val="auto"/>
                <w:szCs w:val="21"/>
                <w:highlight w:val="none"/>
                <w:u w:val="single"/>
                <w:lang w:val="en-US" w:eastAsia="zh-CN" w:bidi="ar"/>
              </w:rPr>
              <w:t>450306.13</w:t>
            </w:r>
            <w:r>
              <w:rPr>
                <w:rFonts w:hint="eastAsia" w:ascii="宋体" w:hAnsi="宋体" w:cs="宋体"/>
                <w:color w:val="auto"/>
                <w:kern w:val="2"/>
                <w:sz w:val="21"/>
                <w:szCs w:val="21"/>
                <w:highlight w:val="none"/>
                <w:u w:val="single"/>
                <w:lang w:val="en-US" w:eastAsia="zh-CN" w:bidi="ar"/>
              </w:rPr>
              <w:t xml:space="preserve"> </w:t>
            </w:r>
            <w:r>
              <w:rPr>
                <w:rFonts w:hint="eastAsia" w:ascii="宋体" w:hAnsi="宋体"/>
                <w:color w:val="auto"/>
                <w:szCs w:val="21"/>
                <w:highlight w:val="none"/>
              </w:rPr>
              <w:t xml:space="preserve">元，暂估价为 </w:t>
            </w:r>
            <w:r>
              <w:rPr>
                <w:rFonts w:hint="eastAsia" w:ascii="宋体" w:hAnsi="宋体"/>
                <w:color w:val="auto"/>
                <w:szCs w:val="21"/>
                <w:highlight w:val="none"/>
                <w:u w:val="single"/>
              </w:rPr>
              <w:t xml:space="preserve"> </w:t>
            </w:r>
            <w:r>
              <w:rPr>
                <w:rFonts w:hint="default"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ind w:left="0" w:right="0"/>
              <w:rPr>
                <w:rFonts w:hint="default"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trike w:val="0"/>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trike w:val="0"/>
                <w:color w:val="auto"/>
                <w:szCs w:val="21"/>
                <w:highlight w:val="none"/>
              </w:rPr>
            </w:pPr>
            <w:r>
              <w:rPr>
                <w:rFonts w:hint="eastAsia" w:ascii="宋体" w:hAnsi="宋体" w:cs="宋体"/>
                <w:strike w:val="0"/>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strike w:val="0"/>
                <w:color w:val="auto"/>
                <w:szCs w:val="21"/>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120" w:afterAutospacing="0"/>
              <w:ind w:left="0" w:right="0"/>
              <w:rPr>
                <w:rFonts w:hint="default" w:ascii="宋体" w:hAnsi="宋体"/>
                <w:color w:val="auto"/>
                <w:szCs w:val="21"/>
                <w:highlight w:val="none"/>
              </w:rPr>
            </w:pPr>
            <w:r>
              <w:rPr>
                <w:rFonts w:hint="eastAsia" w:ascii="宋体" w:hAnsi="宋体"/>
                <w:strike w:val="0"/>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 xml:space="preserve"> 5071043.50 </w:t>
            </w:r>
            <w:r>
              <w:rPr>
                <w:rFonts w:hint="eastAsia" w:ascii="宋体" w:hAnsi="宋体"/>
                <w:color w:val="auto"/>
                <w:szCs w:val="21"/>
                <w:highlight w:val="none"/>
              </w:rPr>
              <w:t>元</w:t>
            </w:r>
            <w:r>
              <w:rPr>
                <w:rFonts w:hint="eastAsia" w:ascii="宋体" w:hAnsi="宋体" w:cs="宋体"/>
                <w:color w:val="auto"/>
                <w:szCs w:val="21"/>
                <w:highlight w:val="none"/>
              </w:rPr>
              <w:t>（按最高投标限价的90 %设置）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strike w:val="0"/>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auto"/>
                <w:szCs w:val="21"/>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r>
              <w:rPr>
                <w:rFonts w:hint="default"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strike w:val="0"/>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color w:val="auto"/>
                <w:highlight w:val="none"/>
              </w:rPr>
              <w:t>本项目不采用企业诚信综合评价分数。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r>
              <w:rPr>
                <w:rFonts w:hint="default"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rPr>
                <w:rFonts w:hint="default" w:ascii="宋体" w:hAnsi="宋体" w:cs="宋体"/>
                <w:color w:val="auto"/>
                <w:szCs w:val="21"/>
                <w:highlight w:val="none"/>
              </w:rPr>
            </w:pPr>
            <w:r>
              <w:rPr>
                <w:rFonts w:hint="eastAsia"/>
                <w:strike w:val="0"/>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r>
              <w:rPr>
                <w:rFonts w:hint="default"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strike w:val="0"/>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r>
              <w:rPr>
                <w:rFonts w:hint="default"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ascii="宋体" w:hAnsi="宋体"/>
                <w:strike w:val="0"/>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strike w:val="0"/>
                <w:color w:val="auto"/>
                <w:szCs w:val="21"/>
                <w:highlight w:val="none"/>
                <w:u w:val="single"/>
              </w:rPr>
              <w:t>本款不适用</w:t>
            </w:r>
            <w:r>
              <w:rPr>
                <w:rFonts w:hint="eastAsia" w:ascii="宋体" w:hAnsi="宋体"/>
                <w:strike w:val="0"/>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13.4</w:t>
            </w:r>
            <w:r>
              <w:rPr>
                <w:rFonts w:hint="eastAsia" w:ascii="宋体" w:hAnsi="宋体"/>
                <w:color w:val="auto"/>
                <w:szCs w:val="21"/>
                <w:highlight w:val="none"/>
              </w:rPr>
              <w:t>、</w:t>
            </w:r>
            <w:r>
              <w:rPr>
                <w:rFonts w:hint="default"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不允许；</w:t>
            </w:r>
          </w:p>
          <w:p>
            <w:pPr>
              <w:keepNext w:val="0"/>
              <w:keepLines w:val="0"/>
              <w:suppressLineNumbers w:val="0"/>
              <w:spacing w:before="0" w:beforeAutospacing="0" w:after="0" w:afterAutospacing="0"/>
              <w:ind w:left="0" w:right="0"/>
              <w:rPr>
                <w:rFonts w:hint="default"/>
                <w:color w:val="auto"/>
                <w:kern w:val="0"/>
                <w:szCs w:val="21"/>
                <w:highlight w:val="none"/>
                <w:lang w:val="zh-CN"/>
              </w:rPr>
            </w:pPr>
            <w:r>
              <w:rPr>
                <w:rFonts w:hint="eastAsia"/>
                <w:color w:val="auto"/>
                <w:kern w:val="0"/>
                <w:szCs w:val="21"/>
                <w:highlight w:val="none"/>
                <w:lang w:val="zh-CN"/>
              </w:rPr>
              <w:t>□允许：分包内容要要求：</w:t>
            </w:r>
            <w:r>
              <w:rPr>
                <w:rFonts w:hint="eastAsia" w:ascii="宋体" w:hAnsi="宋体" w:cs="宋体"/>
                <w:color w:val="auto"/>
                <w:kern w:val="0"/>
                <w:szCs w:val="21"/>
                <w:highlight w:val="none"/>
                <w:u w:val="single"/>
              </w:rPr>
              <w:t>/</w:t>
            </w:r>
          </w:p>
          <w:p>
            <w:pPr>
              <w:keepNext w:val="0"/>
              <w:keepLines w:val="0"/>
              <w:suppressLineNumbers w:val="0"/>
              <w:spacing w:before="0" w:beforeAutospacing="0" w:after="0" w:afterAutospacing="0"/>
              <w:ind w:left="0" w:right="0"/>
              <w:rPr>
                <w:rFonts w:hint="default"/>
                <w:color w:val="auto"/>
                <w:kern w:val="0"/>
                <w:szCs w:val="21"/>
                <w:highlight w:val="none"/>
                <w:lang w:val="zh-CN"/>
              </w:rPr>
            </w:pPr>
            <w:r>
              <w:rPr>
                <w:rFonts w:hint="default"/>
                <w:color w:val="auto"/>
                <w:kern w:val="0"/>
                <w:szCs w:val="21"/>
                <w:highlight w:val="none"/>
                <w:lang w:val="zh-CN"/>
              </w:rPr>
              <w:t xml:space="preserve">        </w:t>
            </w:r>
            <w:r>
              <w:rPr>
                <w:rFonts w:hint="eastAsia"/>
                <w:color w:val="auto"/>
                <w:kern w:val="0"/>
                <w:szCs w:val="21"/>
                <w:highlight w:val="none"/>
                <w:lang w:val="zh-CN"/>
              </w:rPr>
              <w:t>分包金额要求：</w:t>
            </w:r>
            <w:r>
              <w:rPr>
                <w:rFonts w:hint="eastAsia" w:ascii="宋体" w:hAnsi="宋体" w:cs="宋体"/>
                <w:color w:val="auto"/>
                <w:kern w:val="0"/>
                <w:szCs w:val="21"/>
                <w:highlight w:val="none"/>
                <w:u w:val="single"/>
              </w:rPr>
              <w:t>/</w:t>
            </w:r>
          </w:p>
          <w:p>
            <w:pPr>
              <w:keepNext w:val="0"/>
              <w:keepLines w:val="0"/>
              <w:suppressLineNumbers w:val="0"/>
              <w:spacing w:before="0" w:beforeAutospacing="0" w:after="0" w:afterAutospacing="0"/>
              <w:ind w:left="0" w:right="0"/>
              <w:rPr>
                <w:rFonts w:hint="default" w:ascii="宋体" w:hAnsi="宋体"/>
                <w:color w:val="auto"/>
                <w:kern w:val="0"/>
                <w:szCs w:val="21"/>
                <w:highlight w:val="none"/>
                <w:lang w:val="zh-CN"/>
              </w:rPr>
            </w:pPr>
            <w:r>
              <w:rPr>
                <w:rFonts w:hint="default"/>
                <w:color w:val="auto"/>
                <w:kern w:val="0"/>
                <w:szCs w:val="21"/>
                <w:highlight w:val="none"/>
                <w:lang w:val="zh-CN"/>
              </w:rPr>
              <w:t xml:space="preserve">        </w:t>
            </w:r>
            <w:r>
              <w:rPr>
                <w:rFonts w:hint="eastAsia"/>
                <w:color w:val="auto"/>
                <w:kern w:val="0"/>
                <w:szCs w:val="21"/>
                <w:highlight w:val="none"/>
                <w:lang w:val="zh-CN"/>
              </w:rPr>
              <w:t>对分包人的资质要求：</w:t>
            </w:r>
            <w:r>
              <w:rPr>
                <w:rFonts w:hint="eastAsia" w:ascii="宋体" w:hAnsi="宋体" w:cs="宋体"/>
                <w:color w:val="auto"/>
                <w:kern w:val="0"/>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36</w:t>
            </w:r>
          </w:p>
        </w:tc>
        <w:tc>
          <w:tcPr>
            <w:tcW w:w="981" w:type="dxa"/>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double" w:color="auto" w:sz="4" w:space="0"/>
              <w:right w:val="double" w:color="auto" w:sz="4" w:space="0"/>
            </w:tcBorders>
            <w:vAlign w:val="center"/>
          </w:tcPr>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Courier New"/>
                <w:color w:val="auto"/>
                <w:szCs w:val="21"/>
                <w:highlight w:val="none"/>
                <w:u w:val="single"/>
                <w:lang w:eastAsia="zh-CN"/>
              </w:rPr>
              <w:t>广州公共资源交易中心网站最新指引</w:t>
            </w:r>
            <w:r>
              <w:rPr>
                <w:rFonts w:hint="eastAsia" w:ascii="宋体" w:hAnsi="宋体" w:cs="Courier New"/>
                <w:color w:val="auto"/>
                <w:szCs w:val="21"/>
                <w:highlight w:val="none"/>
              </w:rPr>
              <w:t xml:space="preserve">。  </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2、提交投标文件光盘备用</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 xml:space="preserve"> 3、补救方案</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keepNext w:val="0"/>
              <w:keepLines w:val="0"/>
              <w:suppressLineNumbers w:val="0"/>
              <w:spacing w:before="0" w:beforeAutospacing="0" w:after="0" w:afterAutospacing="0"/>
              <w:ind w:left="0" w:right="0"/>
              <w:rPr>
                <w:rFonts w:hint="default"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bl>
    <w:p>
      <w:pPr>
        <w:keepNext/>
        <w:keepLines/>
        <w:spacing w:before="120" w:after="120" w:line="415" w:lineRule="auto"/>
        <w:jc w:val="left"/>
        <w:outlineLvl w:val="1"/>
        <w:rPr>
          <w:rFonts w:ascii="Arial" w:hAnsi="Arial"/>
          <w:b/>
          <w:color w:val="auto"/>
          <w:sz w:val="28"/>
          <w:szCs w:val="24"/>
          <w:highlight w:val="none"/>
        </w:rPr>
      </w:pPr>
      <w:r>
        <w:rPr>
          <w:rFonts w:ascii="Arial" w:hAnsi="Arial"/>
          <w:b/>
          <w:color w:val="auto"/>
          <w:sz w:val="28"/>
          <w:szCs w:val="24"/>
          <w:highlight w:val="none"/>
        </w:rPr>
        <w:br w:type="page"/>
      </w:r>
      <w:bookmarkStart w:id="6" w:name="_Toc2272547"/>
      <w:bookmarkStart w:id="7" w:name="_Toc62056016"/>
      <w:r>
        <w:rPr>
          <w:rFonts w:hint="eastAsia" w:ascii="Arial" w:hAnsi="Arial"/>
          <w:b/>
          <w:color w:val="auto"/>
          <w:sz w:val="28"/>
          <w:szCs w:val="24"/>
          <w:highlight w:val="none"/>
        </w:rPr>
        <w:t>二、投标须知修改表</w:t>
      </w:r>
      <w:bookmarkEnd w:id="6"/>
      <w:bookmarkEnd w:id="7"/>
    </w:p>
    <w:p>
      <w:pPr>
        <w:spacing w:line="360" w:lineRule="auto"/>
        <w:ind w:firstLine="420"/>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仿宋" w:hAnsi="仿宋" w:eastAsia="仿宋" w:cs="宋体"/>
          <w:b/>
          <w:color w:val="auto"/>
          <w:kern w:val="0"/>
          <w:sz w:val="22"/>
          <w:highlight w:val="none"/>
          <w:lang w:bidi="ar"/>
        </w:rPr>
        <w:t>http://zfcj.gz.gov.cn/</w:t>
      </w:r>
      <w:r>
        <w:rPr>
          <w:rFonts w:hint="eastAsia"/>
          <w:b/>
          <w:color w:val="auto"/>
          <w:szCs w:val="21"/>
          <w:highlight w:val="none"/>
        </w:rPr>
        <w:t>）下载查阅。</w:t>
      </w:r>
    </w:p>
    <w:p>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2.5             </w:t>
      </w:r>
      <w:r>
        <w:rPr>
          <w:rFonts w:hint="eastAsia"/>
          <w:b/>
          <w:color w:val="auto"/>
          <w:szCs w:val="21"/>
          <w:highlight w:val="none"/>
        </w:rPr>
        <w:t>修改类型：增加</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hint="eastAsia"/>
          <w:color w:val="auto"/>
          <w:szCs w:val="21"/>
          <w:highlight w:val="none"/>
        </w:rPr>
        <w:t>2.5</w:t>
      </w:r>
      <w:r>
        <w:rPr>
          <w:rFonts w:ascii="宋体" w:hAnsi="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22" w:firstLineChars="200"/>
        <w:rPr>
          <w:b/>
          <w:color w:val="auto"/>
          <w:szCs w:val="21"/>
          <w:highlight w:val="none"/>
        </w:rPr>
      </w:pPr>
      <w:r>
        <w:rPr>
          <w:rFonts w:hint="eastAsia"/>
          <w:b/>
          <w:color w:val="auto"/>
          <w:szCs w:val="21"/>
          <w:highlight w:val="none"/>
        </w:rPr>
        <w:t>条款号：5.</w:t>
      </w:r>
      <w:r>
        <w:rPr>
          <w:b/>
          <w:color w:val="auto"/>
          <w:szCs w:val="21"/>
          <w:highlight w:val="none"/>
        </w:rPr>
        <w:t xml:space="preserve">1          </w:t>
      </w:r>
      <w:r>
        <w:rPr>
          <w:rFonts w:hint="eastAsia"/>
          <w:b/>
          <w:color w:val="auto"/>
          <w:szCs w:val="21"/>
          <w:highlight w:val="none"/>
        </w:rPr>
        <w:t xml:space="preserve"> 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422" w:firstLineChars="200"/>
        <w:rPr>
          <w:b/>
          <w:color w:val="auto"/>
          <w:szCs w:val="21"/>
          <w:highlight w:val="none"/>
        </w:rPr>
      </w:pPr>
      <w:r>
        <w:rPr>
          <w:rFonts w:hint="eastAsia"/>
          <w:b/>
          <w:color w:val="auto"/>
          <w:szCs w:val="21"/>
          <w:highlight w:val="none"/>
        </w:rPr>
        <w:t>现文：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color w:val="auto"/>
          <w:szCs w:val="21"/>
          <w:highlight w:val="none"/>
          <w:u w:val="single"/>
        </w:rPr>
        <w:t>且充分考虑了现场各种因素。招标人不受理因投标人缺乏对现场条件的了解或掌握而提出的任何索赔。</w:t>
      </w:r>
      <w:r>
        <w:rPr>
          <w:color w:val="auto"/>
          <w:szCs w:val="21"/>
          <w:highlight w:val="none"/>
        </w:rPr>
        <w:t>考察现场的费用由投标人自己承担。</w:t>
      </w:r>
    </w:p>
    <w:p>
      <w:pPr>
        <w:spacing w:line="360" w:lineRule="auto"/>
        <w:ind w:firstLine="422" w:firstLineChars="200"/>
        <w:rPr>
          <w:b/>
          <w:color w:val="auto"/>
          <w:szCs w:val="21"/>
          <w:highlight w:val="none"/>
        </w:rPr>
      </w:pPr>
      <w:r>
        <w:rPr>
          <w:rFonts w:hint="eastAsia"/>
          <w:b/>
          <w:color w:val="auto"/>
          <w:szCs w:val="21"/>
          <w:highlight w:val="none"/>
        </w:rPr>
        <w:t>条款号：7.</w:t>
      </w:r>
      <w:r>
        <w:rPr>
          <w:b/>
          <w:color w:val="auto"/>
          <w:szCs w:val="21"/>
          <w:highlight w:val="none"/>
        </w:rPr>
        <w:t xml:space="preserve">1          </w:t>
      </w:r>
      <w:r>
        <w:rPr>
          <w:rFonts w:hint="eastAsia"/>
          <w:b/>
          <w:color w:val="auto"/>
          <w:szCs w:val="21"/>
          <w:highlight w:val="none"/>
        </w:rPr>
        <w:t xml:space="preserve"> 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u w:val="single"/>
        </w:rPr>
        <w:t>注：招标人应在技术条件（工程建设标准）中明确施工现场建筑垃圾源头减量的具体要求和建筑垃圾综合利用产品的使用要求</w:t>
      </w:r>
      <w:r>
        <w:rPr>
          <w:b/>
          <w:color w:val="auto"/>
          <w:szCs w:val="21"/>
          <w:highlight w:val="none"/>
          <w:u w:val="single"/>
        </w:rPr>
        <w:t>。</w:t>
      </w:r>
    </w:p>
    <w:p>
      <w:pPr>
        <w:spacing w:line="480" w:lineRule="auto"/>
        <w:ind w:firstLine="472" w:firstLineChars="224"/>
        <w:rPr>
          <w:b/>
          <w:color w:val="auto"/>
          <w:szCs w:val="21"/>
          <w:highlight w:val="none"/>
        </w:rPr>
      </w:pPr>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8.1 投标人若对招标文件（包括招标图纸）中有疑问，可以书面形式通过</w:t>
      </w:r>
      <w:r>
        <w:rPr>
          <w:color w:val="auto"/>
          <w:szCs w:val="21"/>
          <w:highlight w:val="none"/>
          <w:u w:val="single"/>
        </w:rPr>
        <w:t xml:space="preserve">       </w:t>
      </w:r>
      <w:r>
        <w:rPr>
          <w:rFonts w:hint="eastAsia"/>
          <w:color w:val="auto"/>
          <w:szCs w:val="21"/>
          <w:highlight w:val="none"/>
        </w:rPr>
        <w:t>交易平台提交给招标人或招标代理人，提交形式见本须知前附表第16项。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 xml:space="preserve">8.1 </w:t>
      </w:r>
      <w:r>
        <w:rPr>
          <w:rFonts w:hint="eastAsia"/>
          <w:color w:val="auto"/>
          <w:szCs w:val="21"/>
          <w:highlight w:val="none"/>
        </w:rPr>
        <w:t>投标人若对招标文件（包括招标图纸）中有疑问，可以书面形式通过</w:t>
      </w:r>
      <w:r>
        <w:rPr>
          <w:rFonts w:hint="eastAsia"/>
          <w:color w:val="auto"/>
          <w:szCs w:val="21"/>
          <w:highlight w:val="none"/>
          <w:u w:val="single"/>
        </w:rPr>
        <w:t>广州公共资源交易中心</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pPr>
        <w:spacing w:line="480" w:lineRule="auto"/>
        <w:ind w:firstLine="472" w:firstLineChars="224"/>
        <w:rPr>
          <w:b/>
          <w:color w:val="auto"/>
          <w:szCs w:val="21"/>
          <w:highlight w:val="none"/>
        </w:rPr>
      </w:pPr>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8.2招标答疑会会议纪要将在提交投标文件截止时间15日前在</w:t>
      </w:r>
      <w:r>
        <w:rPr>
          <w:color w:val="auto"/>
          <w:szCs w:val="21"/>
          <w:highlight w:val="none"/>
          <w:u w:val="single"/>
        </w:rPr>
        <w:t xml:space="preserve">     </w:t>
      </w:r>
      <w:r>
        <w:rPr>
          <w:rFonts w:hint="eastAsia"/>
          <w:color w:val="auto"/>
          <w:szCs w:val="21"/>
          <w:highlight w:val="none"/>
        </w:rPr>
        <w:t>交易平台 “项目答疑纪要”专区公开发布。答疑纪要一经在广州公共资源交易中心网交易平台发布，视作已发放给所有投标人。</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8.2</w:t>
      </w:r>
      <w:r>
        <w:rPr>
          <w:rFonts w:hint="eastAsia"/>
          <w:color w:val="auto"/>
          <w:szCs w:val="21"/>
          <w:highlight w:val="none"/>
        </w:rPr>
        <w:t>招标答疑会会议纪要将在提交投标文件截止时间</w:t>
      </w:r>
      <w:r>
        <w:rPr>
          <w:color w:val="auto"/>
          <w:szCs w:val="21"/>
          <w:highlight w:val="none"/>
        </w:rPr>
        <w:t>15</w:t>
      </w:r>
      <w:r>
        <w:rPr>
          <w:rFonts w:hint="eastAsia"/>
          <w:color w:val="auto"/>
          <w:szCs w:val="21"/>
          <w:highlight w:val="none"/>
        </w:rPr>
        <w:t>日前在</w:t>
      </w:r>
      <w:r>
        <w:rPr>
          <w:rFonts w:hint="eastAsia"/>
          <w:color w:val="auto"/>
          <w:szCs w:val="21"/>
          <w:highlight w:val="none"/>
          <w:u w:val="single"/>
        </w:rPr>
        <w:t>广州公共资源交易中心</w:t>
      </w:r>
      <w:r>
        <w:rPr>
          <w:rFonts w:hint="eastAsia"/>
          <w:color w:val="auto"/>
          <w:szCs w:val="21"/>
          <w:highlight w:val="none"/>
        </w:rPr>
        <w:t>交易平台</w:t>
      </w:r>
      <w:r>
        <w:rPr>
          <w:color w:val="auto"/>
          <w:szCs w:val="21"/>
          <w:highlight w:val="none"/>
        </w:rPr>
        <w:t xml:space="preserve"> </w:t>
      </w:r>
      <w:r>
        <w:rPr>
          <w:rFonts w:hint="eastAsia"/>
          <w:color w:val="auto"/>
          <w:szCs w:val="21"/>
          <w:highlight w:val="none"/>
        </w:rPr>
        <w:t>“项目答疑纪要”专区公开发布。答疑纪要一经在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w:t>
      </w:r>
    </w:p>
    <w:p>
      <w:pPr>
        <w:spacing w:line="48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9.2招标文件的澄清或修改将在</w:t>
      </w:r>
      <w:r>
        <w:rPr>
          <w:color w:val="auto"/>
          <w:szCs w:val="21"/>
          <w:highlight w:val="none"/>
          <w:u w:val="single"/>
        </w:rPr>
        <w:t xml:space="preserve">        </w:t>
      </w:r>
      <w:r>
        <w:rPr>
          <w:rFonts w:hint="eastAsia"/>
          <w:color w:val="auto"/>
          <w:szCs w:val="21"/>
          <w:highlight w:val="none"/>
        </w:rPr>
        <w:t>交易平台“项目答疑纪要”专区公开发布。答疑纪要一经在</w:t>
      </w:r>
      <w:r>
        <w:rPr>
          <w:color w:val="auto"/>
          <w:szCs w:val="21"/>
          <w:highlight w:val="none"/>
          <w:u w:val="single"/>
        </w:rPr>
        <w:t xml:space="preserve">        </w:t>
      </w:r>
      <w:r>
        <w:rPr>
          <w:rFonts w:hint="eastAsia"/>
          <w:color w:val="auto"/>
          <w:szCs w:val="21"/>
          <w:highlight w:val="none"/>
        </w:rPr>
        <w:t>交易平台发布，视作已发放给所有投标人，以</w:t>
      </w:r>
      <w:r>
        <w:rPr>
          <w:color w:val="auto"/>
          <w:szCs w:val="21"/>
          <w:highlight w:val="none"/>
          <w:u w:val="single"/>
        </w:rPr>
        <w:t xml:space="preserve">        </w:t>
      </w:r>
      <w:r>
        <w:rPr>
          <w:rFonts w:hint="eastAsia"/>
          <w:color w:val="auto"/>
          <w:szCs w:val="21"/>
          <w:highlight w:val="none"/>
        </w:rPr>
        <w:t>交易平台上网发布时间作为送达时间。</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9.2招标文件的澄清或修改将在</w:t>
      </w:r>
      <w:r>
        <w:rPr>
          <w:rFonts w:hint="eastAsia"/>
          <w:color w:val="auto"/>
          <w:szCs w:val="21"/>
          <w:highlight w:val="none"/>
          <w:u w:val="single"/>
        </w:rPr>
        <w:t>广州公共资源交易中心</w:t>
      </w:r>
      <w:r>
        <w:rPr>
          <w:rFonts w:hint="eastAsia"/>
          <w:color w:val="auto"/>
          <w:szCs w:val="21"/>
          <w:highlight w:val="none"/>
        </w:rPr>
        <w:t>交易平台“项目答疑纪要”专区公开发布。答疑纪要一经在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交易平台发布，视作已发放给所有投标人，以</w:t>
      </w:r>
      <w:r>
        <w:rPr>
          <w:rFonts w:hint="eastAsia"/>
          <w:color w:val="auto"/>
          <w:szCs w:val="21"/>
          <w:highlight w:val="none"/>
          <w:u w:val="single"/>
        </w:rPr>
        <w:t>广州公共资源交易中心</w:t>
      </w:r>
      <w:r>
        <w:rPr>
          <w:rFonts w:hint="eastAsia"/>
          <w:color w:val="auto"/>
          <w:szCs w:val="21"/>
          <w:highlight w:val="none"/>
        </w:rPr>
        <w:t>交易平台上网发布时间作为送达时间。</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条款号：9.4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8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最后发布的内容为准。</w:t>
      </w:r>
    </w:p>
    <w:p>
      <w:pPr>
        <w:spacing w:line="480" w:lineRule="auto"/>
        <w:ind w:firstLine="472" w:firstLineChars="224"/>
        <w:rPr>
          <w:b/>
          <w:color w:val="auto"/>
          <w:szCs w:val="21"/>
          <w:highlight w:val="none"/>
        </w:rPr>
      </w:pPr>
      <w:r>
        <w:rPr>
          <w:rFonts w:hint="eastAsia"/>
          <w:b/>
          <w:color w:val="auto"/>
          <w:szCs w:val="21"/>
          <w:highlight w:val="none"/>
        </w:rPr>
        <w:t>条款号：11.2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Cs w:val="21"/>
          <w:highlight w:val="none"/>
        </w:rPr>
      </w:pPr>
      <w:r>
        <w:rPr>
          <w:rFonts w:hint="eastAsia"/>
          <w:b/>
          <w:color w:val="auto"/>
          <w:szCs w:val="21"/>
          <w:highlight w:val="none"/>
        </w:rPr>
        <w:t>原文：</w:t>
      </w:r>
      <w:r>
        <w:rPr>
          <w:rFonts w:ascii="宋体"/>
          <w:color w:val="auto"/>
          <w:szCs w:val="21"/>
          <w:highlight w:val="none"/>
        </w:rPr>
        <w:t>11.2</w:t>
      </w:r>
      <w:r>
        <w:rPr>
          <w:rFonts w:hint="eastAsia" w:ascii="宋体"/>
          <w:color w:val="auto"/>
          <w:szCs w:val="21"/>
          <w:highlight w:val="none"/>
        </w:rPr>
        <w:t>投标文件技术标部分主要包括下列内容</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rPr>
        <w:t>按招标文件的要求填写</w:t>
      </w:r>
      <w:r>
        <w:rPr>
          <w:rFonts w:ascii="宋体"/>
          <w:color w:val="auto"/>
          <w:szCs w:val="21"/>
          <w:highlight w:val="none"/>
        </w:rPr>
        <w:t>)</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pPr>
        <w:spacing w:line="360" w:lineRule="auto"/>
        <w:ind w:firstLine="420" w:firstLineChars="200"/>
        <w:rPr>
          <w:rFonts w:ascii="宋体"/>
          <w:color w:val="auto"/>
          <w:szCs w:val="21"/>
          <w:highlight w:val="none"/>
        </w:rPr>
      </w:pPr>
      <w:r>
        <w:rPr>
          <w:rFonts w:hint="eastAsia" w:ascii="宋体"/>
          <w:color w:val="auto"/>
          <w:szCs w:val="21"/>
          <w:highlight w:val="none"/>
        </w:rPr>
        <w:t xml:space="preserve">（1）投标人声明； </w:t>
      </w:r>
    </w:p>
    <w:p>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（8）拟委托技术负责人的相关证书、资料（具体要求由招标人明确）</w:t>
      </w:r>
      <w:r>
        <w:rPr>
          <w:rFonts w:ascii="宋体"/>
          <w:color w:val="auto"/>
          <w:szCs w:val="21"/>
          <w:highlight w:val="none"/>
        </w:rPr>
        <w:t>；</w:t>
      </w:r>
    </w:p>
    <w:p>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9）</w:t>
      </w:r>
      <w:r>
        <w:rPr>
          <w:color w:val="auto"/>
          <w:szCs w:val="21"/>
          <w:highlight w:val="none"/>
          <w:lang w:bidi="ar"/>
        </w:rPr>
        <w:t xml:space="preserve">拟委派项目负责人的建造师注册证书（取自平台内上传件）； </w:t>
      </w:r>
    </w:p>
    <w:p>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10）</w:t>
      </w:r>
      <w:r>
        <w:rPr>
          <w:color w:val="auto"/>
          <w:szCs w:val="21"/>
          <w:highlight w:val="none"/>
          <w:lang w:bidi="ar"/>
        </w:rPr>
        <w:t>项目负责人安全生产考核合格证明或在有效期内的安全考核合格证书（</w:t>
      </w:r>
      <w:r>
        <w:rPr>
          <w:rFonts w:hint="eastAsia" w:ascii="宋体" w:hAnsi="宋体" w:cs="宋体"/>
          <w:color w:val="auto"/>
          <w:szCs w:val="21"/>
          <w:highlight w:val="none"/>
          <w:lang w:bidi="ar"/>
        </w:rPr>
        <w:t>B类）或建筑施工企业项目负责人安全生产考核合格证书（取自平台内上传件）</w:t>
      </w:r>
      <w:r>
        <w:rPr>
          <w:color w:val="auto"/>
          <w:szCs w:val="21"/>
          <w:highlight w:val="none"/>
          <w:lang w:bidi="ar"/>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color w:val="auto"/>
          <w:szCs w:val="21"/>
          <w:highlight w:val="none"/>
        </w:rPr>
      </w:pPr>
      <w:r>
        <w:rPr>
          <w:rFonts w:hint="eastAsia" w:ascii="宋体"/>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color w:val="auto"/>
          <w:szCs w:val="21"/>
          <w:highlight w:val="none"/>
        </w:rPr>
      </w:pPr>
      <w:r>
        <w:rPr>
          <w:rFonts w:hint="eastAsia" w:ascii="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70" w:firstLineChars="224"/>
        <w:rPr>
          <w:rFonts w:ascii="宋体"/>
          <w:color w:val="auto"/>
          <w:szCs w:val="21"/>
          <w:highlight w:val="none"/>
        </w:rPr>
      </w:pPr>
      <w:r>
        <w:rPr>
          <w:rFonts w:hint="eastAsia" w:asci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color w:val="auto"/>
          <w:szCs w:val="21"/>
          <w:highlight w:val="none"/>
        </w:rPr>
      </w:pPr>
      <w:r>
        <w:rPr>
          <w:rFonts w:ascii="宋体"/>
          <w:color w:val="auto"/>
          <w:szCs w:val="21"/>
          <w:highlight w:val="none"/>
        </w:rPr>
        <w:t>11.2.3</w:t>
      </w:r>
      <w:r>
        <w:rPr>
          <w:rFonts w:hint="eastAsia" w:ascii="宋体"/>
          <w:color w:val="auto"/>
          <w:szCs w:val="21"/>
          <w:highlight w:val="none"/>
        </w:rPr>
        <w:t>项目管理机构配备。</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）投标人应列出该项目工程的施工组织机构构成和画出机构框架图及其负责人；</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）其他辅助说明资料。</w:t>
      </w:r>
    </w:p>
    <w:p>
      <w:pPr>
        <w:spacing w:line="360" w:lineRule="auto"/>
        <w:ind w:firstLine="420" w:firstLineChars="200"/>
        <w:rPr>
          <w:rFonts w:ascii="宋体"/>
          <w:color w:val="auto"/>
          <w:szCs w:val="21"/>
          <w:highlight w:val="none"/>
        </w:rPr>
      </w:pPr>
      <w:r>
        <w:rPr>
          <w:rFonts w:ascii="宋体"/>
          <w:color w:val="auto"/>
          <w:szCs w:val="21"/>
          <w:highlight w:val="none"/>
        </w:rPr>
        <w:t>11.2.4</w:t>
      </w:r>
      <w:r>
        <w:rPr>
          <w:rFonts w:hint="eastAsia" w:asci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color w:val="auto"/>
          <w:szCs w:val="21"/>
          <w:highlight w:val="none"/>
        </w:rPr>
      </w:pPr>
      <w:r>
        <w:rPr>
          <w:rFonts w:ascii="宋体"/>
          <w:color w:val="auto"/>
          <w:szCs w:val="21"/>
          <w:highlight w:val="none"/>
        </w:rPr>
        <w:t>11.2.5</w:t>
      </w:r>
      <w:r>
        <w:rPr>
          <w:rFonts w:hint="eastAsia" w:ascii="宋体"/>
          <w:color w:val="auto"/>
          <w:szCs w:val="21"/>
          <w:highlight w:val="none"/>
        </w:rPr>
        <w:t>施工组织设计或施工方案。</w:t>
      </w:r>
      <w:r>
        <w:rPr>
          <w:rFonts w:hint="eastAsia" w:ascii="宋体" w:hAnsi="宋体" w:cs="宋体"/>
          <w:color w:val="auto"/>
          <w:szCs w:val="21"/>
          <w:highlight w:val="none"/>
          <w:lang w:bidi="ar"/>
        </w:rPr>
        <w:t>（投标人在编制施工组织设计或施工方案时应按照招标人提出的施工现场建筑垃圾源头减量的具体要求以及建筑垃圾综合利用产品的使用要求提供相应措施。）</w:t>
      </w:r>
    </w:p>
    <w:p>
      <w:pPr>
        <w:spacing w:line="360" w:lineRule="auto"/>
        <w:ind w:firstLine="424" w:firstLineChars="202"/>
        <w:rPr>
          <w:rFonts w:ascii="宋体"/>
          <w:color w:val="auto"/>
          <w:szCs w:val="21"/>
          <w:highlight w:val="none"/>
        </w:rPr>
      </w:pPr>
      <w:r>
        <w:rPr>
          <w:rFonts w:ascii="宋体"/>
          <w:color w:val="auto"/>
          <w:szCs w:val="21"/>
          <w:highlight w:val="none"/>
        </w:rPr>
        <w:t>11.2.</w:t>
      </w:r>
      <w:r>
        <w:rPr>
          <w:rFonts w:hint="eastAsia" w:ascii="宋体"/>
          <w:color w:val="auto"/>
          <w:szCs w:val="21"/>
          <w:highlight w:val="none"/>
        </w:rPr>
        <w:t>6按照招标文件要求填写的《参与编制技术标投标文件人员名单》。</w:t>
      </w:r>
    </w:p>
    <w:p>
      <w:pPr>
        <w:spacing w:line="360" w:lineRule="auto"/>
        <w:ind w:firstLine="422" w:firstLineChars="200"/>
        <w:rPr>
          <w:rFonts w:ascii="宋体"/>
          <w:color w:val="auto"/>
          <w:szCs w:val="21"/>
          <w:highlight w:val="none"/>
        </w:rPr>
      </w:pPr>
      <w:r>
        <w:rPr>
          <w:rFonts w:hint="eastAsia"/>
          <w:b/>
          <w:color w:val="auto"/>
          <w:szCs w:val="21"/>
          <w:highlight w:val="none"/>
        </w:rPr>
        <w:t>现文：</w:t>
      </w:r>
      <w:r>
        <w:rPr>
          <w:rFonts w:ascii="宋体"/>
          <w:color w:val="auto"/>
          <w:szCs w:val="21"/>
          <w:highlight w:val="none"/>
        </w:rPr>
        <w:t>11.2</w:t>
      </w:r>
      <w:r>
        <w:rPr>
          <w:rFonts w:hint="eastAsia" w:ascii="宋体"/>
          <w:color w:val="auto"/>
          <w:szCs w:val="21"/>
          <w:highlight w:val="none"/>
        </w:rPr>
        <w:t>投标文件技术标部分主要包括下列内容</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u w:val="single"/>
        </w:rPr>
        <w:t>按技术标投标文件格式要求填写</w:t>
      </w:r>
      <w:r>
        <w:rPr>
          <w:rFonts w:ascii="宋体"/>
          <w:color w:val="auto"/>
          <w:szCs w:val="21"/>
          <w:highlight w:val="none"/>
        </w:rPr>
        <w:t>)</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pPr>
        <w:spacing w:line="360" w:lineRule="auto"/>
        <w:ind w:firstLine="420" w:firstLineChars="200"/>
        <w:rPr>
          <w:rFonts w:ascii="宋体"/>
          <w:color w:val="auto"/>
          <w:szCs w:val="21"/>
          <w:highlight w:val="none"/>
        </w:rPr>
      </w:pPr>
      <w:r>
        <w:rPr>
          <w:rFonts w:hint="eastAsia" w:ascii="宋体"/>
          <w:color w:val="auto"/>
          <w:szCs w:val="21"/>
          <w:highlight w:val="none"/>
        </w:rPr>
        <w:t>（1）投标人声明</w:t>
      </w:r>
      <w:r>
        <w:rPr>
          <w:rFonts w:hint="eastAsia" w:ascii="宋体"/>
          <w:color w:val="auto"/>
          <w:szCs w:val="21"/>
          <w:highlight w:val="none"/>
          <w:u w:val="single"/>
        </w:rPr>
        <w:t>（按招标公告附件一的格式及内容提交）</w:t>
      </w:r>
      <w:r>
        <w:rPr>
          <w:rFonts w:hint="eastAsia" w:ascii="宋体"/>
          <w:color w:val="auto"/>
          <w:szCs w:val="21"/>
          <w:highlight w:val="none"/>
        </w:rPr>
        <w:t xml:space="preserve">； </w:t>
      </w:r>
    </w:p>
    <w:p>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r>
        <w:rPr>
          <w:rFonts w:hint="eastAsia" w:ascii="宋体"/>
          <w:color w:val="auto"/>
          <w:szCs w:val="21"/>
          <w:highlight w:val="none"/>
          <w:u w:val="single"/>
        </w:rPr>
        <w:t>（见本招标文件第四章“技术标投标文件格式”格式五）</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p>
    <w:p>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p>
    <w:p>
      <w:pPr>
        <w:spacing w:line="360" w:lineRule="auto"/>
        <w:ind w:firstLine="420" w:firstLineChars="200"/>
        <w:rPr>
          <w:rFonts w:ascii="宋体"/>
          <w:color w:val="auto"/>
          <w:szCs w:val="21"/>
          <w:highlight w:val="none"/>
        </w:rPr>
      </w:pPr>
      <w:r>
        <w:rPr>
          <w:rFonts w:hint="eastAsia" w:ascii="宋体"/>
          <w:color w:val="auto"/>
          <w:szCs w:val="21"/>
          <w:highlight w:val="none"/>
        </w:rPr>
        <w:t>（8）</w:t>
      </w:r>
      <w:r>
        <w:rPr>
          <w:rFonts w:hint="eastAsia" w:ascii="宋体"/>
          <w:color w:val="auto"/>
          <w:szCs w:val="21"/>
          <w:highlight w:val="none"/>
          <w:u w:val="single"/>
        </w:rPr>
        <w:t>拟委托技术负责人的职称证书（提交原件扫描件）</w:t>
      </w:r>
      <w:r>
        <w:rPr>
          <w:rFonts w:hint="eastAsia" w:ascii="宋体"/>
          <w:color w:val="auto"/>
          <w:szCs w:val="21"/>
          <w:highlight w:val="none"/>
        </w:rPr>
        <w:t>；</w:t>
      </w:r>
    </w:p>
    <w:p>
      <w:pPr>
        <w:spacing w:line="360" w:lineRule="auto"/>
        <w:ind w:firstLine="420" w:firstLineChars="200"/>
        <w:rPr>
          <w:rFonts w:ascii="宋体"/>
          <w:color w:val="auto"/>
          <w:szCs w:val="21"/>
          <w:highlight w:val="none"/>
          <w:u w:val="single"/>
        </w:rPr>
      </w:pPr>
      <w:r>
        <w:rPr>
          <w:rFonts w:hint="eastAsia" w:ascii="宋体"/>
          <w:color w:val="auto"/>
          <w:szCs w:val="21"/>
          <w:highlight w:val="none"/>
        </w:rPr>
        <w:t>（9）拟委派项目负责人的建造师证书（取自平台内上传件）；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（10）项目负责人安全</w:t>
      </w:r>
      <w:r>
        <w:rPr>
          <w:rFonts w:ascii="宋体"/>
          <w:color w:val="auto"/>
          <w:szCs w:val="21"/>
          <w:highlight w:val="none"/>
        </w:rPr>
        <w:t>生产</w:t>
      </w:r>
      <w:r>
        <w:rPr>
          <w:rFonts w:hint="eastAsia" w:ascii="宋体"/>
          <w:color w:val="auto"/>
          <w:szCs w:val="21"/>
          <w:highlight w:val="none"/>
        </w:rPr>
        <w:t>考核合格证明或在有效期内的安全考核合格证书（B类）或建筑施工企业项目负责人安全生产考核合格证书（取自平台内上传件）；</w:t>
      </w:r>
    </w:p>
    <w:p>
      <w:pPr>
        <w:spacing w:line="360" w:lineRule="auto"/>
        <w:ind w:firstLine="420" w:firstLineChars="200"/>
        <w:rPr>
          <w:rFonts w:hint="eastAsia"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（11）专职安全员须具有在有效期内的安全考核合格证书（C类）或建筑施工企业专职安全生产管理人员安全生产考核合格证书（C3）（取自平台内上传件），</w:t>
      </w:r>
      <w:r>
        <w:rPr>
          <w:rFonts w:hint="eastAsia" w:ascii="宋体" w:hAnsi="宋体"/>
          <w:b/>
          <w:color w:val="auto"/>
          <w:szCs w:val="21"/>
          <w:highlight w:val="none"/>
          <w:u w:val="single"/>
        </w:rPr>
        <w:t>项目负责人和安全员不为同一人</w:t>
      </w:r>
      <w:r>
        <w:rPr>
          <w:rFonts w:hint="eastAsia" w:ascii="宋体"/>
          <w:color w:val="auto"/>
          <w:szCs w:val="21"/>
          <w:highlight w:val="none"/>
        </w:rPr>
        <w:t>；</w:t>
      </w:r>
    </w:p>
    <w:p>
      <w:pPr>
        <w:spacing w:line="360" w:lineRule="auto"/>
        <w:ind w:firstLine="420" w:firstLineChars="200"/>
        <w:rPr>
          <w:rFonts w:hint="eastAsia" w:ascii="宋体"/>
          <w:color w:val="auto"/>
          <w:szCs w:val="21"/>
          <w:highlight w:val="none"/>
        </w:rPr>
      </w:pPr>
      <w:r>
        <w:rPr>
          <w:rFonts w:hint="eastAsia" w:ascii="宋体"/>
          <w:color w:val="auto"/>
          <w:szCs w:val="21"/>
          <w:highlight w:val="none"/>
        </w:rPr>
        <w:t>（12）用于资格审查的业绩</w:t>
      </w:r>
      <w:r>
        <w:rPr>
          <w:rFonts w:hint="eastAsia" w:ascii="宋体"/>
          <w:color w:val="auto"/>
          <w:szCs w:val="21"/>
          <w:highlight w:val="none"/>
          <w:u w:val="single"/>
        </w:rPr>
        <w:t>（提交《类似工程业绩表》扫描件（须按招标文件第四章“技术标投标文件格式”格式</w:t>
      </w:r>
      <w:r>
        <w:rPr>
          <w:rFonts w:hint="eastAsia" w:ascii="宋体"/>
          <w:color w:val="auto"/>
          <w:szCs w:val="21"/>
          <w:highlight w:val="none"/>
          <w:u w:val="single"/>
          <w:lang w:val="en-US" w:eastAsia="zh-CN"/>
        </w:rPr>
        <w:t>十</w:t>
      </w:r>
      <w:r>
        <w:rPr>
          <w:rFonts w:hint="eastAsia" w:ascii="宋体"/>
          <w:color w:val="auto"/>
          <w:szCs w:val="21"/>
          <w:highlight w:val="none"/>
          <w:u w:val="single"/>
        </w:rPr>
        <w:t>））</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3</w:t>
      </w:r>
      <w:r>
        <w:rPr>
          <w:rFonts w:hint="eastAsia" w:ascii="宋体"/>
          <w:color w:val="auto"/>
          <w:szCs w:val="21"/>
          <w:highlight w:val="none"/>
        </w:rPr>
        <w:t>）资格审查前，投标人须在广州市住房和城乡建设局建立企业信用档案，拟担任本工程项目负责人、专职安全员须是本企业信用档案中的在册人员；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
          <w:color w:val="auto"/>
          <w:kern w:val="0"/>
          <w:szCs w:val="21"/>
          <w:highlight w:val="none"/>
          <w:u w:val="single"/>
        </w:rPr>
      </w:pPr>
      <w:r>
        <w:rPr>
          <w:rFonts w:hint="eastAsia" w:ascii="宋体"/>
          <w:color w:val="auto"/>
          <w:szCs w:val="21"/>
          <w:highlight w:val="none"/>
        </w:rPr>
        <w:t>（1</w:t>
      </w: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hAnsi="宋体"/>
          <w:color w:val="auto"/>
          <w:szCs w:val="21"/>
          <w:highlight w:val="none"/>
        </w:rPr>
        <w:t>关于联合体投标：</w:t>
      </w:r>
      <w:r>
        <w:rPr>
          <w:rFonts w:hint="eastAsia" w:ascii="宋体" w:hAnsi="宋体" w:cs="宋体"/>
          <w:b/>
          <w:color w:val="auto"/>
          <w:kern w:val="0"/>
          <w:szCs w:val="21"/>
          <w:highlight w:val="none"/>
          <w:u w:val="single"/>
        </w:rPr>
        <w:t>本项目不接受联合体投标；</w:t>
      </w:r>
    </w:p>
    <w:p>
      <w:pPr>
        <w:pStyle w:val="7"/>
        <w:spacing w:line="360" w:lineRule="auto"/>
        <w:rPr>
          <w:rFonts w:ascii="宋体"/>
          <w:color w:val="auto"/>
          <w:kern w:val="2"/>
          <w:sz w:val="21"/>
          <w:szCs w:val="21"/>
          <w:highlight w:val="none"/>
          <w:u w:val="single"/>
        </w:rPr>
      </w:pPr>
      <w:r>
        <w:rPr>
          <w:rFonts w:hint="eastAsia" w:ascii="宋体"/>
          <w:color w:val="auto"/>
          <w:kern w:val="2"/>
          <w:sz w:val="21"/>
          <w:szCs w:val="21"/>
          <w:highlight w:val="none"/>
          <w:u w:val="single"/>
        </w:rPr>
        <w:t>（1</w:t>
      </w:r>
      <w:r>
        <w:rPr>
          <w:rFonts w:hint="eastAsia" w:ascii="宋体"/>
          <w:color w:val="auto"/>
          <w:kern w:val="2"/>
          <w:sz w:val="21"/>
          <w:szCs w:val="21"/>
          <w:highlight w:val="none"/>
          <w:u w:val="single"/>
          <w:lang w:val="en-US" w:eastAsia="zh-CN"/>
        </w:rPr>
        <w:t>5</w:t>
      </w:r>
      <w:r>
        <w:rPr>
          <w:rFonts w:hint="eastAsia" w:ascii="宋体"/>
          <w:color w:val="auto"/>
          <w:kern w:val="2"/>
          <w:sz w:val="21"/>
          <w:szCs w:val="21"/>
          <w:highlight w:val="none"/>
          <w:u w:val="single"/>
        </w:rPr>
        <w:t>）</w:t>
      </w:r>
      <w:r>
        <w:rPr>
          <w:rFonts w:hint="eastAsia" w:ascii="宋体" w:hAnsi="宋体"/>
          <w:color w:val="auto"/>
          <w:kern w:val="2"/>
          <w:sz w:val="21"/>
          <w:szCs w:val="21"/>
          <w:highlight w:val="none"/>
          <w:u w:val="single"/>
        </w:rPr>
        <w:t>未被列入拖欠</w:t>
      </w:r>
      <w:r>
        <w:rPr>
          <w:rFonts w:hint="eastAsia" w:ascii="宋体" w:hAnsi="宋体" w:cs="宋体"/>
          <w:bCs/>
          <w:color w:val="auto"/>
          <w:kern w:val="2"/>
          <w:sz w:val="21"/>
          <w:szCs w:val="21"/>
          <w:highlight w:val="none"/>
          <w:u w:val="single"/>
          <w:lang w:bidi="ar"/>
        </w:rPr>
        <w:t>农民工工资失信联合惩戒对象名单；</w:t>
      </w:r>
    </w:p>
    <w:p>
      <w:pPr>
        <w:pStyle w:val="7"/>
        <w:spacing w:line="360" w:lineRule="auto"/>
        <w:rPr>
          <w:rFonts w:ascii="宋体"/>
          <w:color w:val="auto"/>
          <w:kern w:val="2"/>
          <w:sz w:val="21"/>
          <w:szCs w:val="21"/>
          <w:highlight w:val="none"/>
        </w:rPr>
      </w:pPr>
      <w:r>
        <w:rPr>
          <w:rFonts w:hint="eastAsia" w:ascii="宋体"/>
          <w:color w:val="auto"/>
          <w:kern w:val="2"/>
          <w:sz w:val="21"/>
          <w:szCs w:val="21"/>
          <w:highlight w:val="none"/>
          <w:u w:val="single"/>
        </w:rPr>
        <w:t>（1</w:t>
      </w:r>
      <w:r>
        <w:rPr>
          <w:rFonts w:hint="eastAsia" w:ascii="宋体"/>
          <w:color w:val="auto"/>
          <w:kern w:val="2"/>
          <w:sz w:val="21"/>
          <w:szCs w:val="21"/>
          <w:highlight w:val="none"/>
          <w:u w:val="single"/>
          <w:lang w:val="en-US" w:eastAsia="zh-CN"/>
        </w:rPr>
        <w:t>6</w:t>
      </w:r>
      <w:r>
        <w:rPr>
          <w:rFonts w:hint="eastAsia" w:ascii="宋体"/>
          <w:color w:val="auto"/>
          <w:kern w:val="2"/>
          <w:sz w:val="21"/>
          <w:szCs w:val="21"/>
          <w:highlight w:val="none"/>
          <w:u w:val="single"/>
        </w:rPr>
        <w:t>）投标人认为应提交的其他资料（如有）。</w:t>
      </w:r>
    </w:p>
    <w:p>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r>
        <w:rPr>
          <w:rFonts w:hint="eastAsia" w:ascii="宋体" w:hAnsi="宋体"/>
          <w:color w:val="auto"/>
          <w:szCs w:val="21"/>
          <w:highlight w:val="none"/>
          <w:u w:val="single"/>
        </w:rPr>
        <w:t>（见本招标文件第四章 “技术标投标文件格式”格式</w:t>
      </w:r>
      <w:r>
        <w:rPr>
          <w:rFonts w:hint="eastAsia" w:ascii="宋体" w:hAnsi="宋体"/>
          <w:color w:val="auto"/>
          <w:szCs w:val="21"/>
          <w:highlight w:val="none"/>
          <w:u w:val="single"/>
          <w:lang w:val="en-US" w:eastAsia="zh-CN"/>
        </w:rPr>
        <w:t>六</w:t>
      </w:r>
      <w:r>
        <w:rPr>
          <w:rFonts w:hint="eastAsia"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r>
        <w:rPr>
          <w:rFonts w:hint="eastAsia" w:ascii="宋体" w:hAnsi="宋体"/>
          <w:color w:val="auto"/>
          <w:szCs w:val="21"/>
          <w:highlight w:val="none"/>
          <w:u w:val="single"/>
        </w:rPr>
        <w:t>（见本招标文件第四章“技术标投标文件格式”格式</w:t>
      </w:r>
      <w:r>
        <w:rPr>
          <w:rFonts w:hint="eastAsia" w:ascii="宋体" w:hAnsi="宋体"/>
          <w:color w:val="auto"/>
          <w:szCs w:val="21"/>
          <w:highlight w:val="none"/>
          <w:u w:val="single"/>
          <w:lang w:val="en-US" w:eastAsia="zh-CN"/>
        </w:rPr>
        <w:t>七</w:t>
      </w:r>
      <w:r>
        <w:rPr>
          <w:rFonts w:hint="eastAsia" w:ascii="宋体" w:hAnsi="宋体"/>
          <w:color w:val="auto"/>
          <w:szCs w:val="21"/>
          <w:highlight w:val="none"/>
          <w:u w:val="single"/>
        </w:rPr>
        <w:t>《项目经理部组成人员配备表》和格式</w:t>
      </w:r>
      <w:r>
        <w:rPr>
          <w:rFonts w:hint="eastAsia" w:ascii="宋体" w:hAnsi="宋体"/>
          <w:color w:val="auto"/>
          <w:szCs w:val="21"/>
          <w:highlight w:val="none"/>
          <w:u w:val="single"/>
          <w:lang w:val="en-US" w:eastAsia="zh-CN"/>
        </w:rPr>
        <w:t>八</w:t>
      </w:r>
      <w:r>
        <w:rPr>
          <w:rFonts w:hint="eastAsia" w:ascii="宋体" w:hAnsi="宋体"/>
          <w:color w:val="auto"/>
          <w:szCs w:val="21"/>
          <w:highlight w:val="none"/>
          <w:u w:val="single"/>
        </w:rPr>
        <w:t>《主要人员简历表》填写）</w:t>
      </w:r>
      <w:r>
        <w:rPr>
          <w:rFonts w:hint="eastAsia" w:ascii="宋体" w:hAnsi="宋体"/>
          <w:color w:val="auto"/>
          <w:szCs w:val="21"/>
          <w:highlight w:val="none"/>
        </w:rPr>
        <w:t>；</w:t>
      </w:r>
    </w:p>
    <w:p>
      <w:pPr>
        <w:pBdr>
          <w:bottom w:val="single" w:color="auto" w:sz="6" w:space="1"/>
        </w:pBdr>
        <w:spacing w:line="360" w:lineRule="auto"/>
        <w:ind w:firstLine="525" w:firstLineChars="250"/>
        <w:rPr>
          <w:rFonts w:ascii="宋体" w:hAnsi="宋体" w:cs="宋体"/>
          <w:b/>
          <w:color w:val="auto"/>
          <w:kern w:val="0"/>
          <w:szCs w:val="21"/>
          <w:highlight w:val="none"/>
          <w:u w:val="single"/>
        </w:rPr>
      </w:pPr>
      <w:r>
        <w:rPr>
          <w:rFonts w:hint="eastAsia" w:ascii="宋体" w:hAnsi="宋体"/>
          <w:color w:val="auto"/>
          <w:szCs w:val="21"/>
          <w:highlight w:val="none"/>
        </w:rPr>
        <w:t>（3）其他辅助说明资料</w:t>
      </w:r>
      <w:r>
        <w:rPr>
          <w:rFonts w:hint="eastAsia" w:hAnsi="宋体"/>
          <w:color w:val="auto"/>
          <w:szCs w:val="24"/>
          <w:highlight w:val="none"/>
          <w:u w:val="single"/>
        </w:rPr>
        <w:t>（包含但不限于）：需提供投标人在投标登记时，在交易系统中按《施工项目管理团队人员信息表》（详见招标公告附件三）填写的网页截图</w:t>
      </w:r>
      <w:r>
        <w:rPr>
          <w:rFonts w:hint="eastAsia" w:ascii="宋体" w:hAnsi="宋体"/>
          <w:color w:val="auto"/>
          <w:szCs w:val="21"/>
          <w:highlight w:val="none"/>
        </w:rPr>
        <w:t>。</w:t>
      </w:r>
    </w:p>
    <w:p>
      <w:pPr>
        <w:pBdr>
          <w:bottom w:val="single" w:color="auto" w:sz="6" w:space="1"/>
        </w:pBdr>
        <w:spacing w:line="360" w:lineRule="auto"/>
        <w:ind w:firstLine="525" w:firstLineChars="250"/>
        <w:rPr>
          <w:rFonts w:ascii="宋体" w:hAnsi="宋体"/>
          <w:color w:val="auto"/>
          <w:szCs w:val="21"/>
          <w:highlight w:val="none"/>
        </w:rPr>
      </w:pPr>
      <w:r>
        <w:rPr>
          <w:rFonts w:ascii="宋体" w:hAnsi="宋体"/>
          <w:color w:val="auto"/>
          <w:szCs w:val="21"/>
          <w:highlight w:val="none"/>
        </w:rPr>
        <w:t>11.2.4</w:t>
      </w:r>
      <w:r>
        <w:rPr>
          <w:rFonts w:hint="eastAsia" w:ascii="宋体" w:hAnsi="宋体"/>
          <w:b/>
          <w:bCs/>
          <w:color w:val="auto"/>
          <w:szCs w:val="21"/>
          <w:highlight w:val="none"/>
          <w:u w:val="single"/>
        </w:rPr>
        <w:t>施工组织设计</w:t>
      </w:r>
      <w:r>
        <w:rPr>
          <w:rFonts w:hint="eastAsia" w:ascii="宋体" w:hAnsi="宋体"/>
          <w:color w:val="auto"/>
          <w:szCs w:val="21"/>
          <w:highlight w:val="none"/>
          <w:u w:val="single"/>
        </w:rPr>
        <w:t>（见本招标文件第四章“技术标投标文件格式” 格式</w:t>
      </w:r>
      <w:r>
        <w:rPr>
          <w:rFonts w:hint="eastAsia" w:ascii="宋体" w:hAnsi="宋体"/>
          <w:color w:val="auto"/>
          <w:szCs w:val="21"/>
          <w:highlight w:val="none"/>
          <w:u w:val="single"/>
          <w:lang w:val="en-US" w:eastAsia="zh-CN"/>
        </w:rPr>
        <w:t>九</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11.2.</w:t>
      </w:r>
      <w:r>
        <w:rPr>
          <w:rFonts w:hint="eastAsia" w:ascii="宋体" w:hAnsi="宋体"/>
          <w:color w:val="auto"/>
          <w:szCs w:val="21"/>
          <w:highlight w:val="none"/>
        </w:rPr>
        <w:t>5</w:t>
      </w:r>
      <w:r>
        <w:rPr>
          <w:rFonts w:hint="eastAsia" w:ascii="宋体" w:hAnsi="宋体"/>
          <w:color w:val="auto"/>
          <w:szCs w:val="21"/>
          <w:highlight w:val="none"/>
          <w:u w:val="single"/>
        </w:rPr>
        <w:t>《</w:t>
      </w:r>
      <w:r>
        <w:rPr>
          <w:rFonts w:hint="eastAsia"/>
          <w:color w:val="auto"/>
          <w:szCs w:val="21"/>
          <w:highlight w:val="none"/>
          <w:u w:val="single"/>
        </w:rPr>
        <w:t>类似工程业绩表》（见本招标文件第四章“技术标投标文件格式”格式</w:t>
      </w:r>
      <w:r>
        <w:rPr>
          <w:rFonts w:hint="eastAsia"/>
          <w:color w:val="auto"/>
          <w:szCs w:val="21"/>
          <w:highlight w:val="none"/>
          <w:u w:val="single"/>
          <w:lang w:val="en-US" w:eastAsia="zh-CN"/>
        </w:rPr>
        <w:t>十</w:t>
      </w:r>
      <w:r>
        <w:rPr>
          <w:rFonts w:hint="eastAsia"/>
          <w:color w:val="auto"/>
          <w:szCs w:val="21"/>
          <w:highlight w:val="none"/>
          <w:u w:val="single"/>
        </w:rPr>
        <w:t>）</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11.2.6</w:t>
      </w:r>
      <w:r>
        <w:rPr>
          <w:rFonts w:hint="eastAsia"/>
          <w:color w:val="auto"/>
          <w:szCs w:val="21"/>
          <w:highlight w:val="none"/>
        </w:rPr>
        <w:t xml:space="preserve"> </w:t>
      </w:r>
      <w:r>
        <w:rPr>
          <w:rFonts w:hint="eastAsia" w:ascii="宋体" w:hAnsi="宋体"/>
          <w:color w:val="auto"/>
          <w:szCs w:val="21"/>
          <w:highlight w:val="none"/>
          <w:u w:val="single"/>
        </w:rPr>
        <w:t>《承诺书》（见本招标文件第四章“技术标投标文件格式”格式十</w:t>
      </w:r>
      <w:r>
        <w:rPr>
          <w:rFonts w:hint="eastAsia" w:ascii="宋体" w:hAnsi="宋体"/>
          <w:color w:val="auto"/>
          <w:szCs w:val="21"/>
          <w:highlight w:val="none"/>
          <w:u w:val="single"/>
          <w:lang w:eastAsia="zh-CN"/>
        </w:rPr>
        <w:t>一</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11.2.7</w:t>
      </w:r>
      <w:r>
        <w:rPr>
          <w:rFonts w:hint="eastAsia"/>
          <w:color w:val="auto"/>
          <w:szCs w:val="21"/>
          <w:highlight w:val="none"/>
        </w:rPr>
        <w:t xml:space="preserve"> </w:t>
      </w:r>
      <w:r>
        <w:rPr>
          <w:rFonts w:hint="eastAsia" w:ascii="宋体" w:hAnsi="宋体"/>
          <w:color w:val="auto"/>
          <w:szCs w:val="21"/>
          <w:highlight w:val="none"/>
          <w:u w:val="single"/>
        </w:rPr>
        <w:t>《产品质保和维护维修承诺书》（见本招标文件第四章“技术标投标文件格式”格式十</w:t>
      </w:r>
      <w:r>
        <w:rPr>
          <w:rFonts w:hint="eastAsia" w:ascii="宋体" w:hAnsi="宋体"/>
          <w:color w:val="auto"/>
          <w:szCs w:val="21"/>
          <w:highlight w:val="none"/>
          <w:u w:val="single"/>
          <w:lang w:eastAsia="zh-CN"/>
        </w:rPr>
        <w:t>二</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11.2.8</w:t>
      </w:r>
      <w:r>
        <w:rPr>
          <w:rFonts w:hint="eastAsia" w:ascii="宋体" w:hAnsi="宋体"/>
          <w:color w:val="auto"/>
          <w:szCs w:val="21"/>
          <w:highlight w:val="none"/>
          <w:u w:val="single"/>
        </w:rPr>
        <w:t>按照招标文件要求填写的《参与编制技术标投标文件人员名单》（见本招标文件第四章“投标文件格式”格式十</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color w:val="auto"/>
          <w:szCs w:val="21"/>
          <w:highlight w:val="none"/>
        </w:rPr>
      </w:pPr>
      <w:r>
        <w:rPr>
          <w:rFonts w:ascii="宋体" w:hAnsi="宋体"/>
          <w:color w:val="auto"/>
          <w:szCs w:val="21"/>
          <w:highlight w:val="none"/>
        </w:rPr>
        <w:t>11.2.9</w:t>
      </w:r>
      <w:r>
        <w:rPr>
          <w:rFonts w:hint="eastAsia" w:ascii="宋体" w:hAnsi="宋体"/>
          <w:color w:val="auto"/>
          <w:szCs w:val="21"/>
          <w:highlight w:val="none"/>
          <w:u w:val="single"/>
        </w:rPr>
        <w:t>按照招标文件要求填写的《危险性较大的分部分项工程清单及超过一定规模的危险性较大的分部分项工程清单》（见本招标文件第四章“投标文件格式”格式十</w:t>
      </w:r>
      <w:r>
        <w:rPr>
          <w:rFonts w:hint="eastAsia" w:ascii="宋体" w:hAnsi="宋体"/>
          <w:color w:val="auto"/>
          <w:szCs w:val="21"/>
          <w:highlight w:val="none"/>
          <w:u w:val="single"/>
          <w:lang w:eastAsia="zh-CN"/>
        </w:rPr>
        <w:t>四</w:t>
      </w:r>
      <w:r>
        <w:rPr>
          <w:rFonts w:hint="eastAsia" w:ascii="宋体" w:hAnsi="宋体"/>
          <w:color w:val="auto"/>
          <w:szCs w:val="21"/>
          <w:highlight w:val="none"/>
          <w:u w:val="single"/>
        </w:rPr>
        <w:t>）。</w:t>
      </w:r>
    </w:p>
    <w:p>
      <w:pPr>
        <w:pBdr>
          <w:bottom w:val="single" w:color="auto" w:sz="6" w:space="1"/>
        </w:pBdr>
        <w:spacing w:line="360" w:lineRule="auto"/>
        <w:ind w:firstLine="525" w:firstLineChars="250"/>
        <w:rPr>
          <w:color w:val="auto"/>
          <w:szCs w:val="21"/>
          <w:highlight w:val="none"/>
        </w:rPr>
      </w:pPr>
      <w:r>
        <w:rPr>
          <w:rFonts w:hint="eastAsia" w:ascii="宋体" w:hAnsi="宋体"/>
          <w:color w:val="auto"/>
          <w:szCs w:val="21"/>
          <w:highlight w:val="none"/>
        </w:rPr>
        <w:t xml:space="preserve">11.2.10 </w:t>
      </w:r>
      <w:r>
        <w:rPr>
          <w:rFonts w:hint="eastAsia" w:ascii="宋体" w:hAnsi="宋体"/>
          <w:color w:val="auto"/>
          <w:szCs w:val="21"/>
          <w:highlight w:val="none"/>
          <w:u w:val="single"/>
        </w:rPr>
        <w:t>投标人认为应该提供的其他资料（如有）。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 xml:space="preserve">  修改类型：修改</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pBdr>
          <w:bottom w:val="single" w:color="auto" w:sz="6" w:space="1"/>
        </w:pBdr>
        <w:spacing w:line="360" w:lineRule="auto"/>
        <w:ind w:firstLine="422" w:firstLineChars="200"/>
        <w:rPr>
          <w:rFonts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 xml:space="preserve">   修改类型：增加</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pP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条款号：12.1              修改类型：修改</w:t>
      </w:r>
    </w:p>
    <w:p>
      <w:pPr>
        <w:pBdr>
          <w:bottom w:val="single" w:color="auto" w:sz="6" w:space="1"/>
        </w:pBdr>
        <w:tabs>
          <w:tab w:val="left" w:pos="1125"/>
        </w:tabs>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pPr>
        <w:pBdr>
          <w:bottom w:val="single" w:color="auto" w:sz="6" w:space="1"/>
        </w:pBd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，投标文件格式按招标文件第四章《投标文件格式》。其中：技术标格式二、格式三、格式十</w:t>
      </w:r>
      <w:r>
        <w:rPr>
          <w:rFonts w:hint="eastAsia" w:ascii="宋体" w:hAnsi="宋体"/>
          <w:color w:val="auto"/>
          <w:szCs w:val="21"/>
          <w:highlight w:val="none"/>
          <w:u w:val="single"/>
          <w:lang w:eastAsia="zh-CN"/>
        </w:rPr>
        <w:t>一</w:t>
      </w:r>
      <w:r>
        <w:rPr>
          <w:rFonts w:hint="eastAsia" w:ascii="宋体" w:hAnsi="宋体"/>
          <w:color w:val="auto"/>
          <w:szCs w:val="21"/>
          <w:highlight w:val="none"/>
          <w:u w:val="single"/>
        </w:rPr>
        <w:t>、格式十</w:t>
      </w:r>
      <w:r>
        <w:rPr>
          <w:rFonts w:hint="eastAsia" w:ascii="宋体" w:hAnsi="宋体"/>
          <w:color w:val="auto"/>
          <w:szCs w:val="21"/>
          <w:highlight w:val="none"/>
          <w:u w:val="single"/>
          <w:lang w:eastAsia="zh-CN"/>
        </w:rPr>
        <w:t>二</w:t>
      </w:r>
      <w:r>
        <w:rPr>
          <w:rFonts w:hint="eastAsia" w:ascii="宋体" w:hAnsi="宋体"/>
          <w:color w:val="auto"/>
          <w:szCs w:val="21"/>
          <w:highlight w:val="none"/>
          <w:u w:val="single"/>
        </w:rPr>
        <w:t>、格式十</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和经济标格式二、格式三、格式四必须按招标文件规定的格式进行编制外，其余格式仅供参考。</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12.2             </w:t>
      </w:r>
      <w:r>
        <w:rPr>
          <w:rFonts w:hint="eastAsia"/>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12.2</w:t>
      </w:r>
      <w:r>
        <w:rPr>
          <w:rFonts w:hint="eastAsia"/>
          <w:color w:val="auto"/>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Cs w:val="21"/>
          <w:highlight w:val="none"/>
          <w:u w:val="single"/>
          <w:lang w:eastAsia="zh-CN"/>
        </w:rPr>
        <w:t>广州公共资源交易中心网站最新指引</w:t>
      </w:r>
      <w:r>
        <w:rPr>
          <w:rFonts w:hint="eastAsia"/>
          <w:color w:val="auto"/>
          <w:szCs w:val="21"/>
          <w:highlight w:val="none"/>
        </w:rPr>
        <w:t>。</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12.3</w:t>
      </w:r>
      <w:r>
        <w:rPr>
          <w:rFonts w:hint="eastAsia"/>
          <w:b/>
          <w:color w:val="auto"/>
          <w:szCs w:val="21"/>
          <w:highlight w:val="none"/>
        </w:rPr>
        <w:t xml:space="preserve">             修改类型：修改</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 xml:space="preserve">  </w:t>
      </w:r>
      <w:r>
        <w:rPr>
          <w:rFonts w:hint="eastAsia" w:ascii="宋体" w:hAnsi="宋体"/>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ascii="宋体"/>
          <w:color w:val="auto"/>
          <w:szCs w:val="21"/>
          <w:highlight w:val="none"/>
          <w:u w:val="single"/>
          <w:lang w:eastAsia="zh-CN"/>
        </w:rPr>
        <w:t>广州公共资源交易中心网站最新指引</w:t>
      </w:r>
      <w:r>
        <w:rPr>
          <w:rFonts w:hint="eastAsia" w:asci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 xml:space="preserve"> </w:t>
      </w:r>
    </w:p>
    <w:p>
      <w:pPr>
        <w:pBdr>
          <w:top w:val="single" w:color="auto" w:sz="4" w:space="1"/>
        </w:pBd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 </w:t>
      </w:r>
      <w:r>
        <w:rPr>
          <w:rFonts w:hint="eastAsia" w:ascii="宋体" w:hAnsi="宋体"/>
          <w:b/>
          <w:color w:val="auto"/>
          <w:szCs w:val="21"/>
          <w:highlight w:val="none"/>
        </w:rPr>
        <w:t>13.4</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13.5  13.5.1  13.5.2  13.5.3  13.5.4</w:t>
      </w:r>
      <w:r>
        <w:rPr>
          <w:rFonts w:hint="eastAsia"/>
          <w:b/>
          <w:color w:val="auto"/>
          <w:szCs w:val="21"/>
          <w:highlight w:val="none"/>
        </w:rPr>
        <w:t xml:space="preserve">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13.5工程项目实施期间……，中标后双方协商约定。</w:t>
      </w:r>
    </w:p>
    <w:p>
      <w:pPr>
        <w:pBdr>
          <w:bottom w:val="single" w:color="auto" w:sz="6" w:space="1"/>
        </w:pBdr>
        <w:spacing w:line="360" w:lineRule="auto"/>
        <w:ind w:firstLine="527" w:firstLineChars="250"/>
        <w:rPr>
          <w:color w:val="auto"/>
          <w:szCs w:val="21"/>
          <w:highlight w:val="none"/>
          <w:u w:val="single"/>
        </w:rPr>
      </w:pPr>
      <w:r>
        <w:rPr>
          <w:rFonts w:hint="eastAsia"/>
          <w:b/>
          <w:color w:val="auto"/>
          <w:szCs w:val="21"/>
          <w:highlight w:val="none"/>
        </w:rPr>
        <w:t>现文：</w:t>
      </w:r>
      <w:r>
        <w:rPr>
          <w:rFonts w:hint="eastAsia"/>
          <w:color w:val="auto"/>
          <w:szCs w:val="21"/>
          <w:highlight w:val="none"/>
        </w:rPr>
        <w:t>13.5</w:t>
      </w:r>
      <w:r>
        <w:rPr>
          <w:rFonts w:hint="eastAsia"/>
          <w:color w:val="auto"/>
          <w:szCs w:val="21"/>
          <w:highlight w:val="none"/>
          <w:u w:val="single"/>
        </w:rPr>
        <w:t>变更结算方式按招标文件及施工合同相关规定执行。</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13</w:t>
      </w:r>
      <w:r>
        <w:rPr>
          <w:rFonts w:hint="eastAsia"/>
          <w:b/>
          <w:color w:val="auto"/>
          <w:szCs w:val="21"/>
          <w:highlight w:val="none"/>
        </w:rPr>
        <w:t>.8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pPr>
        <w:spacing w:line="360" w:lineRule="auto"/>
        <w:ind w:firstLine="422" w:firstLineChars="200"/>
        <w:rPr>
          <w:b/>
          <w:color w:val="auto"/>
          <w:szCs w:val="21"/>
          <w:highlight w:val="none"/>
        </w:rPr>
      </w:pPr>
      <w:r>
        <w:rPr>
          <w:rFonts w:hint="eastAsia"/>
          <w:b/>
          <w:color w:val="auto"/>
          <w:szCs w:val="21"/>
          <w:highlight w:val="none"/>
        </w:rPr>
        <w:t>条款号：15.2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spacing w:line="360" w:lineRule="auto"/>
        <w:ind w:firstLine="422" w:firstLineChars="200"/>
        <w:rPr>
          <w:b/>
          <w:color w:val="auto"/>
          <w:szCs w:val="21"/>
          <w:highlight w:val="none"/>
        </w:rPr>
      </w:pPr>
      <w:r>
        <w:rPr>
          <w:rFonts w:hint="eastAsia"/>
          <w:b/>
          <w:color w:val="auto"/>
          <w:szCs w:val="21"/>
          <w:highlight w:val="none"/>
        </w:rPr>
        <w:t>条款号：16             修改类型：修改</w:t>
      </w:r>
    </w:p>
    <w:p>
      <w:pPr>
        <w:spacing w:line="360" w:lineRule="auto"/>
        <w:ind w:firstLine="422" w:firstLineChars="200"/>
        <w:rPr>
          <w:rFonts w:ascii="宋体"/>
          <w:b/>
          <w:bCs/>
          <w:color w:val="auto"/>
          <w:szCs w:val="21"/>
          <w:highlight w:val="none"/>
        </w:rPr>
      </w:pPr>
      <w:r>
        <w:rPr>
          <w:rFonts w:hint="eastAsia"/>
          <w:b/>
          <w:color w:val="auto"/>
          <w:szCs w:val="21"/>
          <w:highlight w:val="none"/>
        </w:rPr>
        <w:t>原文：</w:t>
      </w:r>
      <w:r>
        <w:rPr>
          <w:rFonts w:ascii="宋体" w:hAnsi="宋体"/>
          <w:b/>
          <w:bCs/>
          <w:color w:val="auto"/>
          <w:szCs w:val="21"/>
          <w:highlight w:val="none"/>
        </w:rPr>
        <w:t>16</w:t>
      </w:r>
      <w:r>
        <w:rPr>
          <w:rFonts w:hint="eastAsia" w:ascii="宋体" w:hAnsi="宋体"/>
          <w:b/>
          <w:bCs/>
          <w:color w:val="auto"/>
          <w:szCs w:val="21"/>
          <w:highlight w:val="none"/>
        </w:rPr>
        <w:t>．投标保证金</w:t>
      </w:r>
    </w:p>
    <w:p>
      <w:pPr>
        <w:spacing w:line="360" w:lineRule="auto"/>
        <w:ind w:firstLine="420" w:firstLineChars="200"/>
        <w:rPr>
          <w:color w:val="auto"/>
          <w:szCs w:val="21"/>
          <w:highlight w:val="none"/>
        </w:rPr>
      </w:pPr>
      <w:r>
        <w:rPr>
          <w:rFonts w:hint="eastAsia"/>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color w:val="auto"/>
          <w:szCs w:val="21"/>
          <w:highlight w:val="none"/>
        </w:rPr>
      </w:pPr>
      <w:r>
        <w:rPr>
          <w:rFonts w:hint="eastAsia"/>
          <w:color w:val="auto"/>
          <w:szCs w:val="21"/>
          <w:highlight w:val="none"/>
        </w:rPr>
        <w:t>16.1.1 采用现金或者支票形式提交的，投标保证金须从投标人的银行基本账户转出。</w:t>
      </w:r>
    </w:p>
    <w:p>
      <w:pPr>
        <w:spacing w:line="360" w:lineRule="auto"/>
        <w:ind w:firstLine="420" w:firstLineChars="200"/>
        <w:rPr>
          <w:color w:val="auto"/>
          <w:szCs w:val="21"/>
          <w:highlight w:val="none"/>
        </w:rPr>
      </w:pPr>
      <w:r>
        <w:rPr>
          <w:rFonts w:hint="eastAsia"/>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color w:val="auto"/>
          <w:szCs w:val="21"/>
          <w:highlight w:val="none"/>
        </w:rPr>
      </w:pPr>
      <w:r>
        <w:rPr>
          <w:rFonts w:hint="eastAsia"/>
          <w:color w:val="auto"/>
          <w:szCs w:val="21"/>
          <w:highlight w:val="none"/>
        </w:rPr>
        <w:t>16.1.3 采用电子形式的保函、担保或保证保险提交投标保证金的，应在招标文件中明确电子递交途径。</w:t>
      </w:r>
    </w:p>
    <w:p>
      <w:pPr>
        <w:spacing w:line="360" w:lineRule="auto"/>
        <w:ind w:firstLine="420" w:firstLineChars="200"/>
        <w:rPr>
          <w:color w:val="auto"/>
          <w:szCs w:val="21"/>
          <w:highlight w:val="none"/>
        </w:rPr>
      </w:pPr>
      <w:r>
        <w:rPr>
          <w:rFonts w:hint="eastAsia"/>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color w:val="auto"/>
          <w:szCs w:val="21"/>
          <w:highlight w:val="none"/>
        </w:rPr>
      </w:pPr>
      <w:r>
        <w:rPr>
          <w:rFonts w:hint="eastAsia"/>
          <w:color w:val="auto"/>
          <w:szCs w:val="21"/>
          <w:highlight w:val="none"/>
        </w:rPr>
        <w:t>16.3投标保证金应依据法律法规的相关规定退还。</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如有下列情况之一的，招标人可以不予退还投标保证金（是否退还投标保证金由招标人在招标文件中规定）：</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.1因投标人原因造成投标文件未解密的；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.2投标人在投标有效期内撤销投标文件；</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.3中标人未能在规定期限内按要求提交履约担保；</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.4中标人未能在规定期限内签署合同协议。</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投标人如存在下列情况之一的，将被拒绝在一定时期内参与招标人后续工程投标（拒绝时限需在招标文件中明确）：</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.1投标人存在 16.4 条款所列情形且投标人提交的保函、担保或保证保险无法兑付的；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.2采用非电子形式提交投标保证金的投标人存在 16.4 条款所列情形，且未按招标人要求补交银行保函、专业工程担保公司担保或保证保险原件的；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条款所列情形，且未按招标人要求补交投标保证金的；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条款所列情形的。</w:t>
      </w:r>
    </w:p>
    <w:p>
      <w:pPr>
        <w:pBdr>
          <w:bottom w:val="single" w:color="auto" w:sz="6" w:space="1"/>
        </w:pBdr>
        <w:spacing w:line="360" w:lineRule="auto"/>
        <w:ind w:firstLine="525" w:firstLineChars="250"/>
        <w:rPr>
          <w:b/>
          <w:color w:val="auto"/>
          <w:szCs w:val="21"/>
          <w:highlight w:val="none"/>
        </w:rPr>
      </w:pPr>
      <w:r>
        <w:rPr>
          <w:rFonts w:hint="eastAsia"/>
          <w:color w:val="auto"/>
          <w:szCs w:val="21"/>
          <w:highlight w:val="none"/>
        </w:rPr>
        <w:t>注：16.5.3 款由招标人二选一，需在招标文件中明确。</w:t>
      </w:r>
    </w:p>
    <w:p>
      <w:pPr>
        <w:pBdr>
          <w:bottom w:val="single" w:color="auto" w:sz="6" w:space="1"/>
        </w:pBdr>
        <w:spacing w:line="360" w:lineRule="auto"/>
        <w:ind w:firstLine="527" w:firstLineChars="250"/>
        <w:rPr>
          <w:rFonts w:ascii="宋体" w:hAnsi="宋体"/>
          <w:color w:val="auto"/>
          <w:highlight w:val="none"/>
        </w:rPr>
      </w:pPr>
      <w:r>
        <w:rPr>
          <w:rFonts w:hint="eastAsia"/>
          <w:b/>
          <w:color w:val="auto"/>
          <w:szCs w:val="21"/>
          <w:highlight w:val="none"/>
        </w:rPr>
        <w:t>现文：</w:t>
      </w:r>
      <w:r>
        <w:rPr>
          <w:rFonts w:hint="eastAsia" w:ascii="宋体" w:hAnsi="宋体"/>
          <w:color w:val="auto"/>
          <w:highlight w:val="none"/>
        </w:rPr>
        <w:t>16．投标保证金</w:t>
      </w:r>
    </w:p>
    <w:p>
      <w:pPr>
        <w:pBdr>
          <w:bottom w:val="single" w:color="auto" w:sz="6" w:space="1"/>
        </w:pBdr>
        <w:spacing w:line="360" w:lineRule="auto"/>
        <w:ind w:firstLine="1160" w:firstLineChars="550"/>
        <w:rPr>
          <w:color w:val="auto"/>
          <w:szCs w:val="21"/>
          <w:highlight w:val="none"/>
        </w:rPr>
      </w:pPr>
      <w:r>
        <w:rPr>
          <w:rFonts w:hint="eastAsia" w:ascii="宋体" w:hAnsi="宋体"/>
          <w:b/>
          <w:bCs/>
          <w:color w:val="auto"/>
          <w:highlight w:val="none"/>
          <w:u w:val="single"/>
        </w:rPr>
        <w:t>本项目免收投标保证金。</w:t>
      </w:r>
    </w:p>
    <w:p>
      <w:pPr>
        <w:pStyle w:val="7"/>
        <w:rPr>
          <w:color w:val="auto"/>
          <w:highlight w:val="none"/>
        </w:rPr>
      </w:pP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lang w:eastAsia="zh-CN"/>
        </w:rPr>
        <w:t>广州公共资源交易中心网站最新指引</w:t>
      </w:r>
      <w:r>
        <w:rPr>
          <w:rFonts w:hint="eastAsia" w:ascii="宋体" w:hAnsi="宋体"/>
          <w:color w:val="auto"/>
          <w:szCs w:val="21"/>
          <w:highlight w:val="none"/>
        </w:rPr>
        <w:t xml:space="preserve"> 。</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18.1递交的电子投标文件（不含备用光盘）必须进行加密。按照交易平台关于全流程电子化项目的相关指南进行操作。详见：</w:t>
      </w:r>
      <w:r>
        <w:rPr>
          <w:rFonts w:hint="eastAsia"/>
          <w:color w:val="auto"/>
          <w:szCs w:val="21"/>
          <w:highlight w:val="none"/>
          <w:u w:val="single"/>
        </w:rPr>
        <w:t xml:space="preserve">      </w:t>
      </w:r>
      <w:r>
        <w:rPr>
          <w:rFonts w:hint="eastAsia"/>
          <w:color w:val="auto"/>
          <w:szCs w:val="21"/>
          <w:highlight w:val="none"/>
        </w:rPr>
        <w:t>。</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18.1递交的电子投标文件（不含备用光盘）必须进行加密。按照交易平台关于全流程电子化项目的相关指南进行操作。详见：</w:t>
      </w:r>
      <w:r>
        <w:rPr>
          <w:rFonts w:hint="eastAsia" w:ascii="宋体"/>
          <w:color w:val="auto"/>
          <w:szCs w:val="21"/>
          <w:highlight w:val="none"/>
          <w:u w:val="single"/>
          <w:lang w:eastAsia="zh-CN"/>
        </w:rPr>
        <w:t>广州公共资源交易中心网站最新指引</w:t>
      </w:r>
      <w:r>
        <w:rPr>
          <w:rFonts w:hint="eastAsia" w:ascii="宋体" w:hAnsi="宋体"/>
          <w:color w:val="auto"/>
          <w:szCs w:val="21"/>
          <w:highlight w:val="none"/>
          <w:u w:val="single"/>
        </w:rPr>
        <w:t xml:space="preserve"> </w:t>
      </w:r>
      <w:r>
        <w:rPr>
          <w:rFonts w:hint="eastAsia"/>
          <w:color w:val="auto"/>
          <w:szCs w:val="21"/>
          <w:highlight w:val="none"/>
        </w:rPr>
        <w:t>。</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条款号：18.2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18.2 未按要求加密的投标文件，</w:t>
      </w:r>
      <w:r>
        <w:rPr>
          <w:rFonts w:hint="eastAsia"/>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18.2 未按要求加密的投标文件，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19.1投标人通过</w:t>
      </w:r>
      <w:r>
        <w:rPr>
          <w:rFonts w:hint="eastAsia"/>
          <w:color w:val="auto"/>
          <w:szCs w:val="21"/>
          <w:highlight w:val="none"/>
          <w:u w:val="single"/>
        </w:rPr>
        <w:t xml:space="preserve">      </w:t>
      </w:r>
      <w:r>
        <w:rPr>
          <w:rFonts w:hint="eastAsia"/>
          <w:color w:val="auto"/>
          <w:szCs w:val="21"/>
          <w:highlight w:val="none"/>
        </w:rPr>
        <w:t>交易平台递交电子投标文件。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19.1投标人通过</w:t>
      </w:r>
      <w:r>
        <w:rPr>
          <w:rFonts w:hint="eastAsia"/>
          <w:color w:val="auto"/>
          <w:szCs w:val="21"/>
          <w:highlight w:val="none"/>
          <w:u w:val="single"/>
        </w:rPr>
        <w:t>广州公共资源交易中心</w:t>
      </w:r>
      <w:r>
        <w:rPr>
          <w:rFonts w:hint="eastAsia"/>
          <w:color w:val="auto"/>
          <w:szCs w:val="21"/>
          <w:highlight w:val="none"/>
        </w:rPr>
        <w:t>交易平台递交电子投标文件。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条款号：19.2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19.2投标人完成电子投标文件上传后，</w:t>
      </w:r>
      <w:r>
        <w:rPr>
          <w:rFonts w:hint="eastAsia"/>
          <w:color w:val="auto"/>
          <w:szCs w:val="21"/>
          <w:highlight w:val="none"/>
          <w:u w:val="single"/>
        </w:rPr>
        <w:t xml:space="preserve">    </w:t>
      </w:r>
      <w:r>
        <w:rPr>
          <w:rFonts w:hint="eastAsia"/>
          <w:color w:val="auto"/>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19.2投标人完成电子投标文件上传后，</w:t>
      </w:r>
      <w:r>
        <w:rPr>
          <w:rFonts w:hint="eastAsia"/>
          <w:color w:val="auto"/>
          <w:szCs w:val="21"/>
          <w:highlight w:val="none"/>
          <w:u w:val="single"/>
        </w:rPr>
        <w:t>广州公共资源交易中心</w:t>
      </w:r>
      <w:r>
        <w:rPr>
          <w:rFonts w:hint="eastAsia"/>
          <w:color w:val="auto"/>
          <w:szCs w:val="21"/>
          <w:highlight w:val="none"/>
        </w:rPr>
        <w:t>交易平台即时向投标人发出递交回执通知。递交时间以递交回执通知载明的传输完成时间为准。</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条款号：19.3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19.3逾期送达的电子投标文件，</w:t>
      </w:r>
      <w:r>
        <w:rPr>
          <w:rFonts w:hint="eastAsia"/>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19.3逾期送达的电子投标文件，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19.5             </w:t>
      </w:r>
      <w:r>
        <w:rPr>
          <w:rFonts w:hint="eastAsia"/>
          <w:b/>
          <w:color w:val="auto"/>
          <w:szCs w:val="21"/>
          <w:highlight w:val="none"/>
        </w:rPr>
        <w:t>修改类型：删除</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原文：</w:t>
      </w:r>
      <w:r>
        <w:rPr>
          <w:color w:val="auto"/>
          <w:szCs w:val="21"/>
          <w:highlight w:val="none"/>
        </w:rPr>
        <w:t>19.5</w:t>
      </w:r>
      <w:r>
        <w:rPr>
          <w:rFonts w:hint="eastAsia"/>
          <w:color w:val="auto"/>
          <w:szCs w:val="21"/>
          <w:highlight w:val="none"/>
        </w:rPr>
        <w:t>如技术标和经济标先后分别开启，</w:t>
      </w:r>
      <w:r>
        <w:rPr>
          <w:color w:val="auto"/>
          <w:szCs w:val="21"/>
          <w:highlight w:val="none"/>
          <w:u w:val="single"/>
        </w:rPr>
        <w:t xml:space="preserve">        </w:t>
      </w:r>
      <w:r>
        <w:rPr>
          <w:rFonts w:hint="eastAsia"/>
          <w:color w:val="auto"/>
          <w:szCs w:val="21"/>
          <w:highlight w:val="none"/>
        </w:rPr>
        <w:t>交易平台将按招标文件规定的时间分别开启技术标和经济标。</w:t>
      </w:r>
    </w:p>
    <w:p>
      <w:pPr>
        <w:pBdr>
          <w:top w:val="none" w:color="auto" w:sz="0" w:space="1"/>
        </w:pBdr>
        <w:spacing w:line="480" w:lineRule="auto"/>
        <w:ind w:firstLine="472" w:firstLineChars="224"/>
        <w:rPr>
          <w:b/>
          <w:color w:val="auto"/>
          <w:szCs w:val="21"/>
          <w:highlight w:val="none"/>
        </w:rPr>
      </w:pPr>
      <w:r>
        <w:rPr>
          <w:rFonts w:hint="eastAsia"/>
          <w:b/>
          <w:color w:val="auto"/>
          <w:szCs w:val="21"/>
          <w:highlight w:val="none"/>
        </w:rPr>
        <w:t>条款号：21.1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21.1 本须知前附表第17项规定的投标截止时间后送达的电子投标文件，</w:t>
      </w:r>
      <w:r>
        <w:rPr>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21.1 本须知前附表第17项规定的投标截止时间后送达的电子投标文件，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27.1招标人将在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27.1招标人将在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条款号：27.4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27.4在产生中标候选人后，招标人将中标候选人的投标文件商务部分文件的所有内容（包括人员、业绩、奖项等资料）在</w:t>
      </w:r>
      <w:r>
        <w:rPr>
          <w:color w:val="auto"/>
          <w:szCs w:val="21"/>
          <w:highlight w:val="none"/>
          <w:u w:val="single"/>
        </w:rPr>
        <w:t xml:space="preserve">     </w:t>
      </w:r>
      <w:r>
        <w:rPr>
          <w:rFonts w:hint="eastAsia"/>
          <w:color w:val="auto"/>
          <w:szCs w:val="21"/>
          <w:highlight w:val="none"/>
        </w:rPr>
        <w:t>交易平台和广东省招标投标监管网公开。</w:t>
      </w:r>
      <w:r>
        <w:rPr>
          <w:rFonts w:hint="eastAsia"/>
          <w:color w:val="auto"/>
          <w:szCs w:val="21"/>
          <w:highlight w:val="none"/>
        </w:rPr>
        <w:cr/>
      </w:r>
      <w:r>
        <w:rPr>
          <w:rFonts w:hint="eastAsia"/>
          <w:color w:val="auto"/>
          <w:szCs w:val="21"/>
          <w:highlight w:val="none"/>
        </w:rPr>
        <w:t xml:space="preserve">    </w:t>
      </w:r>
      <w:r>
        <w:rPr>
          <w:rFonts w:hint="eastAsia"/>
          <w:b/>
          <w:color w:val="auto"/>
          <w:szCs w:val="21"/>
          <w:highlight w:val="none"/>
        </w:rPr>
        <w:t>现文：</w:t>
      </w:r>
      <w:r>
        <w:rPr>
          <w:rFonts w:hint="eastAsia"/>
          <w:color w:val="auto"/>
          <w:szCs w:val="21"/>
          <w:highlight w:val="none"/>
        </w:rPr>
        <w:t>27.4在产生中标候选人后，招标人将中标候选人的投标文件商务部分文件的内容（包括人员、业绩、奖项等资料）在</w:t>
      </w:r>
      <w:r>
        <w:rPr>
          <w:rFonts w:hint="eastAsia"/>
          <w:color w:val="auto"/>
          <w:szCs w:val="21"/>
          <w:highlight w:val="none"/>
          <w:u w:val="single"/>
        </w:rPr>
        <w:t>广州公共资源交易中心</w:t>
      </w:r>
      <w:r>
        <w:rPr>
          <w:rFonts w:hint="eastAsia"/>
          <w:color w:val="auto"/>
          <w:szCs w:val="21"/>
          <w:highlight w:val="none"/>
        </w:rPr>
        <w:t>交易平台和广东省招标投标监管网公开。</w:t>
      </w:r>
    </w:p>
    <w:p>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w:t>
      </w:r>
      <w:r>
        <w:rPr>
          <w:rFonts w:hint="eastAsia"/>
          <w:b/>
          <w:color w:val="auto"/>
          <w:szCs w:val="21"/>
          <w:highlight w:val="none"/>
        </w:rPr>
        <w:t>8.2        修改类型：修改</w:t>
      </w:r>
    </w:p>
    <w:p>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ascii="宋体" w:hAnsi="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color w:val="auto"/>
          <w:szCs w:val="21"/>
          <w:highlight w:val="none"/>
        </w:rPr>
        <w:t>。</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28.2中标通知书发出之日起30日后，中标人未按上款的规定与招标人订立合同，招标人</w:t>
      </w:r>
      <w:r>
        <w:rPr>
          <w:rFonts w:ascii="宋体" w:hAnsi="宋体"/>
          <w:color w:val="auto"/>
          <w:highlight w:val="none"/>
        </w:rPr>
        <w:t>有权</w:t>
      </w:r>
      <w:r>
        <w:rPr>
          <w:rFonts w:hint="eastAsia" w:ascii="宋体" w:hAnsi="宋体"/>
          <w:color w:val="auto"/>
          <w:highlight w:val="none"/>
        </w:rPr>
        <w:t>解除中标通知书，原中标人应依法承担相应法律责任。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p>
    <w:p>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29.1</w:t>
      </w:r>
      <w:r>
        <w:rPr>
          <w:rFonts w:hint="eastAsia"/>
          <w:b/>
          <w:color w:val="auto"/>
          <w:szCs w:val="21"/>
          <w:highlight w:val="none"/>
        </w:rPr>
        <w:t xml:space="preserve">        修改类型：修改</w:t>
      </w:r>
    </w:p>
    <w:p>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29.1在收到中标通知书后的</w:t>
      </w:r>
      <w:r>
        <w:rPr>
          <w:b/>
          <w:color w:val="auto"/>
          <w:szCs w:val="21"/>
          <w:highlight w:val="none"/>
        </w:rPr>
        <w:t>15</w:t>
      </w:r>
      <w:r>
        <w:rPr>
          <w:rFonts w:hint="eastAsia"/>
          <w:b/>
          <w:color w:val="auto"/>
          <w:szCs w:val="21"/>
          <w:highlight w:val="none"/>
        </w:rPr>
        <w:t>日</w:t>
      </w:r>
      <w:r>
        <w:rPr>
          <w:rFonts w:hint="eastAsia"/>
          <w:color w:val="auto"/>
          <w:szCs w:val="21"/>
          <w:highlight w:val="none"/>
        </w:rPr>
        <w:t>内，中标人应按本须知前附表第 20 项的规定向招标人提交履约担保。</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29.1</w:t>
      </w:r>
      <w:r>
        <w:rPr>
          <w:rFonts w:hint="eastAsia"/>
          <w:color w:val="auto"/>
          <w:szCs w:val="21"/>
          <w:highlight w:val="none"/>
          <w:u w:val="single"/>
        </w:rPr>
        <w:t>在签订合同后</w:t>
      </w:r>
      <w:r>
        <w:rPr>
          <w:color w:val="auto"/>
          <w:szCs w:val="21"/>
          <w:highlight w:val="none"/>
          <w:u w:val="single"/>
        </w:rPr>
        <w:t>按合同约定的时间</w:t>
      </w:r>
      <w:r>
        <w:rPr>
          <w:rFonts w:hint="eastAsia"/>
          <w:color w:val="auto"/>
          <w:szCs w:val="21"/>
          <w:highlight w:val="none"/>
        </w:rPr>
        <w:t>，中标人应按本须知前附表第</w:t>
      </w:r>
      <w:r>
        <w:rPr>
          <w:color w:val="auto"/>
          <w:szCs w:val="21"/>
          <w:highlight w:val="none"/>
        </w:rPr>
        <w:t>2</w:t>
      </w:r>
      <w:r>
        <w:rPr>
          <w:rFonts w:hint="eastAsia"/>
          <w:color w:val="auto"/>
          <w:szCs w:val="21"/>
          <w:highlight w:val="none"/>
        </w:rPr>
        <w:t>0项的规定向招标人提交履约担保</w:t>
      </w:r>
      <w:r>
        <w:rPr>
          <w:rFonts w:hint="eastAsia"/>
          <w:color w:val="auto"/>
          <w:szCs w:val="21"/>
          <w:highlight w:val="none"/>
          <w:u w:val="single"/>
        </w:rPr>
        <w:t>（具体形式详见合同）</w:t>
      </w:r>
      <w:r>
        <w:rPr>
          <w:rFonts w:hint="eastAsia"/>
          <w:color w:val="auto"/>
          <w:szCs w:val="21"/>
          <w:highlight w:val="none"/>
        </w:rPr>
        <w:t>。</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w:t>
      </w:r>
      <w:r>
        <w:rPr>
          <w:rFonts w:hint="eastAsia"/>
          <w:b/>
          <w:color w:val="auto"/>
          <w:szCs w:val="21"/>
          <w:highlight w:val="none"/>
        </w:rPr>
        <w:t>2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原文：29.2</w:t>
      </w:r>
      <w:r>
        <w:rPr>
          <w:rFonts w:hint="eastAsia"/>
          <w:color w:val="auto"/>
          <w:szCs w:val="21"/>
          <w:highlight w:val="none"/>
        </w:rPr>
        <w:t>中标通知书发出之日起</w:t>
      </w:r>
      <w:r>
        <w:rPr>
          <w:color w:val="auto"/>
          <w:szCs w:val="21"/>
          <w:highlight w:val="none"/>
        </w:rPr>
        <w:t>15</w:t>
      </w:r>
      <w:r>
        <w:rPr>
          <w:rFonts w:hint="eastAsia"/>
          <w:color w:val="auto"/>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现文：29.2</w:t>
      </w:r>
      <w:r>
        <w:rPr>
          <w:rFonts w:hint="eastAsia"/>
          <w:color w:val="auto"/>
          <w:szCs w:val="21"/>
          <w:highlight w:val="none"/>
          <w:u w:val="single"/>
        </w:rPr>
        <w:t>在签订合同后</w:t>
      </w:r>
      <w:r>
        <w:rPr>
          <w:color w:val="auto"/>
          <w:szCs w:val="21"/>
          <w:highlight w:val="none"/>
          <w:u w:val="single"/>
        </w:rPr>
        <w:t>按合同约定时间</w:t>
      </w:r>
      <w:r>
        <w:rPr>
          <w:rFonts w:hint="eastAsia"/>
          <w:color w:val="auto"/>
          <w:szCs w:val="21"/>
          <w:highlight w:val="none"/>
        </w:rPr>
        <w:t>，中标人未按上款的规定提交履约担保，招标人将</w:t>
      </w:r>
      <w:r>
        <w:rPr>
          <w:rFonts w:hint="eastAsia"/>
          <w:color w:val="auto"/>
          <w:szCs w:val="21"/>
          <w:highlight w:val="none"/>
          <w:u w:val="single"/>
        </w:rPr>
        <w:t>有权解除</w:t>
      </w:r>
      <w:r>
        <w:rPr>
          <w:rFonts w:hint="eastAsia"/>
          <w:color w:val="auto"/>
          <w:szCs w:val="21"/>
          <w:highlight w:val="none"/>
        </w:rPr>
        <w:t>中标通知书，</w:t>
      </w:r>
      <w:r>
        <w:rPr>
          <w:rFonts w:hint="eastAsia" w:ascii="宋体" w:hAnsi="宋体"/>
          <w:color w:val="auto"/>
          <w:highlight w:val="none"/>
        </w:rPr>
        <w:t>原中标人</w:t>
      </w:r>
      <w:r>
        <w:rPr>
          <w:rFonts w:hint="eastAsia" w:ascii="宋体" w:hAnsi="宋体"/>
          <w:color w:val="auto"/>
          <w:highlight w:val="none"/>
          <w:u w:val="single"/>
        </w:rPr>
        <w:t>应</w:t>
      </w:r>
      <w:r>
        <w:rPr>
          <w:rFonts w:hint="eastAsia" w:ascii="宋体" w:hAnsi="宋体"/>
          <w:color w:val="auto"/>
          <w:highlight w:val="none"/>
        </w:rPr>
        <w:t>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r>
        <w:rPr>
          <w:rFonts w:hint="eastAsia"/>
          <w:color w:val="auto"/>
          <w:szCs w:val="21"/>
          <w:highlight w:val="none"/>
          <w:u w:val="single"/>
        </w:rPr>
        <w:t>（具体详见合同约定）</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条款号：30.1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原文：30.1</w:t>
      </w:r>
      <w:r>
        <w:rPr>
          <w:rFonts w:hint="eastAsia"/>
          <w:color w:val="auto"/>
          <w:szCs w:val="21"/>
          <w:highlight w:val="none"/>
        </w:rPr>
        <w:t>在合同双方全权代表在合同协议书上签字，并分别加盖双方单位的公章后，合同正式生效。</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现文：30.1</w:t>
      </w:r>
      <w:r>
        <w:rPr>
          <w:rFonts w:hint="eastAsia"/>
          <w:color w:val="auto"/>
          <w:szCs w:val="21"/>
          <w:highlight w:val="none"/>
          <w:u w:val="single"/>
        </w:rPr>
        <w:t>在合同自发包人、承包人双方法定代表人或委托代理人签字并加盖公章之日起生效。</w:t>
      </w:r>
    </w:p>
    <w:p>
      <w:pPr>
        <w:pBdr>
          <w:top w:val="single" w:color="auto" w:sz="4" w:space="1"/>
        </w:pBdr>
        <w:spacing w:line="360" w:lineRule="auto"/>
        <w:ind w:firstLine="565" w:firstLineChars="268"/>
        <w:rPr>
          <w:b/>
          <w:color w:val="auto"/>
          <w:szCs w:val="21"/>
          <w:highlight w:val="none"/>
        </w:rPr>
      </w:pPr>
      <w:r>
        <w:rPr>
          <w:rFonts w:hint="eastAsia"/>
          <w:b/>
          <w:color w:val="auto"/>
          <w:szCs w:val="21"/>
          <w:highlight w:val="none"/>
        </w:rPr>
        <w:t>条款号：3</w:t>
      </w:r>
      <w:r>
        <w:rPr>
          <w:b/>
          <w:color w:val="auto"/>
          <w:szCs w:val="21"/>
          <w:highlight w:val="none"/>
        </w:rPr>
        <w:t xml:space="preserve">3            </w:t>
      </w:r>
      <w:r>
        <w:rPr>
          <w:rFonts w:hint="eastAsia"/>
          <w:b/>
          <w:color w:val="auto"/>
          <w:szCs w:val="21"/>
          <w:highlight w:val="none"/>
        </w:rPr>
        <w:t>修改类型：增加</w:t>
      </w:r>
    </w:p>
    <w:p>
      <w:pPr>
        <w:ind w:firstLine="565" w:firstLineChars="268"/>
        <w:rPr>
          <w:b/>
          <w:color w:val="auto"/>
          <w:szCs w:val="21"/>
          <w:highlight w:val="none"/>
        </w:rPr>
      </w:pPr>
      <w:r>
        <w:rPr>
          <w:rFonts w:hint="eastAsia"/>
          <w:b/>
          <w:color w:val="auto"/>
          <w:szCs w:val="21"/>
          <w:highlight w:val="none"/>
        </w:rPr>
        <w:t>现文：</w:t>
      </w:r>
    </w:p>
    <w:p>
      <w:pPr>
        <w:pBdr>
          <w:bottom w:val="single" w:color="auto" w:sz="6" w:space="1"/>
        </w:pBdr>
        <w:spacing w:line="360" w:lineRule="auto"/>
        <w:ind w:firstLine="525" w:firstLineChars="250"/>
        <w:rPr>
          <w:color w:val="auto"/>
          <w:szCs w:val="21"/>
          <w:highlight w:val="none"/>
        </w:rPr>
      </w:pPr>
      <w:r>
        <w:rPr>
          <w:rFonts w:hint="eastAsia" w:ascii="宋体" w:hAnsi="宋体"/>
          <w:color w:val="auto"/>
          <w:szCs w:val="21"/>
          <w:highlight w:val="none"/>
          <w:u w:val="single"/>
        </w:rPr>
        <w:t>（一）投标人需按下表格式，在投标文件“</w:t>
      </w:r>
      <w:r>
        <w:rPr>
          <w:rFonts w:ascii="宋体" w:hAnsi="宋体"/>
          <w:color w:val="auto"/>
          <w:szCs w:val="21"/>
          <w:highlight w:val="none"/>
          <w:u w:val="single"/>
        </w:rPr>
        <w:t>投标人认为应提供的</w:t>
      </w:r>
      <w:r>
        <w:rPr>
          <w:rFonts w:hint="eastAsia" w:ascii="宋体" w:hAnsi="宋体"/>
          <w:color w:val="auto"/>
          <w:szCs w:val="21"/>
          <w:highlight w:val="none"/>
          <w:u w:val="single"/>
        </w:rPr>
        <w:t>其他</w:t>
      </w:r>
      <w:r>
        <w:rPr>
          <w:rFonts w:ascii="宋体" w:hAnsi="宋体"/>
          <w:color w:val="auto"/>
          <w:szCs w:val="21"/>
          <w:highlight w:val="none"/>
          <w:u w:val="single"/>
        </w:rPr>
        <w:t>资料</w:t>
      </w:r>
      <w:r>
        <w:rPr>
          <w:rFonts w:hint="eastAsia" w:ascii="宋体" w:hAnsi="宋体"/>
          <w:color w:val="auto"/>
          <w:szCs w:val="21"/>
          <w:highlight w:val="none"/>
          <w:u w:val="single"/>
        </w:rPr>
        <w:t>”处，提交投标报价总表。安装工程含配电箱的，需按下表格式，在投标文件“投标人认为应提供的其他资料”处，提交配电箱价格分析表。</w:t>
      </w:r>
    </w:p>
    <w:p>
      <w:pPr>
        <w:pBdr>
          <w:bottom w:val="single" w:color="auto" w:sz="6" w:space="1"/>
        </w:pBdr>
        <w:spacing w:line="360" w:lineRule="auto"/>
        <w:ind w:firstLine="904" w:firstLineChars="250"/>
        <w:jc w:val="center"/>
        <w:rPr>
          <w:b/>
          <w:color w:val="auto"/>
          <w:sz w:val="20"/>
          <w:highlight w:val="none"/>
        </w:rPr>
      </w:pPr>
      <w:r>
        <w:rPr>
          <w:rFonts w:hint="eastAsia" w:ascii="黑体" w:hAnsi="黑体" w:eastAsia="黑体"/>
          <w:b/>
          <w:color w:val="auto"/>
          <w:sz w:val="36"/>
          <w:szCs w:val="36"/>
          <w:highlight w:val="none"/>
        </w:rPr>
        <w:t>投标报价总表</w:t>
      </w:r>
    </w:p>
    <w:p>
      <w:pPr>
        <w:pBdr>
          <w:bottom w:val="single" w:color="auto" w:sz="6" w:space="1"/>
        </w:pBdr>
        <w:spacing w:line="360" w:lineRule="auto"/>
        <w:ind w:firstLine="502" w:firstLineChars="250"/>
        <w:jc w:val="center"/>
        <w:rPr>
          <w:color w:val="auto"/>
          <w:highlight w:val="none"/>
        </w:rPr>
      </w:pPr>
      <w:r>
        <w:rPr>
          <w:rFonts w:hint="eastAsia"/>
          <w:b/>
          <w:color w:val="auto"/>
          <w:sz w:val="20"/>
          <w:highlight w:val="none"/>
        </w:rPr>
        <w:t>工程名称：</w:t>
      </w:r>
    </w:p>
    <w:tbl>
      <w:tblPr>
        <w:tblStyle w:val="24"/>
        <w:tblW w:w="9013" w:type="dxa"/>
        <w:jc w:val="center"/>
        <w:tblLayout w:type="fixed"/>
        <w:tblCellMar>
          <w:top w:w="0" w:type="dxa"/>
          <w:left w:w="0" w:type="dxa"/>
          <w:bottom w:w="0" w:type="dxa"/>
          <w:right w:w="0" w:type="dxa"/>
        </w:tblCellMar>
      </w:tblPr>
      <w:tblGrid>
        <w:gridCol w:w="659"/>
        <w:gridCol w:w="3568"/>
        <w:gridCol w:w="2355"/>
        <w:gridCol w:w="2431"/>
      </w:tblGrid>
      <w:tr>
        <w:tblPrEx>
          <w:tblCellMar>
            <w:top w:w="0" w:type="dxa"/>
            <w:left w:w="0" w:type="dxa"/>
            <w:bottom w:w="0" w:type="dxa"/>
            <w:right w:w="0" w:type="dxa"/>
          </w:tblCellMar>
        </w:tblPrEx>
        <w:trPr>
          <w:trHeight w:val="592"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项</w:t>
            </w:r>
            <w:r>
              <w:rPr>
                <w:rFonts w:hint="default" w:ascii="宋体" w:hAnsi="宋体" w:cs="宋体"/>
                <w:color w:val="auto"/>
                <w:sz w:val="20"/>
                <w:szCs w:val="20"/>
                <w:highlight w:val="none"/>
              </w:rPr>
              <w:t>目名称</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rPr>
              <w:t>金额（元）</w:t>
            </w: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备注</w:t>
            </w: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一</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分部分项工程量清单计价汇总合计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tabs>
                <w:tab w:val="left" w:pos="3629"/>
              </w:tabs>
              <w:spacing w:before="0" w:beforeAutospacing="0" w:after="0" w:afterAutospacing="0"/>
              <w:ind w:left="-178" w:leftChars="-85" w:right="1077" w:rightChars="513" w:firstLine="178" w:firstLineChars="89"/>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二</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措施项目清单计价汇总合计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三</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其它项目清单计价汇总合计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四</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税金计价汇总合计</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五</w:t>
            </w: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投标总报价(一+二+三+四)</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其中：1、绿色施工安全防护措施费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2、暂列金额</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固定金额</w:t>
            </w: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3、分部分项人工费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r>
      <w:tr>
        <w:tblPrEx>
          <w:tblCellMar>
            <w:top w:w="0" w:type="dxa"/>
            <w:left w:w="0" w:type="dxa"/>
            <w:bottom w:w="0" w:type="dxa"/>
            <w:right w:w="0" w:type="dxa"/>
          </w:tblCellMar>
        </w:tblPrEx>
        <w:trPr>
          <w:trHeight w:val="567" w:hRule="exact"/>
          <w:jc w:val="center"/>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rPr>
            </w:pPr>
          </w:p>
        </w:tc>
        <w:tc>
          <w:tcPr>
            <w:tcW w:w="3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4、总人工费</w:t>
            </w:r>
          </w:p>
        </w:tc>
        <w:tc>
          <w:tcPr>
            <w:tcW w:w="2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tc>
        <w:tc>
          <w:tcPr>
            <w:tcW w:w="2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ascii="宋体" w:hAnsi="宋体" w:cs="宋体"/>
                <w:color w:val="auto"/>
                <w:kern w:val="0"/>
                <w:sz w:val="20"/>
                <w:szCs w:val="20"/>
                <w:highlight w:val="none"/>
              </w:rPr>
              <w:t>含分部分项、措施项目</w:t>
            </w:r>
          </w:p>
        </w:tc>
      </w:tr>
    </w:tbl>
    <w:p>
      <w:pPr>
        <w:widowControl/>
        <w:topLinePunct/>
        <w:adjustRightInd w:val="0"/>
        <w:snapToGrid w:val="0"/>
        <w:spacing w:line="360" w:lineRule="auto"/>
        <w:ind w:firstLine="296" w:firstLineChars="80"/>
        <w:jc w:val="center"/>
        <w:rPr>
          <w:rFonts w:ascii="黑体" w:hAnsi="黑体" w:eastAsia="黑体"/>
          <w:b/>
          <w:snapToGrid w:val="0"/>
          <w:color w:val="auto"/>
          <w:spacing w:val="4"/>
          <w:sz w:val="36"/>
          <w:szCs w:val="36"/>
          <w:highlight w:val="none"/>
        </w:rPr>
      </w:pPr>
    </w:p>
    <w:p>
      <w:pPr>
        <w:widowControl/>
        <w:topLinePunct/>
        <w:adjustRightInd w:val="0"/>
        <w:snapToGrid w:val="0"/>
        <w:spacing w:line="360" w:lineRule="auto"/>
        <w:ind w:firstLine="296" w:firstLineChars="80"/>
        <w:jc w:val="center"/>
        <w:rPr>
          <w:rFonts w:ascii="黑体" w:hAnsi="黑体" w:eastAsia="黑体"/>
          <w:b/>
          <w:snapToGrid w:val="0"/>
          <w:color w:val="auto"/>
          <w:spacing w:val="4"/>
          <w:sz w:val="36"/>
          <w:szCs w:val="36"/>
          <w:highlight w:val="none"/>
        </w:rPr>
      </w:pPr>
      <w:r>
        <w:rPr>
          <w:rFonts w:hint="eastAsia" w:ascii="黑体" w:hAnsi="黑体" w:eastAsia="黑体"/>
          <w:b/>
          <w:snapToGrid w:val="0"/>
          <w:color w:val="auto"/>
          <w:spacing w:val="4"/>
          <w:sz w:val="36"/>
          <w:szCs w:val="36"/>
          <w:highlight w:val="none"/>
        </w:rPr>
        <w:t>配电箱价格分析表</w:t>
      </w:r>
    </w:p>
    <w:p>
      <w:pPr>
        <w:widowControl/>
        <w:topLinePunct/>
        <w:adjustRightInd w:val="0"/>
        <w:snapToGrid w:val="0"/>
        <w:spacing w:line="360" w:lineRule="auto"/>
        <w:ind w:firstLine="167" w:firstLineChars="80"/>
        <w:jc w:val="left"/>
        <w:rPr>
          <w:rFonts w:eastAsia="Times New Roman"/>
          <w:b/>
          <w:snapToGrid w:val="0"/>
          <w:color w:val="auto"/>
          <w:spacing w:val="4"/>
          <w:sz w:val="20"/>
          <w:szCs w:val="24"/>
          <w:highlight w:val="none"/>
        </w:rPr>
      </w:pPr>
      <w:r>
        <w:rPr>
          <w:rFonts w:hint="eastAsia" w:ascii="宋体" w:hAnsi="宋体" w:cs="宋体"/>
          <w:b/>
          <w:snapToGrid w:val="0"/>
          <w:color w:val="auto"/>
          <w:spacing w:val="4"/>
          <w:sz w:val="20"/>
          <w:szCs w:val="24"/>
          <w:highlight w:val="none"/>
        </w:rPr>
        <w:t>工程名称：</w:t>
      </w:r>
    </w:p>
    <w:tbl>
      <w:tblPr>
        <w:tblStyle w:val="24"/>
        <w:tblW w:w="8500" w:type="dxa"/>
        <w:jc w:val="center"/>
        <w:tblLayout w:type="fixed"/>
        <w:tblCellMar>
          <w:top w:w="0" w:type="dxa"/>
          <w:left w:w="108" w:type="dxa"/>
          <w:bottom w:w="0" w:type="dxa"/>
          <w:right w:w="108" w:type="dxa"/>
        </w:tblCellMar>
      </w:tblPr>
      <w:tblGrid>
        <w:gridCol w:w="554"/>
        <w:gridCol w:w="1326"/>
        <w:gridCol w:w="1479"/>
        <w:gridCol w:w="820"/>
        <w:gridCol w:w="940"/>
        <w:gridCol w:w="992"/>
        <w:gridCol w:w="1197"/>
        <w:gridCol w:w="1192"/>
      </w:tblGrid>
      <w:tr>
        <w:tblPrEx>
          <w:tblCellMar>
            <w:top w:w="0" w:type="dxa"/>
            <w:left w:w="108" w:type="dxa"/>
            <w:bottom w:w="0" w:type="dxa"/>
            <w:right w:w="108" w:type="dxa"/>
          </w:tblCellMar>
        </w:tblPrEx>
        <w:trPr>
          <w:trHeight w:val="567" w:hRule="exact"/>
          <w:jc w:val="center"/>
        </w:trPr>
        <w:tc>
          <w:tcPr>
            <w:tcW w:w="1880"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配电箱编号</w:t>
            </w:r>
          </w:p>
        </w:tc>
        <w:tc>
          <w:tcPr>
            <w:tcW w:w="14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760"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设计图号</w:t>
            </w:r>
          </w:p>
        </w:tc>
        <w:tc>
          <w:tcPr>
            <w:tcW w:w="338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部件名称</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型号规格</w:t>
            </w:r>
          </w:p>
        </w:tc>
        <w:tc>
          <w:tcPr>
            <w:tcW w:w="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单位</w:t>
            </w:r>
          </w:p>
        </w:tc>
        <w:tc>
          <w:tcPr>
            <w:tcW w:w="940"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数量</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单价</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合价</w:t>
            </w:r>
          </w:p>
        </w:tc>
        <w:tc>
          <w:tcPr>
            <w:tcW w:w="11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1</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箱体</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（长</w:t>
            </w:r>
            <w:r>
              <w:rPr>
                <w:rFonts w:hint="default" w:ascii="Arial Narrow" w:hAnsi="Arial Narrow" w:cs="宋体"/>
                <w:color w:val="auto"/>
                <w:kern w:val="0"/>
                <w:sz w:val="20"/>
                <w:szCs w:val="20"/>
                <w:highlight w:val="none"/>
              </w:rPr>
              <w:t>×</w:t>
            </w:r>
            <w:r>
              <w:rPr>
                <w:rFonts w:hint="eastAsia" w:ascii="宋体" w:hAnsi="宋体" w:cs="宋体"/>
                <w:color w:val="auto"/>
                <w:kern w:val="0"/>
                <w:sz w:val="20"/>
                <w:szCs w:val="20"/>
                <w:highlight w:val="none"/>
              </w:rPr>
              <w:t>宽</w:t>
            </w:r>
            <w:r>
              <w:rPr>
                <w:rFonts w:hint="default" w:ascii="Arial Narrow" w:hAnsi="Arial Narrow" w:cs="宋体"/>
                <w:color w:val="auto"/>
                <w:kern w:val="0"/>
                <w:sz w:val="20"/>
                <w:szCs w:val="20"/>
                <w:highlight w:val="none"/>
              </w:rPr>
              <w:t>×</w:t>
            </w:r>
            <w:r>
              <w:rPr>
                <w:rFonts w:hint="eastAsia" w:ascii="宋体" w:hAnsi="宋体" w:cs="宋体"/>
                <w:color w:val="auto"/>
                <w:kern w:val="0"/>
                <w:sz w:val="20"/>
                <w:szCs w:val="20"/>
                <w:highlight w:val="none"/>
              </w:rPr>
              <w:t>高）</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2</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主元器件</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（按分类）</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断路器1</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断路器2</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32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1479"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nil"/>
              <w:left w:val="nil"/>
              <w:bottom w:val="nil"/>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0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出线回路数</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single" w:color="auto" w:sz="4" w:space="0"/>
              <w:right w:val="nil"/>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本项不参与计价</w:t>
            </w:r>
          </w:p>
        </w:tc>
      </w:tr>
      <w:tr>
        <w:tblPrEx>
          <w:tblCellMar>
            <w:top w:w="0" w:type="dxa"/>
            <w:left w:w="108" w:type="dxa"/>
            <w:bottom w:w="0" w:type="dxa"/>
            <w:right w:w="108" w:type="dxa"/>
          </w:tblCellMar>
        </w:tblPrEx>
        <w:trPr>
          <w:trHeight w:val="567" w:hRule="exact"/>
          <w:jc w:val="center"/>
        </w:trPr>
        <w:tc>
          <w:tcPr>
            <w:tcW w:w="55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3</w:t>
            </w:r>
          </w:p>
        </w:tc>
        <w:tc>
          <w:tcPr>
            <w:tcW w:w="280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综合费</w:t>
            </w:r>
          </w:p>
        </w:tc>
        <w:tc>
          <w:tcPr>
            <w:tcW w:w="8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9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c>
          <w:tcPr>
            <w:tcW w:w="1197" w:type="dxa"/>
            <w:tcBorders>
              <w:top w:val="nil"/>
              <w:left w:val="nil"/>
              <w:bottom w:val="nil"/>
              <w:right w:val="nil"/>
            </w:tcBorders>
            <w:vAlign w:val="center"/>
          </w:tcPr>
          <w:p>
            <w:pPr>
              <w:keepNext w:val="0"/>
              <w:keepLines w:val="0"/>
              <w:widowControl/>
              <w:suppressLineNumbers w:val="0"/>
              <w:spacing w:before="0" w:beforeAutospacing="0" w:after="0" w:afterAutospacing="0" w:line="240" w:lineRule="atLeast"/>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（1+2）×综合费率</w:t>
            </w:r>
          </w:p>
        </w:tc>
        <w:tc>
          <w:tcPr>
            <w:tcW w:w="119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r>
        <w:tblPrEx>
          <w:tblCellMar>
            <w:top w:w="0" w:type="dxa"/>
            <w:left w:w="108" w:type="dxa"/>
            <w:bottom w:w="0" w:type="dxa"/>
            <w:right w:w="108" w:type="dxa"/>
          </w:tblCellMar>
        </w:tblPrEx>
        <w:trPr>
          <w:trHeight w:val="567" w:hRule="exact"/>
          <w:jc w:val="center"/>
        </w:trPr>
        <w:tc>
          <w:tcPr>
            <w:tcW w:w="33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配电箱总价(1+2+3)</w:t>
            </w:r>
          </w:p>
        </w:tc>
        <w:tc>
          <w:tcPr>
            <w:tcW w:w="5141"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Arial Narrow" w:hAnsi="Arial Narrow" w:cs="宋体"/>
                <w:color w:val="auto"/>
                <w:kern w:val="0"/>
                <w:sz w:val="20"/>
                <w:szCs w:val="20"/>
                <w:highlight w:val="none"/>
              </w:rPr>
            </w:pPr>
            <w:r>
              <w:rPr>
                <w:rFonts w:hint="default" w:ascii="Arial Narrow" w:hAnsi="Arial Narrow" w:cs="宋体"/>
                <w:color w:val="auto"/>
                <w:kern w:val="0"/>
                <w:sz w:val="20"/>
                <w:szCs w:val="20"/>
                <w:highlight w:val="none"/>
              </w:rPr>
              <w:t>　</w:t>
            </w:r>
          </w:p>
        </w:tc>
      </w:tr>
    </w:tbl>
    <w:p>
      <w:pPr>
        <w:widowControl/>
        <w:topLinePunct/>
        <w:adjustRightInd w:val="0"/>
        <w:snapToGrid w:val="0"/>
        <w:spacing w:line="360" w:lineRule="auto"/>
        <w:ind w:left="654" w:hanging="654" w:hangingChars="3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注：1.本表中内容由投标人对照招标人提供的设备清单和设计图纸，对每一类型配电箱规格/型号应分别填写。</w:t>
      </w:r>
    </w:p>
    <w:p>
      <w:pPr>
        <w:widowControl/>
        <w:topLinePunct/>
        <w:adjustRightInd w:val="0"/>
        <w:snapToGrid w:val="0"/>
        <w:spacing w:line="360" w:lineRule="auto"/>
        <w:ind w:firstLine="420" w:firstLineChars="200"/>
        <w:jc w:val="left"/>
        <w:rPr>
          <w:rFonts w:ascii="宋体" w:hAnsi="宋体"/>
          <w:dstrike/>
          <w:color w:val="auto"/>
          <w:szCs w:val="21"/>
          <w:highlight w:val="none"/>
        </w:rPr>
      </w:pPr>
      <w:r>
        <w:rPr>
          <w:rFonts w:hint="eastAsia" w:ascii="宋体" w:hAnsi="宋体"/>
          <w:color w:val="auto"/>
          <w:szCs w:val="21"/>
          <w:highlight w:val="none"/>
        </w:rPr>
        <w:t>2.箱体单位面积限</w:t>
      </w:r>
      <w:r>
        <w:rPr>
          <w:rFonts w:hint="eastAsia" w:ascii="宋体" w:hAnsi="宋体" w:eastAsia="Times New Roman"/>
          <w:snapToGrid w:val="0"/>
          <w:color w:val="auto"/>
          <w:spacing w:val="4"/>
          <w:szCs w:val="21"/>
          <w:highlight w:val="none"/>
        </w:rPr>
        <w:t>价为250.00元/m2（此限价不作为否决其投标的条款）。</w:t>
      </w:r>
    </w:p>
    <w:p>
      <w:pPr>
        <w:widowControl/>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3.综合费费率按25%统一取定。</w:t>
      </w:r>
    </w:p>
    <w:p>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4.以上配电箱价格分析表中计算出的各配电箱</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配电箱总价</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等于分部分项清单计价表中的</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主材费</w:t>
      </w:r>
      <w:r>
        <w:rPr>
          <w:rFonts w:hint="eastAsia" w:ascii="宋体" w:hAnsi="宋体"/>
          <w:snapToGrid w:val="0"/>
          <w:color w:val="auto"/>
          <w:spacing w:val="4"/>
          <w:szCs w:val="21"/>
          <w:highlight w:val="none"/>
        </w:rPr>
        <w:t>”</w:t>
      </w:r>
      <w:r>
        <w:rPr>
          <w:rFonts w:hint="eastAsia" w:ascii="宋体" w:hAnsi="宋体" w:eastAsia="Times New Roman"/>
          <w:snapToGrid w:val="0"/>
          <w:color w:val="auto"/>
          <w:spacing w:val="4"/>
          <w:szCs w:val="21"/>
          <w:highlight w:val="none"/>
        </w:rPr>
        <w:t>。</w:t>
      </w:r>
    </w:p>
    <w:p>
      <w:pPr>
        <w:widowControl/>
        <w:topLinePunct/>
        <w:adjustRightInd w:val="0"/>
        <w:snapToGrid w:val="0"/>
        <w:spacing w:line="360" w:lineRule="auto"/>
        <w:ind w:left="638" w:leftChars="200" w:hanging="218" w:hangingChars="1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5.如投标人未填报配电箱价格分析表，则新增配电箱箱体价格以出线回路总位数统一按合同中《新增配电箱箱体税前价格计算表》计取。</w:t>
      </w:r>
    </w:p>
    <w:p>
      <w:pPr>
        <w:spacing w:line="360" w:lineRule="auto"/>
        <w:ind w:firstLine="424" w:firstLineChars="201"/>
        <w:rPr>
          <w:b/>
          <w:color w:val="auto"/>
          <w:szCs w:val="21"/>
          <w:highlight w:val="none"/>
          <w:u w:val="single"/>
        </w:rPr>
      </w:pPr>
      <w:r>
        <w:rPr>
          <w:rFonts w:hint="eastAsia"/>
          <w:b/>
          <w:color w:val="auto"/>
          <w:szCs w:val="21"/>
          <w:highlight w:val="none"/>
          <w:u w:val="single"/>
        </w:rPr>
        <w:t>（</w:t>
      </w:r>
      <w:r>
        <w:rPr>
          <w:b/>
          <w:color w:val="auto"/>
          <w:szCs w:val="21"/>
          <w:highlight w:val="none"/>
          <w:u w:val="single"/>
        </w:rPr>
        <w:t>二</w:t>
      </w:r>
      <w:r>
        <w:rPr>
          <w:rFonts w:hint="eastAsia"/>
          <w:b/>
          <w:color w:val="auto"/>
          <w:szCs w:val="21"/>
          <w:highlight w:val="none"/>
          <w:u w:val="single"/>
        </w:rPr>
        <w:t>）中标单位在中标公示后，签订合同前，须提供与所递交投标电子标书内容一致且加盖单位公章的纸质文件四套及电子文件二套（不用生成投标书；包括用Microsoft Excel 软件或广州公共资源交易中心提供的投标书制作软件制作的工程量清单报价表和单价分析表，用MicrosoftWord软件或广州公共资源交易中心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pPr>
        <w:pBdr>
          <w:top w:val="single" w:color="auto" w:sz="4" w:space="1"/>
        </w:pBdr>
        <w:spacing w:line="360" w:lineRule="auto"/>
        <w:ind w:firstLine="424" w:firstLineChars="201"/>
        <w:rPr>
          <w:b/>
          <w:color w:val="auto"/>
          <w:highlight w:val="none"/>
        </w:rPr>
      </w:pPr>
      <w:r>
        <w:rPr>
          <w:rFonts w:hint="eastAsia"/>
          <w:b/>
          <w:color w:val="auto"/>
          <w:highlight w:val="none"/>
        </w:rPr>
        <w:t>条款号： 3</w:t>
      </w:r>
      <w:r>
        <w:rPr>
          <w:b/>
          <w:color w:val="auto"/>
          <w:highlight w:val="none"/>
        </w:rPr>
        <w:t>4</w:t>
      </w:r>
      <w:r>
        <w:rPr>
          <w:rFonts w:hint="eastAsia"/>
          <w:b/>
          <w:color w:val="auto"/>
          <w:highlight w:val="none"/>
        </w:rPr>
        <w:t xml:space="preserve">            修改类型：增加</w:t>
      </w:r>
    </w:p>
    <w:p>
      <w:pPr>
        <w:pBdr>
          <w:bottom w:val="single" w:color="auto" w:sz="6" w:space="1"/>
        </w:pBdr>
        <w:spacing w:line="440" w:lineRule="exact"/>
        <w:ind w:firstLine="422" w:firstLineChars="200"/>
        <w:rPr>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w:t>
      </w:r>
      <w:r>
        <w:rPr>
          <w:rFonts w:ascii="宋体" w:hAnsi="宋体" w:cs="宋体"/>
          <w:color w:val="auto"/>
          <w:szCs w:val="21"/>
          <w:highlight w:val="none"/>
          <w:u w:val="single"/>
        </w:rPr>
        <w:t>4</w:t>
      </w:r>
      <w:r>
        <w:rPr>
          <w:rFonts w:hint="eastAsia" w:ascii="宋体" w:hAnsi="宋体" w:cs="宋体"/>
          <w:color w:val="auto"/>
          <w:szCs w:val="21"/>
          <w:highlight w:val="none"/>
          <w:u w:val="single"/>
        </w:rPr>
        <w:t xml:space="preserve"> </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pPr>
        <w:pBdr>
          <w:top w:val="single" w:color="auto" w:sz="4" w:space="1"/>
        </w:pBdr>
        <w:spacing w:line="360" w:lineRule="auto"/>
        <w:ind w:firstLine="424" w:firstLineChars="201"/>
        <w:rPr>
          <w:b/>
          <w:color w:val="auto"/>
          <w:highlight w:val="none"/>
        </w:rPr>
      </w:pPr>
      <w:r>
        <w:rPr>
          <w:rFonts w:hint="eastAsia"/>
          <w:b/>
          <w:color w:val="auto"/>
          <w:highlight w:val="none"/>
        </w:rPr>
        <w:t>注：以上修改，仅限于本范本中有可供选择条款的情形。</w:t>
      </w:r>
    </w:p>
    <w:p>
      <w:pPr>
        <w:spacing w:line="360" w:lineRule="auto"/>
        <w:ind w:firstLine="282" w:firstLineChars="134"/>
        <w:rPr>
          <w:color w:val="auto"/>
          <w:highlight w:val="none"/>
        </w:rPr>
      </w:pPr>
      <w:r>
        <w:rPr>
          <w:rFonts w:hint="eastAsia"/>
          <w:b/>
          <w:color w:val="auto"/>
          <w:szCs w:val="21"/>
          <w:highlight w:val="none"/>
        </w:rPr>
        <w:t>（以下无正文）</w:t>
      </w:r>
    </w:p>
    <w:p>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8" w:name="_Toc2272548"/>
      <w:bookmarkStart w:id="9" w:name="_Toc62056017"/>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pPr>
        <w:widowControl/>
        <w:spacing w:before="100" w:beforeAutospacing="1" w:after="100" w:afterAutospacing="1"/>
        <w:jc w:val="left"/>
        <w:outlineLvl w:val="2"/>
        <w:rPr>
          <w:rFonts w:ascii="宋体" w:hAnsi="宋体"/>
          <w:color w:val="auto"/>
          <w:kern w:val="0"/>
          <w:sz w:val="27"/>
          <w:szCs w:val="27"/>
          <w:highlight w:val="none"/>
        </w:rPr>
      </w:pPr>
      <w:bookmarkStart w:id="10" w:name="_Toc2272549"/>
      <w:bookmarkStart w:id="11" w:name="_Toc62056018"/>
      <w:r>
        <w:rPr>
          <w:rFonts w:hint="eastAsia" w:ascii="宋体" w:hAnsi="宋体"/>
          <w:color w:val="auto"/>
          <w:kern w:val="0"/>
          <w:sz w:val="27"/>
          <w:szCs w:val="27"/>
          <w:highlight w:val="none"/>
        </w:rPr>
        <w:t>（一）总则</w:t>
      </w:r>
      <w:bookmarkEnd w:id="10"/>
      <w:bookmarkEnd w:id="11"/>
    </w:p>
    <w:p>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widowControl/>
        <w:spacing w:before="100" w:beforeAutospacing="1" w:after="100" w:afterAutospacing="1"/>
        <w:jc w:val="left"/>
        <w:outlineLvl w:val="2"/>
        <w:rPr>
          <w:rFonts w:ascii="宋体" w:hAnsi="宋体"/>
          <w:color w:val="auto"/>
          <w:kern w:val="0"/>
          <w:sz w:val="27"/>
          <w:szCs w:val="27"/>
          <w:highlight w:val="none"/>
        </w:rPr>
      </w:pPr>
      <w:bookmarkStart w:id="12" w:name="_Toc2272550"/>
      <w:bookmarkStart w:id="13" w:name="_Toc62056019"/>
      <w:r>
        <w:rPr>
          <w:rFonts w:hint="eastAsia" w:ascii="宋体" w:hAnsi="宋体"/>
          <w:color w:val="auto"/>
          <w:kern w:val="0"/>
          <w:sz w:val="27"/>
          <w:szCs w:val="27"/>
          <w:highlight w:val="none"/>
        </w:rPr>
        <w:t>（二）招标文件</w:t>
      </w:r>
      <w:bookmarkEnd w:id="12"/>
      <w:bookmarkEnd w:id="13"/>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pPr>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spacing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pPr>
        <w:pStyle w:val="13"/>
        <w:spacing w:line="360" w:lineRule="auto"/>
        <w:ind w:firstLine="480" w:firstLineChars="200"/>
        <w:rPr>
          <w:rFonts w:hAnsi="宋体"/>
          <w:color w:val="auto"/>
          <w:kern w:val="2"/>
          <w:sz w:val="24"/>
          <w:szCs w:val="22"/>
          <w:highlight w:val="none"/>
        </w:rPr>
      </w:pPr>
      <w:r>
        <w:rPr>
          <w:rFonts w:hint="eastAsia" w:hAnsi="宋体"/>
          <w:color w:val="auto"/>
          <w:kern w:val="2"/>
          <w:sz w:val="24"/>
          <w:szCs w:val="22"/>
          <w:highlight w:val="none"/>
        </w:rPr>
        <w:t>注：招标人应在技术条件（工程建设标准）中明确施工现场建筑垃圾源头减量的具体要求和建筑垃圾综合利用产品的使用要求。</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idowControl/>
        <w:spacing w:before="100" w:beforeAutospacing="1" w:after="100" w:afterAutospacing="1"/>
        <w:jc w:val="left"/>
        <w:outlineLvl w:val="2"/>
        <w:rPr>
          <w:rFonts w:ascii="宋体" w:hAnsi="宋体"/>
          <w:color w:val="auto"/>
          <w:kern w:val="0"/>
          <w:sz w:val="27"/>
          <w:szCs w:val="27"/>
          <w:highlight w:val="none"/>
        </w:rPr>
      </w:pPr>
      <w:bookmarkStart w:id="14" w:name="_Toc2272551"/>
      <w:bookmarkStart w:id="15" w:name="_Toc62056020"/>
      <w:r>
        <w:rPr>
          <w:rFonts w:hint="eastAsia" w:ascii="宋体" w:hAnsi="宋体"/>
          <w:color w:val="auto"/>
          <w:kern w:val="0"/>
          <w:sz w:val="27"/>
          <w:szCs w:val="27"/>
          <w:highlight w:val="none"/>
        </w:rPr>
        <w:t>（三）投标文件的编制</w:t>
      </w:r>
      <w:bookmarkEnd w:id="14"/>
      <w:bookmarkEnd w:id="15"/>
    </w:p>
    <w:p>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11．投标文件的组成</w:t>
      </w:r>
    </w:p>
    <w:p>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r>
        <w:rPr>
          <w:rFonts w:ascii="宋体"/>
          <w:color w:val="auto"/>
          <w:sz w:val="24"/>
          <w:szCs w:val="21"/>
          <w:highlight w:val="none"/>
        </w:rPr>
        <w:t>:</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9）</w:t>
      </w:r>
      <w:r>
        <w:rPr>
          <w:rFonts w:hint="eastAsia" w:ascii="宋体"/>
          <w:color w:val="auto"/>
          <w:sz w:val="24"/>
          <w:szCs w:val="21"/>
          <w:highlight w:val="none"/>
          <w:lang w:bidi="ar"/>
        </w:rPr>
        <w:t xml:space="preserve">拟委派项目负责人的建造师注册证书（取自平台内上传件）； </w:t>
      </w:r>
    </w:p>
    <w:p>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10）</w:t>
      </w:r>
      <w:r>
        <w:rPr>
          <w:rFonts w:hint="eastAsia" w:ascii="宋体"/>
          <w:color w:val="auto"/>
          <w:sz w:val="24"/>
          <w:szCs w:val="21"/>
          <w:highlight w:val="none"/>
          <w:lang w:bidi="ar"/>
        </w:rPr>
        <w:t>项目负责人安全生产考核合格证明或在有效期内的安全考核合格证书（</w:t>
      </w:r>
      <w:r>
        <w:rPr>
          <w:rFonts w:hint="eastAsia" w:ascii="宋体" w:eastAsia="Times New Roman"/>
          <w:color w:val="auto"/>
          <w:sz w:val="24"/>
          <w:szCs w:val="21"/>
          <w:highlight w:val="none"/>
          <w:lang w:bidi="ar"/>
        </w:rPr>
        <w:t>B类）或建筑施工企业项目负责人安全生产考核合格证书（取自平台内上传件）</w:t>
      </w:r>
      <w:r>
        <w:rPr>
          <w:rFonts w:hint="eastAsia" w:ascii="宋体"/>
          <w:color w:val="auto"/>
          <w:sz w:val="24"/>
          <w:szCs w:val="21"/>
          <w:highlight w:val="none"/>
          <w:lang w:bidi="ar"/>
        </w:rPr>
        <w:t>；</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 类）或建筑施工企业专职安全生产管理人员安全生产考核合格证书（取自平台内上传件）；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3</w:t>
      </w:r>
      <w:r>
        <w:rPr>
          <w:rFonts w:hint="eastAsia" w:ascii="宋体"/>
          <w:color w:val="auto"/>
          <w:sz w:val="24"/>
          <w:szCs w:val="21"/>
          <w:highlight w:val="none"/>
        </w:rPr>
        <w:t>）资格审查前，投标人须在广州市住房和城乡建设局建立企业信用档案，拟担任本工程项目负责人、专职安全员须是本企业信用档案中的在册人员。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4</w:t>
      </w:r>
      <w:r>
        <w:rPr>
          <w:rFonts w:hint="eastAsia" w:ascii="宋体"/>
          <w:color w:val="auto"/>
          <w:sz w:val="24"/>
          <w:szCs w:val="21"/>
          <w:highlight w:val="none"/>
        </w:rPr>
        <w:t>）</w:t>
      </w:r>
      <w:r>
        <w:rPr>
          <w:rFonts w:hint="eastAsia" w:ascii="宋体" w:hAnsi="宋体"/>
          <w:color w:val="auto"/>
          <w:sz w:val="24"/>
          <w:szCs w:val="21"/>
          <w:highlight w:val="none"/>
        </w:rPr>
        <w:t>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5</w:t>
      </w:r>
      <w:r>
        <w:rPr>
          <w:rFonts w:hint="eastAsia" w:ascii="宋体"/>
          <w:color w:val="auto"/>
          <w:sz w:val="24"/>
          <w:szCs w:val="21"/>
          <w:highlight w:val="none"/>
        </w:rPr>
        <w:t>）</w:t>
      </w:r>
      <w:r>
        <w:rPr>
          <w:rFonts w:hint="eastAsia" w:ascii="宋体" w:hAnsi="宋体"/>
          <w:color w:val="auto"/>
          <w:sz w:val="24"/>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50%或以上的大、中修市政公用工程需提供该项内容的证明文件）。</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color w:val="auto"/>
          <w:sz w:val="24"/>
          <w:szCs w:val="24"/>
          <w:highlight w:val="none"/>
        </w:rPr>
        <w:t>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pPr>
        <w:spacing w:line="360" w:lineRule="auto"/>
        <w:ind w:firstLine="42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w:t>
      </w:r>
      <w:r>
        <w:rPr>
          <w:rFonts w:ascii="宋体"/>
          <w:color w:val="auto"/>
          <w:sz w:val="24"/>
          <w:szCs w:val="20"/>
          <w:highlight w:val="none"/>
        </w:rPr>
        <w:t>,</w:t>
      </w:r>
      <w:r>
        <w:rPr>
          <w:rFonts w:hint="eastAsia" w:ascii="宋体" w:hAnsi="宋体"/>
          <w:color w:val="auto"/>
          <w:sz w:val="24"/>
          <w:szCs w:val="20"/>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w:t>
      </w:r>
    </w:p>
    <w:p>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pPr>
        <w:spacing w:line="360" w:lineRule="auto"/>
        <w:ind w:firstLine="480" w:firstLineChars="200"/>
        <w:rPr>
          <w:color w:val="auto"/>
          <w:sz w:val="24"/>
          <w:szCs w:val="24"/>
          <w:highlight w:val="none"/>
        </w:rPr>
      </w:pPr>
      <w:r>
        <w:rPr>
          <w:rFonts w:hint="eastAsia"/>
          <w:color w:val="auto"/>
          <w:sz w:val="24"/>
          <w:szCs w:val="24"/>
          <w:highlight w:val="none"/>
        </w:rPr>
        <w:t>注：16.5.3 款由招标人二选一，需在招标文件中明确。</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pPr>
        <w:widowControl/>
        <w:spacing w:before="100" w:beforeAutospacing="1" w:after="100" w:afterAutospacing="1"/>
        <w:jc w:val="left"/>
        <w:outlineLvl w:val="2"/>
        <w:rPr>
          <w:rFonts w:ascii="宋体" w:hAnsi="宋体"/>
          <w:color w:val="auto"/>
          <w:kern w:val="0"/>
          <w:sz w:val="27"/>
          <w:szCs w:val="27"/>
          <w:highlight w:val="none"/>
        </w:rPr>
      </w:pPr>
      <w:bookmarkStart w:id="16" w:name="_Toc2272552"/>
      <w:bookmarkStart w:id="17" w:name="_Toc62056021"/>
      <w:r>
        <w:rPr>
          <w:rFonts w:hint="eastAsia" w:ascii="宋体" w:hAnsi="宋体"/>
          <w:color w:val="auto"/>
          <w:kern w:val="0"/>
          <w:sz w:val="27"/>
          <w:szCs w:val="27"/>
          <w:highlight w:val="none"/>
        </w:rPr>
        <w:t>（四）投标文件的提交</w:t>
      </w:r>
      <w:bookmarkEnd w:id="16"/>
      <w:bookmarkEnd w:id="17"/>
    </w:p>
    <w:p>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交易平台将按招标文件规定的时间分别开启技术标和经济标。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widowControl/>
        <w:spacing w:before="100" w:beforeAutospacing="1" w:after="100" w:afterAutospacing="1"/>
        <w:jc w:val="left"/>
        <w:outlineLvl w:val="2"/>
        <w:rPr>
          <w:rFonts w:ascii="宋体" w:hAnsi="宋体"/>
          <w:color w:val="auto"/>
          <w:kern w:val="0"/>
          <w:sz w:val="27"/>
          <w:szCs w:val="27"/>
          <w:highlight w:val="none"/>
        </w:rPr>
      </w:pPr>
      <w:bookmarkStart w:id="18" w:name="_Toc2272553"/>
      <w:bookmarkStart w:id="19" w:name="_Toc62056022"/>
      <w:r>
        <w:rPr>
          <w:rFonts w:hint="eastAsia" w:ascii="宋体" w:hAnsi="宋体"/>
          <w:color w:val="auto"/>
          <w:kern w:val="0"/>
          <w:sz w:val="27"/>
          <w:szCs w:val="27"/>
          <w:highlight w:val="none"/>
        </w:rPr>
        <w:t>（五）开标、评标、定标及合同签定</w:t>
      </w:r>
      <w:bookmarkEnd w:id="18"/>
      <w:bookmarkEnd w:id="19"/>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32.3</w:t>
      </w:r>
      <w:r>
        <w:rPr>
          <w:rFonts w:ascii="宋体" w:hAnsi="宋体" w:eastAsia="Times New Roman"/>
          <w:color w:val="auto"/>
          <w:sz w:val="24"/>
          <w:highlight w:val="none"/>
          <w:lang w:bidi="ar"/>
        </w:rPr>
        <w:t>投标人如在本项目中存在串通投标、弄虚作假骗取中标、行贿情形的，中标无效，行政监督部门将对其违法行为进行政处罚。该投标人将被招标人列入黑名单并限制其参与招标人后续项目的投标。</w:t>
      </w:r>
    </w:p>
    <w:p>
      <w:pPr>
        <w:keepNext/>
        <w:keepLines/>
        <w:spacing w:before="120" w:after="120" w:line="360" w:lineRule="auto"/>
        <w:jc w:val="center"/>
        <w:outlineLvl w:val="0"/>
        <w:rPr>
          <w:b/>
          <w:color w:val="auto"/>
          <w:kern w:val="44"/>
          <w:sz w:val="28"/>
          <w:szCs w:val="28"/>
          <w:highlight w:val="none"/>
        </w:rPr>
      </w:pPr>
      <w:r>
        <w:rPr>
          <w:rFonts w:ascii="宋体"/>
          <w:color w:val="auto"/>
          <w:kern w:val="44"/>
          <w:sz w:val="24"/>
          <w:szCs w:val="28"/>
          <w:highlight w:val="none"/>
        </w:rPr>
        <w:br w:type="page"/>
      </w:r>
      <w:bookmarkStart w:id="20" w:name="_Toc62056023"/>
      <w:bookmarkStart w:id="21" w:name="_Toc2272554"/>
      <w:r>
        <w:rPr>
          <w:rFonts w:hint="eastAsia"/>
          <w:b/>
          <w:color w:val="auto"/>
          <w:kern w:val="44"/>
          <w:sz w:val="28"/>
          <w:szCs w:val="28"/>
          <w:highlight w:val="none"/>
        </w:rPr>
        <w:t>第二章</w:t>
      </w:r>
      <w:r>
        <w:rPr>
          <w:b/>
          <w:color w:val="auto"/>
          <w:kern w:val="44"/>
          <w:sz w:val="28"/>
          <w:szCs w:val="28"/>
          <w:highlight w:val="none"/>
        </w:rPr>
        <w:t xml:space="preserve">  </w:t>
      </w:r>
      <w:r>
        <w:rPr>
          <w:rFonts w:hint="eastAsia"/>
          <w:b/>
          <w:color w:val="auto"/>
          <w:kern w:val="44"/>
          <w:sz w:val="28"/>
          <w:szCs w:val="28"/>
          <w:highlight w:val="none"/>
        </w:rPr>
        <w:t>开标、评标及定标办法</w:t>
      </w:r>
      <w:bookmarkEnd w:id="20"/>
      <w:bookmarkEnd w:id="21"/>
    </w:p>
    <w:p>
      <w:pPr>
        <w:keepNext/>
        <w:keepLines/>
        <w:spacing w:before="120" w:after="120" w:line="415" w:lineRule="auto"/>
        <w:jc w:val="center"/>
        <w:outlineLvl w:val="1"/>
        <w:rPr>
          <w:rFonts w:ascii="Arial" w:hAnsi="Arial"/>
          <w:b/>
          <w:color w:val="auto"/>
          <w:sz w:val="28"/>
          <w:szCs w:val="24"/>
          <w:highlight w:val="none"/>
        </w:rPr>
      </w:pPr>
      <w:bookmarkStart w:id="22" w:name="_Toc62056024"/>
      <w:bookmarkStart w:id="23" w:name="_Toc2272555"/>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pPr>
        <w:spacing w:line="360" w:lineRule="auto"/>
        <w:ind w:firstLine="420"/>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Calibri" w:hAnsi="Calibri" w:eastAsia="仿宋"/>
          <w:b/>
          <w:color w:val="auto"/>
          <w:szCs w:val="21"/>
          <w:highlight w:val="none"/>
          <w:lang w:bidi="ar"/>
        </w:rPr>
        <w:t>http://zfcj.gz.gov.cn/</w:t>
      </w:r>
      <w:r>
        <w:rPr>
          <w:rFonts w:hint="eastAsia"/>
          <w:b/>
          <w:color w:val="auto"/>
          <w:szCs w:val="21"/>
          <w:highlight w:val="none"/>
          <w:u w:val="single"/>
        </w:rPr>
        <w:t>）下载GZZB2018-3</w:t>
      </w:r>
      <w:r>
        <w:rPr>
          <w:rFonts w:hint="eastAsia"/>
          <w:b/>
          <w:color w:val="auto"/>
          <w:szCs w:val="21"/>
          <w:highlight w:val="none"/>
          <w:u w:val="single"/>
        </w:rPr>
        <w:fldChar w:fldCharType="end"/>
      </w:r>
      <w:r>
        <w:rPr>
          <w:rFonts w:hint="eastAsia"/>
          <w:b/>
          <w:color w:val="auto"/>
          <w:szCs w:val="21"/>
          <w:highlight w:val="none"/>
        </w:rPr>
        <w:t>范本查阅。</w:t>
      </w:r>
    </w:p>
    <w:p>
      <w:pPr>
        <w:spacing w:line="480" w:lineRule="auto"/>
        <w:ind w:firstLine="472" w:firstLineChars="224"/>
        <w:rPr>
          <w:b/>
          <w:color w:val="auto"/>
          <w:szCs w:val="21"/>
          <w:highlight w:val="none"/>
        </w:rPr>
      </w:pPr>
      <w:r>
        <w:rPr>
          <w:b/>
          <w:color w:val="auto"/>
          <w:szCs w:val="21"/>
          <w:highlight w:val="none"/>
        </w:rPr>
        <w:t>条款号：3</w:t>
      </w:r>
      <w:r>
        <w:rPr>
          <w:rFonts w:hint="eastAsia"/>
          <w:b/>
          <w:color w:val="auto"/>
          <w:szCs w:val="21"/>
          <w:highlight w:val="none"/>
        </w:rPr>
        <w:t>5.8</w:t>
      </w:r>
      <w:r>
        <w:rPr>
          <w:b/>
          <w:color w:val="auto"/>
          <w:szCs w:val="21"/>
          <w:highlight w:val="none"/>
        </w:rPr>
        <w:t xml:space="preserve">           </w:t>
      </w:r>
      <w:r>
        <w:rPr>
          <w:rFonts w:hint="eastAsia"/>
          <w:b/>
          <w:color w:val="auto"/>
          <w:szCs w:val="21"/>
          <w:highlight w:val="none"/>
        </w:rPr>
        <w:t xml:space="preserve"> </w:t>
      </w:r>
      <w:r>
        <w:rPr>
          <w:b/>
          <w:color w:val="auto"/>
          <w:szCs w:val="21"/>
          <w:highlight w:val="none"/>
        </w:rPr>
        <w:t xml:space="preserve">  修改类型：修改</w:t>
      </w:r>
    </w:p>
    <w:p>
      <w:pPr>
        <w:spacing w:line="360" w:lineRule="auto"/>
        <w:ind w:firstLine="527" w:firstLineChars="250"/>
        <w:rPr>
          <w:color w:val="auto"/>
          <w:szCs w:val="21"/>
          <w:highlight w:val="none"/>
        </w:rPr>
      </w:pPr>
      <w:r>
        <w:rPr>
          <w:b/>
          <w:bCs/>
          <w:color w:val="auto"/>
          <w:szCs w:val="21"/>
          <w:highlight w:val="none"/>
        </w:rPr>
        <w:t>原文</w:t>
      </w:r>
      <w:r>
        <w:rPr>
          <w:color w:val="auto"/>
          <w:szCs w:val="21"/>
          <w:highlight w:val="none"/>
        </w:rPr>
        <w:t>：3</w:t>
      </w:r>
      <w:r>
        <w:rPr>
          <w:rFonts w:hint="eastAsia"/>
          <w:color w:val="auto"/>
          <w:szCs w:val="21"/>
          <w:highlight w:val="none"/>
        </w:rPr>
        <w:t>5.8</w:t>
      </w:r>
      <w:r>
        <w:rPr>
          <w:color w:val="auto"/>
          <w:szCs w:val="21"/>
          <w:highlight w:val="none"/>
        </w:rPr>
        <w:t xml:space="preserve"> </w:t>
      </w:r>
      <w:r>
        <w:rPr>
          <w:rFonts w:hint="eastAsia"/>
          <w:color w:val="auto"/>
          <w:szCs w:val="21"/>
          <w:highlight w:val="none"/>
        </w:rPr>
        <w:t>《广州市工程建设项目招标投标管理办法》（穗府办规〔2017〕5号）</w:t>
      </w:r>
    </w:p>
    <w:p>
      <w:pPr>
        <w:pBdr>
          <w:bottom w:val="single" w:color="auto" w:sz="6" w:space="0"/>
        </w:pBdr>
        <w:spacing w:line="360" w:lineRule="auto"/>
        <w:ind w:firstLine="527" w:firstLineChars="250"/>
        <w:rPr>
          <w:b/>
          <w:color w:val="auto"/>
          <w:szCs w:val="21"/>
          <w:highlight w:val="none"/>
        </w:rPr>
      </w:pPr>
      <w:r>
        <w:rPr>
          <w:b/>
          <w:bCs/>
          <w:color w:val="auto"/>
          <w:szCs w:val="21"/>
          <w:highlight w:val="none"/>
        </w:rPr>
        <w:t>现文：</w:t>
      </w:r>
      <w:r>
        <w:rPr>
          <w:color w:val="auto"/>
          <w:szCs w:val="21"/>
          <w:highlight w:val="none"/>
        </w:rPr>
        <w:t>3</w:t>
      </w:r>
      <w:r>
        <w:rPr>
          <w:rFonts w:hint="eastAsia"/>
          <w:color w:val="auto"/>
          <w:szCs w:val="21"/>
          <w:highlight w:val="none"/>
        </w:rPr>
        <w:t>5.8 《广州市工程建设项目招标投标管理办法》</w:t>
      </w:r>
      <w:r>
        <w:rPr>
          <w:rFonts w:hint="eastAsia"/>
          <w:color w:val="auto"/>
          <w:szCs w:val="21"/>
          <w:highlight w:val="none"/>
          <w:u w:val="single"/>
        </w:rPr>
        <w:t>（穗建规字〔2023〕12号）</w:t>
      </w:r>
      <w:r>
        <w:rPr>
          <w:color w:val="auto"/>
          <w:szCs w:val="21"/>
          <w:highlight w:val="none"/>
          <w:u w:val="singl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w:t>
      </w:r>
      <w:r>
        <w:rPr>
          <w:b/>
          <w:color w:val="auto"/>
          <w:szCs w:val="21"/>
          <w:highlight w:val="none"/>
          <w:lang w:bidi="ar"/>
        </w:rPr>
        <w:t xml:space="preserve">36.1   </w:t>
      </w:r>
      <w:r>
        <w:rPr>
          <w:rFonts w:hint="eastAsia" w:ascii="宋体" w:hAnsi="宋体" w:cs="宋体"/>
          <w:b/>
          <w:color w:val="auto"/>
          <w:szCs w:val="21"/>
          <w:highlight w:val="none"/>
          <w:lang w:bidi="ar"/>
        </w:rPr>
        <w:t xml:space="preserve">          修改类型：修改</w:t>
      </w:r>
    </w:p>
    <w:p>
      <w:pP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现文：</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b/>
          <w:color w:val="auto"/>
          <w:szCs w:val="21"/>
          <w:highlight w:val="none"/>
        </w:rPr>
      </w:pPr>
      <w:r>
        <w:rPr>
          <w:rFonts w:hint="eastAsia" w:ascii="宋体" w:hAnsi="宋体"/>
          <w:b/>
          <w:color w:val="auto"/>
          <w:szCs w:val="21"/>
          <w:highlight w:val="none"/>
        </w:rPr>
        <w:t>条</w:t>
      </w:r>
      <w:r>
        <w:rPr>
          <w:rFonts w:hint="eastAsia"/>
          <w:b/>
          <w:color w:val="auto"/>
          <w:szCs w:val="21"/>
          <w:highlight w:val="none"/>
        </w:rPr>
        <w:t>款号：</w:t>
      </w:r>
      <w:r>
        <w:rPr>
          <w:b/>
          <w:color w:val="auto"/>
          <w:szCs w:val="21"/>
          <w:highlight w:val="none"/>
        </w:rPr>
        <w:t xml:space="preserve">36.3             </w:t>
      </w:r>
      <w:r>
        <w:rPr>
          <w:rFonts w:hint="eastAsia"/>
          <w:b/>
          <w:color w:val="auto"/>
          <w:szCs w:val="21"/>
          <w:highlight w:val="none"/>
        </w:rPr>
        <w:t>修改类型：删除</w:t>
      </w:r>
    </w:p>
    <w:p>
      <w:pPr>
        <w:pBdr>
          <w:bottom w:val="single" w:color="auto" w:sz="6" w:space="1"/>
        </w:pBdr>
        <w:spacing w:line="360" w:lineRule="auto"/>
        <w:ind w:firstLine="424" w:firstLineChars="201"/>
        <w:rPr>
          <w:color w:val="auto"/>
          <w:szCs w:val="21"/>
          <w:highlight w:val="none"/>
        </w:rPr>
      </w:pPr>
      <w:r>
        <w:rPr>
          <w:rFonts w:hint="eastAsia"/>
          <w:b/>
          <w:color w:val="auto"/>
          <w:szCs w:val="21"/>
          <w:highlight w:val="none"/>
        </w:rPr>
        <w:t>原文：</w:t>
      </w:r>
      <w:r>
        <w:rPr>
          <w:color w:val="auto"/>
          <w:szCs w:val="21"/>
          <w:highlight w:val="none"/>
        </w:rPr>
        <w:t>36.3</w:t>
      </w:r>
      <w:r>
        <w:rPr>
          <w:rFonts w:hint="eastAsia"/>
          <w:color w:val="auto"/>
          <w:szCs w:val="21"/>
          <w:highlight w:val="none"/>
        </w:rPr>
        <w:t>根据投标须知前附表第</w:t>
      </w:r>
      <w:r>
        <w:rPr>
          <w:color w:val="auto"/>
          <w:szCs w:val="21"/>
          <w:highlight w:val="none"/>
        </w:rPr>
        <w:t>19</w:t>
      </w:r>
      <w:r>
        <w:rPr>
          <w:rFonts w:hint="eastAsia"/>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36.5.1</w:t>
      </w:r>
      <w:r>
        <w:rPr>
          <w:color w:val="auto"/>
          <w:szCs w:val="21"/>
          <w:highlight w:val="none"/>
          <w:lang w:bidi="ar"/>
        </w:rPr>
        <w:t>在投标截止时间后半小时内，投标人通过</w:t>
      </w:r>
      <w:r>
        <w:rPr>
          <w:color w:val="auto"/>
          <w:szCs w:val="21"/>
          <w:highlight w:val="none"/>
          <w:u w:val="single"/>
          <w:lang w:bidi="ar"/>
        </w:rPr>
        <w:t xml:space="preserve">        </w:t>
      </w:r>
      <w:r>
        <w:rPr>
          <w:color w:val="auto"/>
          <w:szCs w:val="21"/>
          <w:highlight w:val="none"/>
          <w:lang w:bidi="ar"/>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36.5.1在投标截止时间后半小时内，投标人通过</w:t>
      </w:r>
      <w:r>
        <w:rPr>
          <w:rFonts w:hint="eastAsia"/>
          <w:color w:val="auto"/>
          <w:szCs w:val="21"/>
          <w:highlight w:val="none"/>
          <w:u w:val="single"/>
        </w:rPr>
        <w:t>广州公共资源交易中心</w:t>
      </w:r>
      <w:r>
        <w:rPr>
          <w:rFonts w:hint="eastAsia"/>
          <w:color w:val="auto"/>
          <w:szCs w:val="21"/>
          <w:highlight w:val="none"/>
        </w:rPr>
        <w:t>交易平台对已递交的电子投标文件进行解密。投标人完成解密后，再由招标人进行解密，解密完成后，公布招标项目名称、投标人名称、投标报价、工期及其他内容；</w:t>
      </w: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 xml:space="preserve"> 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38.1</w:t>
      </w:r>
      <w:r>
        <w:rPr>
          <w:rFonts w:hint="eastAsia"/>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39.2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依法必须进行公开招标的项目，招标人应当确定排名第一的中标候选人为中标人；</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w:t>
      </w:r>
      <w:r>
        <w:rPr>
          <w:rFonts w:hint="eastAsia" w:ascii="宋体" w:hAnsi="宋体"/>
          <w:color w:val="auto"/>
          <w:szCs w:val="21"/>
          <w:highlight w:val="none"/>
          <w:u w:val="single"/>
        </w:rPr>
        <w:t>若在填报中标候选人公示信息时被发现委派的项目负责人已在其他在建项目中任职、不符合任职数量规定时，则不能进行中标候选人公示，招标人可以确定排名第二的中标候选人为中标人。</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条款号：40           修改类型：修改</w:t>
      </w:r>
    </w:p>
    <w:p>
      <w:pPr>
        <w:adjustRightInd w:val="0"/>
        <w:snapToGrid w:val="0"/>
        <w:spacing w:line="360" w:lineRule="auto"/>
        <w:ind w:firstLine="422" w:firstLineChars="200"/>
        <w:jc w:val="left"/>
        <w:textAlignment w:val="baseline"/>
        <w:rPr>
          <w:rFonts w:ascii="宋体" w:hAnsi="宋体" w:cs="宋体"/>
          <w:b/>
          <w:caps/>
          <w:color w:val="auto"/>
          <w:kern w:val="0"/>
          <w:szCs w:val="21"/>
          <w:highlight w:val="none"/>
        </w:rPr>
      </w:pPr>
      <w:r>
        <w:rPr>
          <w:rFonts w:hint="eastAsia" w:ascii="宋体" w:hAnsi="宋体" w:cs="宋体"/>
          <w:b/>
          <w:caps/>
          <w:color w:val="auto"/>
          <w:kern w:val="0"/>
          <w:szCs w:val="21"/>
          <w:highlight w:val="none"/>
          <w:lang w:bidi="ar"/>
        </w:rPr>
        <w:t>原文：</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40.开标和评标程序</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40.1技术标（含资格审查文件）与经济标投标文件同时公开开标；</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40.2由评标委员会对所有已公开开标的投标人进行资格审查；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40.3技术标投标文件有效性审查；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40.4技术标详细审查评分；</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40.5经济标详细审查评分；</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40.6评标委员会按照投标人总得分由高至低排序；</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40.7经济标投标文件有效性审查；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40.8评标委员会按排序向招标人推荐中标候选人名单，并递交资格审查报告及评标报告。</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lang w:bidi="ar"/>
        </w:rPr>
        <w:t>现文：</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40.开标和评标程序</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40.1技术标（含资格审查文件）与经济标投标文件同时公开开标；</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40.2由评标委员会对所有已公开开标的投标人进行资格审查；</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40.3技术标投标文件有效性审查；</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40.4技术标详细审查评分；</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 xml:space="preserve">40.5经济标详细审查评分； </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lang w:bidi="ar"/>
        </w:rPr>
        <w:t>并按照投标人总得分由高至低排序；</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lang w:bidi="ar"/>
        </w:rPr>
        <w:t>经济标投标文件有效性审查；</w:t>
      </w:r>
    </w:p>
    <w:p>
      <w:pPr>
        <w:pBdr>
          <w:bottom w:val="single" w:color="auto" w:sz="6" w:space="1"/>
        </w:pBdr>
        <w:spacing w:line="360" w:lineRule="auto"/>
        <w:ind w:firstLine="525" w:firstLineChars="250"/>
        <w:rPr>
          <w:rFonts w:ascii="宋体" w:hAnsi="宋体" w:cs="宋体"/>
          <w:color w:val="auto"/>
          <w:szCs w:val="21"/>
          <w:highlight w:val="none"/>
          <w:lang w:bidi="ar"/>
        </w:rPr>
      </w:pPr>
      <w:r>
        <w:rPr>
          <w:rFonts w:hint="eastAsia" w:ascii="宋体" w:hAnsi="宋体" w:cs="宋体"/>
          <w:color w:val="auto"/>
          <w:szCs w:val="21"/>
          <w:highlight w:val="none"/>
          <w:lang w:bidi="ar"/>
        </w:rPr>
        <w:t>40.8评标委员会按总得分排序，向招标人推荐通过经济标投标文件有效性审查的中标候选人，并递交资格审查报告及评标报告。</w:t>
      </w:r>
    </w:p>
    <w:p>
      <w:pPr>
        <w:spacing w:line="360" w:lineRule="auto"/>
        <w:ind w:firstLine="422" w:firstLineChars="200"/>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 xml:space="preserve"> 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41.1</w:t>
      </w:r>
      <w:r>
        <w:rPr>
          <w:rFonts w:hint="eastAsia"/>
          <w:color w:val="auto"/>
          <w:szCs w:val="21"/>
          <w:highlight w:val="none"/>
        </w:rPr>
        <w:t>开标由招标人主持；</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color w:val="auto"/>
          <w:szCs w:val="21"/>
          <w:highlight w:val="none"/>
        </w:rPr>
        <w:t>41.1</w:t>
      </w:r>
      <w:r>
        <w:rPr>
          <w:rFonts w:hint="eastAsia"/>
          <w:color w:val="auto"/>
          <w:szCs w:val="21"/>
          <w:highlight w:val="none"/>
        </w:rPr>
        <w:t>开标由招标人</w:t>
      </w:r>
      <w:r>
        <w:rPr>
          <w:rFonts w:hint="eastAsia"/>
          <w:color w:val="auto"/>
          <w:szCs w:val="21"/>
          <w:highlight w:val="none"/>
          <w:u w:val="single"/>
        </w:rPr>
        <w:t>或招标代理</w:t>
      </w:r>
      <w:r>
        <w:rPr>
          <w:rFonts w:hint="eastAsia"/>
          <w:color w:val="auto"/>
          <w:szCs w:val="21"/>
          <w:highlight w:val="none"/>
        </w:rPr>
        <w:t>主持；</w:t>
      </w:r>
    </w:p>
    <w:p>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rPr>
        <w:t>交易平台。有关投标文件提交的事项详见第一章投标须知。</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u w:val="single"/>
        </w:rPr>
        <w:t>广州公共资源交易中心</w:t>
      </w:r>
      <w:r>
        <w:rPr>
          <w:rFonts w:hint="eastAsia"/>
          <w:color w:val="auto"/>
          <w:szCs w:val="21"/>
          <w:highlight w:val="none"/>
        </w:rPr>
        <w:t>交易平台。有关投标文件提交的事项详见第一章投标须知。</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ascii="宋体"/>
          <w:b/>
          <w:bCs/>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41.2.2开标前，首先由招标人随机抽取确定该工程计算评标参考价的等分点值X</w:t>
      </w:r>
      <w:r>
        <w:rPr>
          <w:rFonts w:ascii="宋体"/>
          <w:color w:val="auto"/>
          <w:szCs w:val="21"/>
          <w:highlight w:val="none"/>
        </w:rPr>
        <w:t>。</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ascii="宋体"/>
          <w:b/>
          <w:bCs/>
          <w:color w:val="auto"/>
          <w:szCs w:val="21"/>
          <w:highlight w:val="none"/>
        </w:rPr>
        <w:t>41.2.4.1</w:t>
      </w:r>
      <w:r>
        <w:rPr>
          <w:b/>
          <w:color w:val="auto"/>
          <w:szCs w:val="21"/>
          <w:highlight w:val="none"/>
        </w:rPr>
        <w:t xml:space="preserve">            </w:t>
      </w:r>
      <w:r>
        <w:rPr>
          <w:rFonts w:hint="eastAsia"/>
          <w:b/>
          <w:color w:val="auto"/>
          <w:szCs w:val="21"/>
          <w:highlight w:val="none"/>
        </w:rPr>
        <w:t>修改类型：</w:t>
      </w:r>
      <w:r>
        <w:rPr>
          <w:b/>
          <w:color w:val="auto"/>
          <w:szCs w:val="21"/>
          <w:highlight w:val="none"/>
        </w:rPr>
        <w:t>修改</w:t>
      </w:r>
    </w:p>
    <w:p>
      <w:pPr>
        <w:pBdr>
          <w:bottom w:val="none" w:color="auto" w:sz="0"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color w:val="auto"/>
          <w:szCs w:val="21"/>
          <w:highlight w:val="none"/>
        </w:rPr>
        <w:t>。</w:t>
      </w:r>
    </w:p>
    <w:p>
      <w:pPr>
        <w:pBdr>
          <w:bottom w:val="single" w:color="auto" w:sz="6" w:space="1"/>
        </w:pBdr>
        <w:spacing w:line="360" w:lineRule="auto"/>
        <w:ind w:firstLine="422" w:firstLineChars="200"/>
        <w:rPr>
          <w:rFonts w:ascii="宋体"/>
          <w:color w:val="auto"/>
          <w:szCs w:val="21"/>
          <w:highlight w:val="none"/>
        </w:rPr>
      </w:pPr>
      <w:r>
        <w:rPr>
          <w:rFonts w:ascii="宋体"/>
          <w:b/>
          <w:bCs/>
          <w:color w:val="auto"/>
          <w:szCs w:val="21"/>
          <w:highlight w:val="none"/>
        </w:rPr>
        <w:t>现文</w:t>
      </w:r>
      <w:r>
        <w:rPr>
          <w:rFonts w:hint="eastAsia" w:ascii="宋体"/>
          <w:b/>
          <w:bCs/>
          <w:color w:val="auto"/>
          <w:szCs w:val="21"/>
          <w:highlight w:val="none"/>
        </w:rPr>
        <w:t>：</w:t>
      </w:r>
      <w:r>
        <w:rPr>
          <w:rFonts w:hint="eastAsia" w:ascii="宋体" w:hAnsi="宋体"/>
          <w:color w:val="auto"/>
          <w:highlight w:val="none"/>
        </w:rPr>
        <w:t>41.2.4.1开标时，公布：a、投标人名称；b、投标文件密封情况；c、投标报价；</w:t>
      </w:r>
      <w:r>
        <w:rPr>
          <w:rFonts w:hint="eastAsia" w:ascii="宋体" w:hAnsi="宋体"/>
          <w:b/>
          <w:bCs/>
          <w:color w:val="auto"/>
          <w:highlight w:val="none"/>
          <w:u w:val="single"/>
        </w:rPr>
        <w:t xml:space="preserve"> d、</w:t>
      </w:r>
      <w:r>
        <w:rPr>
          <w:rFonts w:hint="eastAsia" w:ascii="宋体" w:hAnsi="宋体"/>
          <w:color w:val="auto"/>
          <w:highlight w:val="none"/>
        </w:rPr>
        <w:t>项目经理（负责人）名称；</w:t>
      </w:r>
      <w:r>
        <w:rPr>
          <w:rFonts w:hint="eastAsia" w:ascii="宋体" w:hAnsi="宋体"/>
          <w:b/>
          <w:bCs/>
          <w:color w:val="auto"/>
          <w:highlight w:val="none"/>
          <w:u w:val="single"/>
        </w:rPr>
        <w:t>e、</w:t>
      </w:r>
      <w:r>
        <w:rPr>
          <w:rFonts w:hint="eastAsia" w:ascii="宋体" w:hAnsi="宋体"/>
          <w:color w:val="auto"/>
          <w:highlight w:val="none"/>
        </w:rPr>
        <w:t>法定代表人证明及授权委托等主要内容及开标记录表中的其他必要内容。投标报价以数字和文字两种方式表述的，应公布文字表述的投标报价。</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42.2             </w:t>
      </w:r>
      <w:r>
        <w:rPr>
          <w:rFonts w:hint="eastAsia"/>
          <w:b/>
          <w:color w:val="auto"/>
          <w:szCs w:val="21"/>
          <w:highlight w:val="none"/>
        </w:rPr>
        <w:t>修改类型：修改</w:t>
      </w:r>
    </w:p>
    <w:p>
      <w:pPr>
        <w:pStyle w:val="22"/>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pStyle w:val="22"/>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4</w:t>
      </w:r>
      <w:r>
        <w:rPr>
          <w:rFonts w:hint="eastAsia"/>
          <w:b/>
          <w:color w:val="auto"/>
          <w:szCs w:val="21"/>
          <w:highlight w:val="none"/>
        </w:rPr>
        <w:t>3.6</w:t>
      </w:r>
      <w:r>
        <w:rPr>
          <w:b/>
          <w:color w:val="auto"/>
          <w:szCs w:val="21"/>
          <w:highlight w:val="none"/>
        </w:rPr>
        <w:t xml:space="preserve">             </w:t>
      </w:r>
      <w:r>
        <w:rPr>
          <w:rFonts w:hint="eastAsia"/>
          <w:b/>
          <w:color w:val="auto"/>
          <w:szCs w:val="21"/>
          <w:highlight w:val="none"/>
        </w:rPr>
        <w:t>修改类型：修改</w:t>
      </w:r>
    </w:p>
    <w:p>
      <w:pPr>
        <w:pStyle w:val="22"/>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rFonts w:hint="eastAsia" w:asciiTheme="minorEastAsia" w:hAnsiTheme="minorEastAsia" w:eastAsiaTheme="minorEastAsia"/>
          <w:color w:val="auto"/>
          <w:szCs w:val="21"/>
          <w:highlight w:val="none"/>
        </w:rPr>
        <w:t>43.6</w:t>
      </w:r>
      <w:r>
        <w:rPr>
          <w:rFonts w:hint="eastAsia"/>
          <w:color w:val="auto"/>
          <w:szCs w:val="21"/>
          <w:highlight w:val="none"/>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rFonts w:hint="eastAsia" w:asciiTheme="minorEastAsia" w:hAnsiTheme="minorEastAsia" w:eastAsiaTheme="minorEastAsia"/>
          <w:color w:val="auto"/>
          <w:szCs w:val="21"/>
          <w:highlight w:val="none"/>
        </w:rPr>
        <w:t>43.6</w:t>
      </w:r>
      <w:r>
        <w:rPr>
          <w:rFonts w:hint="eastAsia"/>
          <w:color w:val="auto"/>
          <w:szCs w:val="21"/>
          <w:highlight w:val="none"/>
        </w:rPr>
        <w:t>资格审查合格的投标人少于</w:t>
      </w:r>
      <w:r>
        <w:rPr>
          <w:rFonts w:hint="eastAsia"/>
          <w:color w:val="auto"/>
          <w:szCs w:val="21"/>
          <w:highlight w:val="none"/>
          <w:lang w:val="en-US" w:eastAsia="zh-CN"/>
        </w:rPr>
        <w:t>3</w:t>
      </w:r>
      <w:r>
        <w:rPr>
          <w:rFonts w:hint="eastAsia"/>
          <w:color w:val="auto"/>
          <w:szCs w:val="21"/>
          <w:highlight w:val="none"/>
        </w:rPr>
        <w:t>名的，则本项目招标失败。</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4</w:t>
      </w:r>
      <w:r>
        <w:rPr>
          <w:rFonts w:hint="eastAsia"/>
          <w:b/>
          <w:color w:val="auto"/>
          <w:szCs w:val="21"/>
          <w:highlight w:val="none"/>
        </w:rPr>
        <w:t>4.1</w:t>
      </w:r>
      <w:r>
        <w:rPr>
          <w:b/>
          <w:color w:val="auto"/>
          <w:szCs w:val="21"/>
          <w:highlight w:val="none"/>
        </w:rPr>
        <w:t xml:space="preserve">             </w:t>
      </w:r>
      <w:r>
        <w:rPr>
          <w:rFonts w:hint="eastAsia"/>
          <w:b/>
          <w:color w:val="auto"/>
          <w:szCs w:val="21"/>
          <w:highlight w:val="none"/>
        </w:rPr>
        <w:t>修改类型：修改</w:t>
      </w:r>
    </w:p>
    <w:p>
      <w:pPr>
        <w:pStyle w:val="22"/>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rFonts w:hint="eastAsia" w:ascii="宋体" w:hAnsi="宋体" w:cs="宋体"/>
          <w:b w:val="0"/>
          <w:bCs/>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rFonts w:hint="eastAsia" w:ascii="宋体" w:hAnsi="宋体" w:cs="宋体"/>
          <w:b w:val="0"/>
          <w:bCs/>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44.2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投标人的技术分为各评委评分去掉一个最高分和一个最低分后的算术平均值，</w:t>
      </w:r>
      <w:r>
        <w:rPr>
          <w:rFonts w:hint="eastAsia" w:ascii="宋体"/>
          <w:color w:val="auto"/>
          <w:szCs w:val="21"/>
          <w:highlight w:val="none"/>
        </w:rPr>
        <w:t>得分四舍五入精确到小数点后两位。</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45             </w:t>
      </w:r>
      <w:r>
        <w:rPr>
          <w:rFonts w:hint="eastAsia"/>
          <w:b/>
          <w:color w:val="auto"/>
          <w:szCs w:val="21"/>
          <w:highlight w:val="none"/>
        </w:rPr>
        <w:t>修改类型：修改</w:t>
      </w:r>
    </w:p>
    <w:p>
      <w:pPr>
        <w:pStyle w:val="22"/>
        <w:tabs>
          <w:tab w:val="left" w:pos="7380"/>
        </w:tabs>
        <w:snapToGrid w:val="0"/>
        <w:spacing w:after="0" w:line="360" w:lineRule="auto"/>
        <w:ind w:firstLineChars="199"/>
        <w:rPr>
          <w:rFonts w:hint="eastAsia"/>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45．经济标评审和得分汇总</w:t>
      </w:r>
    </w:p>
    <w:p>
      <w:pPr>
        <w:pStyle w:val="22"/>
        <w:tabs>
          <w:tab w:val="left" w:pos="7380"/>
        </w:tabs>
        <w:snapToGrid w:val="0"/>
        <w:spacing w:after="0" w:line="360" w:lineRule="auto"/>
        <w:ind w:firstLineChars="199"/>
        <w:rPr>
          <w:rFonts w:hint="eastAsia"/>
          <w:b/>
          <w:color w:val="auto"/>
          <w:szCs w:val="21"/>
          <w:highlight w:val="none"/>
        </w:rPr>
      </w:pPr>
      <w:r>
        <w:rPr>
          <w:rFonts w:hint="eastAsia" w:ascii="宋体" w:hAnsi="宋体"/>
          <w:color w:val="auto"/>
          <w:sz w:val="21"/>
          <w:szCs w:val="21"/>
          <w:highlight w:val="none"/>
        </w:rPr>
        <w:t>45.1若通过技术标有效性审查的投标人中所有投标报价均大于等于最高投标限价*D%（D的取值范围为[94,100],由招标人自主确定）的（具体金额为：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元），则本项目招标失败，由招标人依法重新招标。</w:t>
      </w:r>
    </w:p>
    <w:p>
      <w:pPr>
        <w:pStyle w:val="22"/>
        <w:tabs>
          <w:tab w:val="left" w:pos="7380"/>
        </w:tabs>
        <w:snapToGrid w:val="0"/>
        <w:spacing w:after="0" w:line="360" w:lineRule="auto"/>
        <w:ind w:firstLineChars="199"/>
        <w:rPr>
          <w:rFonts w:ascii="宋体"/>
          <w:color w:val="auto"/>
          <w:szCs w:val="21"/>
          <w:highlight w:val="none"/>
        </w:rPr>
      </w:pP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pPr>
        <w:pStyle w:val="22"/>
        <w:tabs>
          <w:tab w:val="left" w:pos="7380"/>
        </w:tabs>
        <w:snapToGrid w:val="0"/>
        <w:spacing w:after="0" w:line="360" w:lineRule="auto"/>
        <w:ind w:firstLineChars="199"/>
        <w:rPr>
          <w:rFonts w:ascii="宋体" w:hAnsi="宋体"/>
          <w:b/>
          <w:bCs/>
          <w:color w:val="auto"/>
          <w:szCs w:val="21"/>
          <w:highlight w:val="none"/>
        </w:rPr>
      </w:pPr>
      <w:r>
        <w:rPr>
          <w:rFonts w:hint="eastAsia" w:ascii="宋体" w:hAnsi="宋体" w:cs="仿宋"/>
          <w:b/>
          <w:bCs/>
          <w:color w:val="auto"/>
          <w:szCs w:val="21"/>
          <w:highlight w:val="none"/>
        </w:rPr>
        <w:t>方法一：加权平均法</w:t>
      </w:r>
    </w:p>
    <w:p>
      <w:pPr>
        <w:pStyle w:val="22"/>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技术标或技术标加诚信得分（具体由招标人自定）前N名（N≥5，具体由招标人自定）的经济报价加权平均，计算评标参考价。公式如下：</w:t>
      </w:r>
    </w:p>
    <w:p>
      <w:pPr>
        <w:pStyle w:val="22"/>
        <w:tabs>
          <w:tab w:val="left" w:pos="7380"/>
        </w:tabs>
        <w:snapToGrid w:val="0"/>
        <w:spacing w:after="0" w:line="360" w:lineRule="auto"/>
        <w:ind w:firstLineChars="200"/>
        <w:rPr>
          <w:rFonts w:ascii="宋体" w:hAnsi="宋体" w:cs="仿宋"/>
          <w:color w:val="auto"/>
          <w:szCs w:val="21"/>
          <w:highlight w:val="none"/>
        </w:rPr>
      </w:pPr>
      <w:r>
        <w:rPr>
          <w:rFonts w:hint="eastAsia" w:ascii="宋体" w:hAnsi="宋体" w:cs="仿宋"/>
          <w:color w:val="auto"/>
          <w:szCs w:val="21"/>
          <w:highlight w:val="none"/>
        </w:rPr>
        <w:t>评标参考价=Σ（投标人的投标报价*报价权重）。</w:t>
      </w:r>
    </w:p>
    <w:p>
      <w:pPr>
        <w:pStyle w:val="22"/>
        <w:tabs>
          <w:tab w:val="left" w:pos="7380"/>
        </w:tabs>
        <w:snapToGrid w:val="0"/>
        <w:spacing w:after="0" w:line="360" w:lineRule="auto"/>
        <w:ind w:firstLine="0"/>
        <w:rPr>
          <w:rFonts w:ascii="宋体" w:hAnsi="宋体" w:cs="仿宋"/>
          <w:color w:val="auto"/>
          <w:szCs w:val="21"/>
          <w:highlight w:val="none"/>
        </w:rPr>
      </w:pPr>
      <w:r>
        <w:rPr>
          <w:rFonts w:hint="eastAsia" w:ascii="宋体" w:hAnsi="宋体" w:cs="仿宋"/>
          <w:color w:val="auto"/>
          <w:szCs w:val="21"/>
          <w:highlight w:val="none"/>
        </w:rPr>
        <w:t>其中：报价权重的计算方法为：将N名投标人按技术分由高至低进行排序，第一名投标人的权重为（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2270" cy="448310"/>
            <wp:effectExtent l="0" t="0" r="17780"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7"/>
                    <a:stretch>
                      <a:fillRect/>
                    </a:stretch>
                  </pic:blipFill>
                  <pic:spPr>
                    <a:xfrm>
                      <a:off x="0" y="0"/>
                      <a:ext cx="382270" cy="448310"/>
                    </a:xfrm>
                    <a:prstGeom prst="rect">
                      <a:avLst/>
                    </a:prstGeom>
                    <a:noFill/>
                    <a:ln>
                      <a:noFill/>
                    </a:ln>
                  </pic:spPr>
                </pic:pic>
              </a:graphicData>
            </a:graphic>
          </wp:inline>
        </w:drawing>
      </w:r>
      <w:r>
        <w:rPr>
          <w:rFonts w:ascii="宋体" w:hAnsi="宋体"/>
          <w:color w:val="auto"/>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2270" cy="448310"/>
            <wp:effectExtent l="0" t="0" r="1778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382270" cy="44831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8"/>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9"/>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9"/>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w:t>
      </w:r>
    </w:p>
    <w:p>
      <w:pPr>
        <w:pStyle w:val="22"/>
        <w:tabs>
          <w:tab w:val="left" w:pos="7380"/>
        </w:tabs>
        <w:snapToGrid w:val="0"/>
        <w:spacing w:after="0" w:line="360" w:lineRule="auto"/>
        <w:ind w:firstLine="422" w:firstLineChars="200"/>
        <w:rPr>
          <w:rFonts w:ascii="宋体" w:hAnsi="宋体"/>
          <w:b/>
          <w:bCs/>
          <w:color w:val="auto"/>
          <w:szCs w:val="21"/>
          <w:highlight w:val="none"/>
        </w:rPr>
      </w:pPr>
      <w:r>
        <w:rPr>
          <w:rFonts w:hint="eastAsia" w:ascii="宋体" w:hAnsi="宋体" w:cs="仿宋"/>
          <w:b/>
          <w:bCs/>
          <w:color w:val="auto"/>
          <w:szCs w:val="21"/>
          <w:highlight w:val="none"/>
        </w:rPr>
        <w:t>方法二：区间抽取法</w:t>
      </w:r>
    </w:p>
    <w:p>
      <w:pPr>
        <w:widowControl/>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评标参考价=（Q高-Q低）/100*Ｘ+Q低</w:t>
      </w:r>
    </w:p>
    <w:p>
      <w:pPr>
        <w:widowControl/>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widowControl/>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Q高：为（最高投标限价*D%）（D的取值范围为[94,100],由招标人自定）</w:t>
      </w:r>
    </w:p>
    <w:p>
      <w:pPr>
        <w:pStyle w:val="22"/>
        <w:tabs>
          <w:tab w:val="left" w:pos="7380"/>
        </w:tabs>
        <w:snapToGrid w:val="0"/>
        <w:spacing w:after="0" w:line="360" w:lineRule="auto"/>
        <w:ind w:firstLineChars="200"/>
        <w:rPr>
          <w:b/>
          <w:color w:val="auto"/>
          <w:szCs w:val="21"/>
          <w:highlight w:val="none"/>
        </w:rPr>
      </w:pPr>
      <w:r>
        <w:rPr>
          <w:rFonts w:hint="eastAsia" w:ascii="宋体" w:hAnsi="宋体" w:cs="宋体"/>
          <w:color w:val="auto"/>
          <w:szCs w:val="21"/>
          <w:highlight w:val="none"/>
        </w:rPr>
        <w:t>X:为等分点值，在开标前从[0,100]整数中随机抽取</w:t>
      </w:r>
    </w:p>
    <w:p>
      <w:pPr>
        <w:widowControl/>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pPr>
        <w:pStyle w:val="22"/>
        <w:tabs>
          <w:tab w:val="left" w:pos="7380"/>
        </w:tabs>
        <w:snapToGrid w:val="0"/>
        <w:spacing w:after="0" w:line="360" w:lineRule="auto"/>
        <w:ind w:left="0" w:firstLine="420" w:firstLineChars="200"/>
        <w:rPr>
          <w:rFonts w:hint="eastAsia"/>
          <w:b/>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widowControl/>
        <w:spacing w:line="360" w:lineRule="auto"/>
        <w:ind w:firstLine="413" w:firstLineChars="196"/>
        <w:jc w:val="left"/>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45．经济标评审和得分汇总</w:t>
      </w:r>
    </w:p>
    <w:p>
      <w:pPr>
        <w:pStyle w:val="22"/>
        <w:tabs>
          <w:tab w:val="left" w:pos="7380"/>
        </w:tabs>
        <w:snapToGrid w:val="0"/>
        <w:spacing w:after="0" w:line="360" w:lineRule="auto"/>
        <w:ind w:left="0" w:firstLine="420" w:firstLineChars="200"/>
        <w:rPr>
          <w:rFonts w:hint="eastAsia"/>
          <w:b/>
          <w:color w:val="auto"/>
          <w:szCs w:val="21"/>
          <w:highlight w:val="none"/>
        </w:rPr>
      </w:pPr>
      <w:r>
        <w:rPr>
          <w:rFonts w:hint="eastAsia" w:ascii="宋体" w:hAnsi="宋体" w:eastAsia="宋体" w:cs="宋体"/>
          <w:color w:val="auto"/>
          <w:szCs w:val="21"/>
          <w:highlight w:val="none"/>
          <w:lang w:val="en-US" w:eastAsia="zh-CN"/>
        </w:rPr>
        <w:t>45.1</w:t>
      </w:r>
      <w:r>
        <w:rPr>
          <w:rFonts w:hint="eastAsia" w:ascii="宋体" w:hAnsi="宋体" w:eastAsia="宋体" w:cs="宋体"/>
          <w:color w:val="auto"/>
          <w:szCs w:val="21"/>
          <w:highlight w:val="none"/>
        </w:rPr>
        <w:t>若通过技术标有效性审查的投标人中所有投标报价均大于等于最高投标限价，则本项目招标失败，由招标人依法重新招标。</w:t>
      </w:r>
    </w:p>
    <w:p>
      <w:pPr>
        <w:pStyle w:val="22"/>
        <w:tabs>
          <w:tab w:val="left" w:pos="7380"/>
        </w:tabs>
        <w:snapToGrid w:val="0"/>
        <w:spacing w:after="0" w:line="360" w:lineRule="auto"/>
        <w:ind w:left="0" w:firstLine="420" w:firstLineChars="200"/>
        <w:rPr>
          <w:rFonts w:ascii="宋体"/>
          <w:color w:val="auto"/>
          <w:szCs w:val="21"/>
          <w:highlight w:val="none"/>
        </w:rPr>
      </w:pPr>
      <w:r>
        <w:rPr>
          <w:rFonts w:hint="eastAsia" w:ascii="宋体" w:hAnsi="宋体"/>
          <w:color w:val="auto"/>
          <w:szCs w:val="21"/>
          <w:highlight w:val="none"/>
        </w:rPr>
        <w:t>45.2按方法</w:t>
      </w:r>
      <w:r>
        <w:rPr>
          <w:rFonts w:hint="eastAsia" w:ascii="宋体" w:hAnsi="宋体"/>
          <w:color w:val="auto"/>
          <w:szCs w:val="21"/>
          <w:highlight w:val="none"/>
          <w:u w:val="single"/>
        </w:rPr>
        <w:t xml:space="preserve">  一  </w:t>
      </w:r>
      <w:r>
        <w:rPr>
          <w:rFonts w:hint="eastAsia" w:ascii="宋体" w:hAnsi="宋体"/>
          <w:color w:val="auto"/>
          <w:szCs w:val="21"/>
          <w:highlight w:val="none"/>
        </w:rPr>
        <w:t>计算评标参考价：</w:t>
      </w:r>
    </w:p>
    <w:p>
      <w:pPr>
        <w:widowControl/>
        <w:pBdr>
          <w:bottom w:val="none" w:color="auto" w:sz="0" w:space="1"/>
        </w:pBdr>
        <w:spacing w:line="360" w:lineRule="auto"/>
        <w:ind w:firstLine="422" w:firstLineChars="200"/>
        <w:rPr>
          <w:rFonts w:ascii="宋体" w:hAnsi="宋体" w:cs="仿宋"/>
          <w:color w:val="auto"/>
          <w:szCs w:val="21"/>
          <w:highlight w:val="none"/>
          <w:u w:val="single"/>
        </w:rPr>
      </w:pPr>
      <w:r>
        <w:rPr>
          <w:rFonts w:hint="eastAsia" w:ascii="宋体" w:hAnsi="宋体" w:cs="仿宋"/>
          <w:b/>
          <w:bCs/>
          <w:color w:val="auto"/>
          <w:kern w:val="0"/>
          <w:szCs w:val="21"/>
          <w:highlight w:val="none"/>
        </w:rPr>
        <w:t>方法一：加权平均法</w:t>
      </w:r>
    </w:p>
    <w:p>
      <w:pPr>
        <w:pBdr>
          <w:bottom w:val="none" w:color="auto" w:sz="0" w:space="1"/>
        </w:pBd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u w:val="single"/>
        </w:rPr>
        <w:t>技术标得分前5名的经济报价加权平均(</w:t>
      </w:r>
      <w:r>
        <w:rPr>
          <w:rFonts w:hint="eastAsia" w:ascii="宋体" w:hAnsi="宋体" w:eastAsia="Times New Roman" w:cs="仿宋"/>
          <w:color w:val="auto"/>
          <w:szCs w:val="21"/>
          <w:highlight w:val="none"/>
          <w:u w:val="single"/>
          <w:lang w:bidi="ar"/>
        </w:rPr>
        <w:t>注：技术标得分相同的，以投标报价较低的排前；如仍存在相同情况，则对具有相同情况的投标人，由评标委员会采用投票方式，确定投标人技术标得分的排序。</w:t>
      </w:r>
      <w:r>
        <w:rPr>
          <w:rFonts w:hint="eastAsia" w:ascii="宋体" w:hAnsi="宋体" w:cs="仿宋"/>
          <w:color w:val="auto"/>
          <w:szCs w:val="21"/>
          <w:highlight w:val="none"/>
          <w:u w:val="single"/>
          <w:lang w:bidi="ar"/>
        </w:rPr>
        <w:t>)</w:t>
      </w:r>
      <w:r>
        <w:rPr>
          <w:rFonts w:hint="eastAsia" w:ascii="宋体" w:hAnsi="宋体" w:cs="仿宋"/>
          <w:color w:val="auto"/>
          <w:szCs w:val="21"/>
          <w:highlight w:val="none"/>
          <w:u w:val="single"/>
        </w:rPr>
        <w:t>，</w:t>
      </w:r>
      <w:r>
        <w:rPr>
          <w:rFonts w:hint="eastAsia" w:ascii="宋体" w:hAnsi="宋体" w:cs="仿宋"/>
          <w:color w:val="auto"/>
          <w:szCs w:val="21"/>
          <w:highlight w:val="none"/>
        </w:rPr>
        <w:t>计算评标参考价。公式如下：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pStyle w:val="22"/>
        <w:tabs>
          <w:tab w:val="left" w:pos="7380"/>
        </w:tabs>
        <w:snapToGrid w:val="0"/>
        <w:spacing w:after="0" w:line="360" w:lineRule="auto"/>
        <w:ind w:firstLine="417" w:firstLineChars="199"/>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0" distR="0">
            <wp:extent cx="381000" cy="4476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ascii="宋体" w:hAnsi="宋体"/>
          <w:color w:val="auto"/>
          <w:szCs w:val="21"/>
          <w:highlight w:val="none"/>
        </w:rPr>
        <w:drawing>
          <wp:inline distT="0" distB="0" distL="0" distR="0">
            <wp:extent cx="381000" cy="4476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0" distR="0">
            <wp:extent cx="323850" cy="4000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3850" cy="400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0" distR="0">
            <wp:extent cx="323850" cy="400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pBdr>
          <w:bottom w:val="single" w:color="auto" w:sz="6" w:space="1"/>
        </w:pBdr>
        <w:spacing w:line="360" w:lineRule="auto"/>
        <w:ind w:firstLine="420" w:firstLineChars="200"/>
        <w:rPr>
          <w:rFonts w:ascii="宋体"/>
          <w:color w:val="auto"/>
          <w:szCs w:val="21"/>
          <w:highlight w:val="none"/>
        </w:rPr>
      </w:pPr>
      <w:r>
        <w:rPr>
          <w:rFonts w:hint="eastAsia" w:ascii="宋体" w:hAnsi="宋体"/>
          <w:color w:val="auto"/>
          <w:szCs w:val="21"/>
          <w:highlight w:val="none"/>
        </w:rPr>
        <w:t>45.3当标价等于评标参考价时得100分，标价每高于评标参考价1%，扣</w:t>
      </w:r>
      <w:r>
        <w:rPr>
          <w:rFonts w:hint="eastAsia" w:ascii="宋体" w:hAnsi="宋体"/>
          <w:color w:val="auto"/>
          <w:szCs w:val="21"/>
          <w:highlight w:val="none"/>
          <w:u w:val="single"/>
        </w:rPr>
        <w:t>1.0</w:t>
      </w:r>
      <w:r>
        <w:rPr>
          <w:rFonts w:hint="eastAsia" w:ascii="宋体" w:hAnsi="宋体"/>
          <w:color w:val="auto"/>
          <w:szCs w:val="21"/>
          <w:highlight w:val="none"/>
        </w:rPr>
        <w:t>分，每低于评标参考价1%，扣</w:t>
      </w:r>
      <w:r>
        <w:rPr>
          <w:rFonts w:hint="eastAsia" w:ascii="宋体" w:hAnsi="宋体"/>
          <w:color w:val="auto"/>
          <w:szCs w:val="21"/>
          <w:highlight w:val="none"/>
          <w:u w:val="single"/>
        </w:rPr>
        <w:t>0.75</w:t>
      </w:r>
      <w:r>
        <w:rPr>
          <w:rFonts w:hint="eastAsia" w:ascii="宋体" w:hAnsi="宋体"/>
          <w:color w:val="auto"/>
          <w:szCs w:val="21"/>
          <w:highlight w:val="none"/>
        </w:rPr>
        <w:t>分，扣至0分为止，得出经济分，精确到小数点后两位。</w:t>
      </w:r>
    </w:p>
    <w:p>
      <w:pPr>
        <w:pBdr>
          <w:bottom w:val="single" w:color="auto" w:sz="6" w:space="1"/>
        </w:pBd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投标人总得分=技术得分×技术得分权重(20%)＋经济得分×经济得分权重(80%)。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条款号：46.2.8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olor w:val="auto"/>
          <w:szCs w:val="21"/>
          <w:highlight w:val="none"/>
        </w:rPr>
        <w:t>。</w:t>
      </w:r>
    </w:p>
    <w:p>
      <w:pPr>
        <w:spacing w:line="360" w:lineRule="auto"/>
        <w:ind w:firstLine="422" w:firstLineChars="200"/>
        <w:rPr>
          <w:b/>
          <w:color w:val="auto"/>
          <w:szCs w:val="21"/>
          <w:highlight w:val="none"/>
        </w:rPr>
      </w:pPr>
      <w:r>
        <w:rPr>
          <w:rFonts w:hint="eastAsia"/>
          <w:b/>
          <w:color w:val="auto"/>
          <w:szCs w:val="21"/>
          <w:highlight w:val="none"/>
        </w:rPr>
        <w:t>条款号：49</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ascii="宋体" w:hAnsi="宋体"/>
          <w:color w:val="auto"/>
          <w:sz w:val="21"/>
          <w:szCs w:val="21"/>
          <w:highlight w:val="none"/>
        </w:rPr>
        <w:t>4</w:t>
      </w:r>
      <w:r>
        <w:rPr>
          <w:rFonts w:hint="eastAsia" w:ascii="宋体" w:hAnsi="宋体"/>
          <w:color w:val="auto"/>
          <w:sz w:val="21"/>
          <w:szCs w:val="21"/>
          <w:highlight w:val="none"/>
        </w:rPr>
        <w:t>9.若通过经济标有效性审查的投标人不足三家，应当依法重新招标。（当</w:t>
      </w:r>
      <w:r>
        <w:rPr>
          <w:rFonts w:ascii="宋体" w:hAnsi="宋体"/>
          <w:color w:val="auto"/>
          <w:sz w:val="21"/>
          <w:szCs w:val="21"/>
          <w:highlight w:val="none"/>
        </w:rPr>
        <w:t>N</w:t>
      </w:r>
      <w:r>
        <w:rPr>
          <w:rFonts w:hint="eastAsia" w:ascii="宋体" w:hAnsi="宋体"/>
          <w:color w:val="auto"/>
          <w:sz w:val="21"/>
          <w:szCs w:val="21"/>
          <w:highlight w:val="none"/>
        </w:rPr>
        <w:t>个标段同时招标且不允许兼中时，若有效投标人不足</w:t>
      </w:r>
      <w:r>
        <w:rPr>
          <w:rFonts w:ascii="宋体" w:hAnsi="宋体"/>
          <w:color w:val="auto"/>
          <w:sz w:val="21"/>
          <w:szCs w:val="21"/>
          <w:highlight w:val="none"/>
        </w:rPr>
        <w:t>N+2</w:t>
      </w:r>
      <w:r>
        <w:rPr>
          <w:rFonts w:hint="eastAsia" w:ascii="宋体" w:hAnsi="宋体"/>
          <w:color w:val="auto"/>
          <w:sz w:val="21"/>
          <w:szCs w:val="21"/>
          <w:highlight w:val="none"/>
        </w:rPr>
        <w:t>家，应当依法重新招标）</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ascii="宋体" w:hAnsi="宋体"/>
          <w:color w:val="auto"/>
          <w:sz w:val="21"/>
          <w:szCs w:val="21"/>
          <w:highlight w:val="none"/>
        </w:rPr>
        <w:t>4</w:t>
      </w:r>
      <w:r>
        <w:rPr>
          <w:rFonts w:hint="eastAsia" w:ascii="宋体" w:hAnsi="宋体"/>
          <w:color w:val="auto"/>
          <w:sz w:val="21"/>
          <w:szCs w:val="21"/>
          <w:highlight w:val="none"/>
        </w:rPr>
        <w:t>9.若通过经济标有效性审查的投标人不足</w:t>
      </w:r>
      <w:r>
        <w:rPr>
          <w:rFonts w:hint="eastAsia" w:ascii="宋体" w:hAnsi="宋体"/>
          <w:b/>
          <w:color w:val="auto"/>
          <w:sz w:val="21"/>
          <w:szCs w:val="21"/>
          <w:highlight w:val="none"/>
          <w:u w:val="single"/>
          <w:lang w:val="en-US" w:eastAsia="zh-CN"/>
        </w:rPr>
        <w:t>三</w:t>
      </w:r>
      <w:r>
        <w:rPr>
          <w:rFonts w:hint="eastAsia" w:ascii="宋体" w:hAnsi="宋体"/>
          <w:color w:val="auto"/>
          <w:sz w:val="21"/>
          <w:szCs w:val="21"/>
          <w:highlight w:val="none"/>
        </w:rPr>
        <w:t>家，应当依法重新招标。</w:t>
      </w:r>
    </w:p>
    <w:p>
      <w:pPr>
        <w:spacing w:line="360" w:lineRule="auto"/>
        <w:ind w:firstLine="422" w:firstLineChars="200"/>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《资格审查表》</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条款号：附表二 《技术标有效性审查表》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条款号：附表三 《经济标有效性审查表》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条款号：附表四《技术标详细审查评分表》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spacing w:line="360" w:lineRule="auto"/>
        <w:ind w:firstLine="420"/>
        <w:rPr>
          <w:color w:val="auto"/>
          <w:kern w:val="0"/>
          <w:sz w:val="20"/>
          <w:szCs w:val="20"/>
          <w:highlight w:val="none"/>
        </w:rPr>
      </w:pPr>
      <w:r>
        <w:rPr>
          <w:color w:val="auto"/>
          <w:kern w:val="0"/>
          <w:sz w:val="20"/>
          <w:szCs w:val="20"/>
          <w:highlight w:val="none"/>
        </w:rPr>
        <w:br w:type="page"/>
      </w:r>
    </w:p>
    <w:p>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2272556"/>
      <w:bookmarkStart w:id="26" w:name="_Toc62056025"/>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pPr>
        <w:pStyle w:val="5"/>
        <w:spacing w:before="156" w:after="156"/>
        <w:ind w:firstLine="540" w:firstLineChars="200"/>
        <w:rPr>
          <w:color w:val="auto"/>
          <w:highlight w:val="none"/>
        </w:rPr>
      </w:pPr>
      <w:bookmarkStart w:id="27" w:name="_Toc21525501"/>
      <w:r>
        <w:rPr>
          <w:rFonts w:hint="eastAsia"/>
          <w:color w:val="auto"/>
          <w:highlight w:val="none"/>
        </w:rPr>
        <w:t>（一）总则</w:t>
      </w:r>
      <w:bookmarkEnd w:id="27"/>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8《广州市工程建设项目招标投标管理办法》（穗府办规〔2017〕5号）。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36.5.1在投标截止时间后半小时内，投标人通过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37.3 </w:t>
      </w:r>
      <w:r>
        <w:rPr>
          <w:rFonts w:hint="eastAsia" w:ascii="宋体" w:hAnsi="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37.4 </w:t>
      </w:r>
      <w:r>
        <w:rPr>
          <w:rFonts w:hint="eastAsia" w:ascii="宋体" w:hAnsi="宋体"/>
          <w:color w:val="auto"/>
          <w:sz w:val="24"/>
          <w:szCs w:val="24"/>
          <w:highlight w:val="none"/>
        </w:rPr>
        <w:t>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540" w:firstLineChars="200"/>
        <w:rPr>
          <w:color w:val="auto"/>
          <w:highlight w:val="none"/>
        </w:rPr>
      </w:pPr>
      <w:bookmarkStart w:id="28" w:name="_Toc21525502"/>
      <w:r>
        <w:rPr>
          <w:rFonts w:hint="eastAsia"/>
          <w:color w:val="auto"/>
          <w:highlight w:val="none"/>
        </w:rPr>
        <w:t>（二）开标评标办法程序和细则</w:t>
      </w:r>
      <w:bookmarkEnd w:id="2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pStyle w:val="5"/>
        <w:spacing w:before="156" w:after="156"/>
        <w:ind w:firstLine="540" w:firstLineChars="200"/>
        <w:rPr>
          <w:color w:val="auto"/>
          <w:highlight w:val="none"/>
        </w:rPr>
      </w:pPr>
      <w:bookmarkStart w:id="29" w:name="_Toc21525509"/>
      <w:r>
        <w:rPr>
          <w:rFonts w:hint="eastAsia"/>
          <w:color w:val="auto"/>
          <w:highlight w:val="none"/>
        </w:rPr>
        <w:t>可选办法七（适合综合评分法四，技术标与经济标同时开启）</w:t>
      </w:r>
      <w:bookmarkEnd w:id="29"/>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22"/>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22"/>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45.1若通过技术标有效性审查的投标人中所有投标报价均大于等于最高投标限价*D%（D的取值范围为[94,100],由招标人自主确定）的（具体金额为：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元），则本项目招标失败，由招标人依法重新招标。</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114300" distR="114300">
            <wp:extent cx="382270" cy="447040"/>
            <wp:effectExtent l="0" t="0" r="1778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382270" cy="447040"/>
                    </a:xfrm>
                    <a:prstGeom prst="rect">
                      <a:avLst/>
                    </a:prstGeom>
                    <a:noFill/>
                    <a:ln>
                      <a:noFill/>
                    </a:ln>
                  </pic:spPr>
                </pic:pic>
              </a:graphicData>
            </a:graphic>
          </wp:inline>
        </w:drawing>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114300" distR="114300">
            <wp:extent cx="382270" cy="447040"/>
            <wp:effectExtent l="0" t="0" r="17780" b="1016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7"/>
                    <a:stretch>
                      <a:fillRect/>
                    </a:stretch>
                  </pic:blipFill>
                  <pic:spPr>
                    <a:xfrm>
                      <a:off x="0" y="0"/>
                      <a:ext cx="382270" cy="44704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8"/>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9"/>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9"/>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22"/>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22"/>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pPr>
        <w:spacing w:after="120" w:line="360" w:lineRule="auto"/>
        <w:ind w:firstLine="480" w:firstLineChars="200"/>
        <w:rPr>
          <w:rFonts w:ascii="宋体" w:hAnsi="宋体"/>
          <w:color w:val="auto"/>
          <w:kern w:val="0"/>
          <w:sz w:val="24"/>
          <w:szCs w:val="24"/>
          <w:highlight w:val="none"/>
        </w:rPr>
      </w:pPr>
    </w:p>
    <w:p>
      <w:pPr>
        <w:spacing w:line="360" w:lineRule="auto"/>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pPr>
        <w:jc w:val="center"/>
        <w:outlineLvl w:val="1"/>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2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r>
              <w:rPr>
                <w:rFonts w:hint="default"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投标人均持有建设行政主管部门颁发的</w:t>
            </w:r>
            <w:r>
              <w:rPr>
                <w:rFonts w:hint="eastAsia" w:ascii="宋体" w:hAnsi="宋体"/>
                <w:color w:val="auto"/>
                <w:szCs w:val="21"/>
                <w:highlight w:val="none"/>
                <w:lang w:val="en-US" w:eastAsia="zh-CN"/>
              </w:rPr>
              <w:t>有效期内的</w:t>
            </w:r>
            <w:r>
              <w:rPr>
                <w:rFonts w:hint="eastAsia" w:ascii="宋体" w:hAnsi="宋体"/>
                <w:color w:val="auto"/>
                <w:szCs w:val="21"/>
                <w:highlight w:val="none"/>
              </w:rPr>
              <w:t>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使用有效期内的建造师证书在广州市住建行业信用管理平台内上传件</w:t>
            </w:r>
          </w:p>
          <w:p>
            <w:pPr>
              <w:keepNext/>
              <w:keepLines/>
              <w:suppressLineNumbers w:val="0"/>
              <w:spacing w:before="120" w:beforeAutospacing="0" w:after="120" w:afterAutospacing="0"/>
              <w:ind w:left="0" w:right="0"/>
              <w:jc w:val="center"/>
              <w:outlineLvl w:val="1"/>
              <w:rPr>
                <w:rFonts w:hint="default" w:ascii="Arial" w:hAnsi="Arial"/>
                <w:b/>
                <w:color w:val="auto"/>
                <w:sz w:val="28"/>
                <w:szCs w:val="24"/>
                <w:highlight w:val="none"/>
              </w:rPr>
            </w:pPr>
            <w:r>
              <w:rPr>
                <w:rFonts w:hint="default" w:ascii="宋体" w:hAnsi="宋体" w:cs="宋体"/>
                <w:color w:val="auto"/>
                <w:szCs w:val="21"/>
                <w:highlight w:val="none"/>
              </w:rPr>
              <w:t>（注：打印建造师电子证书后，应在个人签名处手写本人签名再上传广州市住建行业信用平台。）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持有项目负责人安全</w:t>
            </w:r>
            <w:r>
              <w:rPr>
                <w:rFonts w:hint="default"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项目负责人安全</w:t>
            </w:r>
            <w:r>
              <w:rPr>
                <w:rFonts w:hint="default" w:ascii="宋体" w:hAnsi="宋体" w:cs="宋体"/>
                <w:color w:val="auto"/>
                <w:szCs w:val="21"/>
                <w:highlight w:val="none"/>
              </w:rPr>
              <w:t>生产</w:t>
            </w:r>
            <w:r>
              <w:rPr>
                <w:rFonts w:hint="eastAsia" w:ascii="宋体" w:hAnsi="宋体" w:cs="宋体"/>
                <w:color w:val="auto"/>
                <w:szCs w:val="21"/>
                <w:highlight w:val="none"/>
              </w:rPr>
              <w:t>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拟委托技术负责人的相关证书、资料扫描件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hint="default"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olor w:val="auto"/>
                <w:szCs w:val="21"/>
                <w:highlight w:val="none"/>
              </w:rPr>
              <w:t>(</w:t>
            </w:r>
            <w:r>
              <w:rPr>
                <w:rFonts w:hint="default" w:ascii="宋体" w:hAnsi="宋体"/>
                <w:color w:val="auto"/>
                <w:szCs w:val="21"/>
                <w:highlight w:val="none"/>
              </w:rPr>
              <w:t>C3)</w:t>
            </w:r>
            <w:r>
              <w:rPr>
                <w:rFonts w:hint="eastAsia" w:ascii="宋体" w:hAnsi="宋体" w:cs="宋体"/>
                <w:color w:val="auto"/>
                <w:szCs w:val="21"/>
                <w:highlight w:val="none"/>
              </w:rPr>
              <w:t>在广州市住建行业信用管理平台内上传件。</w:t>
            </w:r>
            <w:r>
              <w:rPr>
                <w:rFonts w:hint="eastAsia" w:ascii="宋体" w:hAnsi="宋体" w:cs="宋体"/>
                <w:b/>
                <w:color w:val="auto"/>
                <w:szCs w:val="21"/>
                <w:highlight w:val="none"/>
              </w:rPr>
              <w:t>项目负责人和</w:t>
            </w:r>
            <w:r>
              <w:rPr>
                <w:rFonts w:hint="default" w:ascii="宋体" w:hAnsi="宋体" w:cs="宋体"/>
                <w:b/>
                <w:color w:val="auto"/>
                <w:szCs w:val="21"/>
                <w:highlight w:val="none"/>
              </w:rPr>
              <w:t>专职</w:t>
            </w:r>
            <w:r>
              <w:rPr>
                <w:rFonts w:hint="eastAsia" w:ascii="宋体" w:hAnsi="宋体" w:cs="宋体"/>
                <w:b/>
                <w:color w:val="auto"/>
                <w:szCs w:val="21"/>
                <w:highlight w:val="none"/>
              </w:rPr>
              <w:t>安全员不为同一人</w:t>
            </w:r>
            <w:r>
              <w:rPr>
                <w:rFonts w:hint="eastAsia"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left"/>
              <w:rPr>
                <w:rFonts w:hint="default" w:ascii="宋体" w:hAnsi="宋体"/>
                <w:color w:val="auto"/>
                <w:szCs w:val="21"/>
                <w:highlight w:val="none"/>
              </w:rPr>
            </w:pPr>
            <w:r>
              <w:rPr>
                <w:rFonts w:hint="eastAsia" w:ascii="宋体" w:hAnsi="宋体"/>
                <w:color w:val="auto"/>
                <w:szCs w:val="21"/>
                <w:highlight w:val="none"/>
              </w:rPr>
              <w:t>投标人完成过的类似工程业绩符合公告要求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按招标公告要求提供类似工程业绩相关证明资料</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s="宋体"/>
                <w:color w:val="auto"/>
                <w:szCs w:val="21"/>
                <w:highlight w:val="none"/>
                <w:lang w:val="en-US" w:eastAsia="zh-CN"/>
              </w:rPr>
              <w:t>9</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未在以往工程中因不充分履约行为被本项目招标人书面拒绝投标的</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s="宋体"/>
                <w:color w:val="auto"/>
                <w:szCs w:val="21"/>
                <w:highlight w:val="none"/>
                <w:u w:val="single"/>
              </w:rPr>
              <w:t>按招标公告附件二《被招标人拒绝投标的企业名单》进行评审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left"/>
              <w:rPr>
                <w:rFonts w:hint="default"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42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u w:val="single"/>
              </w:rPr>
            </w:pPr>
            <w:r>
              <w:rPr>
                <w:rFonts w:hint="eastAsia"/>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Autospacing="0" w:after="60" w:afterAutospacing="0"/>
              <w:ind w:left="0" w:right="0"/>
              <w:jc w:val="center"/>
              <w:rPr>
                <w:rFonts w:hint="default"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widowControl/>
        <w:spacing w:line="480" w:lineRule="auto"/>
        <w:ind w:firstLine="470" w:firstLineChars="224"/>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widowControl/>
        <w:spacing w:line="480" w:lineRule="auto"/>
        <w:ind w:firstLine="470" w:firstLineChars="224"/>
        <w:jc w:val="left"/>
        <w:rPr>
          <w:color w:val="auto"/>
          <w:highlight w:val="none"/>
        </w:rPr>
        <w:sectPr>
          <w:pgSz w:w="11906" w:h="16838"/>
          <w:pgMar w:top="1134" w:right="1418" w:bottom="1247" w:left="1418" w:header="851" w:footer="992" w:gutter="0"/>
          <w:cols w:space="720" w:num="1"/>
          <w:docGrid w:type="lines" w:linePitch="312" w:charSpace="0"/>
        </w:sectPr>
      </w:pPr>
      <w:r>
        <w:rPr>
          <w:rFonts w:ascii="宋体" w:hAnsi="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szCs w:val="21"/>
          <w:highlight w:val="none"/>
        </w:rPr>
      </w:pPr>
      <w:bookmarkStart w:id="30" w:name="_Toc2272566"/>
      <w:r>
        <w:rPr>
          <w:rFonts w:hint="eastAsia"/>
          <w:color w:val="auto"/>
          <w:szCs w:val="21"/>
          <w:highlight w:val="none"/>
        </w:rPr>
        <w:t>附表二</w:t>
      </w:r>
    </w:p>
    <w:p>
      <w:pPr>
        <w:jc w:val="center"/>
        <w:outlineLvl w:val="1"/>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4"/>
        <w:tblW w:w="1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098"/>
        <w:gridCol w:w="1276"/>
        <w:gridCol w:w="1276"/>
        <w:gridCol w:w="1134"/>
        <w:gridCol w:w="127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序号</w:t>
            </w:r>
          </w:p>
        </w:tc>
        <w:tc>
          <w:tcPr>
            <w:tcW w:w="7098" w:type="dxa"/>
            <w:tcBorders>
              <w:top w:val="single" w:color="auto" w:sz="4" w:space="0"/>
              <w:left w:val="single" w:color="auto" w:sz="4" w:space="0"/>
              <w:bottom w:val="single" w:color="auto" w:sz="4" w:space="0"/>
              <w:right w:val="single" w:color="auto" w:sz="4" w:space="0"/>
              <w:tl2br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w:t>
            </w:r>
          </w:p>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4</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（技术标格式之格式二、格式三、格式十</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rPr>
              <w:t>、格式十</w:t>
            </w:r>
            <w:r>
              <w:rPr>
                <w:rFonts w:hint="eastAsia" w:ascii="宋体" w:hAnsi="宋体"/>
                <w:color w:val="auto"/>
                <w:szCs w:val="21"/>
                <w:highlight w:val="none"/>
                <w:u w:val="single"/>
                <w:lang w:val="en-US" w:eastAsia="zh-CN"/>
              </w:rPr>
              <w:t>二</w:t>
            </w:r>
            <w:r>
              <w:rPr>
                <w:rFonts w:hint="eastAsia" w:ascii="宋体" w:hAnsi="宋体"/>
                <w:color w:val="auto"/>
                <w:szCs w:val="21"/>
                <w:highlight w:val="none"/>
                <w:u w:val="single"/>
              </w:rPr>
              <w:t>、格式十</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5</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6</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7</w:t>
            </w:r>
          </w:p>
        </w:tc>
        <w:tc>
          <w:tcPr>
            <w:tcW w:w="70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pacing w:before="0" w:beforeAutospacing="0" w:after="0" w:afterAutospacing="0"/>
              <w:ind w:left="0" w:right="0"/>
              <w:rPr>
                <w:rFonts w:hint="default" w:ascii="宋体" w:hAnsi="宋体"/>
                <w:color w:val="auto"/>
                <w:szCs w:val="21"/>
                <w:highlight w:val="none"/>
              </w:rPr>
            </w:pPr>
          </w:p>
        </w:tc>
      </w:tr>
    </w:tbl>
    <w:p>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1.本表使用GZZB2018-3招标文件范本，与范本内容不同之处均以下划线标明。技术标评审中，响应性、承诺性内容不应作为评分因素，可在该表中对上述内容进行符合性审查。审查标准须具备可操作性。</w:t>
      </w:r>
    </w:p>
    <w:p>
      <w:pPr>
        <w:rPr>
          <w:color w:val="auto"/>
          <w:szCs w:val="21"/>
          <w:highlight w:val="none"/>
        </w:rPr>
      </w:pPr>
      <w:r>
        <w:rPr>
          <w:rFonts w:hint="eastAsia" w:ascii="宋体" w:hAnsi="宋体" w:cs="宋体"/>
          <w:color w:val="auto"/>
          <w:szCs w:val="21"/>
          <w:highlight w:val="none"/>
          <w:lang w:bidi="ar"/>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color w:val="auto"/>
          <w:szCs w:val="21"/>
          <w:highlight w:val="none"/>
        </w:rPr>
      </w:pPr>
      <w:r>
        <w:rPr>
          <w:rFonts w:hint="eastAsia" w:ascii="宋体" w:hAnsi="宋体" w:cs="宋体"/>
          <w:color w:val="auto"/>
          <w:szCs w:val="21"/>
          <w:highlight w:val="none"/>
          <w:lang w:bidi="ar"/>
        </w:rPr>
        <w:t xml:space="preserve">    3.凡出现以上任何一项情形，结论均为无效，否则就为有效。</w:t>
      </w:r>
    </w:p>
    <w:p>
      <w:pPr>
        <w:ind w:firstLine="420" w:firstLineChars="200"/>
        <w:rPr>
          <w:color w:val="auto"/>
          <w:highlight w:val="none"/>
        </w:rPr>
      </w:pPr>
      <w:r>
        <w:rPr>
          <w:rFonts w:hint="eastAsia" w:ascii="宋体" w:hAnsi="宋体" w:cs="宋体"/>
          <w:color w:val="auto"/>
          <w:szCs w:val="21"/>
          <w:highlight w:val="none"/>
          <w:lang w:bidi="ar"/>
        </w:rPr>
        <w:t>4.如对本表中某种情形的评审意见不一致时，以评标委员会过半数成员的意见作为评标委员会对该情形的认定结论。</w:t>
      </w:r>
    </w:p>
    <w:p>
      <w:pPr>
        <w:ind w:firstLine="420" w:firstLineChars="200"/>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outlineLvl w:val="1"/>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w:t>
            </w:r>
          </w:p>
          <w:p>
            <w:pPr>
              <w:keepNext w:val="0"/>
              <w:keepLines w:val="0"/>
              <w:suppressLineNumbers w:val="0"/>
              <w:spacing w:before="0" w:beforeAutospacing="0" w:after="0" w:afterAutospacing="0"/>
              <w:ind w:left="0" w:right="0"/>
              <w:rPr>
                <w:rFonts w:hint="default" w:ascii="宋体" w:hAnsi="宋体"/>
                <w:color w:val="auto"/>
                <w:szCs w:val="21"/>
                <w:highlight w:val="none"/>
              </w:rPr>
            </w:pP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2" w:leftChars="-1" w:right="0"/>
              <w:jc w:val="left"/>
              <w:rPr>
                <w:rFonts w:hint="default"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hint="default"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bl>
    <w:p>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w:t>
      </w:r>
    </w:p>
    <w:p>
      <w:pPr>
        <w:ind w:firstLine="458"/>
        <w:rPr>
          <w:color w:val="auto"/>
          <w:szCs w:val="21"/>
          <w:highlight w:val="none"/>
        </w:rPr>
      </w:pPr>
      <w:r>
        <w:rPr>
          <w:rFonts w:hint="eastAsia" w:ascii="宋体" w:hAnsi="宋体" w:cs="宋体"/>
          <w:color w:val="auto"/>
          <w:szCs w:val="21"/>
          <w:highlight w:val="none"/>
          <w:lang w:bidi="ar"/>
        </w:rPr>
        <w:t>2.凡出现以上任何一项情形，结论均为无效，否则就为有效。</w:t>
      </w:r>
    </w:p>
    <w:p>
      <w:pPr>
        <w:ind w:firstLine="458"/>
        <w:rPr>
          <w:color w:val="auto"/>
          <w:szCs w:val="21"/>
          <w:highlight w:val="none"/>
        </w:rPr>
      </w:pPr>
      <w:r>
        <w:rPr>
          <w:rFonts w:hint="eastAsia" w:ascii="宋体" w:hAnsi="宋体" w:cs="宋体"/>
          <w:color w:val="auto"/>
          <w:szCs w:val="21"/>
          <w:highlight w:val="none"/>
          <w:lang w:bidi="ar"/>
        </w:rPr>
        <w:t>3.如对本表中某种情形的评审意见不一致时，以评标委员会过半数成员的意见作为评标委员会对该情形的认定结论。</w:t>
      </w:r>
    </w:p>
    <w:p>
      <w:pPr>
        <w:rPr>
          <w:color w:val="auto"/>
          <w:highlight w:val="none"/>
        </w:rPr>
      </w:pPr>
      <w:r>
        <w:rPr>
          <w:rFonts w:hint="eastAsia" w:ascii="宋体" w:hAnsi="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ind w:firstLine="458"/>
        <w:rPr>
          <w:rFonts w:ascii="宋体" w:hAnsi="宋体"/>
          <w:color w:val="auto"/>
          <w:szCs w:val="21"/>
          <w:highlight w:val="none"/>
        </w:rPr>
      </w:pPr>
    </w:p>
    <w:p>
      <w:pPr>
        <w:spacing w:after="120"/>
        <w:ind w:firstLine="458"/>
        <w:rPr>
          <w:rFonts w:ascii="宋体" w:hAnsi="宋体"/>
          <w:color w:val="auto"/>
          <w:kern w:val="0"/>
          <w:sz w:val="20"/>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kern w:val="0"/>
          <w:sz w:val="20"/>
          <w:szCs w:val="21"/>
          <w:highlight w:val="none"/>
        </w:rPr>
        <w:t>评委签名：</w:t>
      </w:r>
    </w:p>
    <w:p>
      <w:pPr>
        <w:rPr>
          <w:color w:val="auto"/>
          <w:szCs w:val="21"/>
          <w:highlight w:val="none"/>
        </w:rPr>
      </w:pPr>
      <w:r>
        <w:rPr>
          <w:rFonts w:hint="eastAsia"/>
          <w:color w:val="auto"/>
          <w:szCs w:val="21"/>
          <w:highlight w:val="none"/>
        </w:rPr>
        <w:t>附表四</w:t>
      </w:r>
    </w:p>
    <w:p>
      <w:pPr>
        <w:pStyle w:val="20"/>
        <w:widowControl/>
        <w:jc w:val="center"/>
        <w:rPr>
          <w:rFonts w:ascii="微软雅黑" w:hAnsi="微软雅黑" w:eastAsia="微软雅黑" w:cs="微软雅黑"/>
          <w:color w:val="auto"/>
          <w:highlight w:val="none"/>
        </w:rPr>
      </w:pPr>
      <w:r>
        <w:rPr>
          <w:rStyle w:val="27"/>
          <w:rFonts w:hint="eastAsia" w:ascii="宋体" w:hAnsi="宋体" w:cs="宋体"/>
          <w:bCs/>
          <w:color w:val="auto"/>
          <w:sz w:val="36"/>
          <w:szCs w:val="36"/>
          <w:highlight w:val="none"/>
          <w:shd w:val="clear" w:color="auto" w:fill="FFFFFF"/>
        </w:rPr>
        <w:t>技术标详细审查评分表</w:t>
      </w:r>
    </w:p>
    <w:p>
      <w:pPr>
        <w:pStyle w:val="20"/>
        <w:widowControl/>
        <w:jc w:val="left"/>
        <w:rPr>
          <w:rFonts w:ascii="微软雅黑" w:hAnsi="微软雅黑" w:eastAsia="微软雅黑" w:cs="微软雅黑"/>
          <w:color w:val="auto"/>
          <w:highlight w:val="none"/>
        </w:rPr>
      </w:pPr>
      <w:r>
        <w:rPr>
          <w:rFonts w:hint="eastAsia" w:ascii="宋体" w:hAnsi="宋体" w:cs="宋体"/>
          <w:color w:val="auto"/>
          <w:sz w:val="22"/>
          <w:highlight w:val="none"/>
          <w:shd w:val="clear" w:color="auto" w:fill="FFFFFF"/>
        </w:rPr>
        <w:t>工程名称：</w:t>
      </w:r>
    </w:p>
    <w:tbl>
      <w:tblPr>
        <w:tblStyle w:val="24"/>
        <w:tblW w:w="14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68"/>
        <w:gridCol w:w="719"/>
        <w:gridCol w:w="1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序号</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评审项目</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分值</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一</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b/>
                <w:color w:val="auto"/>
                <w:sz w:val="18"/>
                <w:szCs w:val="18"/>
                <w:highlight w:val="none"/>
              </w:rPr>
            </w:pPr>
            <w:r>
              <w:rPr>
                <w:rFonts w:hint="eastAsia" w:ascii="宋体" w:hAnsi="宋体" w:cs="宋体"/>
                <w:b/>
                <w:color w:val="auto"/>
                <w:kern w:val="0"/>
                <w:sz w:val="18"/>
                <w:szCs w:val="18"/>
                <w:highlight w:val="none"/>
                <w:lang w:bidi="ar"/>
              </w:rPr>
              <w:t>施工组织设计</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40</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trike/>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1.1</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施工方案</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25</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rPr>
                <w:rFonts w:hint="default" w:ascii="宋体" w:hAnsi="宋体" w:cs="宋体"/>
                <w:color w:val="auto"/>
                <w:kern w:val="0"/>
                <w:sz w:val="18"/>
                <w:szCs w:val="18"/>
                <w:highlight w:val="none"/>
                <w:lang w:val="en-US" w:bidi="ar"/>
              </w:rPr>
            </w:pPr>
            <w:r>
              <w:rPr>
                <w:rFonts w:hint="eastAsia" w:ascii="宋体" w:hAnsi="宋体" w:cs="宋体"/>
                <w:color w:val="auto"/>
                <w:kern w:val="0"/>
                <w:sz w:val="18"/>
                <w:szCs w:val="18"/>
                <w:highlight w:val="none"/>
                <w:lang w:val="en-US" w:eastAsia="zh-CN" w:bidi="ar"/>
              </w:rPr>
              <w:t xml:space="preserve">（1）针对本项目的特点，对高、低压配电施工的重点、难点分析到位，认识准确，有考虑设备安装及调试等影响因素，并针对重点、难点分析情况，提出可行、有效、经济、安全的处理措施。为优（6，10]分， </w:t>
            </w:r>
          </w:p>
          <w:p>
            <w:pPr>
              <w:keepNext w:val="0"/>
              <w:keepLines w:val="0"/>
              <w:suppressLineNumbers w:val="0"/>
              <w:adjustRightInd w:val="0"/>
              <w:spacing w:before="0" w:beforeAutospacing="0" w:after="0" w:afterAutospacing="0"/>
              <w:ind w:left="0" w:right="0"/>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针对本项目的特点，对高、低压配电施工的重点、难点分析有偏差，认识较准确，未能全面考虑设备安装及调试等影响因素，未能针对重点、难点分析情况提出较为合理、较为经济的处理措施，为中（3，6]分，</w:t>
            </w:r>
          </w:p>
          <w:p>
            <w:pPr>
              <w:keepNext w:val="0"/>
              <w:keepLines w:val="0"/>
              <w:suppressLineNumbers w:val="0"/>
              <w:adjustRightInd w:val="0"/>
              <w:spacing w:before="0" w:beforeAutospacing="0" w:after="0" w:afterAutospacing="0"/>
              <w:ind w:left="0" w:right="0"/>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针对本项目的特点，对高、低压配电施工的重点、难点分析不到位，认识不准确，未能考虑设备安装及调试等影响因素，未能针对重点、难点进行情况分析，提出不合理、无效、经济性差的处理措施，为差[0，3]分。</w:t>
            </w:r>
          </w:p>
          <w:p>
            <w:pPr>
              <w:keepNext w:val="0"/>
              <w:keepLines w:val="0"/>
              <w:suppressLineNumbers w:val="0"/>
              <w:adjustRightInd w:val="0"/>
              <w:spacing w:before="0" w:beforeAutospacing="0" w:after="0" w:afterAutospacing="0"/>
              <w:ind w:left="0" w:right="0"/>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（2）针对本项目投入的施工机械设备能满足工程施工进度的要求，拟投入用于保障项目实施车辆【必须包含货车、吊车等】齐全，投标人自有的，得6分；投标人部分临时租赁的，得3分；不满足不得分。</w:t>
            </w:r>
          </w:p>
          <w:p>
            <w:pPr>
              <w:keepNext w:val="0"/>
              <w:keepLines w:val="0"/>
              <w:suppressLineNumbers w:val="0"/>
              <w:adjustRightInd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val="en-US" w:eastAsia="zh-CN" w:bidi="ar"/>
              </w:rPr>
              <w:t>（3）方案中投入符合供电部门要求的特种作业操作证操作人员（高压电工，低压电工，电力电缆，继电保护，电气试验，焊接与热切割)，以上工种齐全，得9分；每少一个工种扣1.5分，最多扣至0分。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1.2</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调试、验收方案</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eastAsia" w:eastAsia="宋体"/>
                <w:color w:val="auto"/>
                <w:sz w:val="18"/>
                <w:szCs w:val="18"/>
                <w:highlight w:val="none"/>
                <w:lang w:eastAsia="zh-CN"/>
              </w:rPr>
            </w:pPr>
            <w:r>
              <w:rPr>
                <w:rFonts w:hint="eastAsia" w:ascii="宋体" w:hAnsi="宋体" w:cs="宋体"/>
                <w:color w:val="auto"/>
                <w:kern w:val="0"/>
                <w:sz w:val="18"/>
                <w:szCs w:val="18"/>
                <w:highlight w:val="none"/>
                <w:lang w:val="en-US" w:eastAsia="zh-CN" w:bidi="ar"/>
              </w:rPr>
              <w:t>5</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针对本项目特点，制定供电系统的调试工作方案，方案应包括人员安排（包括技术负责人、施工人员等）、机械设备材料投入等相关保障措施、调试验收内容、工作流程（含供电部门办理的相关手续）等内容，并承诺按期完成相关调试验收工作，确保竣工送电。</w:t>
            </w:r>
          </w:p>
          <w:p>
            <w:pPr>
              <w:keepNext w:val="0"/>
              <w:keepLines w:val="0"/>
              <w:suppressLineNumbers w:val="0"/>
              <w:adjustRightInd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提供调试验收工作方案且方案合理、满足工期要求，为优（</w:t>
            </w:r>
            <w:r>
              <w:rPr>
                <w:rFonts w:hint="default" w:ascii="宋体" w:hAnsi="宋体" w:cs="宋体"/>
                <w:color w:val="auto"/>
                <w:kern w:val="0"/>
                <w:sz w:val="18"/>
                <w:szCs w:val="18"/>
                <w:highlight w:val="none"/>
                <w:lang w:bidi="ar"/>
              </w:rPr>
              <w:t>3</w:t>
            </w:r>
            <w:r>
              <w:rPr>
                <w:rFonts w:hint="eastAsia" w:ascii="宋体" w:hAnsi="宋体" w:cs="宋体"/>
                <w:color w:val="auto"/>
                <w:kern w:val="0"/>
                <w:sz w:val="18"/>
                <w:szCs w:val="18"/>
                <w:highlight w:val="none"/>
                <w:lang w:bidi="ar"/>
              </w:rPr>
              <w:t>，</w:t>
            </w:r>
            <w:r>
              <w:rPr>
                <w:rFonts w:hint="default" w:ascii="宋体" w:hAnsi="宋体" w:cs="宋体"/>
                <w:color w:val="auto"/>
                <w:kern w:val="0"/>
                <w:sz w:val="18"/>
                <w:szCs w:val="18"/>
                <w:highlight w:val="none"/>
                <w:lang w:bidi="ar"/>
              </w:rPr>
              <w:t>5]</w:t>
            </w:r>
            <w:r>
              <w:rPr>
                <w:rFonts w:hint="eastAsia" w:ascii="宋体" w:hAnsi="宋体" w:cs="宋体"/>
                <w:color w:val="auto"/>
                <w:kern w:val="0"/>
                <w:sz w:val="18"/>
                <w:szCs w:val="18"/>
                <w:highlight w:val="none"/>
                <w:lang w:bidi="ar"/>
              </w:rPr>
              <w:t>分，</w:t>
            </w:r>
          </w:p>
          <w:p>
            <w:pPr>
              <w:keepNext w:val="0"/>
              <w:keepLines w:val="0"/>
              <w:suppressLineNumbers w:val="0"/>
              <w:adjustRightInd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提供调试验收工作方案且方案较为合理、满足工期能基本满足要求，为中（</w:t>
            </w:r>
            <w:r>
              <w:rPr>
                <w:rFonts w:hint="default"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w:t>
            </w:r>
            <w:r>
              <w:rPr>
                <w:rFonts w:hint="default" w:ascii="宋体" w:hAnsi="宋体" w:cs="宋体"/>
                <w:color w:val="auto"/>
                <w:kern w:val="0"/>
                <w:sz w:val="18"/>
                <w:szCs w:val="18"/>
                <w:highlight w:val="none"/>
                <w:lang w:bidi="ar"/>
              </w:rPr>
              <w:t>3]</w:t>
            </w:r>
            <w:r>
              <w:rPr>
                <w:rFonts w:hint="eastAsia" w:ascii="宋体" w:hAnsi="宋体" w:cs="宋体"/>
                <w:color w:val="auto"/>
                <w:kern w:val="0"/>
                <w:sz w:val="18"/>
                <w:szCs w:val="18"/>
                <w:highlight w:val="none"/>
                <w:lang w:bidi="ar"/>
              </w:rPr>
              <w:t>分，</w:t>
            </w:r>
          </w:p>
          <w:p>
            <w:pPr>
              <w:pStyle w:val="20"/>
              <w:keepNext w:val="0"/>
              <w:keepLines w:val="0"/>
              <w:suppressLineNumbers w:val="0"/>
              <w:spacing w:before="0" w:beforeAutospacing="0" w:after="0" w:afterAutospacing="0"/>
              <w:ind w:left="0" w:right="0"/>
              <w:rPr>
                <w:rFonts w:hint="default"/>
                <w:color w:val="auto"/>
                <w:sz w:val="20"/>
                <w:szCs w:val="20"/>
                <w:highlight w:val="none"/>
              </w:rPr>
            </w:pPr>
            <w:r>
              <w:rPr>
                <w:rFonts w:hint="eastAsia" w:ascii="宋体" w:hAnsi="宋体" w:cs="宋体"/>
                <w:color w:val="auto"/>
                <w:kern w:val="0"/>
                <w:sz w:val="18"/>
                <w:szCs w:val="18"/>
                <w:highlight w:val="none"/>
                <w:lang w:bidi="ar"/>
              </w:rPr>
              <w:t>提供调试验收工作方案且方案不完整、满足工期未能要求，为差</w:t>
            </w:r>
            <w:r>
              <w:rPr>
                <w:rFonts w:hint="default" w:ascii="宋体" w:hAnsi="宋体" w:cs="宋体"/>
                <w:color w:val="auto"/>
                <w:kern w:val="0"/>
                <w:sz w:val="18"/>
                <w:szCs w:val="18"/>
                <w:highlight w:val="none"/>
                <w:lang w:bidi="ar"/>
              </w:rPr>
              <w:t>[0</w:t>
            </w:r>
            <w:r>
              <w:rPr>
                <w:rFonts w:hint="eastAsia" w:ascii="宋体" w:hAnsi="宋体" w:cs="宋体"/>
                <w:color w:val="auto"/>
                <w:kern w:val="0"/>
                <w:sz w:val="18"/>
                <w:szCs w:val="18"/>
                <w:highlight w:val="none"/>
                <w:lang w:bidi="ar"/>
              </w:rPr>
              <w:t>，</w:t>
            </w:r>
            <w:r>
              <w:rPr>
                <w:rFonts w:hint="default"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1.3</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运行维护及质保期服务方案</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10</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highlight w:val="none"/>
                <w:u w:val="none"/>
              </w:rPr>
            </w:pPr>
            <w:r>
              <w:rPr>
                <w:rFonts w:hint="eastAsia" w:ascii="宋体" w:hAnsi="宋体" w:eastAsia="宋体" w:cs="宋体"/>
                <w:color w:val="auto"/>
                <w:sz w:val="18"/>
                <w:szCs w:val="18"/>
                <w:highlight w:val="none"/>
                <w:u w:val="none"/>
              </w:rPr>
              <w:t>（1）针对本工程运行维护的特点</w:t>
            </w:r>
            <w:r>
              <w:rPr>
                <w:rFonts w:hint="eastAsia" w:ascii="宋体" w:hAnsi="宋体" w:cs="宋体"/>
                <w:color w:val="auto"/>
                <w:sz w:val="18"/>
                <w:szCs w:val="18"/>
                <w:highlight w:val="none"/>
                <w:u w:val="none"/>
                <w:lang w:eastAsia="zh-CN"/>
              </w:rPr>
              <w:t>，在方案中</w:t>
            </w:r>
            <w:r>
              <w:rPr>
                <w:rFonts w:hint="eastAsia" w:ascii="宋体" w:hAnsi="宋体" w:eastAsia="宋体" w:cs="宋体"/>
                <w:color w:val="auto"/>
                <w:sz w:val="18"/>
                <w:szCs w:val="18"/>
                <w:highlight w:val="none"/>
                <w:u w:val="none"/>
              </w:rPr>
              <w:t>投入符合供电部门要求的特种作业操作证</w:t>
            </w:r>
            <w:r>
              <w:rPr>
                <w:rFonts w:hint="eastAsia" w:ascii="宋体" w:hAnsi="宋体" w:cs="宋体"/>
                <w:color w:val="auto"/>
                <w:sz w:val="18"/>
                <w:szCs w:val="18"/>
                <w:highlight w:val="none"/>
                <w:u w:val="none"/>
                <w:lang w:eastAsia="zh-CN"/>
              </w:rPr>
              <w:t>轮班</w:t>
            </w:r>
            <w:r>
              <w:rPr>
                <w:rFonts w:hint="eastAsia" w:ascii="宋体" w:hAnsi="宋体" w:cs="宋体"/>
                <w:color w:val="auto"/>
                <w:sz w:val="18"/>
                <w:szCs w:val="18"/>
                <w:highlight w:val="none"/>
                <w:u w:val="none"/>
                <w:lang w:val="en-US" w:eastAsia="zh-CN"/>
              </w:rPr>
              <w:t>高低压电工</w:t>
            </w:r>
            <w:r>
              <w:rPr>
                <w:rFonts w:hint="eastAsia" w:ascii="宋体" w:hAnsi="宋体" w:eastAsia="宋体" w:cs="宋体"/>
                <w:color w:val="auto"/>
                <w:sz w:val="18"/>
                <w:szCs w:val="18"/>
                <w:highlight w:val="none"/>
                <w:u w:val="none"/>
              </w:rPr>
              <w:t>人员</w:t>
            </w:r>
            <w:r>
              <w:rPr>
                <w:rFonts w:hint="eastAsia" w:ascii="宋体" w:hAnsi="宋体" w:cs="宋体"/>
                <w:color w:val="auto"/>
                <w:sz w:val="18"/>
                <w:szCs w:val="18"/>
                <w:highlight w:val="none"/>
                <w:u w:val="none"/>
                <w:lang w:val="en-US" w:eastAsia="zh-CN"/>
              </w:rPr>
              <w:t>13人以上</w:t>
            </w: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其中</w:t>
            </w:r>
            <w:r>
              <w:rPr>
                <w:rFonts w:hint="eastAsia" w:ascii="宋体" w:hAnsi="宋体" w:cs="宋体"/>
                <w:color w:val="auto"/>
                <w:sz w:val="18"/>
                <w:szCs w:val="18"/>
                <w:highlight w:val="none"/>
                <w:u w:val="none"/>
                <w:lang w:eastAsia="zh-CN"/>
              </w:rPr>
              <w:t>高压电工</w:t>
            </w:r>
            <w:r>
              <w:rPr>
                <w:rFonts w:hint="eastAsia" w:ascii="宋体" w:hAnsi="宋体" w:cs="宋体"/>
                <w:color w:val="auto"/>
                <w:sz w:val="18"/>
                <w:szCs w:val="18"/>
                <w:highlight w:val="none"/>
                <w:u w:val="none"/>
                <w:lang w:val="en-US" w:eastAsia="zh-CN"/>
              </w:rPr>
              <w:t>不少于7人</w:t>
            </w:r>
            <w:r>
              <w:rPr>
                <w:rFonts w:hint="eastAsia" w:ascii="宋体" w:hAnsi="宋体" w:cs="宋体"/>
                <w:color w:val="auto"/>
                <w:sz w:val="18"/>
                <w:szCs w:val="18"/>
                <w:highlight w:val="none"/>
                <w:u w:val="none"/>
                <w:lang w:eastAsia="zh-CN"/>
              </w:rPr>
              <w:t>）</w:t>
            </w:r>
            <w:r>
              <w:rPr>
                <w:rFonts w:hint="eastAsia" w:ascii="宋体" w:hAnsi="宋体" w:eastAsia="宋体" w:cs="宋体"/>
                <w:color w:val="auto"/>
                <w:sz w:val="18"/>
                <w:szCs w:val="18"/>
                <w:highlight w:val="none"/>
                <w:u w:val="none"/>
              </w:rPr>
              <w:t>及相关试验设备，有巡检工作方案，对承包范围内的线路设备进行运行维护管理，有突发设备故障的抢修方案，并提出可行、有效、安全的处理措施的，为优，（</w:t>
            </w:r>
            <w:r>
              <w:rPr>
                <w:rFonts w:hint="eastAsia" w:ascii="宋体" w:hAnsi="宋体" w:cs="宋体"/>
                <w:color w:val="auto"/>
                <w:sz w:val="18"/>
                <w:szCs w:val="18"/>
                <w:highlight w:val="none"/>
                <w:u w:val="none"/>
                <w:lang w:val="en-US" w:eastAsia="zh-CN"/>
              </w:rPr>
              <w:t>6</w:t>
            </w: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10</w:t>
            </w:r>
            <w:r>
              <w:rPr>
                <w:rFonts w:hint="eastAsia" w:ascii="宋体" w:hAnsi="宋体" w:eastAsia="宋体" w:cs="宋体"/>
                <w:color w:val="auto"/>
                <w:sz w:val="18"/>
                <w:szCs w:val="18"/>
                <w:highlight w:val="none"/>
                <w:u w:val="none"/>
              </w:rPr>
              <w:t>]分；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auto"/>
                <w:highlight w:val="none"/>
                <w:u w:val="none"/>
              </w:rPr>
            </w:pPr>
            <w:r>
              <w:rPr>
                <w:rFonts w:hint="eastAsia" w:ascii="宋体" w:hAnsi="宋体" w:eastAsia="宋体" w:cs="宋体"/>
                <w:color w:val="auto"/>
                <w:sz w:val="18"/>
                <w:szCs w:val="18"/>
                <w:highlight w:val="none"/>
                <w:u w:val="none"/>
              </w:rPr>
              <w:t>（2）针对本工程运行维护的特点，</w:t>
            </w:r>
            <w:r>
              <w:rPr>
                <w:rFonts w:hint="eastAsia" w:ascii="宋体" w:hAnsi="宋体" w:cs="宋体"/>
                <w:color w:val="auto"/>
                <w:sz w:val="18"/>
                <w:szCs w:val="18"/>
                <w:highlight w:val="none"/>
                <w:u w:val="none"/>
                <w:lang w:eastAsia="zh-CN"/>
              </w:rPr>
              <w:t>在方案中</w:t>
            </w:r>
            <w:r>
              <w:rPr>
                <w:rFonts w:hint="eastAsia" w:ascii="宋体" w:hAnsi="宋体" w:eastAsia="宋体" w:cs="宋体"/>
                <w:color w:val="auto"/>
                <w:sz w:val="18"/>
                <w:szCs w:val="18"/>
                <w:highlight w:val="none"/>
                <w:u w:val="none"/>
              </w:rPr>
              <w:t>投入符合供电部门要求的特种作业操作证</w:t>
            </w:r>
            <w:r>
              <w:rPr>
                <w:rFonts w:hint="eastAsia" w:ascii="宋体" w:hAnsi="宋体" w:cs="宋体"/>
                <w:color w:val="auto"/>
                <w:sz w:val="18"/>
                <w:szCs w:val="18"/>
                <w:highlight w:val="none"/>
                <w:u w:val="none"/>
                <w:lang w:eastAsia="zh-CN"/>
              </w:rPr>
              <w:t>轮班</w:t>
            </w:r>
            <w:r>
              <w:rPr>
                <w:rFonts w:hint="eastAsia" w:ascii="宋体" w:hAnsi="宋体" w:cs="宋体"/>
                <w:color w:val="auto"/>
                <w:sz w:val="18"/>
                <w:szCs w:val="18"/>
                <w:highlight w:val="none"/>
                <w:u w:val="none"/>
                <w:lang w:val="en-US" w:eastAsia="zh-CN"/>
              </w:rPr>
              <w:t>高低压电工</w:t>
            </w:r>
            <w:r>
              <w:rPr>
                <w:rFonts w:hint="eastAsia" w:ascii="宋体" w:hAnsi="宋体" w:eastAsia="宋体" w:cs="宋体"/>
                <w:color w:val="auto"/>
                <w:sz w:val="18"/>
                <w:szCs w:val="18"/>
                <w:highlight w:val="none"/>
                <w:u w:val="none"/>
              </w:rPr>
              <w:t>人员</w:t>
            </w:r>
            <w:r>
              <w:rPr>
                <w:rFonts w:hint="eastAsia" w:ascii="宋体" w:hAnsi="宋体" w:cs="宋体"/>
                <w:color w:val="auto"/>
                <w:sz w:val="18"/>
                <w:szCs w:val="18"/>
                <w:highlight w:val="none"/>
                <w:u w:val="none"/>
                <w:lang w:val="en-US" w:eastAsia="zh-CN"/>
              </w:rPr>
              <w:t>13人以上</w:t>
            </w: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其中</w:t>
            </w:r>
            <w:r>
              <w:rPr>
                <w:rFonts w:hint="eastAsia" w:ascii="宋体" w:hAnsi="宋体" w:cs="宋体"/>
                <w:color w:val="auto"/>
                <w:sz w:val="18"/>
                <w:szCs w:val="18"/>
                <w:highlight w:val="none"/>
                <w:u w:val="none"/>
                <w:lang w:eastAsia="zh-CN"/>
              </w:rPr>
              <w:t>高压电工</w:t>
            </w:r>
            <w:r>
              <w:rPr>
                <w:rFonts w:hint="eastAsia" w:ascii="宋体" w:hAnsi="宋体" w:cs="宋体"/>
                <w:color w:val="auto"/>
                <w:sz w:val="18"/>
                <w:szCs w:val="18"/>
                <w:highlight w:val="none"/>
                <w:u w:val="none"/>
                <w:lang w:val="en-US" w:eastAsia="zh-CN"/>
              </w:rPr>
              <w:t>不少于7人</w:t>
            </w:r>
            <w:r>
              <w:rPr>
                <w:rFonts w:hint="eastAsia" w:ascii="宋体" w:hAnsi="宋体" w:cs="宋体"/>
                <w:color w:val="auto"/>
                <w:sz w:val="18"/>
                <w:szCs w:val="18"/>
                <w:highlight w:val="none"/>
                <w:u w:val="none"/>
                <w:lang w:eastAsia="zh-CN"/>
              </w:rPr>
              <w:t>）</w:t>
            </w:r>
            <w:r>
              <w:rPr>
                <w:rFonts w:hint="eastAsia" w:ascii="宋体" w:hAnsi="宋体" w:eastAsia="宋体" w:cs="宋体"/>
                <w:color w:val="auto"/>
                <w:sz w:val="18"/>
                <w:szCs w:val="18"/>
                <w:highlight w:val="none"/>
                <w:u w:val="none"/>
              </w:rPr>
              <w:t>及相关试验设备，巡检工作方案较为完整，对承包范围内的线路设备进行运行维护管理，突发设备故障的抢修方案较为完整，处理措施较为完整的，为中，（</w:t>
            </w:r>
            <w:r>
              <w:rPr>
                <w:rFonts w:hint="eastAsia" w:ascii="宋体" w:hAnsi="宋体" w:cs="宋体"/>
                <w:color w:val="auto"/>
                <w:sz w:val="18"/>
                <w:szCs w:val="18"/>
                <w:highlight w:val="none"/>
                <w:u w:val="none"/>
                <w:lang w:val="en-US" w:eastAsia="zh-CN"/>
              </w:rPr>
              <w:t>3</w:t>
            </w: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6</w:t>
            </w:r>
            <w:r>
              <w:rPr>
                <w:rFonts w:hint="eastAsia" w:ascii="宋体" w:hAnsi="宋体" w:eastAsia="宋体" w:cs="宋体"/>
                <w:color w:val="auto"/>
                <w:sz w:val="18"/>
                <w:szCs w:val="18"/>
                <w:highlight w:val="none"/>
                <w:u w:val="none"/>
              </w:rPr>
              <w:t>]；</w:t>
            </w:r>
          </w:p>
          <w:p>
            <w:pPr>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3</w:t>
            </w:r>
            <w:r>
              <w:rPr>
                <w:rFonts w:hint="eastAsia" w:ascii="宋体" w:hAnsi="宋体" w:eastAsia="宋体" w:cs="宋体"/>
                <w:color w:val="auto"/>
                <w:sz w:val="18"/>
                <w:szCs w:val="18"/>
                <w:highlight w:val="none"/>
                <w:u w:val="none"/>
              </w:rPr>
              <w:t>）针对本工程运行维护的特点，</w:t>
            </w:r>
            <w:r>
              <w:rPr>
                <w:rFonts w:hint="eastAsia" w:ascii="宋体" w:hAnsi="宋体" w:cs="宋体"/>
                <w:color w:val="auto"/>
                <w:sz w:val="18"/>
                <w:szCs w:val="18"/>
                <w:highlight w:val="none"/>
                <w:u w:val="none"/>
                <w:lang w:eastAsia="zh-CN"/>
              </w:rPr>
              <w:t>在方案中</w:t>
            </w:r>
            <w:r>
              <w:rPr>
                <w:rFonts w:hint="eastAsia" w:ascii="宋体" w:hAnsi="宋体" w:eastAsia="宋体" w:cs="宋体"/>
                <w:color w:val="auto"/>
                <w:sz w:val="18"/>
                <w:szCs w:val="18"/>
                <w:highlight w:val="none"/>
                <w:u w:val="none"/>
              </w:rPr>
              <w:t>投入符合供电部门要求的特种作业操作证</w:t>
            </w:r>
            <w:r>
              <w:rPr>
                <w:rFonts w:hint="eastAsia" w:ascii="宋体" w:hAnsi="宋体" w:cs="宋体"/>
                <w:color w:val="auto"/>
                <w:sz w:val="18"/>
                <w:szCs w:val="18"/>
                <w:highlight w:val="none"/>
                <w:u w:val="none"/>
                <w:lang w:eastAsia="zh-CN"/>
              </w:rPr>
              <w:t>轮班</w:t>
            </w:r>
            <w:r>
              <w:rPr>
                <w:rFonts w:hint="eastAsia" w:ascii="宋体" w:hAnsi="宋体" w:cs="宋体"/>
                <w:color w:val="auto"/>
                <w:sz w:val="18"/>
                <w:szCs w:val="18"/>
                <w:highlight w:val="none"/>
                <w:u w:val="none"/>
                <w:lang w:val="en-US" w:eastAsia="zh-CN"/>
              </w:rPr>
              <w:t>高低压电工</w:t>
            </w:r>
            <w:r>
              <w:rPr>
                <w:rFonts w:hint="eastAsia" w:ascii="宋体" w:hAnsi="宋体" w:eastAsia="宋体" w:cs="宋体"/>
                <w:color w:val="auto"/>
                <w:sz w:val="18"/>
                <w:szCs w:val="18"/>
                <w:highlight w:val="none"/>
                <w:u w:val="none"/>
              </w:rPr>
              <w:t>人员</w:t>
            </w:r>
            <w:r>
              <w:rPr>
                <w:rFonts w:hint="eastAsia" w:ascii="宋体" w:hAnsi="宋体" w:cs="宋体"/>
                <w:color w:val="auto"/>
                <w:sz w:val="18"/>
                <w:szCs w:val="18"/>
                <w:highlight w:val="none"/>
                <w:u w:val="none"/>
                <w:lang w:val="en-US" w:eastAsia="zh-CN"/>
              </w:rPr>
              <w:t>13人以上</w:t>
            </w:r>
            <w:r>
              <w:rPr>
                <w:rFonts w:hint="eastAsia" w:ascii="宋体" w:hAnsi="宋体" w:eastAsia="宋体" w:cs="宋体"/>
                <w:color w:val="auto"/>
                <w:sz w:val="18"/>
                <w:szCs w:val="18"/>
                <w:highlight w:val="none"/>
                <w:u w:val="none"/>
              </w:rPr>
              <w:t>（</w:t>
            </w:r>
            <w:r>
              <w:rPr>
                <w:rFonts w:hint="eastAsia" w:ascii="宋体" w:hAnsi="宋体" w:cs="宋体"/>
                <w:color w:val="auto"/>
                <w:sz w:val="18"/>
                <w:szCs w:val="18"/>
                <w:highlight w:val="none"/>
                <w:u w:val="none"/>
                <w:lang w:val="en-US" w:eastAsia="zh-CN"/>
              </w:rPr>
              <w:t>其中</w:t>
            </w:r>
            <w:r>
              <w:rPr>
                <w:rFonts w:hint="eastAsia" w:ascii="宋体" w:hAnsi="宋体" w:cs="宋体"/>
                <w:color w:val="auto"/>
                <w:sz w:val="18"/>
                <w:szCs w:val="18"/>
                <w:highlight w:val="none"/>
                <w:u w:val="none"/>
                <w:lang w:eastAsia="zh-CN"/>
              </w:rPr>
              <w:t>高压电工</w:t>
            </w:r>
            <w:r>
              <w:rPr>
                <w:rFonts w:hint="eastAsia" w:ascii="宋体" w:hAnsi="宋体" w:cs="宋体"/>
                <w:color w:val="auto"/>
                <w:sz w:val="18"/>
                <w:szCs w:val="18"/>
                <w:highlight w:val="none"/>
                <w:u w:val="none"/>
                <w:lang w:val="en-US" w:eastAsia="zh-CN"/>
              </w:rPr>
              <w:t>不少于7人</w:t>
            </w:r>
            <w:r>
              <w:rPr>
                <w:rFonts w:hint="eastAsia" w:ascii="宋体" w:hAnsi="宋体" w:cs="宋体"/>
                <w:color w:val="auto"/>
                <w:sz w:val="18"/>
                <w:szCs w:val="18"/>
                <w:highlight w:val="none"/>
                <w:u w:val="none"/>
                <w:lang w:eastAsia="zh-CN"/>
              </w:rPr>
              <w:t>）</w:t>
            </w:r>
            <w:r>
              <w:rPr>
                <w:rFonts w:hint="eastAsia" w:ascii="宋体" w:hAnsi="宋体" w:eastAsia="宋体" w:cs="宋体"/>
                <w:color w:val="auto"/>
                <w:sz w:val="18"/>
                <w:szCs w:val="18"/>
                <w:highlight w:val="none"/>
                <w:u w:val="none"/>
              </w:rPr>
              <w:t>及相关试验设备，无巡检工作方案，对承包范围内的线路设备进行运行维护管理，没有突发设备故障的抢修方案，无处理措施的，为差，[0，</w:t>
            </w:r>
            <w:r>
              <w:rPr>
                <w:rFonts w:hint="eastAsia" w:ascii="宋体" w:hAnsi="宋体" w:cs="宋体"/>
                <w:color w:val="auto"/>
                <w:sz w:val="18"/>
                <w:szCs w:val="18"/>
                <w:highlight w:val="none"/>
                <w:u w:val="none"/>
                <w:lang w:val="en-US" w:eastAsia="zh-CN"/>
              </w:rPr>
              <w:t>3</w:t>
            </w:r>
            <w:r>
              <w:rPr>
                <w:rFonts w:hint="eastAsia" w:ascii="宋体" w:hAnsi="宋体" w:eastAsia="宋体" w:cs="宋体"/>
                <w:color w:val="auto"/>
                <w:sz w:val="18"/>
                <w:szCs w:val="18"/>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二</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b/>
                <w:color w:val="auto"/>
                <w:sz w:val="18"/>
                <w:szCs w:val="18"/>
                <w:highlight w:val="none"/>
              </w:rPr>
            </w:pPr>
            <w:r>
              <w:rPr>
                <w:rFonts w:hint="eastAsia" w:ascii="宋体" w:hAnsi="宋体" w:cs="宋体"/>
                <w:b/>
                <w:color w:val="auto"/>
                <w:kern w:val="0"/>
                <w:sz w:val="18"/>
                <w:szCs w:val="18"/>
                <w:highlight w:val="none"/>
                <w:lang w:bidi="ar"/>
              </w:rPr>
              <w:t>组织架构</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30</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Cs/>
                <w:color w:val="auto"/>
                <w:sz w:val="18"/>
                <w:szCs w:val="18"/>
                <w:highlight w:val="none"/>
              </w:rPr>
            </w:pPr>
            <w:r>
              <w:rPr>
                <w:rFonts w:hint="eastAsia" w:ascii="宋体" w:hAnsi="宋体" w:cs="宋体"/>
                <w:bCs/>
                <w:color w:val="auto"/>
                <w:kern w:val="0"/>
                <w:sz w:val="18"/>
                <w:szCs w:val="18"/>
                <w:highlight w:val="none"/>
                <w:lang w:bidi="ar"/>
              </w:rPr>
              <w:t>2.1</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项目负责人</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5</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suppressLineNumbers w:val="0"/>
              <w:spacing w:before="0" w:beforeAutospacing="0" w:after="0" w:afterAutospacing="0"/>
              <w:ind w:left="0" w:right="0"/>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（1）项目负责人具有电气类中级工程师或以上职称的，得2分；不满足前述条件的本小项不得分；本小项最多得2分。</w:t>
            </w:r>
          </w:p>
          <w:p>
            <w:pPr>
              <w:pStyle w:val="13"/>
              <w:keepNext w:val="0"/>
              <w:keepLines w:val="0"/>
              <w:suppressLineNumbers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（2）201</w:t>
            </w:r>
            <w:r>
              <w:rPr>
                <w:rFonts w:hint="eastAsia" w:ascii="宋体" w:hAnsi="宋体" w:cs="宋体"/>
                <w:color w:val="auto"/>
                <w:kern w:val="0"/>
                <w:sz w:val="18"/>
                <w:szCs w:val="18"/>
                <w:highlight w:val="none"/>
                <w:lang w:val="en-US" w:eastAsia="zh-CN" w:bidi="ar"/>
              </w:rPr>
              <w:t>9</w:t>
            </w:r>
            <w:r>
              <w:rPr>
                <w:rFonts w:hint="eastAsia" w:ascii="宋体" w:hAnsi="宋体" w:cs="宋体"/>
                <w:color w:val="auto"/>
                <w:kern w:val="0"/>
                <w:sz w:val="18"/>
                <w:szCs w:val="18"/>
                <w:highlight w:val="none"/>
                <w:lang w:bidi="ar"/>
              </w:rPr>
              <w:t>年1月1日至今，担任项目负责人完成过质量合格的类似工程业绩的</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每项</w:t>
            </w:r>
            <w:r>
              <w:rPr>
                <w:rFonts w:hint="eastAsia" w:ascii="宋体" w:hAnsi="宋体" w:cs="宋体"/>
                <w:color w:val="auto"/>
                <w:kern w:val="0"/>
                <w:sz w:val="18"/>
                <w:szCs w:val="18"/>
                <w:highlight w:val="none"/>
                <w:lang w:bidi="ar"/>
              </w:rPr>
              <w:t>得</w:t>
            </w:r>
            <w:r>
              <w:rPr>
                <w:rFonts w:hint="eastAsia" w:hAnsi="宋体" w:cs="宋体"/>
                <w:color w:val="auto"/>
                <w:kern w:val="0"/>
                <w:sz w:val="18"/>
                <w:szCs w:val="18"/>
                <w:highlight w:val="none"/>
                <w:lang w:val="en-US" w:eastAsia="zh-CN" w:bidi="ar"/>
              </w:rPr>
              <w:t>1.5</w:t>
            </w:r>
            <w:r>
              <w:rPr>
                <w:rFonts w:hint="eastAsia" w:ascii="宋体" w:hAnsi="宋体" w:cs="宋体"/>
                <w:color w:val="auto"/>
                <w:kern w:val="0"/>
                <w:sz w:val="18"/>
                <w:szCs w:val="18"/>
                <w:highlight w:val="none"/>
                <w:lang w:bidi="ar"/>
              </w:rPr>
              <w:t>分，本</w:t>
            </w:r>
            <w:r>
              <w:rPr>
                <w:rFonts w:hint="eastAsia" w:hAnsi="宋体" w:cs="宋体"/>
                <w:color w:val="auto"/>
                <w:kern w:val="0"/>
                <w:sz w:val="18"/>
                <w:szCs w:val="18"/>
                <w:highlight w:val="none"/>
                <w:lang w:val="en-US" w:eastAsia="zh-CN" w:bidi="ar"/>
              </w:rPr>
              <w:t>小</w:t>
            </w:r>
            <w:r>
              <w:rPr>
                <w:rFonts w:hint="eastAsia" w:ascii="宋体" w:hAnsi="宋体" w:cs="宋体"/>
                <w:color w:val="auto"/>
                <w:kern w:val="0"/>
                <w:sz w:val="18"/>
                <w:szCs w:val="18"/>
                <w:highlight w:val="none"/>
                <w:lang w:bidi="ar"/>
              </w:rPr>
              <w:t>项最多得3分。</w:t>
            </w:r>
          </w:p>
          <w:p>
            <w:pPr>
              <w:pStyle w:val="13"/>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color w:val="auto"/>
                <w:kern w:val="0"/>
                <w:sz w:val="18"/>
                <w:szCs w:val="18"/>
                <w:highlight w:val="none"/>
                <w:lang w:bidi="ar"/>
              </w:rPr>
              <w:t>本项满分5分。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Cs/>
                <w:color w:val="auto"/>
                <w:sz w:val="18"/>
                <w:szCs w:val="18"/>
                <w:highlight w:val="none"/>
              </w:rPr>
            </w:pPr>
            <w:r>
              <w:rPr>
                <w:rFonts w:hint="eastAsia" w:ascii="宋体" w:hAnsi="宋体" w:cs="宋体"/>
                <w:bCs/>
                <w:color w:val="auto"/>
                <w:kern w:val="0"/>
                <w:sz w:val="18"/>
                <w:szCs w:val="18"/>
                <w:highlight w:val="none"/>
                <w:lang w:bidi="ar"/>
              </w:rPr>
              <w:t>2.2</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组织架构及主要技术管理人员配备</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25</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（1）项目经理部组成人员配备符合本招标文件第五章技术条件中《项目经理部组成人员配备要求表》要求，提供相应证明资料齐全的得</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分。</w:t>
            </w:r>
          </w:p>
          <w:p>
            <w:pPr>
              <w:keepNext w:val="0"/>
              <w:keepLines w:val="0"/>
              <w:suppressLineNumbers w:val="0"/>
              <w:spacing w:before="0" w:beforeAutospacing="0" w:after="0" w:afterAutospacing="0"/>
              <w:ind w:left="0" w:right="0"/>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（2）在满足《项目经理部组成人员配备要求表》的基础上，深化设计工程师具有注册电气工程师证书的，得6分，本小项最多得6分。</w:t>
            </w:r>
          </w:p>
          <w:p>
            <w:pPr>
              <w:keepNext w:val="0"/>
              <w:keepLines w:val="0"/>
              <w:suppressLineNumbers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）在满足《项目经理部组成人员配备要求表》的基础上，造价负责人具有</w:t>
            </w:r>
            <w:r>
              <w:rPr>
                <w:rFonts w:hint="eastAsia" w:ascii="宋体" w:hAnsi="宋体" w:cs="宋体"/>
                <w:color w:val="auto"/>
                <w:kern w:val="0"/>
                <w:sz w:val="18"/>
                <w:szCs w:val="18"/>
                <w:highlight w:val="none"/>
                <w:lang w:val="en-US" w:eastAsia="zh-CN" w:bidi="ar"/>
              </w:rPr>
              <w:t>一</w:t>
            </w:r>
            <w:r>
              <w:rPr>
                <w:rFonts w:hint="eastAsia" w:ascii="宋体" w:hAnsi="宋体" w:cs="宋体"/>
                <w:color w:val="auto"/>
                <w:kern w:val="0"/>
                <w:sz w:val="18"/>
                <w:szCs w:val="18"/>
                <w:highlight w:val="none"/>
                <w:lang w:bidi="ar"/>
              </w:rPr>
              <w:t>级注册造价工程师</w:t>
            </w:r>
            <w:r>
              <w:rPr>
                <w:rFonts w:hint="default"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安装专业）或以上资格的，得</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分，本小项最多得</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分。</w:t>
            </w:r>
          </w:p>
          <w:p>
            <w:pPr>
              <w:keepNext w:val="0"/>
              <w:keepLines w:val="0"/>
              <w:suppressLineNumbers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）在满足《项目经理部组成人员配备要求表》的基础上，专职安全员具有注册安全工程师资格的，得</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分，本小项最多得</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分。</w:t>
            </w:r>
          </w:p>
          <w:p>
            <w:pPr>
              <w:keepNext w:val="0"/>
              <w:keepLines w:val="0"/>
              <w:suppressLineNumbers w:val="0"/>
              <w:spacing w:before="0" w:beforeAutospacing="0" w:after="0" w:afterAutospacing="0"/>
              <w:ind w:left="0" w:right="0"/>
              <w:rPr>
                <w:rFonts w:hint="default"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）在满足《项目经理部组成人员配备要求表》的基础上，工作负责人或工作票签发人具有电气工程类专业中级或以上职称</w:t>
            </w:r>
            <w:r>
              <w:rPr>
                <w:rFonts w:hint="eastAsia" w:ascii="宋体" w:hAnsi="宋体" w:cs="宋体"/>
                <w:color w:val="auto"/>
                <w:kern w:val="0"/>
                <w:sz w:val="18"/>
                <w:szCs w:val="18"/>
                <w:highlight w:val="none"/>
                <w:lang w:val="en-US" w:eastAsia="zh-CN" w:bidi="ar"/>
              </w:rPr>
              <w:t>的</w:t>
            </w:r>
            <w:r>
              <w:rPr>
                <w:rFonts w:hint="eastAsia" w:ascii="宋体" w:hAnsi="宋体" w:cs="宋体"/>
                <w:color w:val="auto"/>
                <w:kern w:val="0"/>
                <w:sz w:val="18"/>
                <w:szCs w:val="18"/>
                <w:highlight w:val="none"/>
                <w:lang w:bidi="ar"/>
              </w:rPr>
              <w:t>，每人得</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分，本小项最高</w:t>
            </w: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分。</w:t>
            </w:r>
          </w:p>
          <w:p>
            <w:pPr>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本项满分25分。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三</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b/>
                <w:color w:val="auto"/>
                <w:sz w:val="18"/>
                <w:szCs w:val="18"/>
                <w:highlight w:val="none"/>
              </w:rPr>
            </w:pPr>
            <w:r>
              <w:rPr>
                <w:rFonts w:hint="eastAsia" w:ascii="宋体" w:hAnsi="宋体" w:cs="宋体"/>
                <w:b/>
                <w:color w:val="auto"/>
                <w:kern w:val="0"/>
                <w:sz w:val="18"/>
                <w:szCs w:val="18"/>
                <w:highlight w:val="none"/>
                <w:lang w:bidi="ar"/>
              </w:rPr>
              <w:t>企业资信</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
                <w:color w:val="auto"/>
                <w:sz w:val="18"/>
                <w:szCs w:val="18"/>
                <w:highlight w:val="none"/>
              </w:rPr>
            </w:pPr>
            <w:r>
              <w:rPr>
                <w:rFonts w:hint="eastAsia" w:ascii="宋体" w:hAnsi="宋体" w:cs="宋体"/>
                <w:b/>
                <w:color w:val="auto"/>
                <w:kern w:val="0"/>
                <w:sz w:val="18"/>
                <w:szCs w:val="18"/>
                <w:highlight w:val="none"/>
                <w:lang w:bidi="ar"/>
              </w:rPr>
              <w:t>30</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Cs/>
                <w:color w:val="auto"/>
                <w:sz w:val="18"/>
                <w:szCs w:val="18"/>
                <w:highlight w:val="none"/>
              </w:rPr>
            </w:pPr>
            <w:r>
              <w:rPr>
                <w:rFonts w:hint="eastAsia" w:ascii="宋体" w:hAnsi="宋体" w:cs="宋体"/>
                <w:bCs/>
                <w:color w:val="auto"/>
                <w:kern w:val="0"/>
                <w:sz w:val="18"/>
                <w:szCs w:val="18"/>
                <w:highlight w:val="none"/>
                <w:lang w:bidi="ar"/>
              </w:rPr>
              <w:t>3.1</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企业类似工程业绩</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eastAsia="宋体"/>
                <w:bCs/>
                <w:color w:val="auto"/>
                <w:sz w:val="18"/>
                <w:szCs w:val="18"/>
                <w:highlight w:val="none"/>
                <w:lang w:val="en-US" w:eastAsia="zh-CN"/>
              </w:rPr>
            </w:pPr>
            <w:r>
              <w:rPr>
                <w:rFonts w:hint="eastAsia" w:ascii="宋体" w:hAnsi="宋体" w:cs="宋体"/>
                <w:bCs/>
                <w:color w:val="auto"/>
                <w:kern w:val="0"/>
                <w:sz w:val="18"/>
                <w:szCs w:val="18"/>
                <w:highlight w:val="none"/>
                <w:lang w:val="en-US" w:eastAsia="zh-CN" w:bidi="ar"/>
              </w:rPr>
              <w:t>24</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val="en-US" w:eastAsia="zh-CN" w:bidi="ar"/>
              </w:rPr>
              <w:t>2019</w:t>
            </w:r>
            <w:r>
              <w:rPr>
                <w:rFonts w:hint="eastAsia" w:ascii="宋体" w:hAnsi="宋体" w:cs="宋体"/>
                <w:color w:val="auto"/>
                <w:kern w:val="0"/>
                <w:sz w:val="18"/>
                <w:szCs w:val="18"/>
                <w:highlight w:val="none"/>
                <w:lang w:bidi="ar"/>
              </w:rPr>
              <w:t>年1月1日至今，投标人完成过质量合格的类似工程业绩的，每项得</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分。本项最多得</w:t>
            </w:r>
            <w:r>
              <w:rPr>
                <w:rFonts w:hint="eastAsia" w:ascii="宋体" w:hAnsi="宋体" w:cs="宋体"/>
                <w:color w:val="auto"/>
                <w:kern w:val="0"/>
                <w:sz w:val="18"/>
                <w:szCs w:val="18"/>
                <w:highlight w:val="none"/>
                <w:lang w:val="en-US" w:eastAsia="zh-CN" w:bidi="ar"/>
              </w:rPr>
              <w:t>24</w:t>
            </w:r>
            <w:r>
              <w:rPr>
                <w:rFonts w:hint="eastAsia" w:ascii="宋体" w:hAnsi="宋体" w:cs="宋体"/>
                <w:color w:val="auto"/>
                <w:kern w:val="0"/>
                <w:sz w:val="18"/>
                <w:szCs w:val="18"/>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3.2</w:t>
            </w:r>
          </w:p>
        </w:tc>
        <w:tc>
          <w:tcPr>
            <w:tcW w:w="2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第三方评价</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color w:val="auto"/>
                <w:sz w:val="18"/>
                <w:szCs w:val="18"/>
                <w:highlight w:val="none"/>
              </w:rPr>
            </w:pPr>
            <w:r>
              <w:rPr>
                <w:rFonts w:hint="eastAsia" w:ascii="宋体" w:hAnsi="宋体" w:cs="宋体"/>
                <w:color w:val="auto"/>
                <w:kern w:val="0"/>
                <w:sz w:val="18"/>
                <w:szCs w:val="18"/>
                <w:highlight w:val="none"/>
                <w:lang w:bidi="ar"/>
              </w:rPr>
              <w:t>6</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投标人至今（含2022年）被评为纳税信用A级纳税人称号的：</w:t>
            </w:r>
          </w:p>
          <w:p>
            <w:pPr>
              <w:pStyle w:val="20"/>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（1）连续5个年度或以上被评为纳税信用A级纳税人称号的得6分；</w:t>
            </w:r>
          </w:p>
          <w:p>
            <w:pPr>
              <w:pStyle w:val="20"/>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（2）连续3-4个年度被评为纳税信用A级纳税人称号的得</w:t>
            </w: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分；</w:t>
            </w:r>
          </w:p>
          <w:p>
            <w:pPr>
              <w:pStyle w:val="20"/>
              <w:keepNext w:val="0"/>
              <w:keepLines w:val="0"/>
              <w:suppressLineNumbers w:val="0"/>
              <w:spacing w:before="0" w:beforeAutospacing="0" w:after="0" w:afterAutospacing="0"/>
              <w:ind w:left="0" w:right="0"/>
              <w:rPr>
                <w:rFonts w:hint="default"/>
                <w:color w:val="auto"/>
                <w:sz w:val="18"/>
                <w:szCs w:val="18"/>
                <w:highlight w:val="none"/>
              </w:rPr>
            </w:pPr>
            <w:r>
              <w:rPr>
                <w:rFonts w:hint="eastAsia" w:ascii="宋体" w:hAnsi="宋体" w:cs="宋体"/>
                <w:color w:val="auto"/>
                <w:kern w:val="0"/>
                <w:sz w:val="18"/>
                <w:szCs w:val="18"/>
                <w:highlight w:val="none"/>
                <w:lang w:bidi="ar"/>
              </w:rPr>
              <w:t>（3）只有1-2个年度被评为纳税信用A级纳税人称号的得</w:t>
            </w:r>
            <w:r>
              <w:rPr>
                <w:rFonts w:hint="eastAsia" w:ascii="宋体" w:hAnsi="宋体" w:cs="宋体"/>
                <w:color w:val="auto"/>
                <w:kern w:val="0"/>
                <w:sz w:val="18"/>
                <w:szCs w:val="18"/>
                <w:highlight w:val="none"/>
                <w:lang w:val="en-US" w:eastAsia="zh-CN" w:bidi="ar"/>
              </w:rPr>
              <w:t>2</w:t>
            </w:r>
            <w:r>
              <w:rPr>
                <w:rFonts w:hint="eastAsia" w:ascii="宋体" w:hAnsi="宋体" w:cs="宋体"/>
                <w:color w:val="auto"/>
                <w:kern w:val="0"/>
                <w:sz w:val="18"/>
                <w:szCs w:val="18"/>
                <w:highlight w:val="none"/>
                <w:lang w:bidi="ar"/>
              </w:rPr>
              <w:t>分；</w:t>
            </w:r>
          </w:p>
          <w:p>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color w:val="auto"/>
                <w:kern w:val="0"/>
                <w:sz w:val="18"/>
                <w:szCs w:val="18"/>
                <w:highlight w:val="none"/>
                <w:lang w:bidi="ar"/>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Cs/>
                <w:color w:val="auto"/>
                <w:sz w:val="18"/>
                <w:szCs w:val="18"/>
                <w:highlight w:val="none"/>
              </w:rPr>
            </w:pPr>
            <w:r>
              <w:rPr>
                <w:rFonts w:hint="eastAsia" w:ascii="宋体" w:hAnsi="宋体" w:cs="宋体"/>
                <w:bCs/>
                <w:color w:val="auto"/>
                <w:kern w:val="0"/>
                <w:sz w:val="18"/>
                <w:szCs w:val="18"/>
                <w:highlight w:val="none"/>
                <w:lang w:bidi="ar"/>
              </w:rPr>
              <w:t>合计</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bCs/>
                <w:color w:val="auto"/>
                <w:sz w:val="18"/>
                <w:szCs w:val="18"/>
                <w:highlight w:val="none"/>
              </w:rPr>
            </w:pPr>
            <w:r>
              <w:rPr>
                <w:rFonts w:hint="eastAsia" w:ascii="宋体" w:hAnsi="宋体" w:cs="宋体"/>
                <w:bCs/>
                <w:color w:val="auto"/>
                <w:kern w:val="0"/>
                <w:sz w:val="18"/>
                <w:szCs w:val="18"/>
                <w:highlight w:val="none"/>
                <w:lang w:bidi="ar"/>
              </w:rPr>
              <w:t>100</w:t>
            </w:r>
          </w:p>
        </w:tc>
        <w:tc>
          <w:tcPr>
            <w:tcW w:w="1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color w:val="auto"/>
                <w:sz w:val="18"/>
                <w:szCs w:val="18"/>
                <w:highlight w:val="none"/>
              </w:rPr>
            </w:pPr>
          </w:p>
        </w:tc>
      </w:tr>
    </w:tbl>
    <w:p>
      <w:pPr>
        <w:snapToGrid w:val="0"/>
        <w:spacing w:line="273" w:lineRule="auto"/>
        <w:ind w:right="512" w:rightChars="244" w:firstLine="425"/>
        <w:rPr>
          <w:color w:val="auto"/>
          <w:sz w:val="18"/>
          <w:szCs w:val="18"/>
          <w:highlight w:val="none"/>
        </w:rPr>
      </w:pPr>
      <w:r>
        <w:rPr>
          <w:rFonts w:hint="eastAsia" w:ascii="宋体" w:hAnsi="宋体" w:cs="宋体"/>
          <w:color w:val="auto"/>
          <w:kern w:val="0"/>
          <w:sz w:val="18"/>
          <w:szCs w:val="18"/>
          <w:highlight w:val="none"/>
          <w:lang w:bidi="ar"/>
        </w:rPr>
        <w:t>备注：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eastAsia="宋体"/>
          <w:b w:val="0"/>
          <w:bCs w:val="0"/>
          <w:color w:val="auto"/>
          <w:sz w:val="21"/>
          <w:szCs w:val="18"/>
          <w:highlight w:val="none"/>
          <w:lang w:val="en-US" w:eastAsia="zh-CN"/>
        </w:rPr>
      </w:pPr>
      <w:r>
        <w:rPr>
          <w:rFonts w:hint="eastAsia"/>
          <w:b w:val="0"/>
          <w:bCs w:val="0"/>
          <w:color w:val="auto"/>
          <w:sz w:val="21"/>
          <w:szCs w:val="18"/>
          <w:highlight w:val="none"/>
          <w:lang w:val="en-US" w:eastAsia="zh-CN"/>
        </w:rPr>
        <w:t>一、施工组织设计的注释</w:t>
      </w:r>
    </w:p>
    <w:p>
      <w:pPr>
        <w:adjustRightInd w:val="0"/>
        <w:spacing w:line="273" w:lineRule="auto"/>
        <w:ind w:firstLine="360" w:firstLineChars="200"/>
        <w:rPr>
          <w:rFonts w:ascii="宋体" w:hAnsi="宋体" w:cs="宋体"/>
          <w:b w:val="0"/>
          <w:bCs w:val="0"/>
          <w:color w:val="auto"/>
          <w:kern w:val="0"/>
          <w:sz w:val="18"/>
          <w:szCs w:val="18"/>
          <w:highlight w:val="none"/>
          <w:lang w:bidi="ar"/>
        </w:rPr>
      </w:pPr>
      <w:r>
        <w:rPr>
          <w:rFonts w:hint="eastAsia" w:ascii="宋体" w:hAnsi="宋体" w:cs="宋体"/>
          <w:b w:val="0"/>
          <w:bCs w:val="0"/>
          <w:color w:val="auto"/>
          <w:kern w:val="0"/>
          <w:sz w:val="18"/>
          <w:szCs w:val="18"/>
          <w:highlight w:val="none"/>
          <w:lang w:val="en-US" w:eastAsia="zh-CN" w:bidi="ar"/>
        </w:rPr>
        <w:t>1、</w:t>
      </w:r>
      <w:r>
        <w:rPr>
          <w:rFonts w:ascii="宋体" w:hAnsi="宋体" w:cs="宋体"/>
          <w:b w:val="0"/>
          <w:bCs w:val="0"/>
          <w:color w:val="auto"/>
          <w:kern w:val="0"/>
          <w:sz w:val="18"/>
          <w:szCs w:val="18"/>
          <w:highlight w:val="none"/>
          <w:lang w:bidi="ar"/>
        </w:rPr>
        <w:t>拟投入</w:t>
      </w:r>
      <w:r>
        <w:rPr>
          <w:rFonts w:hint="eastAsia" w:ascii="宋体" w:hAnsi="宋体" w:cs="宋体"/>
          <w:b w:val="0"/>
          <w:bCs w:val="0"/>
          <w:color w:val="auto"/>
          <w:kern w:val="0"/>
          <w:sz w:val="18"/>
          <w:szCs w:val="18"/>
          <w:highlight w:val="none"/>
          <w:lang w:bidi="ar"/>
        </w:rPr>
        <w:t>用于保障项目实施的车辆自有的需提供车辆行驶证</w:t>
      </w:r>
      <w:r>
        <w:rPr>
          <w:rFonts w:hint="eastAsia" w:ascii="宋体" w:hAnsi="宋体" w:cs="宋体"/>
          <w:b w:val="0"/>
          <w:bCs w:val="0"/>
          <w:color w:val="auto"/>
          <w:kern w:val="0"/>
          <w:sz w:val="18"/>
          <w:szCs w:val="18"/>
          <w:highlight w:val="none"/>
          <w:lang w:val="en-US" w:eastAsia="zh-CN" w:bidi="ar"/>
        </w:rPr>
        <w:t>及行驶证年审页（须在年审有效期内）</w:t>
      </w:r>
      <w:r>
        <w:rPr>
          <w:rFonts w:hint="eastAsia" w:ascii="宋体" w:hAnsi="宋体" w:cs="宋体"/>
          <w:b w:val="0"/>
          <w:bCs w:val="0"/>
          <w:color w:val="auto"/>
          <w:kern w:val="0"/>
          <w:sz w:val="18"/>
          <w:szCs w:val="18"/>
          <w:highlight w:val="none"/>
          <w:lang w:bidi="ar"/>
        </w:rPr>
        <w:t>、购置发票相关证明文件，租赁的需提供车辆行驶证</w:t>
      </w:r>
      <w:r>
        <w:rPr>
          <w:rFonts w:hint="eastAsia" w:ascii="宋体" w:hAnsi="宋体" w:cs="宋体"/>
          <w:b w:val="0"/>
          <w:bCs w:val="0"/>
          <w:color w:val="auto"/>
          <w:kern w:val="0"/>
          <w:sz w:val="18"/>
          <w:szCs w:val="18"/>
          <w:highlight w:val="none"/>
          <w:lang w:val="en-US" w:eastAsia="zh-CN" w:bidi="ar"/>
        </w:rPr>
        <w:t>及行驶证年审页（须在年审有效期内）</w:t>
      </w:r>
      <w:r>
        <w:rPr>
          <w:rFonts w:hint="eastAsia" w:ascii="宋体" w:hAnsi="宋体" w:cs="宋体"/>
          <w:b w:val="0"/>
          <w:bCs w:val="0"/>
          <w:color w:val="auto"/>
          <w:kern w:val="0"/>
          <w:sz w:val="18"/>
          <w:szCs w:val="18"/>
          <w:highlight w:val="none"/>
          <w:lang w:bidi="ar"/>
        </w:rPr>
        <w:t>、购置发票、租赁合同和</w:t>
      </w:r>
      <w:r>
        <w:rPr>
          <w:rFonts w:hint="eastAsia" w:ascii="宋体" w:hAnsi="宋体" w:cs="宋体"/>
          <w:b w:val="0"/>
          <w:bCs w:val="0"/>
          <w:color w:val="auto"/>
          <w:kern w:val="0"/>
          <w:sz w:val="18"/>
          <w:szCs w:val="18"/>
          <w:highlight w:val="none"/>
          <w:lang w:val="en-US" w:eastAsia="zh-CN" w:bidi="ar"/>
        </w:rPr>
        <w:t>半年以上的</w:t>
      </w:r>
      <w:r>
        <w:rPr>
          <w:rFonts w:hint="eastAsia" w:ascii="宋体" w:hAnsi="宋体" w:cs="宋体"/>
          <w:b w:val="0"/>
          <w:bCs w:val="0"/>
          <w:color w:val="auto"/>
          <w:kern w:val="0"/>
          <w:sz w:val="18"/>
          <w:szCs w:val="18"/>
          <w:highlight w:val="none"/>
          <w:lang w:bidi="ar"/>
        </w:rPr>
        <w:t>租赁发票相关证明文件。</w:t>
      </w:r>
    </w:p>
    <w:p>
      <w:pPr>
        <w:adjustRightInd w:val="0"/>
        <w:spacing w:line="273" w:lineRule="auto"/>
        <w:ind w:firstLine="360" w:firstLineChars="200"/>
        <w:rPr>
          <w:rFonts w:ascii="宋体" w:hAnsi="宋体" w:cs="宋体"/>
          <w:b w:val="0"/>
          <w:bCs w:val="0"/>
          <w:color w:val="auto"/>
          <w:kern w:val="0"/>
          <w:sz w:val="18"/>
          <w:szCs w:val="18"/>
          <w:highlight w:val="none"/>
          <w:lang w:bidi="ar"/>
        </w:rPr>
      </w:pPr>
      <w:r>
        <w:rPr>
          <w:rFonts w:ascii="宋体" w:hAnsi="宋体" w:cs="宋体"/>
          <w:b w:val="0"/>
          <w:bCs w:val="0"/>
          <w:color w:val="auto"/>
          <w:kern w:val="0"/>
          <w:sz w:val="18"/>
          <w:szCs w:val="18"/>
          <w:highlight w:val="none"/>
          <w:lang w:bidi="ar"/>
        </w:rPr>
        <w:t>2</w:t>
      </w:r>
      <w:r>
        <w:rPr>
          <w:rFonts w:hint="eastAsia" w:ascii="宋体" w:hAnsi="宋体" w:cs="宋体"/>
          <w:b w:val="0"/>
          <w:bCs w:val="0"/>
          <w:color w:val="auto"/>
          <w:kern w:val="0"/>
          <w:sz w:val="18"/>
          <w:szCs w:val="18"/>
          <w:highlight w:val="none"/>
          <w:lang w:bidi="ar"/>
        </w:rPr>
        <w:t>、特种作业操作证（高压电工，低压电工，电力电缆，继电保护，电气试验，熔化焊接与热切割</w:t>
      </w:r>
      <w:r>
        <w:rPr>
          <w:rFonts w:ascii="宋体" w:hAnsi="宋体" w:cs="宋体"/>
          <w:b w:val="0"/>
          <w:bCs w:val="0"/>
          <w:color w:val="auto"/>
          <w:kern w:val="0"/>
          <w:sz w:val="18"/>
          <w:szCs w:val="18"/>
          <w:highlight w:val="none"/>
          <w:lang w:bidi="ar"/>
        </w:rPr>
        <w:t>)</w:t>
      </w:r>
      <w:r>
        <w:rPr>
          <w:rFonts w:hint="eastAsia" w:ascii="宋体" w:hAnsi="宋体" w:cs="宋体"/>
          <w:b w:val="0"/>
          <w:bCs w:val="0"/>
          <w:color w:val="auto"/>
          <w:kern w:val="0"/>
          <w:sz w:val="18"/>
          <w:szCs w:val="18"/>
          <w:highlight w:val="none"/>
          <w:lang w:bidi="ar"/>
        </w:rPr>
        <w:t>：是指由地级市或以上的市场监督管理局或者安全生产监督管理局、或地级市或以上应急管理局颁发的特种作业操作证、或国家电力监管委员会或国家能源局及其下属机构颁发的特种作业操作证。特种作业操作证操作人员必须为公司正式员工，须提供</w:t>
      </w:r>
      <w:r>
        <w:rPr>
          <w:rFonts w:hint="eastAsia" w:ascii="宋体" w:hAnsi="宋体" w:cs="宋体"/>
          <w:b w:val="0"/>
          <w:bCs w:val="0"/>
          <w:color w:val="auto"/>
          <w:kern w:val="0"/>
          <w:sz w:val="18"/>
          <w:szCs w:val="18"/>
          <w:highlight w:val="none"/>
          <w:lang w:val="en-US" w:eastAsia="zh-CN" w:bidi="ar"/>
        </w:rPr>
        <w:t>2024</w:t>
      </w:r>
      <w:r>
        <w:rPr>
          <w:rFonts w:hint="eastAsia" w:ascii="宋体" w:hAnsi="宋体" w:cs="宋体"/>
          <w:b w:val="0"/>
          <w:bCs w:val="0"/>
          <w:color w:val="auto"/>
          <w:kern w:val="0"/>
          <w:sz w:val="18"/>
          <w:szCs w:val="18"/>
          <w:highlight w:val="none"/>
          <w:lang w:bidi="ar"/>
        </w:rPr>
        <w:t>年</w:t>
      </w:r>
      <w:r>
        <w:rPr>
          <w:rFonts w:hint="eastAsia" w:ascii="宋体" w:hAnsi="宋体" w:cs="宋体"/>
          <w:b w:val="0"/>
          <w:bCs w:val="0"/>
          <w:color w:val="auto"/>
          <w:kern w:val="0"/>
          <w:sz w:val="18"/>
          <w:szCs w:val="18"/>
          <w:highlight w:val="none"/>
          <w:u w:val="single"/>
          <w:lang w:val="en-US" w:eastAsia="zh-CN" w:bidi="ar"/>
        </w:rPr>
        <w:t>3</w:t>
      </w:r>
      <w:r>
        <w:rPr>
          <w:rFonts w:hint="eastAsia" w:ascii="宋体" w:hAnsi="宋体" w:cs="宋体"/>
          <w:b w:val="0"/>
          <w:bCs w:val="0"/>
          <w:color w:val="auto"/>
          <w:kern w:val="0"/>
          <w:sz w:val="18"/>
          <w:szCs w:val="18"/>
          <w:highlight w:val="none"/>
          <w:lang w:bidi="ar"/>
        </w:rPr>
        <w:t>月有效社保证明文件扫描件。</w:t>
      </w:r>
      <w:r>
        <w:rPr>
          <w:rFonts w:hint="eastAsia" w:ascii="宋体" w:hAnsi="宋体" w:cs="宋体"/>
          <w:b w:val="0"/>
          <w:bCs w:val="0"/>
          <w:color w:val="auto"/>
          <w:kern w:val="0"/>
          <w:sz w:val="18"/>
          <w:szCs w:val="18"/>
          <w:highlight w:val="none"/>
          <w:lang w:val="en-US" w:eastAsia="zh-CN" w:bidi="ar"/>
        </w:rPr>
        <w:t>特种作业证需在有效期内。</w:t>
      </w:r>
      <w:r>
        <w:rPr>
          <w:rFonts w:hint="eastAsia" w:ascii="宋体" w:hAnsi="宋体" w:cs="宋体"/>
          <w:b w:val="0"/>
          <w:bCs w:val="0"/>
          <w:color w:val="auto"/>
          <w:kern w:val="0"/>
          <w:sz w:val="18"/>
          <w:szCs w:val="18"/>
          <w:highlight w:val="none"/>
          <w:lang w:bidi="ar"/>
        </w:rPr>
        <w:t>未提供或提供资料不全的不得分。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val="0"/>
          <w:bCs w:val="0"/>
          <w:color w:val="auto"/>
          <w:szCs w:val="21"/>
          <w:highlight w:val="none"/>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b w:val="0"/>
          <w:bCs w:val="0"/>
          <w:color w:val="auto"/>
          <w:sz w:val="21"/>
          <w:szCs w:val="18"/>
          <w:highlight w:val="none"/>
          <w:lang w:val="en-US" w:eastAsia="zh-CN"/>
        </w:rPr>
      </w:pPr>
      <w:r>
        <w:rPr>
          <w:rFonts w:hint="eastAsia"/>
          <w:b w:val="0"/>
          <w:bCs w:val="0"/>
          <w:color w:val="auto"/>
          <w:sz w:val="21"/>
          <w:szCs w:val="18"/>
          <w:highlight w:val="none"/>
          <w:lang w:val="en-US" w:eastAsia="zh-CN"/>
        </w:rPr>
        <w:t>二、组织架构的注释</w:t>
      </w:r>
    </w:p>
    <w:p>
      <w:pPr>
        <w:keepNext w:val="0"/>
        <w:keepLines w:val="0"/>
        <w:pageBreakBefore w:val="0"/>
        <w:widowControl w:val="0"/>
        <w:kinsoku/>
        <w:wordWrap/>
        <w:overflowPunct/>
        <w:topLinePunct w:val="0"/>
        <w:autoSpaceDE/>
        <w:autoSpaceDN/>
        <w:bidi w:val="0"/>
        <w:adjustRightInd w:val="0"/>
        <w:snapToGrid/>
        <w:ind w:firstLine="360" w:firstLineChars="200"/>
        <w:textAlignment w:val="auto"/>
        <w:rPr>
          <w:rFonts w:hint="eastAsia" w:ascii="宋体" w:hAnsi="宋体" w:cs="宋体"/>
          <w:b w:val="0"/>
          <w:bCs w:val="0"/>
          <w:color w:val="auto"/>
          <w:kern w:val="0"/>
          <w:sz w:val="18"/>
          <w:szCs w:val="18"/>
          <w:highlight w:val="none"/>
          <w:lang w:bidi="ar"/>
        </w:rPr>
      </w:pPr>
      <w:r>
        <w:rPr>
          <w:rFonts w:hint="eastAsia" w:ascii="宋体" w:hAnsi="宋体" w:cs="宋体"/>
          <w:b w:val="0"/>
          <w:bCs w:val="0"/>
          <w:color w:val="auto"/>
          <w:kern w:val="0"/>
          <w:sz w:val="18"/>
          <w:szCs w:val="18"/>
          <w:highlight w:val="none"/>
          <w:lang w:val="en-US" w:eastAsia="zh-CN" w:bidi="ar"/>
        </w:rPr>
        <w:t>1</w:t>
      </w:r>
      <w:r>
        <w:rPr>
          <w:rFonts w:hint="eastAsia" w:ascii="宋体" w:hAnsi="宋体" w:cs="宋体"/>
          <w:b w:val="0"/>
          <w:bCs w:val="0"/>
          <w:color w:val="auto"/>
          <w:kern w:val="0"/>
          <w:sz w:val="18"/>
          <w:szCs w:val="18"/>
          <w:highlight w:val="none"/>
          <w:lang w:bidi="ar"/>
        </w:rPr>
        <w:t>、须提供职称证书、类似工程业绩证明资料扫描件，否则不得分。</w:t>
      </w:r>
    </w:p>
    <w:p>
      <w:pPr>
        <w:adjustRightInd w:val="0"/>
        <w:spacing w:line="273" w:lineRule="auto"/>
        <w:ind w:firstLine="360" w:firstLineChars="200"/>
        <w:rPr>
          <w:rFonts w:hint="eastAsia" w:ascii="宋体" w:hAnsi="宋体" w:cs="宋体"/>
          <w:b w:val="0"/>
          <w:bCs w:val="0"/>
          <w:color w:val="auto"/>
          <w:kern w:val="0"/>
          <w:sz w:val="18"/>
          <w:szCs w:val="18"/>
          <w:highlight w:val="none"/>
          <w:lang w:bidi="ar"/>
        </w:rPr>
      </w:pPr>
      <w:r>
        <w:rPr>
          <w:rFonts w:hint="eastAsia" w:ascii="宋体" w:hAnsi="宋体" w:cs="宋体"/>
          <w:b w:val="0"/>
          <w:bCs w:val="0"/>
          <w:color w:val="auto"/>
          <w:kern w:val="0"/>
          <w:sz w:val="18"/>
          <w:szCs w:val="18"/>
          <w:highlight w:val="none"/>
          <w:lang w:val="en-US" w:eastAsia="zh-CN" w:bidi="ar"/>
        </w:rPr>
        <w:t>2、</w:t>
      </w:r>
      <w:r>
        <w:rPr>
          <w:rFonts w:hint="eastAsia" w:hAnsi="宋体" w:cs="宋体"/>
          <w:b w:val="0"/>
          <w:bCs w:val="0"/>
          <w:color w:val="auto"/>
          <w:kern w:val="0"/>
          <w:sz w:val="18"/>
          <w:szCs w:val="18"/>
          <w:highlight w:val="none"/>
          <w:lang w:val="en-US" w:eastAsia="zh-CN" w:bidi="ar"/>
        </w:rPr>
        <w:t>中标通知书或合同或竣工验收报告能证明该业绩是该负责人实施。</w:t>
      </w:r>
    </w:p>
    <w:p>
      <w:pPr>
        <w:adjustRightInd w:val="0"/>
        <w:spacing w:line="273" w:lineRule="auto"/>
        <w:ind w:firstLine="360" w:firstLineChars="200"/>
        <w:rPr>
          <w:rFonts w:hint="eastAsia" w:ascii="宋体" w:hAnsi="宋体" w:cs="宋体"/>
          <w:b w:val="0"/>
          <w:bCs w:val="0"/>
          <w:color w:val="auto"/>
          <w:kern w:val="0"/>
          <w:sz w:val="18"/>
          <w:szCs w:val="18"/>
          <w:highlight w:val="none"/>
          <w:lang w:val="en-US" w:eastAsia="zh-CN" w:bidi="ar"/>
        </w:rPr>
      </w:pPr>
      <w:r>
        <w:rPr>
          <w:rFonts w:hint="eastAsia" w:ascii="宋体" w:hAnsi="宋体" w:cs="宋体"/>
          <w:b w:val="0"/>
          <w:bCs w:val="0"/>
          <w:color w:val="auto"/>
          <w:kern w:val="0"/>
          <w:sz w:val="18"/>
          <w:szCs w:val="18"/>
          <w:highlight w:val="none"/>
          <w:lang w:val="en-US" w:eastAsia="zh-CN" w:bidi="ar"/>
        </w:rPr>
        <w:t>3、类似工程业绩详见“三、企业资信的注释  1、类似工程业绩”。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宋体" w:hAnsi="宋体" w:eastAsia="宋体" w:cs="宋体"/>
          <w:b w:val="0"/>
          <w:bCs w:val="0"/>
          <w:color w:val="auto"/>
          <w:kern w:val="0"/>
          <w:sz w:val="18"/>
          <w:szCs w:val="18"/>
          <w:highlight w:val="none"/>
          <w:lang w:val="en-US" w:eastAsia="zh-CN" w:bidi="ar"/>
        </w:rPr>
      </w:pPr>
      <w:r>
        <w:rPr>
          <w:rFonts w:hint="eastAsia" w:ascii="宋体" w:hAnsi="宋体" w:cs="宋体"/>
          <w:b w:val="0"/>
          <w:bCs w:val="0"/>
          <w:color w:val="auto"/>
          <w:kern w:val="0"/>
          <w:sz w:val="18"/>
          <w:szCs w:val="18"/>
          <w:highlight w:val="none"/>
          <w:lang w:val="en-US" w:eastAsia="zh-CN" w:bidi="ar"/>
        </w:rPr>
        <w:t>4、</w:t>
      </w:r>
      <w:r>
        <w:rPr>
          <w:rFonts w:hint="eastAsia" w:ascii="宋体" w:hAnsi="宋体" w:eastAsia="宋体" w:cs="宋体"/>
          <w:b w:val="0"/>
          <w:bCs w:val="0"/>
          <w:color w:val="auto"/>
          <w:kern w:val="0"/>
          <w:sz w:val="18"/>
          <w:szCs w:val="18"/>
          <w:highlight w:val="none"/>
          <w:lang w:val="en-US" w:eastAsia="zh-CN" w:bidi="ar"/>
        </w:rPr>
        <w:t>一级注册造价工程师须提供造价工程师注册证扫描件和注册信息查询网站截图，其中：①按照《造价工程师职业资格制度规定》的规定，根据原人事部、原建设部发布的《造价工程师执业资格制度暂行规定》（人发〔1996〕77号）取得的造价工程师执业资格，并经注册且在有效期内的，等同于一级注册造价工程师。②投标人须提供注册造价工程师注册证书、注册造价工程师注册信息查询网站（http://zaojiasys.jianshe99.com/cecaopsys/queryAndSearch/view.do?op=queryUserInfoInit）查询结果网上截图，且执业状态栏显示“正常”的才计分，不提供或者提供资料不齐全的不计分。</w:t>
      </w:r>
    </w:p>
    <w:p>
      <w:pPr>
        <w:adjustRightInd w:val="0"/>
        <w:spacing w:line="273" w:lineRule="auto"/>
        <w:ind w:firstLine="360" w:firstLineChars="200"/>
        <w:rPr>
          <w:b w:val="0"/>
          <w:bCs w:val="0"/>
          <w:color w:val="auto"/>
          <w:sz w:val="18"/>
          <w:szCs w:val="18"/>
          <w:highlight w:val="none"/>
        </w:rPr>
      </w:pPr>
      <w:r>
        <w:rPr>
          <w:rFonts w:hint="eastAsia" w:ascii="宋体" w:hAnsi="宋体" w:cs="宋体"/>
          <w:b w:val="0"/>
          <w:bCs w:val="0"/>
          <w:color w:val="auto"/>
          <w:kern w:val="0"/>
          <w:sz w:val="18"/>
          <w:szCs w:val="18"/>
          <w:highlight w:val="none"/>
          <w:lang w:val="en-US" w:eastAsia="zh-CN" w:bidi="ar"/>
        </w:rPr>
        <w:t>5</w:t>
      </w:r>
      <w:r>
        <w:rPr>
          <w:rFonts w:hint="eastAsia" w:ascii="宋体" w:hAnsi="宋体" w:cs="宋体"/>
          <w:b w:val="0"/>
          <w:bCs w:val="0"/>
          <w:color w:val="auto"/>
          <w:kern w:val="0"/>
          <w:sz w:val="18"/>
          <w:szCs w:val="18"/>
          <w:highlight w:val="none"/>
          <w:lang w:bidi="ar"/>
        </w:rPr>
        <w:t>、项目经理部组成人员必须为公司正式员工，须按要求提供施工人员</w:t>
      </w:r>
      <w:r>
        <w:rPr>
          <w:rFonts w:hint="eastAsia" w:ascii="宋体" w:hAnsi="宋体" w:eastAsia="宋体" w:cs="宋体"/>
          <w:b w:val="0"/>
          <w:bCs w:val="0"/>
          <w:color w:val="auto"/>
          <w:kern w:val="0"/>
          <w:sz w:val="18"/>
          <w:szCs w:val="18"/>
          <w:highlight w:val="none"/>
          <w:lang w:val="en-US" w:eastAsia="zh-CN" w:bidi="ar"/>
        </w:rPr>
        <w:t>岗位证（或培训证或注册电气工程师证书或注册造价工程师证书）</w:t>
      </w:r>
      <w:r>
        <w:rPr>
          <w:rFonts w:hint="eastAsia" w:ascii="宋体" w:hAnsi="宋体" w:cs="宋体"/>
          <w:b w:val="0"/>
          <w:bCs w:val="0"/>
          <w:color w:val="auto"/>
          <w:kern w:val="0"/>
          <w:sz w:val="18"/>
          <w:szCs w:val="18"/>
          <w:highlight w:val="none"/>
          <w:lang w:bidi="ar"/>
        </w:rPr>
        <w:t>及</w:t>
      </w:r>
      <w:r>
        <w:rPr>
          <w:rFonts w:hint="eastAsia" w:ascii="宋体" w:hAnsi="宋体" w:cs="宋体"/>
          <w:b w:val="0"/>
          <w:bCs w:val="0"/>
          <w:color w:val="auto"/>
          <w:kern w:val="0"/>
          <w:sz w:val="18"/>
          <w:szCs w:val="18"/>
          <w:highlight w:val="none"/>
          <w:lang w:val="en-US" w:eastAsia="zh-CN" w:bidi="ar"/>
        </w:rPr>
        <w:t>职称证、</w:t>
      </w:r>
      <w:r>
        <w:rPr>
          <w:rFonts w:hint="eastAsia" w:ascii="宋体" w:hAnsi="宋体" w:cs="宋体"/>
          <w:b w:val="0"/>
          <w:bCs w:val="0"/>
          <w:color w:val="auto"/>
          <w:kern w:val="0"/>
          <w:sz w:val="18"/>
          <w:szCs w:val="18"/>
          <w:highlight w:val="none"/>
          <w:lang w:bidi="ar"/>
        </w:rPr>
        <w:t>社保证明等证明材料</w:t>
      </w:r>
      <w:r>
        <w:rPr>
          <w:rFonts w:hint="eastAsia" w:ascii="宋体" w:hAnsi="宋体" w:cs="宋体"/>
          <w:b w:val="0"/>
          <w:bCs w:val="0"/>
          <w:color w:val="auto"/>
          <w:kern w:val="0"/>
          <w:sz w:val="18"/>
          <w:szCs w:val="18"/>
          <w:highlight w:val="none"/>
          <w:lang w:eastAsia="zh-CN" w:bidi="ar"/>
        </w:rPr>
        <w:t>，</w:t>
      </w:r>
      <w:r>
        <w:rPr>
          <w:rFonts w:hint="eastAsia" w:ascii="宋体" w:hAnsi="宋体" w:cs="宋体"/>
          <w:b w:val="0"/>
          <w:bCs w:val="0"/>
          <w:color w:val="auto"/>
          <w:kern w:val="0"/>
          <w:sz w:val="18"/>
          <w:szCs w:val="18"/>
          <w:highlight w:val="none"/>
          <w:lang w:bidi="ar"/>
        </w:rPr>
        <w:t>人员岗位不能相互兼任。须提供</w:t>
      </w:r>
      <w:r>
        <w:rPr>
          <w:rFonts w:hint="eastAsia" w:ascii="宋体" w:hAnsi="宋体" w:cs="宋体"/>
          <w:b w:val="0"/>
          <w:bCs w:val="0"/>
          <w:color w:val="auto"/>
          <w:kern w:val="0"/>
          <w:sz w:val="18"/>
          <w:szCs w:val="18"/>
          <w:highlight w:val="none"/>
          <w:lang w:val="en-US" w:eastAsia="zh-CN" w:bidi="ar"/>
        </w:rPr>
        <w:t>2024</w:t>
      </w:r>
      <w:r>
        <w:rPr>
          <w:rFonts w:hint="eastAsia" w:ascii="宋体" w:hAnsi="宋体" w:cs="宋体"/>
          <w:b w:val="0"/>
          <w:bCs w:val="0"/>
          <w:color w:val="auto"/>
          <w:kern w:val="0"/>
          <w:sz w:val="18"/>
          <w:szCs w:val="18"/>
          <w:highlight w:val="none"/>
          <w:lang w:bidi="ar"/>
        </w:rPr>
        <w:t>年</w:t>
      </w:r>
      <w:r>
        <w:rPr>
          <w:rFonts w:hint="eastAsia" w:ascii="宋体" w:hAnsi="宋体" w:cs="宋体"/>
          <w:b w:val="0"/>
          <w:bCs w:val="0"/>
          <w:color w:val="auto"/>
          <w:kern w:val="0"/>
          <w:sz w:val="18"/>
          <w:szCs w:val="18"/>
          <w:highlight w:val="none"/>
          <w:u w:val="single"/>
          <w:lang w:val="en-US" w:eastAsia="zh-CN" w:bidi="ar"/>
        </w:rPr>
        <w:t>3</w:t>
      </w:r>
      <w:r>
        <w:rPr>
          <w:rFonts w:hint="eastAsia" w:ascii="宋体" w:hAnsi="宋体" w:cs="宋体"/>
          <w:b w:val="0"/>
          <w:bCs w:val="0"/>
          <w:color w:val="auto"/>
          <w:kern w:val="0"/>
          <w:sz w:val="18"/>
          <w:szCs w:val="18"/>
          <w:highlight w:val="none"/>
          <w:lang w:bidi="ar"/>
        </w:rPr>
        <w:t>月有效社保证明文件扫描件。未提供或提供资料不全的不得分。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val="0"/>
          <w:bCs w:val="0"/>
          <w:color w:val="auto"/>
          <w:szCs w:val="21"/>
          <w:highlight w:val="none"/>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b w:val="0"/>
          <w:bCs w:val="0"/>
          <w:color w:val="auto"/>
          <w:sz w:val="21"/>
          <w:szCs w:val="18"/>
          <w:highlight w:val="none"/>
          <w:lang w:val="en-US" w:eastAsia="zh-CN"/>
        </w:rPr>
      </w:pPr>
      <w:r>
        <w:rPr>
          <w:rFonts w:hint="eastAsia"/>
          <w:b w:val="0"/>
          <w:bCs w:val="0"/>
          <w:color w:val="auto"/>
          <w:sz w:val="21"/>
          <w:szCs w:val="18"/>
          <w:highlight w:val="none"/>
          <w:lang w:val="en-US" w:eastAsia="zh-CN"/>
        </w:rPr>
        <w:t>三、企业资信的注释</w:t>
      </w:r>
    </w:p>
    <w:p>
      <w:pPr>
        <w:adjustRightInd w:val="0"/>
        <w:spacing w:line="273" w:lineRule="auto"/>
        <w:ind w:firstLine="360" w:firstLineChars="200"/>
        <w:rPr>
          <w:rFonts w:hint="default" w:eastAsia="宋体"/>
          <w:b w:val="0"/>
          <w:bCs w:val="0"/>
          <w:color w:val="auto"/>
          <w:sz w:val="18"/>
          <w:szCs w:val="18"/>
          <w:highlight w:val="none"/>
          <w:lang w:val="en-US" w:eastAsia="zh-CN"/>
        </w:rPr>
      </w:pPr>
      <w:r>
        <w:rPr>
          <w:rFonts w:hint="eastAsia" w:ascii="宋体" w:hAnsi="宋体" w:cs="宋体"/>
          <w:b w:val="0"/>
          <w:bCs w:val="0"/>
          <w:color w:val="auto"/>
          <w:kern w:val="0"/>
          <w:sz w:val="18"/>
          <w:szCs w:val="18"/>
          <w:highlight w:val="none"/>
          <w:lang w:val="en-US" w:eastAsia="zh-CN" w:bidi="ar"/>
        </w:rPr>
        <w:t>1、</w:t>
      </w:r>
      <w:r>
        <w:rPr>
          <w:rFonts w:hint="eastAsia" w:ascii="宋体" w:hAnsi="宋体" w:cs="宋体"/>
          <w:b w:val="0"/>
          <w:bCs w:val="0"/>
          <w:color w:val="auto"/>
          <w:kern w:val="0"/>
          <w:sz w:val="18"/>
          <w:szCs w:val="18"/>
          <w:highlight w:val="none"/>
          <w:lang w:bidi="ar"/>
        </w:rPr>
        <w:t>类似工程业绩：指</w:t>
      </w:r>
      <w:r>
        <w:rPr>
          <w:rFonts w:ascii="宋体" w:hAnsi="宋体" w:cs="宋体"/>
          <w:b w:val="0"/>
          <w:bCs w:val="0"/>
          <w:color w:val="auto"/>
          <w:kern w:val="0"/>
          <w:sz w:val="18"/>
          <w:szCs w:val="18"/>
          <w:highlight w:val="none"/>
          <w:lang w:bidi="ar"/>
        </w:rPr>
        <w:t>201</w:t>
      </w:r>
      <w:r>
        <w:rPr>
          <w:rFonts w:hint="eastAsia" w:ascii="宋体" w:hAnsi="宋体" w:cs="宋体"/>
          <w:b w:val="0"/>
          <w:bCs w:val="0"/>
          <w:color w:val="auto"/>
          <w:kern w:val="0"/>
          <w:sz w:val="18"/>
          <w:szCs w:val="18"/>
          <w:highlight w:val="none"/>
          <w:lang w:val="en-US" w:eastAsia="zh-CN" w:bidi="ar"/>
        </w:rPr>
        <w:t>9</w:t>
      </w:r>
      <w:r>
        <w:rPr>
          <w:rFonts w:hint="eastAsia" w:ascii="宋体" w:hAnsi="宋体" w:cs="宋体"/>
          <w:b w:val="0"/>
          <w:bCs w:val="0"/>
          <w:color w:val="auto"/>
          <w:kern w:val="0"/>
          <w:sz w:val="18"/>
          <w:szCs w:val="18"/>
          <w:highlight w:val="none"/>
          <w:lang w:bidi="ar"/>
        </w:rPr>
        <w:t>年</w:t>
      </w:r>
      <w:r>
        <w:rPr>
          <w:rFonts w:ascii="宋体" w:hAnsi="宋体" w:cs="宋体"/>
          <w:b w:val="0"/>
          <w:bCs w:val="0"/>
          <w:color w:val="auto"/>
          <w:kern w:val="0"/>
          <w:sz w:val="18"/>
          <w:szCs w:val="18"/>
          <w:highlight w:val="none"/>
          <w:lang w:bidi="ar"/>
        </w:rPr>
        <w:t>1</w:t>
      </w:r>
      <w:r>
        <w:rPr>
          <w:rFonts w:hint="eastAsia" w:ascii="宋体" w:hAnsi="宋体" w:cs="宋体"/>
          <w:b w:val="0"/>
          <w:bCs w:val="0"/>
          <w:color w:val="auto"/>
          <w:kern w:val="0"/>
          <w:sz w:val="18"/>
          <w:szCs w:val="18"/>
          <w:highlight w:val="none"/>
          <w:lang w:bidi="ar"/>
        </w:rPr>
        <w:t>月</w:t>
      </w:r>
      <w:r>
        <w:rPr>
          <w:rFonts w:ascii="宋体" w:hAnsi="宋体" w:cs="宋体"/>
          <w:b w:val="0"/>
          <w:bCs w:val="0"/>
          <w:color w:val="auto"/>
          <w:kern w:val="0"/>
          <w:sz w:val="18"/>
          <w:szCs w:val="18"/>
          <w:highlight w:val="none"/>
          <w:lang w:bidi="ar"/>
        </w:rPr>
        <w:t>1</w:t>
      </w:r>
      <w:r>
        <w:rPr>
          <w:rFonts w:hint="eastAsia" w:ascii="宋体" w:hAnsi="宋体" w:cs="宋体"/>
          <w:b w:val="0"/>
          <w:bCs w:val="0"/>
          <w:color w:val="auto"/>
          <w:kern w:val="0"/>
          <w:sz w:val="18"/>
          <w:szCs w:val="18"/>
          <w:highlight w:val="none"/>
          <w:lang w:bidi="ar"/>
        </w:rPr>
        <w:t>日至投标截止时间止，完成的质量合格且电压等级为</w:t>
      </w:r>
      <w:r>
        <w:rPr>
          <w:rFonts w:ascii="宋体" w:hAnsi="宋体" w:cs="宋体"/>
          <w:b w:val="0"/>
          <w:bCs w:val="0"/>
          <w:color w:val="auto"/>
          <w:kern w:val="0"/>
          <w:sz w:val="18"/>
          <w:szCs w:val="18"/>
          <w:highlight w:val="none"/>
          <w:lang w:bidi="ar"/>
        </w:rPr>
        <w:t>10kV</w:t>
      </w:r>
      <w:r>
        <w:rPr>
          <w:rFonts w:hint="eastAsia" w:ascii="宋体" w:hAnsi="宋体" w:cs="宋体"/>
          <w:b w:val="0"/>
          <w:bCs w:val="0"/>
          <w:color w:val="auto"/>
          <w:kern w:val="0"/>
          <w:sz w:val="18"/>
          <w:szCs w:val="18"/>
          <w:highlight w:val="none"/>
          <w:lang w:bidi="ar"/>
        </w:rPr>
        <w:t>（或以上）的单项合同金额</w:t>
      </w:r>
      <w:r>
        <w:rPr>
          <w:rFonts w:hint="eastAsia" w:ascii="宋体" w:hAnsi="宋体" w:cs="宋体"/>
          <w:b w:val="0"/>
          <w:bCs w:val="0"/>
          <w:color w:val="auto"/>
          <w:kern w:val="0"/>
          <w:sz w:val="18"/>
          <w:szCs w:val="18"/>
          <w:highlight w:val="none"/>
          <w:u w:val="single"/>
          <w:lang w:val="en-US" w:eastAsia="zh-CN" w:bidi="ar"/>
        </w:rPr>
        <w:t xml:space="preserve"> 300 </w:t>
      </w:r>
      <w:r>
        <w:rPr>
          <w:rFonts w:hint="eastAsia" w:ascii="宋体" w:hAnsi="宋体" w:cs="宋体"/>
          <w:b w:val="0"/>
          <w:bCs w:val="0"/>
          <w:color w:val="auto"/>
          <w:kern w:val="0"/>
          <w:sz w:val="18"/>
          <w:szCs w:val="18"/>
          <w:highlight w:val="none"/>
          <w:lang w:bidi="ar"/>
        </w:rPr>
        <w:t>万元（或以上）电力施工工程业绩</w:t>
      </w:r>
      <w:r>
        <w:rPr>
          <w:rFonts w:hint="eastAsia" w:ascii="宋体" w:hAnsi="宋体" w:cs="宋体"/>
          <w:b w:val="0"/>
          <w:bCs w:val="0"/>
          <w:color w:val="auto"/>
          <w:kern w:val="0"/>
          <w:sz w:val="18"/>
          <w:szCs w:val="18"/>
          <w:highlight w:val="none"/>
          <w:lang w:val="en-US" w:eastAsia="zh-CN" w:bidi="ar"/>
        </w:rPr>
        <w:t>。</w:t>
      </w:r>
    </w:p>
    <w:p>
      <w:pPr>
        <w:adjustRightInd w:val="0"/>
        <w:spacing w:line="273" w:lineRule="auto"/>
        <w:ind w:firstLine="360" w:firstLineChars="200"/>
        <w:rPr>
          <w:b w:val="0"/>
          <w:bCs w:val="0"/>
          <w:color w:val="auto"/>
          <w:sz w:val="18"/>
          <w:szCs w:val="18"/>
          <w:highlight w:val="none"/>
        </w:rPr>
      </w:pPr>
      <w:r>
        <w:rPr>
          <w:rFonts w:hint="eastAsia" w:ascii="宋体" w:hAnsi="宋体" w:cs="宋体"/>
          <w:b w:val="0"/>
          <w:bCs w:val="0"/>
          <w:color w:val="auto"/>
          <w:kern w:val="0"/>
          <w:sz w:val="18"/>
          <w:szCs w:val="18"/>
          <w:highlight w:val="none"/>
          <w:lang w:bidi="ar"/>
        </w:rPr>
        <w:t>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w:t>
      </w:r>
      <w:r>
        <w:rPr>
          <w:rFonts w:hint="eastAsia" w:ascii="宋体" w:hAnsi="宋体" w:cs="宋体"/>
          <w:b w:val="0"/>
          <w:bCs w:val="0"/>
          <w:color w:val="auto"/>
          <w:kern w:val="0"/>
          <w:sz w:val="18"/>
          <w:szCs w:val="18"/>
          <w:highlight w:val="none"/>
          <w:lang w:val="en-US" w:eastAsia="zh-CN" w:bidi="ar"/>
        </w:rPr>
        <w:t>总包单位、</w:t>
      </w:r>
      <w:r>
        <w:rPr>
          <w:rFonts w:hint="eastAsia" w:ascii="宋体" w:hAnsi="宋体" w:cs="宋体"/>
          <w:b w:val="0"/>
          <w:bCs w:val="0"/>
          <w:color w:val="auto"/>
          <w:kern w:val="0"/>
          <w:sz w:val="18"/>
          <w:szCs w:val="18"/>
          <w:highlight w:val="none"/>
          <w:lang w:bidi="ar"/>
        </w:rPr>
        <w:t>设计、施工和监理单位盖章）扫描件。如以上资料不能证明业绩规模的技术指标（指电压等级、金额等）的，须另提供可证明业绩技术指标的其他资料；完成时间以竣工验收时间为准；业绩金额按以下方式认定：</w:t>
      </w:r>
    </w:p>
    <w:p>
      <w:pPr>
        <w:adjustRightInd w:val="0"/>
        <w:spacing w:line="273" w:lineRule="auto"/>
        <w:ind w:firstLine="360" w:firstLineChars="200"/>
        <w:rPr>
          <w:rFonts w:hint="default" w:eastAsia="宋体"/>
          <w:b w:val="0"/>
          <w:bCs w:val="0"/>
          <w:color w:val="auto"/>
          <w:sz w:val="18"/>
          <w:szCs w:val="18"/>
          <w:highlight w:val="none"/>
          <w:lang w:val="en-US" w:eastAsia="zh-CN"/>
        </w:rPr>
      </w:pPr>
      <w:r>
        <w:rPr>
          <w:rFonts w:ascii="宋体" w:hAnsi="宋体" w:cs="宋体"/>
          <w:b w:val="0"/>
          <w:bCs w:val="0"/>
          <w:color w:val="auto"/>
          <w:kern w:val="0"/>
          <w:sz w:val="18"/>
          <w:szCs w:val="18"/>
          <w:highlight w:val="none"/>
          <w:lang w:bidi="ar"/>
        </w:rPr>
        <w:t>a</w:t>
      </w:r>
      <w:r>
        <w:rPr>
          <w:rFonts w:hint="eastAsia" w:ascii="宋体" w:hAnsi="宋体" w:cs="宋体"/>
          <w:b w:val="0"/>
          <w:bCs w:val="0"/>
          <w:color w:val="auto"/>
          <w:kern w:val="0"/>
          <w:sz w:val="18"/>
          <w:szCs w:val="18"/>
          <w:highlight w:val="none"/>
          <w:lang w:bidi="ar"/>
        </w:rPr>
        <w:t>、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pPr>
        <w:adjustRightInd w:val="0"/>
        <w:spacing w:line="273" w:lineRule="auto"/>
        <w:ind w:firstLine="360" w:firstLineChars="200"/>
        <w:rPr>
          <w:rFonts w:hint="eastAsia" w:eastAsia="宋体"/>
          <w:b w:val="0"/>
          <w:bCs w:val="0"/>
          <w:color w:val="auto"/>
          <w:sz w:val="18"/>
          <w:szCs w:val="18"/>
          <w:highlight w:val="none"/>
          <w:lang w:val="en-US" w:eastAsia="zh-CN"/>
        </w:rPr>
      </w:pPr>
      <w:r>
        <w:rPr>
          <w:rFonts w:ascii="宋体" w:hAnsi="宋体" w:cs="宋体"/>
          <w:b w:val="0"/>
          <w:bCs w:val="0"/>
          <w:color w:val="auto"/>
          <w:kern w:val="0"/>
          <w:sz w:val="18"/>
          <w:szCs w:val="18"/>
          <w:highlight w:val="none"/>
          <w:lang w:bidi="ar"/>
        </w:rPr>
        <w:t>b</w:t>
      </w:r>
      <w:r>
        <w:rPr>
          <w:rFonts w:hint="eastAsia" w:ascii="宋体" w:hAnsi="宋体" w:cs="宋体"/>
          <w:b w:val="0"/>
          <w:bCs w:val="0"/>
          <w:color w:val="auto"/>
          <w:kern w:val="0"/>
          <w:sz w:val="18"/>
          <w:szCs w:val="18"/>
          <w:highlight w:val="none"/>
          <w:lang w:bidi="ar"/>
        </w:rPr>
        <w:t>、投标单位提供的施工合同（分包合同）扫描件证明材料。（可提供合同关键页，但应至少包括合同封面、合同指标金额规模页、合同盖章页）</w:t>
      </w:r>
      <w:r>
        <w:rPr>
          <w:rFonts w:hint="eastAsia" w:ascii="宋体" w:hAnsi="宋体" w:cs="宋体"/>
          <w:b w:val="0"/>
          <w:bCs w:val="0"/>
          <w:color w:val="auto"/>
          <w:kern w:val="0"/>
          <w:sz w:val="18"/>
          <w:szCs w:val="18"/>
          <w:highlight w:val="none"/>
          <w:lang w:eastAsia="zh-CN" w:bidi="ar"/>
        </w:rPr>
        <w:t>。</w:t>
      </w:r>
    </w:p>
    <w:p>
      <w:pPr>
        <w:adjustRightInd w:val="0"/>
        <w:spacing w:line="273" w:lineRule="auto"/>
        <w:ind w:firstLine="360" w:firstLineChars="200"/>
        <w:rPr>
          <w:b w:val="0"/>
          <w:bCs w:val="0"/>
          <w:color w:val="auto"/>
          <w:sz w:val="18"/>
          <w:szCs w:val="18"/>
          <w:highlight w:val="none"/>
        </w:rPr>
      </w:pPr>
      <w:r>
        <w:rPr>
          <w:rFonts w:hint="eastAsia" w:ascii="宋体" w:hAnsi="宋体" w:cs="宋体"/>
          <w:b w:val="0"/>
          <w:bCs w:val="0"/>
          <w:color w:val="auto"/>
          <w:kern w:val="0"/>
          <w:sz w:val="18"/>
          <w:szCs w:val="18"/>
          <w:highlight w:val="none"/>
          <w:lang w:val="en-US" w:eastAsia="zh-CN" w:bidi="ar"/>
        </w:rPr>
        <w:t>2</w:t>
      </w:r>
      <w:r>
        <w:rPr>
          <w:rFonts w:hint="eastAsia" w:ascii="宋体" w:hAnsi="宋体" w:cs="宋体"/>
          <w:b w:val="0"/>
          <w:bCs w:val="0"/>
          <w:color w:val="auto"/>
          <w:kern w:val="0"/>
          <w:sz w:val="18"/>
          <w:szCs w:val="18"/>
          <w:highlight w:val="none"/>
          <w:lang w:bidi="ar"/>
        </w:rPr>
        <w:t>、第三方评价：纳税信用情况以省级或以上国家税务局官网查询的相关截图为准，只计算投标人自身（不计算投标人的分公司和子公司）。投标人须提供在省级或以上国家税务局官网的查询结果网页截图。时间以省级或以上国家税务局官网公布的获奖年度（评价年度）为准。未提供上述证明材料或未加盖投标人电子公章的，不计分。</w:t>
      </w:r>
    </w:p>
    <w:p>
      <w:pPr>
        <w:pStyle w:val="13"/>
        <w:rPr>
          <w:rFonts w:hint="eastAsia" w:ascii="宋体" w:hAnsi="宋体" w:cs="宋体"/>
          <w:b w:val="0"/>
          <w:bCs w:val="0"/>
          <w:color w:val="auto"/>
          <w:kern w:val="0"/>
          <w:sz w:val="18"/>
          <w:szCs w:val="18"/>
          <w:highlight w:val="none"/>
          <w:lang w:bidi="ar"/>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b w:val="0"/>
          <w:bCs w:val="0"/>
          <w:color w:val="auto"/>
          <w:sz w:val="21"/>
          <w:szCs w:val="18"/>
          <w:highlight w:val="none"/>
          <w:lang w:val="en-US" w:eastAsia="zh-CN"/>
        </w:rPr>
      </w:pPr>
      <w:r>
        <w:rPr>
          <w:rFonts w:hint="eastAsia"/>
          <w:b w:val="0"/>
          <w:bCs w:val="0"/>
          <w:color w:val="auto"/>
          <w:sz w:val="21"/>
          <w:szCs w:val="18"/>
          <w:highlight w:val="none"/>
          <w:lang w:val="en-US" w:eastAsia="zh-CN"/>
        </w:rPr>
        <w:t>四、其他</w:t>
      </w:r>
    </w:p>
    <w:p>
      <w:pPr>
        <w:adjustRightInd w:val="0"/>
        <w:spacing w:line="273" w:lineRule="auto"/>
        <w:ind w:firstLine="360" w:firstLineChars="200"/>
        <w:rPr>
          <w:b w:val="0"/>
          <w:bCs w:val="0"/>
          <w:color w:val="auto"/>
          <w:sz w:val="18"/>
          <w:szCs w:val="18"/>
          <w:highlight w:val="none"/>
        </w:rPr>
      </w:pPr>
      <w:r>
        <w:rPr>
          <w:rFonts w:hint="eastAsia" w:ascii="宋体" w:hAnsi="宋体" w:cs="宋体"/>
          <w:b w:val="0"/>
          <w:bCs w:val="0"/>
          <w:color w:val="auto"/>
          <w:kern w:val="0"/>
          <w:sz w:val="18"/>
          <w:szCs w:val="18"/>
          <w:highlight w:val="none"/>
          <w:lang w:val="en-US" w:eastAsia="zh-CN" w:bidi="ar"/>
        </w:rPr>
        <w:t>1</w:t>
      </w:r>
      <w:r>
        <w:rPr>
          <w:rFonts w:hint="eastAsia" w:ascii="宋体" w:hAnsi="宋体" w:cs="宋体"/>
          <w:b w:val="0"/>
          <w:bCs w:val="0"/>
          <w:color w:val="auto"/>
          <w:kern w:val="0"/>
          <w:sz w:val="18"/>
          <w:szCs w:val="18"/>
          <w:highlight w:val="none"/>
          <w:lang w:bidi="ar"/>
        </w:rPr>
        <w:t>、投标人如果同时满足多个评分档次的，按所满足的最高档得分。</w:t>
      </w:r>
    </w:p>
    <w:p>
      <w:pPr>
        <w:spacing w:line="360" w:lineRule="auto"/>
        <w:ind w:firstLine="360" w:firstLineChars="200"/>
        <w:rPr>
          <w:rFonts w:hint="eastAsia" w:ascii="宋体" w:hAnsi="宋体" w:cs="宋体"/>
          <w:b w:val="0"/>
          <w:bCs w:val="0"/>
          <w:color w:val="auto"/>
          <w:kern w:val="0"/>
          <w:sz w:val="18"/>
          <w:szCs w:val="18"/>
          <w:highlight w:val="none"/>
          <w:lang w:bidi="ar"/>
        </w:rPr>
      </w:pPr>
      <w:r>
        <w:rPr>
          <w:rFonts w:hint="eastAsia" w:ascii="宋体" w:hAnsi="宋体" w:cs="宋体"/>
          <w:b w:val="0"/>
          <w:bCs w:val="0"/>
          <w:color w:val="auto"/>
          <w:kern w:val="0"/>
          <w:sz w:val="18"/>
          <w:szCs w:val="18"/>
          <w:highlight w:val="none"/>
          <w:lang w:val="en-US" w:eastAsia="zh-CN" w:bidi="ar"/>
        </w:rPr>
        <w:t>2</w:t>
      </w:r>
      <w:r>
        <w:rPr>
          <w:rFonts w:hint="eastAsia" w:ascii="宋体" w:hAnsi="宋体" w:cs="宋体"/>
          <w:b w:val="0"/>
          <w:bCs w:val="0"/>
          <w:color w:val="auto"/>
          <w:kern w:val="0"/>
          <w:sz w:val="18"/>
          <w:szCs w:val="18"/>
          <w:highlight w:val="none"/>
          <w:lang w:bidi="ar"/>
        </w:rPr>
        <w:t>、本表按百分制评分，所有评委每个分项的分数汇总后去掉一个最高分和一个最低分的算术平均值为投标人的最终得分。分数出现小数点，保留小数点后二位小数，第三位小数四舍五入。</w:t>
      </w:r>
    </w:p>
    <w:p>
      <w:pPr>
        <w:ind w:firstLine="360" w:firstLineChars="200"/>
        <w:rPr>
          <w:color w:val="auto"/>
          <w:sz w:val="24"/>
          <w:szCs w:val="24"/>
          <w:highlight w:val="none"/>
        </w:rPr>
      </w:pPr>
      <w:r>
        <w:rPr>
          <w:rFonts w:hint="eastAsia" w:ascii="宋体" w:hAnsi="宋体" w:cs="宋体"/>
          <w:b w:val="0"/>
          <w:bCs w:val="0"/>
          <w:color w:val="auto"/>
          <w:kern w:val="0"/>
          <w:sz w:val="18"/>
          <w:szCs w:val="18"/>
          <w:highlight w:val="none"/>
          <w:lang w:val="en-US" w:eastAsia="zh-CN" w:bidi="ar"/>
        </w:rPr>
        <w:t>3、在中标通知书发出前，招标人将核实中标候选人投标文件的证件原件及业绩材料原件的真实性。</w:t>
      </w:r>
      <w:r>
        <w:rPr>
          <w:rFonts w:hint="eastAsia" w:ascii="宋体" w:hAnsi="宋体" w:cs="宋体"/>
          <w:b w:val="0"/>
          <w:bCs w:val="0"/>
          <w:color w:val="auto"/>
          <w:kern w:val="0"/>
          <w:sz w:val="18"/>
          <w:szCs w:val="18"/>
          <w:highlight w:val="none"/>
          <w:lang w:bidi="ar"/>
        </w:rPr>
        <w:br w:type="page"/>
      </w:r>
      <w:r>
        <w:rPr>
          <w:rFonts w:hint="eastAsia"/>
          <w:color w:val="auto"/>
          <w:szCs w:val="21"/>
          <w:highlight w:val="none"/>
        </w:rPr>
        <w:t>附表五</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4"/>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
        <w:gridCol w:w="1009"/>
        <w:gridCol w:w="39"/>
        <w:gridCol w:w="992"/>
        <w:gridCol w:w="56"/>
        <w:gridCol w:w="975"/>
        <w:gridCol w:w="73"/>
        <w:gridCol w:w="958"/>
        <w:gridCol w:w="90"/>
        <w:gridCol w:w="941"/>
        <w:gridCol w:w="107"/>
        <w:gridCol w:w="924"/>
        <w:gridCol w:w="124"/>
        <w:gridCol w:w="907"/>
        <w:gridCol w:w="141"/>
        <w:gridCol w:w="890"/>
        <w:gridCol w:w="158"/>
        <w:gridCol w:w="873"/>
        <w:gridCol w:w="175"/>
        <w:gridCol w:w="856"/>
        <w:gridCol w:w="192"/>
        <w:gridCol w:w="839"/>
        <w:gridCol w:w="209"/>
        <w:gridCol w:w="823"/>
        <w:gridCol w:w="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投标人名称</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投标报价</w:t>
            </w:r>
            <w:r>
              <w:rPr>
                <w:rFonts w:hint="default" w:ascii="宋体" w:hAnsi="宋体"/>
                <w:color w:val="auto"/>
                <w:szCs w:val="21"/>
                <w:highlight w:val="none"/>
              </w:rPr>
              <w:t>PT</w:t>
            </w:r>
            <w:r>
              <w:rPr>
                <w:rFonts w:hint="eastAsia" w:ascii="宋体" w:hAnsi="宋体"/>
                <w:color w:val="auto"/>
                <w:szCs w:val="21"/>
                <w:highlight w:val="none"/>
              </w:rPr>
              <w:t>（元）</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报价权重</w:t>
            </w:r>
          </w:p>
        </w:tc>
        <w:tc>
          <w:tcPr>
            <w:tcW w:w="12577"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评标参考价PC（元）</w:t>
            </w:r>
          </w:p>
        </w:tc>
        <w:tc>
          <w:tcPr>
            <w:tcW w:w="12577"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偏差（（</w:t>
            </w:r>
            <w:r>
              <w:rPr>
                <w:rFonts w:hint="default" w:ascii="宋体" w:hAnsi="宋体"/>
                <w:color w:val="auto"/>
                <w:szCs w:val="21"/>
                <w:highlight w:val="none"/>
              </w:rPr>
              <w:t>PT-PC</w:t>
            </w:r>
            <w:r>
              <w:rPr>
                <w:rFonts w:hint="eastAsia" w:ascii="宋体" w:hAnsi="宋体"/>
                <w:color w:val="auto"/>
                <w:szCs w:val="21"/>
                <w:highlight w:val="none"/>
              </w:rPr>
              <w:t>）</w:t>
            </w:r>
            <w:r>
              <w:rPr>
                <w:rFonts w:hint="default" w:ascii="宋体" w:hAnsi="宋体"/>
                <w:color w:val="auto"/>
                <w:szCs w:val="21"/>
                <w:highlight w:val="none"/>
              </w:rPr>
              <w:t>/PC</w:t>
            </w:r>
            <w:r>
              <w:rPr>
                <w:rFonts w:hint="eastAsia" w:ascii="宋体" w:hAnsi="宋体"/>
                <w:color w:val="auto"/>
                <w:szCs w:val="21"/>
                <w:highlight w:val="none"/>
              </w:rPr>
              <w:t>）（</w:t>
            </w:r>
            <w:r>
              <w:rPr>
                <w:rFonts w:hint="default" w:ascii="宋体" w:hAnsi="宋体"/>
                <w:color w:val="auto"/>
                <w:szCs w:val="21"/>
                <w:highlight w:val="none"/>
              </w:rPr>
              <w:t>%</w:t>
            </w:r>
            <w:r>
              <w:rPr>
                <w:rFonts w:hint="eastAsia" w:ascii="宋体" w:hAnsi="宋体"/>
                <w:color w:val="auto"/>
                <w:szCs w:val="21"/>
                <w:highlight w:val="none"/>
              </w:rPr>
              <w:t>）</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减分（</w:t>
            </w:r>
            <w:r>
              <w:rPr>
                <w:rFonts w:hint="default" w:ascii="宋体" w:hAnsi="宋体"/>
                <w:color w:val="auto"/>
                <w:szCs w:val="21"/>
                <w:highlight w:val="none"/>
              </w:rPr>
              <w:t>A</w:t>
            </w:r>
            <w:r>
              <w:rPr>
                <w:rFonts w:hint="eastAsia" w:ascii="宋体" w:hAnsi="宋体"/>
                <w:color w:val="auto"/>
                <w:szCs w:val="21"/>
                <w:highlight w:val="none"/>
              </w:rPr>
              <w:t>）</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得分</w:t>
            </w:r>
            <w:r>
              <w:rPr>
                <w:rFonts w:hint="default" w:ascii="宋体" w:hAnsi="宋体"/>
                <w:color w:val="auto"/>
                <w:szCs w:val="21"/>
                <w:highlight w:val="none"/>
              </w:rPr>
              <w:t>(I=100-A)</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得分排名次序</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r>
    </w:tbl>
    <w:p>
      <w:pPr>
        <w:rPr>
          <w:color w:val="auto"/>
          <w:szCs w:val="21"/>
          <w:highlight w:val="none"/>
        </w:rPr>
      </w:pPr>
      <w:r>
        <w:rPr>
          <w:rFonts w:hint="eastAsia"/>
          <w:color w:val="auto"/>
          <w:szCs w:val="21"/>
          <w:highlight w:val="none"/>
        </w:rPr>
        <w:t>评委签名：</w:t>
      </w:r>
    </w:p>
    <w:p>
      <w:pPr>
        <w:rPr>
          <w:color w:val="auto"/>
          <w:szCs w:val="21"/>
          <w:highlight w:val="none"/>
        </w:rPr>
      </w:pPr>
    </w:p>
    <w:p>
      <w:pPr>
        <w:rPr>
          <w:color w:val="auto"/>
          <w:szCs w:val="21"/>
          <w:highlight w:val="none"/>
        </w:rPr>
      </w:pPr>
    </w:p>
    <w:p>
      <w:pPr>
        <w:rPr>
          <w:b/>
          <w:color w:val="auto"/>
          <w:szCs w:val="21"/>
          <w:highlight w:val="none"/>
        </w:rPr>
      </w:pPr>
      <w:r>
        <w:rPr>
          <w:color w:val="auto"/>
          <w:szCs w:val="21"/>
          <w:highlight w:val="none"/>
        </w:rPr>
        <w:br w:type="page"/>
      </w: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4"/>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修正前投标</w:t>
            </w:r>
          </w:p>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修正后投标</w:t>
            </w:r>
          </w:p>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报价</w:t>
            </w:r>
            <w:r>
              <w:rPr>
                <w:rFonts w:hint="default"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修正率</w:t>
            </w:r>
          </w:p>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当</w:t>
            </w:r>
            <w:r>
              <w:rPr>
                <w:rFonts w:hint="default"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hint="default" w:ascii="宋体" w:hAnsi="宋体"/>
                <w:color w:val="auto"/>
                <w:kern w:val="0"/>
                <w:szCs w:val="21"/>
                <w:highlight w:val="none"/>
              </w:rPr>
              <w:t>B</w:t>
            </w:r>
            <w:r>
              <w:rPr>
                <w:rFonts w:hint="eastAsia" w:ascii="宋体" w:hAnsi="宋体"/>
                <w:color w:val="auto"/>
                <w:kern w:val="0"/>
                <w:szCs w:val="21"/>
                <w:highlight w:val="none"/>
              </w:rPr>
              <w:t>≤</w:t>
            </w:r>
            <w:r>
              <w:rPr>
                <w:rFonts w:hint="default" w:ascii="宋体" w:hAnsi="宋体"/>
                <w:color w:val="auto"/>
                <w:kern w:val="0"/>
                <w:szCs w:val="21"/>
                <w:highlight w:val="none"/>
              </w:rPr>
              <w:t>A</w:t>
            </w:r>
            <w:r>
              <w:rPr>
                <w:rFonts w:hint="eastAsia" w:ascii="宋体" w:hAnsi="宋体"/>
                <w:color w:val="auto"/>
                <w:kern w:val="0"/>
                <w:szCs w:val="21"/>
                <w:highlight w:val="none"/>
              </w:rPr>
              <w:t>时</w:t>
            </w:r>
            <w:r>
              <w:rPr>
                <w:rFonts w:hint="default"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单位工程</w:t>
            </w:r>
            <w:r>
              <w:rPr>
                <w:rFonts w:hint="default"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w:t>
            </w:r>
            <w:r>
              <w:rPr>
                <w:rFonts w:hint="default" w:ascii="宋体" w:hAnsi="宋体"/>
                <w:color w:val="auto"/>
                <w:kern w:val="0"/>
                <w:szCs w:val="21"/>
                <w:highlight w:val="none"/>
              </w:rPr>
              <w:t>A=A</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+A</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An</w:t>
            </w:r>
            <w:r>
              <w:rPr>
                <w:rFonts w:hint="eastAsia" w:ascii="宋体" w:hAnsi="宋体"/>
                <w:color w:val="auto"/>
                <w:kern w:val="0"/>
                <w:szCs w:val="21"/>
                <w:highlight w:val="none"/>
              </w:rPr>
              <w:t>；∑</w:t>
            </w:r>
            <w:r>
              <w:rPr>
                <w:rFonts w:hint="default" w:ascii="宋体" w:hAnsi="宋体"/>
                <w:color w:val="auto"/>
                <w:kern w:val="0"/>
                <w:szCs w:val="21"/>
                <w:highlight w:val="none"/>
              </w:rPr>
              <w:t>B=B</w:t>
            </w:r>
            <w:r>
              <w:rPr>
                <w:rFonts w:hint="default" w:ascii="宋体" w:hAnsi="宋体"/>
                <w:color w:val="auto"/>
                <w:kern w:val="0"/>
                <w:szCs w:val="21"/>
                <w:highlight w:val="none"/>
                <w:vertAlign w:val="subscript"/>
              </w:rPr>
              <w:t>1</w:t>
            </w:r>
            <w:r>
              <w:rPr>
                <w:rFonts w:hint="default" w:ascii="宋体" w:hAnsi="宋体"/>
                <w:color w:val="auto"/>
                <w:kern w:val="0"/>
                <w:szCs w:val="21"/>
                <w:highlight w:val="none"/>
              </w:rPr>
              <w:t>+B</w:t>
            </w:r>
            <w:r>
              <w:rPr>
                <w:rFonts w:hint="default" w:ascii="宋体" w:hAnsi="宋体"/>
                <w:color w:val="auto"/>
                <w:kern w:val="0"/>
                <w:szCs w:val="21"/>
                <w:highlight w:val="none"/>
                <w:vertAlign w:val="subscript"/>
              </w:rPr>
              <w:t>2</w:t>
            </w:r>
            <w:r>
              <w:rPr>
                <w:rFonts w:hint="default" w:ascii="宋体" w:hAnsi="宋体"/>
                <w:color w:val="auto"/>
                <w:kern w:val="0"/>
                <w:szCs w:val="21"/>
                <w:highlight w:val="none"/>
              </w:rPr>
              <w:t>+</w:t>
            </w:r>
            <w:r>
              <w:rPr>
                <w:rFonts w:hint="eastAsia" w:ascii="宋体" w:hAnsi="宋体"/>
                <w:color w:val="auto"/>
                <w:kern w:val="0"/>
                <w:szCs w:val="21"/>
                <w:highlight w:val="none"/>
              </w:rPr>
              <w:t>…</w:t>
            </w:r>
            <w:r>
              <w:rPr>
                <w:rFonts w:hint="default"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
                <w:color w:val="auto"/>
                <w:sz w:val="28"/>
                <w:szCs w:val="28"/>
                <w:highlight w:val="none"/>
              </w:rPr>
            </w:pPr>
            <w:r>
              <w:rPr>
                <w:rFonts w:hint="eastAsia"/>
                <w:b/>
                <w:color w:val="auto"/>
                <w:sz w:val="28"/>
                <w:szCs w:val="28"/>
                <w:highlight w:val="none"/>
              </w:rPr>
              <w:t>原投标报价（</w:t>
            </w:r>
            <w:r>
              <w:rPr>
                <w:rFonts w:hint="default"/>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
                <w:color w:val="auto"/>
                <w:sz w:val="28"/>
                <w:szCs w:val="28"/>
                <w:highlight w:val="none"/>
              </w:rPr>
            </w:pPr>
            <w:r>
              <w:rPr>
                <w:rFonts w:hint="eastAsia"/>
                <w:b/>
                <w:color w:val="auto"/>
                <w:sz w:val="28"/>
                <w:szCs w:val="28"/>
                <w:highlight w:val="none"/>
              </w:rPr>
              <w:t>算数复核后投标报价（</w:t>
            </w:r>
            <w:r>
              <w:rPr>
                <w:rFonts w:hint="default"/>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b/>
                <w:color w:val="auto"/>
                <w:sz w:val="28"/>
                <w:szCs w:val="28"/>
                <w:highlight w:val="none"/>
              </w:rPr>
            </w:pPr>
            <w:r>
              <w:rPr>
                <w:rFonts w:hint="eastAsia"/>
                <w:b/>
                <w:color w:val="auto"/>
                <w:sz w:val="28"/>
                <w:szCs w:val="28"/>
                <w:highlight w:val="none"/>
              </w:rPr>
              <w:t>误差率（</w:t>
            </w:r>
            <w:r>
              <w:rPr>
                <w:rFonts w:hint="default"/>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color w:val="auto"/>
                <w:sz w:val="36"/>
                <w:szCs w:val="36"/>
                <w:highlight w:val="none"/>
              </w:rPr>
            </w:pPr>
          </w:p>
        </w:tc>
      </w:tr>
    </w:tbl>
    <w:p>
      <w:pPr>
        <w:rPr>
          <w:color w:val="auto"/>
          <w:szCs w:val="21"/>
          <w:highlight w:val="none"/>
        </w:rPr>
      </w:pPr>
      <w:r>
        <w:rPr>
          <w:rFonts w:hint="eastAsia"/>
          <w:color w:val="auto"/>
          <w:szCs w:val="21"/>
          <w:highlight w:val="none"/>
        </w:rPr>
        <w:t>评委签名：</w:t>
      </w:r>
    </w:p>
    <w:p>
      <w:pPr>
        <w:widowControl/>
        <w:jc w:val="left"/>
        <w:rPr>
          <w:rFonts w:ascii="仿宋_GB2312" w:hAnsi="宋体" w:eastAsia="仿宋_GB2312"/>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cols w:space="720" w:num="1"/>
          <w:titlePg/>
          <w:docGrid w:type="lines" w:linePitch="312" w:charSpace="0"/>
        </w:sectPr>
      </w:pPr>
    </w:p>
    <w:p>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w:t>
      </w:r>
      <w:r>
        <w:rPr>
          <w:b/>
          <w:color w:val="auto"/>
          <w:kern w:val="44"/>
          <w:sz w:val="28"/>
          <w:szCs w:val="28"/>
          <w:highlight w:val="none"/>
        </w:rPr>
        <w:t xml:space="preserve">  </w:t>
      </w:r>
      <w:r>
        <w:rPr>
          <w:rFonts w:hint="eastAsia"/>
          <w:b/>
          <w:color w:val="auto"/>
          <w:kern w:val="44"/>
          <w:sz w:val="28"/>
          <w:szCs w:val="28"/>
          <w:highlight w:val="none"/>
        </w:rPr>
        <w:t>合同条款</w:t>
      </w:r>
      <w:bookmarkEnd w:id="30"/>
      <w:bookmarkEnd w:id="31"/>
    </w:p>
    <w:p>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pPr>
        <w:rPr>
          <w:b/>
          <w:color w:val="auto"/>
          <w:kern w:val="44"/>
          <w:sz w:val="28"/>
          <w:szCs w:val="28"/>
          <w:highlight w:val="none"/>
        </w:rPr>
      </w:pPr>
      <w:bookmarkStart w:id="32" w:name="_Toc62056030"/>
      <w:bookmarkStart w:id="33" w:name="_Toc2272567"/>
      <w:r>
        <w:rPr>
          <w:rFonts w:hint="eastAsia"/>
          <w:b/>
          <w:color w:val="auto"/>
          <w:kern w:val="44"/>
          <w:sz w:val="28"/>
          <w:szCs w:val="28"/>
          <w:highlight w:val="none"/>
        </w:rPr>
        <w:br w:type="page"/>
      </w:r>
    </w:p>
    <w:p>
      <w:pPr>
        <w:jc w:val="center"/>
        <w:rPr>
          <w:b/>
          <w:color w:val="auto"/>
          <w:kern w:val="44"/>
          <w:sz w:val="28"/>
          <w:szCs w:val="28"/>
          <w:highlight w:val="none"/>
        </w:rPr>
      </w:pPr>
      <w:r>
        <w:rPr>
          <w:rFonts w:hint="eastAsia"/>
          <w:b/>
          <w:color w:val="auto"/>
          <w:kern w:val="44"/>
          <w:sz w:val="28"/>
          <w:szCs w:val="28"/>
          <w:highlight w:val="none"/>
        </w:rPr>
        <w:t>第四章</w:t>
      </w:r>
      <w:r>
        <w:rPr>
          <w:b/>
          <w:color w:val="auto"/>
          <w:kern w:val="44"/>
          <w:sz w:val="28"/>
          <w:szCs w:val="28"/>
          <w:highlight w:val="none"/>
        </w:rPr>
        <w:t xml:space="preserve">  </w:t>
      </w:r>
      <w:r>
        <w:rPr>
          <w:rFonts w:hint="eastAsia"/>
          <w:b/>
          <w:color w:val="auto"/>
          <w:kern w:val="44"/>
          <w:sz w:val="28"/>
          <w:szCs w:val="28"/>
          <w:highlight w:val="none"/>
        </w:rPr>
        <w:t>投标文件格式</w:t>
      </w:r>
      <w:bookmarkEnd w:id="32"/>
      <w:bookmarkEnd w:id="33"/>
    </w:p>
    <w:p>
      <w:pPr>
        <w:spacing w:after="120"/>
        <w:ind w:firstLine="420"/>
        <w:jc w:val="center"/>
        <w:outlineLvl w:val="1"/>
        <w:rPr>
          <w:rFonts w:ascii="宋体" w:hAnsi="宋体"/>
          <w:b/>
          <w:color w:val="auto"/>
          <w:sz w:val="28"/>
          <w:szCs w:val="24"/>
          <w:highlight w:val="none"/>
        </w:rPr>
      </w:pPr>
      <w:bookmarkStart w:id="34" w:name="_Toc9279"/>
      <w:bookmarkStart w:id="35" w:name="_Toc62056031"/>
      <w:bookmarkStart w:id="36" w:name="_Toc504722502"/>
      <w:r>
        <w:rPr>
          <w:rFonts w:hint="eastAsia" w:ascii="宋体" w:hAnsi="宋体"/>
          <w:b/>
          <w:color w:val="auto"/>
          <w:sz w:val="28"/>
          <w:szCs w:val="24"/>
          <w:highlight w:val="none"/>
        </w:rPr>
        <w:t>一、技术标投标文件格式</w:t>
      </w:r>
      <w:bookmarkEnd w:id="34"/>
      <w:bookmarkEnd w:id="35"/>
      <w:bookmarkEnd w:id="36"/>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4489935"/>
      <w:bookmarkStart w:id="38" w:name="_Toc62056032"/>
      <w:bookmarkStart w:id="39" w:name="_Toc29476911"/>
      <w:bookmarkStart w:id="40" w:name="_Toc504722503"/>
      <w:bookmarkStart w:id="41" w:name="_Toc24194"/>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w:t>
      </w:r>
      <w:bookmarkStart w:id="42" w:name="_Toc318924494"/>
      <w:bookmarkStart w:id="43" w:name="_Toc226209002"/>
      <w:bookmarkStart w:id="44" w:name="_Toc163337619"/>
      <w:bookmarkStart w:id="45" w:name="_Toc239311745"/>
      <w:bookmarkStart w:id="46" w:name="_Toc337720090"/>
      <w:bookmarkStart w:id="47" w:name="_Toc239216030"/>
      <w:bookmarkStart w:id="48" w:name="_Toc464131223"/>
      <w:bookmarkStart w:id="49" w:name="_Toc449308419"/>
      <w:bookmarkStart w:id="50" w:name="_Toc352240522"/>
      <w:bookmarkStart w:id="51" w:name="_Toc358370577"/>
      <w:bookmarkStart w:id="52" w:name="_Toc395261098"/>
      <w:bookmarkStart w:id="53" w:name="_Toc369536769"/>
      <w:bookmarkStart w:id="54" w:name="_Toc484958691"/>
      <w:bookmarkStart w:id="55" w:name="_Toc352623420"/>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pPr>
        <w:ind w:firstLine="924" w:firstLineChars="300"/>
        <w:rPr>
          <w:rFonts w:ascii="宋体" w:hAnsi="宋体"/>
          <w:color w:val="auto"/>
          <w:sz w:val="24"/>
          <w:szCs w:val="24"/>
          <w:highlight w:val="none"/>
        </w:rPr>
      </w:pPr>
      <w:r>
        <w:rPr>
          <w:rFonts w:hint="eastAsia" w:ascii="宋体" w:hAnsi="宋体"/>
          <w:snapToGrid w:val="0"/>
          <w:color w:val="auto"/>
          <w:spacing w:val="4"/>
          <w:kern w:val="0"/>
          <w:sz w:val="30"/>
          <w:szCs w:val="30"/>
          <w:highlight w:val="none"/>
        </w:rPr>
        <w:t>日  期：</w:t>
      </w:r>
      <w:r>
        <w:rPr>
          <w:rFonts w:hint="eastAsia" w:ascii="宋体" w:hAnsi="宋体"/>
          <w:color w:val="auto"/>
          <w:highlight w:val="none"/>
          <w:u w:val="single"/>
        </w:rPr>
        <w:t xml:space="preserve">                                            </w:t>
      </w:r>
    </w:p>
    <w:p>
      <w:pPr>
        <w:widowControl/>
        <w:topLinePunct/>
        <w:adjustRightInd w:val="0"/>
        <w:snapToGrid w:val="0"/>
        <w:spacing w:after="200"/>
        <w:jc w:val="left"/>
        <w:outlineLvl w:val="2"/>
        <w:rPr>
          <w:rFonts w:ascii="宋体" w:hAnsi="宋体"/>
          <w:color w:val="auto"/>
          <w:spacing w:val="4"/>
          <w:kern w:val="0"/>
          <w:sz w:val="24"/>
          <w:szCs w:val="24"/>
          <w:highlight w:val="none"/>
        </w:rPr>
      </w:pPr>
      <w:r>
        <w:rPr>
          <w:b/>
          <w:color w:val="auto"/>
          <w:highlight w:val="none"/>
        </w:rPr>
        <w:br w:type="page"/>
      </w:r>
      <w:bookmarkStart w:id="56" w:name="_Toc4489936"/>
      <w:bookmarkStart w:id="57" w:name="_Toc29476912"/>
      <w:bookmarkStart w:id="58" w:name="_Toc62056033"/>
      <w:r>
        <w:rPr>
          <w:rFonts w:hint="eastAsia" w:ascii="宋体" w:hAnsi="宋体"/>
          <w:color w:val="auto"/>
          <w:spacing w:val="4"/>
          <w:kern w:val="0"/>
          <w:sz w:val="24"/>
          <w:szCs w:val="24"/>
          <w:highlight w:val="none"/>
        </w:rPr>
        <w:t>格式二：广州建设工程施工招标投标书</w:t>
      </w:r>
      <w:bookmarkEnd w:id="56"/>
      <w:bookmarkEnd w:id="57"/>
      <w:bookmarkEnd w:id="58"/>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4"/>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总工</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2038" w:firstLineChars="846"/>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p>
      <w:pPr>
        <w:rPr>
          <w:rFonts w:ascii="宋体" w:hAnsi="宋体"/>
          <w:b/>
          <w:snapToGrid w:val="0"/>
          <w:color w:val="auto"/>
          <w:spacing w:val="4"/>
          <w:sz w:val="24"/>
          <w:szCs w:val="24"/>
          <w:highlight w:val="none"/>
        </w:rPr>
      </w:pPr>
      <w:r>
        <w:rPr>
          <w:color w:val="auto"/>
          <w:sz w:val="24"/>
          <w:szCs w:val="24"/>
          <w:highlight w:val="none"/>
        </w:rPr>
        <w:br w:type="page"/>
      </w:r>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59" w:name="_Toc62056034"/>
      <w:bookmarkStart w:id="60" w:name="_Toc504722505"/>
      <w:bookmarkStart w:id="61" w:name="_Toc29476913"/>
      <w:bookmarkStart w:id="62" w:name="_Toc22278"/>
      <w:bookmarkStart w:id="63" w:name="_Toc4489937"/>
      <w:r>
        <w:rPr>
          <w:rFonts w:hint="eastAsia" w:ascii="宋体" w:hAnsi="宋体"/>
          <w:color w:val="auto"/>
          <w:spacing w:val="4"/>
          <w:kern w:val="0"/>
          <w:sz w:val="24"/>
          <w:szCs w:val="24"/>
          <w:highlight w:val="none"/>
        </w:rPr>
        <w:t>格式三：投标函</w:t>
      </w:r>
      <w:bookmarkEnd w:id="59"/>
      <w:bookmarkEnd w:id="60"/>
      <w:bookmarkEnd w:id="61"/>
      <w:bookmarkEnd w:id="62"/>
      <w:bookmarkEnd w:id="63"/>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464131225"/>
      <w:bookmarkStart w:id="66" w:name="_Toc449308421"/>
      <w:bookmarkStart w:id="67" w:name="_Toc369536771"/>
      <w:bookmarkStart w:id="68" w:name="_Toc352240524"/>
      <w:bookmarkStart w:id="69" w:name="_Toc291101119"/>
      <w:bookmarkStart w:id="70" w:name="_Toc395261100"/>
      <w:bookmarkStart w:id="71" w:name="_Toc254961556"/>
      <w:bookmarkStart w:id="72" w:name="_Toc337720092"/>
      <w:bookmarkStart w:id="73" w:name="_Toc352623422"/>
      <w:bookmarkStart w:id="74" w:name="_Toc248650371"/>
      <w:bookmarkStart w:id="75" w:name="_Toc226209004"/>
      <w:bookmarkStart w:id="76" w:name="_Toc358370579"/>
      <w:r>
        <w:rPr>
          <w:rFonts w:hint="eastAsia" w:ascii="宋体" w:hAnsi="宋体"/>
          <w:color w:val="auto"/>
          <w:spacing w:val="4"/>
          <w:kern w:val="0"/>
          <w:sz w:val="24"/>
          <w:szCs w:val="24"/>
          <w:highlight w:val="none"/>
        </w:rPr>
        <w:t>标单位。</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人：（盖章</w:t>
      </w:r>
      <w:bookmarkEnd w:id="83"/>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bookmarkStart w:id="84" w:name="_Toc484958701"/>
      <w:r>
        <w:rPr>
          <w:rFonts w:hint="eastAsia" w:ascii="宋体" w:hAnsi="宋体"/>
          <w:color w:val="auto"/>
          <w:spacing w:val="4"/>
          <w:kern w:val="0"/>
          <w:sz w:val="24"/>
          <w:szCs w:val="24"/>
          <w:highlight w:val="none"/>
        </w:rPr>
        <w:t>法定代表人或授权代理人（签字或盖章）</w:t>
      </w:r>
      <w:bookmarkEnd w:id="84"/>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eastAsia="黑体"/>
          <w:b/>
          <w:color w:val="auto"/>
          <w:spacing w:val="4"/>
          <w:kern w:val="0"/>
          <w:sz w:val="24"/>
          <w:szCs w:val="24"/>
          <w:highlight w:val="none"/>
        </w:rPr>
        <w:br w:type="page"/>
      </w:r>
      <w:bookmarkStart w:id="85" w:name="_Toc4489938"/>
      <w:bookmarkStart w:id="86" w:name="_Toc20655"/>
      <w:bookmarkStart w:id="87" w:name="_Toc504722506"/>
      <w:bookmarkStart w:id="88" w:name="_Toc29476914"/>
      <w:bookmarkStart w:id="89" w:name="_Toc62056035"/>
      <w:r>
        <w:rPr>
          <w:rFonts w:hint="eastAsia" w:ascii="宋体" w:hAnsi="宋体"/>
          <w:color w:val="auto"/>
          <w:spacing w:val="4"/>
          <w:kern w:val="0"/>
          <w:sz w:val="24"/>
          <w:szCs w:val="24"/>
          <w:highlight w:val="none"/>
        </w:rPr>
        <w:t>格式四：企业相关资料</w:t>
      </w:r>
      <w:bookmarkEnd w:id="85"/>
      <w:bookmarkEnd w:id="86"/>
      <w:bookmarkEnd w:id="87"/>
      <w:bookmarkEnd w:id="88"/>
      <w:bookmarkEnd w:id="89"/>
    </w:p>
    <w:p>
      <w:pPr>
        <w:jc w:val="center"/>
        <w:rPr>
          <w:rFonts w:ascii="宋体" w:hAnsi="宋体"/>
          <w:b/>
          <w:color w:val="auto"/>
          <w:spacing w:val="4"/>
          <w:kern w:val="0"/>
          <w:sz w:val="36"/>
          <w:szCs w:val="32"/>
          <w:highlight w:val="none"/>
        </w:rPr>
      </w:pPr>
      <w:bookmarkStart w:id="90" w:name="_Toc4486071"/>
      <w:bookmarkStart w:id="91" w:name="_Toc5083"/>
      <w:bookmarkStart w:id="92" w:name="_Toc4340128"/>
      <w:bookmarkStart w:id="93" w:name="_Toc4339790"/>
      <w:bookmarkStart w:id="94" w:name="_Toc504722507"/>
      <w:bookmarkStart w:id="95" w:name="_Toc4489939"/>
      <w:r>
        <w:rPr>
          <w:rFonts w:hint="eastAsia" w:ascii="宋体" w:hAnsi="宋体"/>
          <w:b/>
          <w:color w:val="auto"/>
          <w:spacing w:val="4"/>
          <w:kern w:val="0"/>
          <w:sz w:val="36"/>
          <w:szCs w:val="32"/>
          <w:highlight w:val="none"/>
        </w:rPr>
        <w:t>企业相关资料</w:t>
      </w:r>
      <w:bookmarkEnd w:id="90"/>
      <w:bookmarkEnd w:id="91"/>
      <w:bookmarkEnd w:id="92"/>
      <w:bookmarkEnd w:id="93"/>
      <w:bookmarkEnd w:id="94"/>
      <w:bookmarkEnd w:id="95"/>
    </w:p>
    <w:p>
      <w:pPr>
        <w:spacing w:line="360" w:lineRule="auto"/>
        <w:jc w:val="center"/>
        <w:rPr>
          <w:color w:val="auto"/>
          <w:sz w:val="24"/>
          <w:highlight w:val="none"/>
        </w:rPr>
      </w:pPr>
      <w:bookmarkStart w:id="96" w:name="_Toc913"/>
      <w:bookmarkStart w:id="97" w:name="_Toc504722508"/>
      <w:bookmarkStart w:id="98" w:name="_Toc4486072"/>
      <w:bookmarkStart w:id="99" w:name="_Toc4489940"/>
      <w:bookmarkStart w:id="100" w:name="_Toc4339791"/>
      <w:bookmarkStart w:id="101" w:name="_Toc4340129"/>
      <w:r>
        <w:rPr>
          <w:rFonts w:hint="eastAsia"/>
          <w:color w:val="auto"/>
          <w:sz w:val="24"/>
          <w:highlight w:val="none"/>
        </w:rPr>
        <w:t>(如有)</w:t>
      </w:r>
      <w:bookmarkEnd w:id="96"/>
      <w:bookmarkEnd w:id="97"/>
      <w:bookmarkEnd w:id="98"/>
      <w:bookmarkEnd w:id="99"/>
      <w:bookmarkEnd w:id="100"/>
      <w:bookmarkEnd w:id="101"/>
    </w:p>
    <w:p>
      <w:pPr>
        <w:rPr>
          <w:color w:val="auto"/>
          <w:sz w:val="24"/>
          <w:highlight w:val="none"/>
        </w:rPr>
      </w:pPr>
      <w:bookmarkStart w:id="102" w:name="_Toc4489941"/>
      <w:bookmarkStart w:id="103" w:name="_Toc4340130"/>
      <w:bookmarkStart w:id="104" w:name="_Toc4339792"/>
      <w:bookmarkStart w:id="105" w:name="_Toc4486073"/>
      <w:bookmarkStart w:id="106" w:name="_Toc27564"/>
      <w:bookmarkStart w:id="107" w:name="_Toc504722509"/>
      <w:r>
        <w:rPr>
          <w:rFonts w:hint="eastAsia"/>
          <w:color w:val="auto"/>
          <w:sz w:val="24"/>
          <w:highlight w:val="none"/>
        </w:rPr>
        <w:t>注：</w:t>
      </w:r>
      <w:bookmarkEnd w:id="102"/>
      <w:bookmarkEnd w:id="103"/>
      <w:bookmarkEnd w:id="104"/>
      <w:bookmarkEnd w:id="105"/>
      <w:bookmarkEnd w:id="106"/>
      <w:bookmarkEnd w:id="107"/>
    </w:p>
    <w:p>
      <w:pPr>
        <w:spacing w:line="360" w:lineRule="auto"/>
        <w:rPr>
          <w:color w:val="auto"/>
          <w:sz w:val="24"/>
          <w:highlight w:val="none"/>
        </w:rPr>
      </w:pPr>
      <w:bookmarkStart w:id="108" w:name="_Toc4339793"/>
      <w:bookmarkStart w:id="109" w:name="_Toc4340131"/>
      <w:bookmarkStart w:id="110" w:name="_Toc504722510"/>
      <w:bookmarkStart w:id="111" w:name="_Toc9431"/>
      <w:bookmarkStart w:id="112" w:name="_Toc4489942"/>
      <w:bookmarkStart w:id="113" w:name="_Toc4486074"/>
      <w:r>
        <w:rPr>
          <w:rFonts w:hint="eastAsia"/>
          <w:color w:val="auto"/>
          <w:sz w:val="24"/>
          <w:highlight w:val="none"/>
        </w:rPr>
        <w:t>1.</w:t>
      </w:r>
      <w:bookmarkEnd w:id="108"/>
      <w:bookmarkEnd w:id="109"/>
      <w:bookmarkEnd w:id="110"/>
      <w:bookmarkEnd w:id="111"/>
      <w:bookmarkEnd w:id="112"/>
      <w:bookmarkEnd w:id="113"/>
      <w:bookmarkStart w:id="114" w:name="_Toc4339797"/>
      <w:bookmarkStart w:id="115" w:name="_Toc4489946"/>
      <w:bookmarkStart w:id="116" w:name="_Toc8019"/>
      <w:bookmarkStart w:id="117" w:name="_Toc4340135"/>
      <w:r>
        <w:rPr>
          <w:rFonts w:hint="eastAsia"/>
          <w:color w:val="auto"/>
          <w:sz w:val="24"/>
          <w:highlight w:val="none"/>
        </w:rPr>
        <w:t xml:space="preserve"> 按《技术标详细审查评分表》中的评分要求进行提供；</w:t>
      </w:r>
    </w:p>
    <w:p>
      <w:pPr>
        <w:spacing w:line="360" w:lineRule="auto"/>
        <w:rPr>
          <w:color w:val="auto"/>
          <w:sz w:val="24"/>
          <w:highlight w:val="none"/>
        </w:rPr>
      </w:pPr>
      <w:r>
        <w:rPr>
          <w:rFonts w:hint="eastAsia"/>
          <w:color w:val="auto"/>
          <w:sz w:val="24"/>
          <w:highlight w:val="none"/>
        </w:rPr>
        <w:t>2. 其他投标人认为须提交的资料。</w:t>
      </w:r>
    </w:p>
    <w:p>
      <w:pPr>
        <w:outlineLvl w:val="2"/>
        <w:rPr>
          <w:color w:val="auto"/>
          <w:highlight w:val="none"/>
        </w:rPr>
      </w:pPr>
      <w:r>
        <w:rPr>
          <w:color w:val="auto"/>
          <w:highlight w:val="none"/>
        </w:rPr>
        <w:br w:type="page"/>
      </w:r>
      <w:bookmarkStart w:id="118" w:name="_Toc504722513"/>
      <w:bookmarkStart w:id="119" w:name="_Toc62056036"/>
      <w:bookmarkStart w:id="120" w:name="_Toc29476915"/>
      <w:r>
        <w:rPr>
          <w:rFonts w:hint="eastAsia" w:ascii="宋体" w:hAnsi="宋体"/>
          <w:color w:val="auto"/>
          <w:spacing w:val="4"/>
          <w:kern w:val="0"/>
          <w:sz w:val="24"/>
          <w:szCs w:val="24"/>
          <w:highlight w:val="none"/>
        </w:rPr>
        <w:t>格式五：法定代表人证明书、授权委托书</w:t>
      </w:r>
      <w:bookmarkEnd w:id="114"/>
      <w:bookmarkEnd w:id="115"/>
      <w:bookmarkEnd w:id="116"/>
      <w:bookmarkEnd w:id="117"/>
      <w:bookmarkEnd w:id="118"/>
      <w:bookmarkEnd w:id="119"/>
      <w:bookmarkEnd w:id="120"/>
    </w:p>
    <w:p>
      <w:pPr>
        <w:widowControl/>
        <w:topLinePunct/>
        <w:adjustRightInd w:val="0"/>
        <w:snapToGrid w:val="0"/>
        <w:spacing w:after="200"/>
        <w:jc w:val="center"/>
        <w:rPr>
          <w:rFonts w:ascii="宋体" w:hAnsi="宋体"/>
          <w:color w:val="auto"/>
          <w:spacing w:val="4"/>
          <w:kern w:val="0"/>
          <w:sz w:val="32"/>
          <w:szCs w:val="32"/>
          <w:highlight w:val="none"/>
        </w:rPr>
      </w:pPr>
    </w:p>
    <w:p>
      <w:pPr>
        <w:widowControl/>
        <w:topLinePunct/>
        <w:adjustRightInd w:val="0"/>
        <w:snapToGrid w:val="0"/>
        <w:spacing w:after="200"/>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pPr>
        <w:topLinePunct/>
        <w:adjustRightInd w:val="0"/>
        <w:snapToGrid w:val="0"/>
        <w:ind w:right="668"/>
        <w:jc w:val="right"/>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pPr>
                              <w:pStyle w:val="32"/>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2"/>
                              <w:ind w:firstLine="0" w:firstLineChars="0"/>
                              <w:rPr>
                                <w:rFonts w:ascii="宋体" w:hAnsi="宋体"/>
                                <w:szCs w:val="28"/>
                              </w:rPr>
                            </w:pPr>
                            <w:r>
                              <w:rPr>
                                <w:rFonts w:hint="eastAsia" w:ascii="宋体" w:hAnsi="宋体"/>
                                <w:szCs w:val="28"/>
                              </w:rPr>
                              <w:t>特此证明。</w:t>
                            </w:r>
                          </w:p>
                          <w:p>
                            <w:pPr>
                              <w:pStyle w:val="32"/>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　　　　　　　　　　单位：　　　　　　　　　　　（盖章）</w:t>
                            </w:r>
                          </w:p>
                          <w:p>
                            <w:pPr>
                              <w:pStyle w:val="32"/>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pPr>
                        <w:pStyle w:val="32"/>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2"/>
                        <w:ind w:firstLine="0" w:firstLineChars="0"/>
                        <w:rPr>
                          <w:rFonts w:ascii="宋体" w:hAnsi="宋体"/>
                          <w:szCs w:val="28"/>
                        </w:rPr>
                      </w:pPr>
                      <w:r>
                        <w:rPr>
                          <w:rFonts w:hint="eastAsia" w:ascii="宋体" w:hAnsi="宋体"/>
                          <w:szCs w:val="28"/>
                        </w:rPr>
                        <w:t>特此证明。</w:t>
                      </w:r>
                    </w:p>
                    <w:p>
                      <w:pPr>
                        <w:pStyle w:val="32"/>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2"/>
                        <w:ind w:firstLine="0" w:firstLineChars="0"/>
                        <w:rPr>
                          <w:rFonts w:ascii="宋体" w:hAnsi="宋体"/>
                          <w:szCs w:val="28"/>
                        </w:rPr>
                      </w:pPr>
                      <w:r>
                        <w:rPr>
                          <w:rFonts w:hint="eastAsia" w:ascii="宋体" w:hAnsi="宋体"/>
                          <w:szCs w:val="28"/>
                        </w:rPr>
                        <w:t>　　　　　　　　　　单位：　　　　　　　　　　　（盖章）</w:t>
                      </w:r>
                    </w:p>
                    <w:p>
                      <w:pPr>
                        <w:pStyle w:val="32"/>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color w:val="auto"/>
          <w:spacing w:val="4"/>
          <w:sz w:val="24"/>
          <w:szCs w:val="24"/>
          <w:highlight w:val="none"/>
        </w:rPr>
        <w:t>（　 ）第　号</w:t>
      </w:r>
    </w:p>
    <w:p>
      <w:pPr>
        <w:topLinePunct w:val="0"/>
        <w:adjustRightInd/>
        <w:snapToGrid/>
        <w:ind w:firstLine="0" w:firstLineChars="0"/>
        <w:rPr>
          <w:rFonts w:hint="eastAsia"/>
          <w:snapToGrid w:val="0"/>
          <w:color w:val="auto"/>
          <w:spacing w:val="4"/>
          <w:sz w:val="24"/>
          <w:szCs w:val="24"/>
          <w:highlight w:val="none"/>
        </w:rPr>
      </w:pPr>
    </w:p>
    <w:p>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 xml:space="preserve">                                                 （   ）第  号</w:t>
      </w:r>
    </w:p>
    <w:p>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889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pPr>
                              <w:pStyle w:val="32"/>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32"/>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32"/>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32"/>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pPr>
                        <w:pStyle w:val="32"/>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32"/>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2"/>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32"/>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32"/>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pPr>
        <w:rPr>
          <w:color w:val="auto"/>
          <w:highlight w:val="none"/>
        </w:rPr>
      </w:pPr>
      <w:bookmarkStart w:id="121" w:name="_Toc4486079"/>
      <w:bookmarkStart w:id="122" w:name="_Toc4340136"/>
      <w:bookmarkStart w:id="123" w:name="_Toc3736"/>
      <w:bookmarkStart w:id="124" w:name="_Toc4489947"/>
      <w:bookmarkStart w:id="125" w:name="_Toc4339798"/>
      <w:r>
        <w:rPr>
          <w:rFonts w:hint="eastAsia"/>
          <w:color w:val="auto"/>
          <w:highlight w:val="none"/>
        </w:rPr>
        <w:t>注：按提供的格式或使用从工商管理部门购买的格式填写。</w:t>
      </w:r>
      <w:bookmarkEnd w:id="121"/>
      <w:bookmarkEnd w:id="122"/>
      <w:bookmarkEnd w:id="123"/>
      <w:bookmarkEnd w:id="124"/>
      <w:bookmarkEnd w:id="125"/>
    </w:p>
    <w:p>
      <w:pPr>
        <w:widowControl/>
        <w:topLinePunct w:val="0"/>
        <w:adjustRightInd/>
        <w:snapToGrid/>
        <w:spacing w:before="0" w:beforeLines="-2147483648" w:after="0" w:afterLines="-2147483648"/>
        <w:jc w:val="left"/>
        <w:outlineLvl w:val="9"/>
        <w:rPr>
          <w:rFonts w:ascii="宋体" w:hAnsi="宋体"/>
          <w:color w:val="auto"/>
          <w:spacing w:val="4"/>
          <w:kern w:val="0"/>
          <w:sz w:val="24"/>
          <w:szCs w:val="24"/>
          <w:highlight w:val="none"/>
        </w:rPr>
      </w:pPr>
      <w:bookmarkStart w:id="126" w:name="_Toc29321"/>
      <w:bookmarkStart w:id="127" w:name="_Toc504722514"/>
      <w:r>
        <w:rPr>
          <w:rFonts w:ascii="宋体" w:hAnsi="宋体"/>
          <w:color w:val="auto"/>
          <w:spacing w:val="4"/>
          <w:kern w:val="0"/>
          <w:sz w:val="24"/>
          <w:szCs w:val="24"/>
          <w:highlight w:val="none"/>
        </w:rPr>
        <w:br w:type="page"/>
      </w:r>
      <w:bookmarkStart w:id="128" w:name="_Toc29476916"/>
      <w:bookmarkStart w:id="129" w:name="_Toc4489948"/>
      <w:bookmarkStart w:id="130" w:name="_Toc62056037"/>
    </w:p>
    <w:p>
      <w:pPr>
        <w:widowControl/>
        <w:topLinePunct/>
        <w:adjustRightInd w:val="0"/>
        <w:snapToGrid w:val="0"/>
        <w:spacing w:before="156" w:beforeLines="50" w:after="156" w:afterLines="5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六</w:t>
      </w:r>
      <w:r>
        <w:rPr>
          <w:rFonts w:hint="eastAsia" w:ascii="宋体" w:hAnsi="宋体"/>
          <w:color w:val="auto"/>
          <w:spacing w:val="4"/>
          <w:kern w:val="0"/>
          <w:sz w:val="24"/>
          <w:szCs w:val="24"/>
          <w:highlight w:val="none"/>
        </w:rPr>
        <w:t>：施工组织架构图</w:t>
      </w:r>
      <w:bookmarkEnd w:id="126"/>
      <w:bookmarkEnd w:id="127"/>
      <w:bookmarkEnd w:id="128"/>
      <w:bookmarkEnd w:id="129"/>
      <w:bookmarkEnd w:id="130"/>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bookmarkStart w:id="131" w:name="_Toc464131229"/>
      <w:bookmarkStart w:id="132" w:name="_Toc449308425"/>
      <w:bookmarkStart w:id="133" w:name="_Toc484958704"/>
      <w:r>
        <w:rPr>
          <w:rFonts w:hint="eastAsia" w:ascii="宋体" w:hAnsi="宋体"/>
          <w:color w:val="auto"/>
          <w:spacing w:val="4"/>
          <w:kern w:val="0"/>
          <w:sz w:val="24"/>
          <w:szCs w:val="24"/>
          <w:highlight w:val="none"/>
        </w:rPr>
        <w:t>2、施工组织架构图由投标人</w:t>
      </w:r>
      <w:bookmarkEnd w:id="131"/>
      <w:bookmarkEnd w:id="132"/>
      <w:bookmarkEnd w:id="133"/>
      <w:r>
        <w:rPr>
          <w:rFonts w:hint="eastAsia" w:ascii="宋体" w:hAnsi="宋体"/>
          <w:color w:val="auto"/>
          <w:spacing w:val="4"/>
          <w:kern w:val="0"/>
          <w:sz w:val="24"/>
          <w:szCs w:val="24"/>
          <w:highlight w:val="none"/>
        </w:rPr>
        <w:t>结合招标人对本工程的具体要求自行设定；</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pPr>
        <w:widowControl/>
        <w:topLinePunct/>
        <w:adjustRightInd w:val="0"/>
        <w:snapToGrid w:val="0"/>
        <w:spacing w:after="200"/>
        <w:jc w:val="left"/>
        <w:outlineLvl w:val="2"/>
        <w:rPr>
          <w:rFonts w:ascii="宋体" w:hAnsi="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134" w:name="_Toc29476917"/>
      <w:bookmarkStart w:id="135" w:name="_Toc1959"/>
      <w:bookmarkStart w:id="136" w:name="_Toc504722515"/>
      <w:bookmarkStart w:id="137" w:name="_Toc4489949"/>
      <w:bookmarkStart w:id="138" w:name="_Toc62056038"/>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七</w:t>
      </w:r>
      <w:r>
        <w:rPr>
          <w:rFonts w:hint="eastAsia" w:ascii="宋体" w:hAnsi="宋体"/>
          <w:color w:val="auto"/>
          <w:spacing w:val="4"/>
          <w:kern w:val="0"/>
          <w:sz w:val="24"/>
          <w:szCs w:val="24"/>
          <w:highlight w:val="none"/>
        </w:rPr>
        <w:t>：</w:t>
      </w:r>
      <w:bookmarkEnd w:id="134"/>
      <w:bookmarkEnd w:id="135"/>
      <w:bookmarkEnd w:id="136"/>
      <w:bookmarkEnd w:id="137"/>
      <w:r>
        <w:rPr>
          <w:rFonts w:hint="eastAsia" w:ascii="宋体" w:hAnsi="宋体"/>
          <w:color w:val="auto"/>
          <w:spacing w:val="4"/>
          <w:kern w:val="0"/>
          <w:sz w:val="24"/>
          <w:szCs w:val="24"/>
          <w:highlight w:val="none"/>
        </w:rPr>
        <w:t>项目经理部组成人员配备表</w:t>
      </w:r>
      <w:bookmarkEnd w:id="138"/>
    </w:p>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项目经理部组成人员配备表</w:t>
      </w:r>
    </w:p>
    <w:tbl>
      <w:tblPr>
        <w:tblStyle w:val="24"/>
        <w:tblW w:w="13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6"/>
        <w:gridCol w:w="1050"/>
        <w:gridCol w:w="975"/>
        <w:gridCol w:w="870"/>
        <w:gridCol w:w="1175"/>
        <w:gridCol w:w="1580"/>
        <w:gridCol w:w="2283"/>
        <w:gridCol w:w="685"/>
        <w:gridCol w:w="27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序号</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姓名</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年龄</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职称</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原任职务</w:t>
            </w: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在本项目任职</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身份证号码</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数量</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资质情况</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Style w:val="27"/>
                <w:rFonts w:hint="eastAsia" w:ascii="宋体" w:hAnsi="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1</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Style w:val="27"/>
                <w:rFonts w:hint="default" w:ascii="宋体" w:hAnsi="宋体" w:cs="宋体"/>
                <w:bCs/>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Style w:val="27"/>
                <w:rFonts w:hint="default" w:ascii="宋体" w:hAnsi="宋体" w:cs="宋体"/>
                <w:bCs/>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Style w:val="27"/>
                <w:rFonts w:hint="default" w:ascii="宋体" w:hAnsi="宋体" w:cs="宋体"/>
                <w:bCs/>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Style w:val="27"/>
                <w:rFonts w:hint="default" w:ascii="宋体" w:hAnsi="宋体" w:cs="宋体"/>
                <w:bCs/>
                <w:color w:val="auto"/>
                <w:sz w:val="21"/>
                <w:szCs w:val="21"/>
                <w:highlight w:val="none"/>
              </w:rPr>
            </w:pP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项目负责人</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按招标公告要求</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2</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技术负责人</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按招标公告要求</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3</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专职安全员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按招标公告要求</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4</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质量负责人</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具有电气或</w:t>
            </w:r>
            <w:r>
              <w:rPr>
                <w:rFonts w:hint="default" w:ascii="宋体" w:hAnsi="宋体" w:cs="宋体"/>
                <w:color w:val="auto"/>
                <w:sz w:val="21"/>
                <w:szCs w:val="21"/>
                <w:highlight w:val="none"/>
              </w:rPr>
              <w:t>电力</w:t>
            </w:r>
            <w:r>
              <w:rPr>
                <w:rFonts w:hint="eastAsia" w:ascii="宋体" w:hAnsi="宋体" w:cs="宋体"/>
                <w:color w:val="auto"/>
                <w:sz w:val="21"/>
                <w:szCs w:val="21"/>
                <w:highlight w:val="none"/>
              </w:rPr>
              <w:t>类中级工程师或以上职称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须提供职称证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5</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造价负责人</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具有造价类或电气类或电力类工程师或以上职称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微软雅黑" w:hAnsi="微软雅黑" w:eastAsia="微软雅黑" w:cs="微软雅黑"/>
                <w:color w:val="auto"/>
                <w:kern w:val="2"/>
                <w:sz w:val="21"/>
                <w:szCs w:val="21"/>
                <w:highlight w:val="none"/>
                <w:lang w:val="en-US" w:eastAsia="zh-CN" w:bidi="ar"/>
              </w:rPr>
            </w:pPr>
            <w:r>
              <w:rPr>
                <w:rFonts w:hint="eastAsia" w:ascii="宋体" w:hAnsi="宋体" w:cs="宋体"/>
                <w:color w:val="auto"/>
                <w:sz w:val="21"/>
                <w:szCs w:val="21"/>
                <w:highlight w:val="none"/>
              </w:rPr>
              <w:t>须提供职称证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6</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工作负责人</w:t>
            </w:r>
          </w:p>
        </w:tc>
        <w:tc>
          <w:tcPr>
            <w:tcW w:w="2283"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685"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712"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具有工作票“两种人”资格</w:t>
            </w:r>
          </w:p>
        </w:tc>
        <w:tc>
          <w:tcPr>
            <w:tcW w:w="1576"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须提供工作票“两种人”考试合格名单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7</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工作票签发人</w:t>
            </w:r>
          </w:p>
        </w:tc>
        <w:tc>
          <w:tcPr>
            <w:tcW w:w="2283"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w:t>
            </w:r>
          </w:p>
        </w:tc>
        <w:tc>
          <w:tcPr>
            <w:tcW w:w="685"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712"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具有工作票“两种人”资格</w:t>
            </w:r>
          </w:p>
        </w:tc>
        <w:tc>
          <w:tcPr>
            <w:tcW w:w="1576"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须提供工作票“两种人”考试合格名单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8</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深化设计工程师</w:t>
            </w:r>
          </w:p>
        </w:tc>
        <w:tc>
          <w:tcPr>
            <w:tcW w:w="2283"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685"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712"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具有电气或</w:t>
            </w:r>
            <w:r>
              <w:rPr>
                <w:rFonts w:hint="default" w:ascii="宋体" w:hAnsi="宋体" w:cs="宋体"/>
                <w:color w:val="auto"/>
                <w:sz w:val="21"/>
                <w:szCs w:val="21"/>
                <w:highlight w:val="none"/>
              </w:rPr>
              <w:t>电力</w:t>
            </w:r>
            <w:r>
              <w:rPr>
                <w:rFonts w:hint="eastAsia" w:ascii="宋体" w:hAnsi="宋体" w:cs="宋体"/>
                <w:color w:val="auto"/>
                <w:sz w:val="21"/>
                <w:szCs w:val="21"/>
                <w:highlight w:val="none"/>
              </w:rPr>
              <w:t>类中级工程师或以上职称</w:t>
            </w:r>
          </w:p>
        </w:tc>
        <w:tc>
          <w:tcPr>
            <w:tcW w:w="1576"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须提供职称证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资料员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240" w:lineRule="exact"/>
              <w:ind w:left="0" w:leftChars="0" w:right="0" w:rightChars="0"/>
              <w:rPr>
                <w:rFonts w:hint="default" w:ascii="宋体" w:hAnsi="宋体" w:cs="宋体"/>
                <w:color w:val="auto"/>
                <w:szCs w:val="21"/>
                <w:highlight w:val="none"/>
              </w:rPr>
            </w:pPr>
            <w:r>
              <w:rPr>
                <w:rFonts w:hint="eastAsia" w:ascii="宋体" w:hAnsi="宋体" w:cs="宋体"/>
                <w:color w:val="auto"/>
                <w:szCs w:val="21"/>
                <w:highlight w:val="none"/>
              </w:rPr>
              <w:t>具有资料员上岗证和</w:t>
            </w:r>
            <w:r>
              <w:rPr>
                <w:rFonts w:hint="eastAsia" w:ascii="宋体" w:hAnsi="宋体" w:cs="宋体"/>
                <w:color w:val="auto"/>
                <w:sz w:val="21"/>
                <w:szCs w:val="21"/>
                <w:highlight w:val="none"/>
              </w:rPr>
              <w:t>电气类</w:t>
            </w:r>
            <w:r>
              <w:rPr>
                <w:rFonts w:hint="eastAsia" w:ascii="宋体" w:hAnsi="宋体" w:cs="宋体"/>
                <w:color w:val="auto"/>
                <w:szCs w:val="21"/>
                <w:highlight w:val="none"/>
              </w:rPr>
              <w:t>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施工员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712" w:type="dxa"/>
            <w:shd w:val="clear" w:color="auto" w:fill="auto"/>
            <w:tcMar>
              <w:top w:w="0" w:type="dxa"/>
              <w:left w:w="108" w:type="dxa"/>
              <w:bottom w:w="0" w:type="dxa"/>
              <w:right w:w="108" w:type="dxa"/>
            </w:tcMar>
            <w:vAlign w:val="center"/>
          </w:tcPr>
          <w:p>
            <w:pPr>
              <w:keepNext w:val="0"/>
              <w:keepLines w:val="0"/>
              <w:suppressLineNumbers w:val="0"/>
              <w:spacing w:before="0" w:beforeAutospacing="0" w:after="0" w:afterAutospacing="0" w:line="240" w:lineRule="exact"/>
              <w:ind w:left="0" w:leftChars="0" w:right="0" w:rightChars="0"/>
              <w:jc w:val="left"/>
              <w:rPr>
                <w:rFonts w:hint="default" w:ascii="宋体" w:hAnsi="宋体" w:cs="宋体"/>
                <w:color w:val="auto"/>
                <w:sz w:val="21"/>
                <w:szCs w:val="21"/>
                <w:highlight w:val="none"/>
              </w:rPr>
            </w:pPr>
            <w:r>
              <w:rPr>
                <w:rFonts w:hint="eastAsia" w:ascii="宋体" w:hAnsi="宋体"/>
                <w:color w:val="auto"/>
                <w:szCs w:val="21"/>
                <w:highlight w:val="none"/>
              </w:rPr>
              <w:t>具有资料员上岗证和</w:t>
            </w:r>
            <w:r>
              <w:rPr>
                <w:rFonts w:hint="eastAsia" w:ascii="宋体" w:hAnsi="宋体" w:cs="宋体"/>
                <w:color w:val="auto"/>
                <w:sz w:val="21"/>
                <w:szCs w:val="21"/>
                <w:highlight w:val="none"/>
              </w:rPr>
              <w:t>电气类</w:t>
            </w:r>
            <w:r>
              <w:rPr>
                <w:rFonts w:hint="eastAsia" w:ascii="宋体" w:hAnsi="宋体"/>
                <w:color w:val="auto"/>
                <w:szCs w:val="21"/>
                <w:highlight w:val="none"/>
              </w:rPr>
              <w:t>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leftChars="0" w:right="0" w:right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造价员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具有二级注册造价工程师或以上资格</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提供注册证书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质量员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具有质量员上岗证和电气类助理工程师或以上职称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材料员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具有材料员上岗证和电气类助理工程师或以上职称。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机械员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具有机械员上岗证和电气类助理工程师或以上职称。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劳务员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具有劳务员上岗证和电气类助理工程师或以上职称。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default" w:ascii="宋体" w:hAnsi="宋体" w:cs="宋体"/>
                <w:color w:val="auto"/>
                <w:sz w:val="21"/>
                <w:szCs w:val="21"/>
                <w:highlight w:val="none"/>
              </w:rPr>
            </w:pPr>
          </w:p>
        </w:tc>
        <w:tc>
          <w:tcPr>
            <w:tcW w:w="158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标准员</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712"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标准</w:t>
            </w:r>
            <w:r>
              <w:rPr>
                <w:rFonts w:hint="eastAsia" w:ascii="宋体" w:hAnsi="宋体" w:cs="宋体"/>
                <w:color w:val="auto"/>
                <w:sz w:val="21"/>
                <w:szCs w:val="21"/>
                <w:highlight w:val="none"/>
              </w:rPr>
              <w:t>员上岗证和电气类助理工程师或以上职称。</w:t>
            </w: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75"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须提供培训合格证或上岗证和职称证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68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05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9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870"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17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r>
              <w:rPr>
                <w:rFonts w:hint="eastAsia" w:ascii="宋体" w:hAnsi="宋体" w:cs="宋体"/>
                <w:color w:val="auto"/>
                <w:sz w:val="21"/>
                <w:szCs w:val="21"/>
                <w:highlight w:val="none"/>
              </w:rPr>
              <w:t> </w:t>
            </w:r>
          </w:p>
        </w:tc>
        <w:tc>
          <w:tcPr>
            <w:tcW w:w="1580"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eastAsia="zh-CN"/>
              </w:rPr>
              <w:t>……</w:t>
            </w:r>
          </w:p>
        </w:tc>
        <w:tc>
          <w:tcPr>
            <w:tcW w:w="2283"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p>
        </w:tc>
        <w:tc>
          <w:tcPr>
            <w:tcW w:w="685"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p>
        </w:tc>
        <w:tc>
          <w:tcPr>
            <w:tcW w:w="2712" w:type="dxa"/>
            <w:shd w:val="clear" w:color="auto" w:fill="auto"/>
            <w:tcMar>
              <w:top w:w="0" w:type="dxa"/>
              <w:left w:w="108" w:type="dxa"/>
              <w:bottom w:w="0" w:type="dxa"/>
              <w:right w:w="108" w:type="dxa"/>
            </w:tcMar>
            <w:vAlign w:val="center"/>
          </w:tcPr>
          <w:p>
            <w:pPr>
              <w:keepNext w:val="0"/>
              <w:keepLines w:val="0"/>
              <w:suppressLineNumbers w:val="0"/>
              <w:tabs>
                <w:tab w:val="left" w:pos="2520"/>
              </w:tabs>
              <w:spacing w:before="0" w:beforeAutospacing="0" w:after="0" w:afterAutospacing="0" w:line="240" w:lineRule="exact"/>
              <w:ind w:left="0" w:right="0"/>
              <w:rPr>
                <w:rFonts w:hint="default" w:ascii="宋体" w:hAnsi="宋体" w:cs="宋体"/>
                <w:color w:val="auto"/>
                <w:szCs w:val="21"/>
                <w:highlight w:val="none"/>
              </w:rPr>
            </w:pPr>
          </w:p>
        </w:tc>
        <w:tc>
          <w:tcPr>
            <w:tcW w:w="1576" w:type="dxa"/>
            <w:shd w:val="clear" w:color="auto" w:fill="auto"/>
            <w:tcMar>
              <w:top w:w="0" w:type="dxa"/>
              <w:left w:w="108" w:type="dxa"/>
              <w:bottom w:w="0" w:type="dxa"/>
              <w:right w:w="108" w:type="dxa"/>
            </w:tcMar>
            <w:vAlign w:val="center"/>
          </w:tcPr>
          <w:p>
            <w:pPr>
              <w:pStyle w:val="20"/>
              <w:keepNext w:val="0"/>
              <w:keepLines w:val="0"/>
              <w:widowControl/>
              <w:suppressLineNumbers w:val="0"/>
              <w:spacing w:before="0" w:beforeAutospacing="0" w:after="0" w:afterAutospacing="0"/>
              <w:ind w:left="0" w:right="0"/>
              <w:jc w:val="center"/>
              <w:rPr>
                <w:rFonts w:hint="default" w:ascii="微软雅黑" w:hAnsi="微软雅黑" w:eastAsia="微软雅黑" w:cs="微软雅黑"/>
                <w:color w:val="auto"/>
                <w:sz w:val="21"/>
                <w:szCs w:val="21"/>
                <w:highlight w:val="none"/>
              </w:rPr>
            </w:pPr>
          </w:p>
        </w:tc>
      </w:tr>
    </w:tbl>
    <w:p>
      <w:pPr>
        <w:widowControl/>
        <w:topLinePunct/>
        <w:adjustRightInd w:val="0"/>
        <w:snapToGrid w:val="0"/>
        <w:jc w:val="left"/>
        <w:rPr>
          <w:rFonts w:ascii="宋体" w:hAnsi="宋体" w:cs="宋体"/>
          <w:bCs/>
          <w:color w:val="auto"/>
          <w:highlight w:val="none"/>
        </w:rPr>
      </w:pPr>
      <w:r>
        <w:rPr>
          <w:rFonts w:hint="eastAsia"/>
          <w:snapToGrid w:val="0"/>
          <w:color w:val="auto"/>
          <w:szCs w:val="21"/>
          <w:highlight w:val="none"/>
        </w:rPr>
        <w:t>注：</w:t>
      </w:r>
      <w:r>
        <w:rPr>
          <w:snapToGrid w:val="0"/>
          <w:color w:val="auto"/>
          <w:szCs w:val="21"/>
          <w:highlight w:val="none"/>
        </w:rPr>
        <w:t xml:space="preserve"> </w:t>
      </w:r>
      <w:r>
        <w:rPr>
          <w:rFonts w:ascii="宋体" w:hAnsi="宋体" w:cs="宋体"/>
          <w:bCs/>
          <w:color w:val="auto"/>
          <w:highlight w:val="none"/>
        </w:rPr>
        <w:t>1</w:t>
      </w:r>
      <w:r>
        <w:rPr>
          <w:rFonts w:hint="eastAsia" w:ascii="宋体" w:hAnsi="宋体" w:cs="宋体"/>
          <w:bCs/>
          <w:color w:val="auto"/>
          <w:highlight w:val="none"/>
        </w:rPr>
        <w:t>、本表“投入主要人员”应根据招标文件第五章中“项目经理部组成人员配备要求表”的要求进行配备。</w:t>
      </w:r>
    </w:p>
    <w:p>
      <w:pPr>
        <w:topLinePunct/>
        <w:adjustRightInd w:val="0"/>
        <w:snapToGrid w:val="0"/>
        <w:ind w:firstLine="525" w:firstLineChars="250"/>
        <w:rPr>
          <w:rFonts w:ascii="宋体" w:hAnsi="宋体" w:cs="宋体"/>
          <w:bCs/>
          <w:color w:val="auto"/>
          <w:highlight w:val="none"/>
        </w:rPr>
      </w:pPr>
      <w:r>
        <w:rPr>
          <w:rFonts w:hint="eastAsia" w:ascii="宋体" w:hAnsi="宋体" w:cs="宋体"/>
          <w:bCs/>
          <w:color w:val="auto"/>
          <w:highlight w:val="none"/>
        </w:rPr>
        <w:t>2、本表“投入主要人员”须提供的证明文件扫描件详见上表备注要求，并按格式八附简历表以及202</w:t>
      </w:r>
      <w:r>
        <w:rPr>
          <w:rFonts w:hint="eastAsia" w:ascii="宋体" w:hAnsi="宋体" w:cs="宋体"/>
          <w:bCs/>
          <w:color w:val="auto"/>
          <w:highlight w:val="none"/>
          <w:lang w:val="en-US" w:eastAsia="zh-CN"/>
        </w:rPr>
        <w:t>4</w:t>
      </w:r>
      <w:r>
        <w:rPr>
          <w:rFonts w:hint="eastAsia" w:ascii="宋体" w:hAnsi="宋体" w:cs="宋体"/>
          <w:bCs/>
          <w:color w:val="auto"/>
          <w:highlight w:val="none"/>
        </w:rPr>
        <w:t>年</w:t>
      </w:r>
      <w:r>
        <w:rPr>
          <w:rFonts w:hint="eastAsia" w:ascii="宋体" w:hAnsi="宋体" w:cs="宋体"/>
          <w:bCs/>
          <w:color w:val="auto"/>
          <w:highlight w:val="none"/>
          <w:lang w:val="en-US" w:eastAsia="zh-CN"/>
        </w:rPr>
        <w:t>3</w:t>
      </w:r>
      <w:r>
        <w:rPr>
          <w:rFonts w:hint="eastAsia" w:ascii="宋体" w:hAnsi="宋体" w:cs="宋体"/>
          <w:bCs/>
          <w:color w:val="auto"/>
          <w:highlight w:val="none"/>
        </w:rPr>
        <w:t>月的社保证明在投标单位缴纳的有效社保证明文件扫描件</w:t>
      </w:r>
      <w:r>
        <w:rPr>
          <w:color w:val="auto"/>
          <w:highlight w:val="none"/>
        </w:rPr>
        <w:t>。</w:t>
      </w:r>
    </w:p>
    <w:p>
      <w:pPr>
        <w:topLinePunct/>
        <w:adjustRightInd w:val="0"/>
        <w:snapToGrid w:val="0"/>
        <w:ind w:firstLine="525" w:firstLineChars="250"/>
        <w:rPr>
          <w:rFonts w:ascii="宋体" w:hAnsi="宋体" w:cs="宋体"/>
          <w:bCs/>
          <w:color w:val="auto"/>
          <w:highlight w:val="none"/>
        </w:rPr>
      </w:pPr>
      <w:r>
        <w:rPr>
          <w:rFonts w:hint="eastAsia" w:ascii="宋体" w:hAnsi="宋体" w:cs="宋体"/>
          <w:bCs/>
          <w:color w:val="auto"/>
          <w:highlight w:val="none"/>
        </w:rPr>
        <w:t>3、本表投标人可根据企业自身及项目实际情况自行增加人员配置，各岗位人员不得相互兼职。</w:t>
      </w:r>
    </w:p>
    <w:p>
      <w:pPr>
        <w:shd w:val="clear" w:color="auto" w:fill="FFFFFF"/>
        <w:adjustRightInd w:val="0"/>
        <w:ind w:firstLine="525" w:firstLineChars="250"/>
        <w:rPr>
          <w:rFonts w:ascii="宋体" w:hAnsi="宋体" w:cs="宋体"/>
          <w:color w:val="auto"/>
          <w:sz w:val="18"/>
          <w:szCs w:val="18"/>
          <w:highlight w:val="none"/>
        </w:rPr>
      </w:pPr>
      <w:r>
        <w:rPr>
          <w:rFonts w:hint="eastAsia" w:ascii="宋体" w:hAnsi="宋体" w:cs="宋体"/>
          <w:bCs/>
          <w:color w:val="auto"/>
          <w:highlight w:val="none"/>
        </w:rPr>
        <w:t>4、拟投入的项目部人员，未经招标人同意，中标后不得更换，否则按合同约定承担违约责任。</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8362" w:firstLineChars="3372"/>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pPr>
        <w:widowControl/>
        <w:topLinePunct/>
        <w:adjustRightInd w:val="0"/>
        <w:snapToGrid w:val="0"/>
        <w:spacing w:after="200" w:line="360" w:lineRule="auto"/>
        <w:ind w:firstLine="8362" w:firstLineChars="3372"/>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pPr>
        <w:ind w:firstLine="8364" w:firstLineChars="3485"/>
        <w:jc w:val="left"/>
        <w:rPr>
          <w:rFonts w:ascii="宋体" w:hAnsi="宋体"/>
          <w:color w:val="auto"/>
          <w:sz w:val="24"/>
          <w:szCs w:val="24"/>
          <w:highlight w:val="none"/>
        </w:rPr>
      </w:pPr>
      <w:r>
        <w:rPr>
          <w:rFonts w:hint="eastAsia" w:ascii="宋体" w:hAnsi="宋体"/>
          <w:color w:val="auto"/>
          <w:sz w:val="24"/>
          <w:szCs w:val="24"/>
          <w:highlight w:val="none"/>
        </w:rPr>
        <w:t xml:space="preserve">日   期：    年    月    </w:t>
      </w:r>
    </w:p>
    <w:p>
      <w:pPr>
        <w:widowControl/>
        <w:jc w:val="left"/>
        <w:rPr>
          <w:rFonts w:ascii="宋体" w:hAnsi="宋体" w:cs="宋体"/>
          <w:color w:val="auto"/>
          <w:szCs w:val="21"/>
          <w:highlight w:val="none"/>
        </w:rPr>
      </w:pPr>
    </w:p>
    <w:p>
      <w:pPr>
        <w:spacing w:line="360" w:lineRule="auto"/>
        <w:jc w:val="center"/>
        <w:rPr>
          <w:rFonts w:ascii="宋体" w:hAnsi="宋体" w:eastAsia="黑体"/>
          <w:color w:val="auto"/>
          <w:spacing w:val="4"/>
          <w:kern w:val="0"/>
          <w:sz w:val="24"/>
          <w:szCs w:val="24"/>
          <w:highlight w:val="none"/>
        </w:rPr>
      </w:pPr>
    </w:p>
    <w:p>
      <w:pPr>
        <w:spacing w:line="360" w:lineRule="auto"/>
        <w:jc w:val="center"/>
        <w:rPr>
          <w:rFonts w:ascii="宋体" w:hAnsi="宋体" w:eastAsia="黑体"/>
          <w:color w:val="auto"/>
          <w:spacing w:val="4"/>
          <w:kern w:val="0"/>
          <w:sz w:val="24"/>
          <w:szCs w:val="24"/>
          <w:highlight w:val="none"/>
        </w:rPr>
        <w:sectPr>
          <w:pgSz w:w="16840" w:h="11907" w:orient="landscape"/>
          <w:pgMar w:top="1418" w:right="1418" w:bottom="1418" w:left="1418" w:header="851" w:footer="851" w:gutter="0"/>
          <w:cols w:space="720" w:num="1"/>
          <w:docGrid w:type="lines" w:linePitch="312" w:charSpace="0"/>
        </w:sectPr>
      </w:pPr>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139" w:name="_Toc4489950"/>
      <w:bookmarkStart w:id="140" w:name="_Toc29476918"/>
      <w:bookmarkStart w:id="141" w:name="_Toc62056040"/>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八</w:t>
      </w:r>
      <w:r>
        <w:rPr>
          <w:rFonts w:hint="eastAsia" w:ascii="宋体" w:hAnsi="宋体"/>
          <w:color w:val="auto"/>
          <w:spacing w:val="4"/>
          <w:kern w:val="0"/>
          <w:sz w:val="24"/>
          <w:szCs w:val="24"/>
          <w:highlight w:val="none"/>
        </w:rPr>
        <w:t>：</w:t>
      </w:r>
      <w:bookmarkEnd w:id="139"/>
      <w:r>
        <w:rPr>
          <w:rFonts w:hint="eastAsia" w:ascii="宋体" w:hAnsi="宋体"/>
          <w:color w:val="auto"/>
          <w:spacing w:val="4"/>
          <w:kern w:val="0"/>
          <w:sz w:val="24"/>
          <w:szCs w:val="24"/>
          <w:highlight w:val="none"/>
        </w:rPr>
        <w:t>主要人员简历表</w:t>
      </w:r>
      <w:bookmarkEnd w:id="140"/>
      <w:bookmarkEnd w:id="141"/>
    </w:p>
    <w:p>
      <w:pPr>
        <w:rPr>
          <w:rFonts w:ascii="宋体" w:hAnsi="宋体"/>
          <w:b/>
          <w:color w:val="auto"/>
          <w:spacing w:val="4"/>
          <w:kern w:val="0"/>
          <w:sz w:val="36"/>
          <w:szCs w:val="36"/>
          <w:highlight w:val="none"/>
        </w:rPr>
      </w:pPr>
    </w:p>
    <w:p>
      <w:pPr>
        <w:rPr>
          <w:rFonts w:ascii="宋体" w:hAnsi="宋体"/>
          <w:b/>
          <w:color w:val="auto"/>
          <w:spacing w:val="4"/>
          <w:kern w:val="0"/>
          <w:sz w:val="36"/>
          <w:szCs w:val="36"/>
          <w:highlight w:val="none"/>
        </w:rPr>
      </w:pPr>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24"/>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c>
          <w:tcPr>
            <w:tcW w:w="1370"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c>
          <w:tcPr>
            <w:tcW w:w="1182"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default" w:ascii="宋体" w:hAnsi="宋体"/>
                <w:b/>
                <w:bCs/>
                <w:color w:val="auto"/>
                <w:kern w:val="0"/>
                <w:sz w:val="22"/>
                <w:szCs w:val="21"/>
                <w:highlight w:val="none"/>
                <w:lang w:eastAsia="en-US" w:bidi="en-US"/>
              </w:rPr>
              <w:t>身份证号码</w:t>
            </w:r>
          </w:p>
        </w:tc>
        <w:tc>
          <w:tcPr>
            <w:tcW w:w="7999" w:type="dxa"/>
            <w:gridSpan w:val="10"/>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c>
          <w:tcPr>
            <w:tcW w:w="1370"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c>
          <w:tcPr>
            <w:tcW w:w="1182"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c>
          <w:tcPr>
            <w:tcW w:w="1370"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vAlign w:val="center"/>
          </w:tcPr>
          <w:p>
            <w:pPr>
              <w:keepNext/>
              <w:keepLines/>
              <w:widowControl/>
              <w:suppressLineNumbers w:val="0"/>
              <w:spacing w:before="120" w:beforeAutospacing="0" w:after="120" w:afterAutospacing="0" w:line="276" w:lineRule="auto"/>
              <w:ind w:left="0" w:right="0"/>
              <w:jc w:val="center"/>
              <w:outlineLvl w:val="0"/>
              <w:rPr>
                <w:rFonts w:hint="default" w:ascii="宋体" w:hAnsi="宋体"/>
                <w:b/>
                <w:color w:val="auto"/>
                <w:kern w:val="0"/>
                <w:sz w:val="24"/>
                <w:szCs w:val="24"/>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42" w:name="_Toc318924502"/>
            <w:bookmarkStart w:id="143" w:name="_Toc395261106"/>
            <w:bookmarkStart w:id="144" w:name="_Toc358370585"/>
            <w:bookmarkStart w:id="145" w:name="_Toc449308427"/>
            <w:bookmarkStart w:id="146" w:name="_Toc337720098"/>
            <w:bookmarkStart w:id="147" w:name="_Toc226209010"/>
            <w:bookmarkStart w:id="148" w:name="_Toc239311753"/>
            <w:bookmarkStart w:id="149" w:name="_Toc352240530"/>
            <w:bookmarkStart w:id="150" w:name="_Toc352623428"/>
            <w:bookmarkStart w:id="151" w:name="_Toc369536777"/>
            <w:bookmarkStart w:id="152" w:name="_Toc163337627"/>
            <w:bookmarkStart w:id="153" w:name="_Toc239216038"/>
            <w:r>
              <w:rPr>
                <w:rFonts w:hint="eastAsia" w:ascii="宋体" w:hAnsi="宋体"/>
                <w:b/>
                <w:color w:val="auto"/>
                <w:kern w:val="0"/>
                <w:sz w:val="24"/>
                <w:szCs w:val="24"/>
                <w:highlight w:val="none"/>
                <w:lang w:eastAsia="en-US" w:bidi="en-US"/>
              </w:rPr>
              <w:t>格证书号</w:t>
            </w:r>
          </w:p>
        </w:tc>
        <w:tc>
          <w:tcPr>
            <w:tcW w:w="7999" w:type="dxa"/>
            <w:gridSpan w:val="10"/>
            <w:vAlign w:val="center"/>
          </w:tcPr>
          <w:p>
            <w:pPr>
              <w:keepNext/>
              <w:keepLines/>
              <w:widowControl/>
              <w:suppressLineNumbers w:val="0"/>
              <w:topLinePunct/>
              <w:adjustRightInd w:val="0"/>
              <w:snapToGrid w:val="0"/>
              <w:spacing w:before="120" w:beforeAutospacing="0" w:after="120" w:afterAutospacing="0" w:line="360" w:lineRule="auto"/>
              <w:ind w:left="0" w:right="0"/>
              <w:jc w:val="center"/>
              <w:outlineLvl w:val="0"/>
              <w:rPr>
                <w:rFonts w:hint="default"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vAlign w:val="center"/>
          </w:tcPr>
          <w:p>
            <w:pPr>
              <w:keepNext w:val="0"/>
              <w:keepLines w:val="0"/>
              <w:widowControl/>
              <w:suppressLineNumbers w:val="0"/>
              <w:topLinePunct/>
              <w:adjustRightInd w:val="0"/>
              <w:snapToGrid w:val="0"/>
              <w:spacing w:before="240" w:beforeAutospacing="0" w:after="200" w:afterAutospacing="0"/>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42"/>
            <w:bookmarkEnd w:id="143"/>
            <w:bookmarkEnd w:id="144"/>
            <w:bookmarkEnd w:id="145"/>
            <w:bookmarkEnd w:id="146"/>
            <w:bookmarkEnd w:id="147"/>
            <w:bookmarkEnd w:id="148"/>
            <w:bookmarkEnd w:id="149"/>
            <w:bookmarkEnd w:id="150"/>
            <w:bookmarkEnd w:id="151"/>
            <w:bookmarkEnd w:id="152"/>
            <w:bookmarkEnd w:id="153"/>
          </w:p>
        </w:tc>
        <w:tc>
          <w:tcPr>
            <w:tcW w:w="1547"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vAlign w:val="center"/>
          </w:tcPr>
          <w:p>
            <w:pPr>
              <w:keepNext w:val="0"/>
              <w:keepLines w:val="0"/>
              <w:widowControl/>
              <w:suppressLineNumbers w:val="0"/>
              <w:spacing w:before="0" w:beforeAutospacing="0" w:after="200" w:afterAutospacing="0" w:line="276" w:lineRule="auto"/>
              <w:ind w:left="0" w:right="0"/>
              <w:jc w:val="center"/>
              <w:rPr>
                <w:rFonts w:hint="default"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c>
          <w:tcPr>
            <w:tcW w:w="1547" w:type="dxa"/>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c>
          <w:tcPr>
            <w:tcW w:w="1549"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c>
          <w:tcPr>
            <w:tcW w:w="1783"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c>
          <w:tcPr>
            <w:tcW w:w="1547" w:type="dxa"/>
            <w:gridSpan w:val="3"/>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c>
          <w:tcPr>
            <w:tcW w:w="1551" w:type="dxa"/>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c>
          <w:tcPr>
            <w:tcW w:w="1547" w:type="dxa"/>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c>
          <w:tcPr>
            <w:tcW w:w="1549"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c>
          <w:tcPr>
            <w:tcW w:w="1783" w:type="dxa"/>
            <w:gridSpan w:val="2"/>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c>
          <w:tcPr>
            <w:tcW w:w="1547" w:type="dxa"/>
            <w:gridSpan w:val="3"/>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c>
          <w:tcPr>
            <w:tcW w:w="1551" w:type="dxa"/>
            <w:vAlign w:val="center"/>
          </w:tcPr>
          <w:p>
            <w:pPr>
              <w:keepNext w:val="0"/>
              <w:keepLines w:val="0"/>
              <w:widowControl/>
              <w:suppressLineNumbers w:val="0"/>
              <w:topLinePunct/>
              <w:adjustRightInd w:val="0"/>
              <w:snapToGrid w:val="0"/>
              <w:spacing w:before="0" w:beforeAutospacing="0" w:after="200" w:afterAutospacing="0" w:line="360" w:lineRule="auto"/>
              <w:ind w:left="0" w:right="0"/>
              <w:jc w:val="center"/>
              <w:rPr>
                <w:rFonts w:hint="default" w:ascii="宋体" w:hAnsi="宋体" w:eastAsia="等线"/>
                <w:snapToGrid w:val="0"/>
                <w:color w:val="auto"/>
                <w:spacing w:val="4"/>
                <w:sz w:val="24"/>
                <w:szCs w:val="24"/>
                <w:highlight w:val="none"/>
                <w:lang w:bidi="en-US"/>
              </w:rPr>
            </w:pPr>
          </w:p>
        </w:tc>
      </w:tr>
    </w:tbl>
    <w:p>
      <w:pPr>
        <w:ind w:firstLine="551" w:firstLineChars="196"/>
        <w:rPr>
          <w:rFonts w:ascii="仿宋" w:hAnsi="仿宋" w:eastAsia="仿宋"/>
          <w:b/>
          <w:bCs/>
          <w:color w:val="auto"/>
          <w:sz w:val="28"/>
          <w:szCs w:val="28"/>
          <w:highlight w:val="none"/>
        </w:rPr>
      </w:pPr>
    </w:p>
    <w:p>
      <w:pPr>
        <w:widowControl/>
        <w:topLinePunct/>
        <w:adjustRightInd w:val="0"/>
        <w:snapToGrid w:val="0"/>
        <w:spacing w:after="200" w:line="360" w:lineRule="auto"/>
        <w:ind w:firstLine="198" w:firstLineChars="8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54" w:name="_Toc4489951"/>
      <w:bookmarkStart w:id="155" w:name="_Toc177015373"/>
      <w:bookmarkStart w:id="156" w:name="_Toc182301153"/>
      <w:bookmarkStart w:id="157" w:name="_Toc177015447"/>
      <w:bookmarkStart w:id="158" w:name="_Toc174439519"/>
      <w:bookmarkStart w:id="159" w:name="_Toc177015504"/>
      <w:bookmarkStart w:id="160" w:name="_Toc181984153"/>
      <w:bookmarkStart w:id="161" w:name="_Toc4486083"/>
    </w:p>
    <w:p>
      <w:pPr>
        <w:pStyle w:val="31"/>
        <w:spacing w:before="156" w:after="156"/>
        <w:rPr>
          <w:b w:val="0"/>
          <w:color w:val="auto"/>
          <w:highlight w:val="none"/>
        </w:rPr>
      </w:pPr>
      <w:r>
        <w:rPr>
          <w:rFonts w:ascii="宋体"/>
          <w:color w:val="auto"/>
          <w:kern w:val="0"/>
          <w:highlight w:val="none"/>
        </w:rPr>
        <w:br w:type="page"/>
      </w:r>
      <w:bookmarkStart w:id="162" w:name="_Toc12738"/>
      <w:bookmarkStart w:id="163" w:name="_Toc62056041"/>
      <w:bookmarkStart w:id="164" w:name="_Toc29476919"/>
      <w:r>
        <w:rPr>
          <w:rFonts w:hint="eastAsia" w:ascii="宋体" w:eastAsia="宋体" w:cs="宋体"/>
          <w:color w:val="auto"/>
          <w:kern w:val="0"/>
          <w:highlight w:val="none"/>
        </w:rPr>
        <w:t>格式</w:t>
      </w:r>
      <w:r>
        <w:rPr>
          <w:rFonts w:hint="eastAsia" w:ascii="宋体" w:eastAsia="宋体" w:cs="宋体"/>
          <w:color w:val="auto"/>
          <w:kern w:val="0"/>
          <w:highlight w:val="none"/>
          <w:lang w:val="en-US" w:eastAsia="zh-CN"/>
        </w:rPr>
        <w:t>九</w:t>
      </w:r>
      <w:r>
        <w:rPr>
          <w:rFonts w:hint="eastAsia" w:ascii="宋体" w:eastAsia="宋体" w:cs="宋体"/>
          <w:color w:val="auto"/>
          <w:kern w:val="0"/>
          <w:highlight w:val="none"/>
        </w:rPr>
        <w:t>：</w:t>
      </w:r>
      <w:bookmarkEnd w:id="162"/>
      <w:r>
        <w:rPr>
          <w:rFonts w:hint="eastAsia" w:eastAsia="宋体" w:cs="宋体"/>
          <w:color w:val="auto"/>
          <w:highlight w:val="none"/>
          <w:u w:val="single"/>
        </w:rPr>
        <w:t>施工组织设计</w:t>
      </w:r>
    </w:p>
    <w:p>
      <w:pPr>
        <w:pStyle w:val="32"/>
        <w:ind w:firstLine="496"/>
        <w:rPr>
          <w:color w:val="auto"/>
          <w:highlight w:val="none"/>
        </w:rPr>
      </w:pPr>
    </w:p>
    <w:bookmarkEnd w:id="163"/>
    <w:bookmarkEnd w:id="164"/>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u w:val="single"/>
        </w:rPr>
        <w:t>施工组织设计</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u w:val="single"/>
        </w:rPr>
        <w:t>由投标人有针对性的描述</w:t>
      </w:r>
      <w:r>
        <w:rPr>
          <w:rFonts w:hint="eastAsia" w:ascii="宋体" w:hAnsi="宋体" w:cs="宋体"/>
          <w:snapToGrid w:val="0"/>
          <w:color w:val="auto"/>
          <w:spacing w:val="4"/>
          <w:sz w:val="24"/>
          <w:szCs w:val="24"/>
          <w:highlight w:val="none"/>
        </w:rPr>
        <w:t>，各部分文字直接简炼。</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施工组织设计包括但不限于以下方面内容：</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工程概况</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二、</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项目实施条件分析</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三、</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项目管理目标</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四、</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项目组织结构</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五、</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现场管理和施工总平面图</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六、</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施工部署和施工准备工作</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项目管理总体安排；</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施工和管理人员的准备和拟投入的最高人数和平均人数；</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施工现场准备和施工程序；</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施工准备工作组织和时间安排。</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七、</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施工组织方案</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施工流向和施工顺序；</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施工阶段划分；</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施工方法和施工机械选择；</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安全生产和文明施工设计；</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环境管理；</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报装、报建方案</w:t>
      </w:r>
      <w:r>
        <w:rPr>
          <w:rFonts w:hint="eastAsia" w:ascii="宋体" w:hAnsi="宋体" w:cs="宋体"/>
          <w:snapToGrid w:val="0"/>
          <w:color w:val="auto"/>
          <w:spacing w:val="4"/>
          <w:sz w:val="24"/>
          <w:szCs w:val="24"/>
          <w:highlight w:val="none"/>
        </w:rPr>
        <w:t>；</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eastAsia="Times New Roman"/>
          <w:snapToGrid w:val="0"/>
          <w:color w:val="auto"/>
          <w:spacing w:val="4"/>
          <w:sz w:val="24"/>
          <w:szCs w:val="21"/>
          <w:highlight w:val="none"/>
        </w:rPr>
        <w:t>调试方案</w:t>
      </w:r>
      <w:r>
        <w:rPr>
          <w:rFonts w:hint="eastAsia" w:ascii="宋体" w:hAnsi="宋体" w:cs="宋体"/>
          <w:snapToGrid w:val="0"/>
          <w:color w:val="auto"/>
          <w:spacing w:val="4"/>
          <w:sz w:val="24"/>
          <w:szCs w:val="24"/>
          <w:highlight w:val="none"/>
        </w:rPr>
        <w:t>；</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8</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eastAsia="Times New Roman"/>
          <w:snapToGrid w:val="0"/>
          <w:color w:val="auto"/>
          <w:spacing w:val="4"/>
          <w:sz w:val="24"/>
          <w:szCs w:val="21"/>
          <w:highlight w:val="none"/>
        </w:rPr>
        <w:t>施工方案；</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9</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其他。</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八、</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施工技术组织措施计划</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施工总进度计划和单项工程施工进度计划（附表</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保证进度的措施；</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保证质量的措施；</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保证安全生产和文明施工目标的措施；</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5</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保证季节施工的措施；</w:t>
      </w:r>
    </w:p>
    <w:p>
      <w:pPr>
        <w:widowControl/>
        <w:topLinePunct/>
        <w:adjustRightInd w:val="0"/>
        <w:snapToGrid w:val="0"/>
        <w:spacing w:line="400" w:lineRule="exact"/>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6</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保证环境的措施；</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7</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成品保护措施。</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以上各项措施应包括技术措施、组织措施、经济措施及合同措施。</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九、</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资源供应保障计划</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劳动力需求计划（附表</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主要机械设备及大型工具、器具需求计划（附表</w:t>
      </w: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资金使用计划（附表</w:t>
      </w: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p>
    <w:p>
      <w:pPr>
        <w:widowControl/>
        <w:topLinePunct/>
        <w:adjustRightInd w:val="0"/>
        <w:snapToGrid w:val="0"/>
        <w:spacing w:line="336" w:lineRule="auto"/>
        <w:ind w:firstLine="496" w:firstLineChars="200"/>
        <w:jc w:val="left"/>
        <w:rPr>
          <w:rFonts w:eastAsia="Times New Roman"/>
          <w:snapToGrid w:val="0"/>
          <w:color w:val="auto"/>
          <w:spacing w:val="4"/>
          <w:sz w:val="24"/>
          <w:szCs w:val="24"/>
          <w:highlight w:val="none"/>
        </w:rPr>
      </w:pPr>
      <w:r>
        <w:rPr>
          <w:rFonts w:hint="eastAsia"/>
          <w:snapToGrid w:val="0"/>
          <w:color w:val="auto"/>
          <w:spacing w:val="4"/>
          <w:sz w:val="24"/>
          <w:szCs w:val="24"/>
          <w:highlight w:val="none"/>
        </w:rPr>
        <w:t>4</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材料设备供应保障措施。</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项目风险预测和管理</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风险管理重点；</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风险防范对策；</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风险管理责任。</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十一、</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与项目组织相适应的信息流通系统；</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与招标人的项目信息管理处理系统软硬件相配套的资源配置；</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w:t>
      </w:r>
      <w:r>
        <w:rPr>
          <w:rFonts w:hint="eastAsia" w:eastAsia="Times New Roman"/>
          <w:snapToGrid w:val="0"/>
          <w:color w:val="auto"/>
          <w:spacing w:val="4"/>
          <w:sz w:val="24"/>
          <w:szCs w:val="24"/>
          <w:highlight w:val="none"/>
        </w:rPr>
        <w:tab/>
      </w:r>
      <w:r>
        <w:rPr>
          <w:rFonts w:hint="eastAsia" w:ascii="宋体" w:hAnsi="宋体" w:cs="宋体"/>
          <w:snapToGrid w:val="0"/>
          <w:color w:val="auto"/>
          <w:spacing w:val="4"/>
          <w:sz w:val="24"/>
          <w:szCs w:val="24"/>
          <w:highlight w:val="none"/>
        </w:rPr>
        <w:t>信息管理实施规划。</w:t>
      </w:r>
    </w:p>
    <w:p>
      <w:pPr>
        <w:autoSpaceDE w:val="0"/>
        <w:autoSpaceDN w:val="0"/>
        <w:adjustRightInd w:val="0"/>
        <w:spacing w:line="300" w:lineRule="auto"/>
        <w:ind w:left="540"/>
        <w:rPr>
          <w:color w:val="auto"/>
          <w:spacing w:val="4"/>
          <w:kern w:val="0"/>
          <w:sz w:val="24"/>
          <w:highlight w:val="none"/>
        </w:rPr>
      </w:pPr>
      <w:r>
        <w:rPr>
          <w:rFonts w:hint="eastAsia"/>
          <w:color w:val="auto"/>
          <w:highlight w:val="none"/>
        </w:rPr>
        <w:t>十二、</w:t>
      </w:r>
      <w:r>
        <w:rPr>
          <w:rFonts w:hint="eastAsia"/>
          <w:color w:val="auto"/>
          <w:spacing w:val="4"/>
          <w:kern w:val="0"/>
          <w:sz w:val="24"/>
          <w:highlight w:val="none"/>
          <w:u w:val="single"/>
        </w:rPr>
        <w:t>其它</w:t>
      </w:r>
    </w:p>
    <w:p>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质保期服务方案；</w:t>
      </w:r>
    </w:p>
    <w:p>
      <w:pPr>
        <w:numPr>
          <w:ilvl w:val="0"/>
          <w:numId w:val="1"/>
        </w:numPr>
        <w:autoSpaceDE w:val="0"/>
        <w:autoSpaceDN w:val="0"/>
        <w:adjustRightInd w:val="0"/>
        <w:spacing w:line="360" w:lineRule="auto"/>
        <w:rPr>
          <w:color w:val="auto"/>
          <w:spacing w:val="4"/>
          <w:kern w:val="0"/>
          <w:sz w:val="24"/>
          <w:highlight w:val="none"/>
          <w:u w:val="single"/>
        </w:rPr>
      </w:pPr>
      <w:r>
        <w:rPr>
          <w:rFonts w:hint="eastAsia"/>
          <w:color w:val="auto"/>
          <w:spacing w:val="4"/>
          <w:kern w:val="0"/>
          <w:sz w:val="24"/>
          <w:highlight w:val="none"/>
          <w:u w:val="single"/>
        </w:rPr>
        <w:t>与本项目其他专业单位的交叉施工与协调管理的保证措施与承诺</w:t>
      </w:r>
      <w:r>
        <w:rPr>
          <w:color w:val="auto"/>
          <w:spacing w:val="4"/>
          <w:kern w:val="0"/>
          <w:sz w:val="24"/>
          <w:highlight w:val="none"/>
          <w:u w:val="single"/>
        </w:rPr>
        <w:t>；</w:t>
      </w:r>
    </w:p>
    <w:p>
      <w:pPr>
        <w:pStyle w:val="13"/>
        <w:spacing w:line="360" w:lineRule="auto"/>
        <w:rPr>
          <w:color w:val="auto"/>
          <w:highlight w:val="none"/>
          <w:u w:val="single"/>
        </w:rPr>
      </w:pPr>
      <w:r>
        <w:rPr>
          <w:color w:val="auto"/>
          <w:spacing w:val="4"/>
          <w:sz w:val="24"/>
          <w:highlight w:val="none"/>
        </w:rPr>
        <w:t xml:space="preserve">    3、   </w:t>
      </w:r>
      <w:r>
        <w:rPr>
          <w:color w:val="auto"/>
          <w:spacing w:val="4"/>
          <w:sz w:val="24"/>
          <w:highlight w:val="none"/>
          <w:u w:val="single"/>
        </w:rPr>
        <w:t>建筑垃圾综源头减量和综合利用专项方案。</w:t>
      </w:r>
    </w:p>
    <w:p>
      <w:pPr>
        <w:widowControl/>
        <w:topLinePunct/>
        <w:adjustRightInd w:val="0"/>
        <w:snapToGrid w:val="0"/>
        <w:spacing w:line="360" w:lineRule="auto"/>
        <w:jc w:val="left"/>
        <w:rPr>
          <w:rFonts w:eastAsia="Times New Roman"/>
          <w:snapToGrid w:val="0"/>
          <w:color w:val="auto"/>
          <w:spacing w:val="4"/>
          <w:sz w:val="24"/>
          <w:szCs w:val="24"/>
          <w:highlight w:val="none"/>
        </w:rPr>
      </w:pPr>
    </w:p>
    <w:p>
      <w:pPr>
        <w:widowControl/>
        <w:topLinePunct/>
        <w:adjustRightInd w:val="0"/>
        <w:snapToGrid w:val="0"/>
        <w:jc w:val="left"/>
        <w:rPr>
          <w:rFonts w:eastAsia="Times New Roman"/>
          <w:snapToGrid w:val="0"/>
          <w:color w:val="auto"/>
          <w:spacing w:val="4"/>
          <w:sz w:val="24"/>
          <w:szCs w:val="24"/>
          <w:highlight w:val="none"/>
        </w:rPr>
      </w:pPr>
    </w:p>
    <w:p>
      <w:pPr>
        <w:widowControl/>
        <w:topLinePunct/>
        <w:adjustRightInd w:val="0"/>
        <w:snapToGrid w:val="0"/>
        <w:ind w:firstLine="3596" w:firstLineChars="1450"/>
        <w:jc w:val="left"/>
        <w:rPr>
          <w:rFonts w:eastAsia="Times New Roman"/>
          <w:snapToGrid w:val="0"/>
          <w:color w:val="auto"/>
          <w:spacing w:val="4"/>
          <w:sz w:val="24"/>
          <w:szCs w:val="24"/>
          <w:highlight w:val="none"/>
        </w:rPr>
      </w:pPr>
    </w:p>
    <w:p>
      <w:pPr>
        <w:widowControl/>
        <w:topLinePunct/>
        <w:adjustRightInd w:val="0"/>
        <w:snapToGrid w:val="0"/>
        <w:ind w:firstLine="3596" w:firstLineChars="145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pPr>
        <w:widowControl/>
        <w:topLinePunct/>
        <w:adjustRightInd w:val="0"/>
        <w:snapToGrid w:val="0"/>
        <w:spacing w:line="360" w:lineRule="auto"/>
        <w:ind w:firstLine="3596" w:firstLineChars="1450"/>
        <w:jc w:val="left"/>
        <w:rPr>
          <w:rFonts w:eastAsia="Times New Roman"/>
          <w:b/>
          <w:snapToGrid w:val="0"/>
          <w:color w:val="auto"/>
          <w:spacing w:val="4"/>
          <w:sz w:val="24"/>
          <w:szCs w:val="24"/>
          <w:highlight w:val="none"/>
        </w:rPr>
      </w:pP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期：</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年</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月</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r>
        <w:rPr>
          <w:rFonts w:eastAsia="Times New Roman"/>
          <w:snapToGrid w:val="0"/>
          <w:color w:val="auto"/>
          <w:spacing w:val="4"/>
          <w:sz w:val="24"/>
          <w:szCs w:val="24"/>
          <w:highlight w:val="none"/>
        </w:rPr>
        <w:br w:type="page"/>
      </w:r>
      <w:bookmarkStart w:id="165" w:name="_Toc318924509"/>
      <w:bookmarkStart w:id="166" w:name="_Toc337720104"/>
      <w:bookmarkStart w:id="167" w:name="_Toc352623434"/>
      <w:bookmarkStart w:id="168" w:name="_Toc226209017"/>
      <w:bookmarkStart w:id="169" w:name="_Toc352240536"/>
      <w:bookmarkStart w:id="170" w:name="_Toc163337634"/>
      <w:bookmarkStart w:id="171" w:name="_Toc239311760"/>
      <w:bookmarkStart w:id="172" w:name="_Toc239216045"/>
      <w:bookmarkStart w:id="173" w:name="_Toc319444835"/>
      <w:bookmarkStart w:id="174" w:name="_Toc226209013"/>
      <w:bookmarkStart w:id="175" w:name="_Toc239216041"/>
      <w:bookmarkStart w:id="176" w:name="_Toc319444831"/>
      <w:bookmarkStart w:id="177" w:name="_Toc318924505"/>
      <w:bookmarkStart w:id="178" w:name="_Toc239311756"/>
      <w:bookmarkStart w:id="179" w:name="_Toc163337630"/>
      <w:r>
        <w:rPr>
          <w:rFonts w:hint="eastAsia" w:ascii="宋体" w:hAnsi="宋体" w:cs="宋体"/>
          <w:b/>
          <w:snapToGrid w:val="0"/>
          <w:color w:val="auto"/>
          <w:spacing w:val="4"/>
          <w:sz w:val="24"/>
          <w:szCs w:val="24"/>
          <w:highlight w:val="none"/>
        </w:rPr>
        <w:t>附表</w:t>
      </w:r>
      <w:r>
        <w:rPr>
          <w:rFonts w:hint="eastAsia" w:eastAsia="Times New Roman"/>
          <w:b/>
          <w:snapToGrid w:val="0"/>
          <w:color w:val="auto"/>
          <w:spacing w:val="4"/>
          <w:sz w:val="24"/>
          <w:szCs w:val="24"/>
          <w:highlight w:val="none"/>
        </w:rPr>
        <w:t>1</w:t>
      </w:r>
      <w:r>
        <w:rPr>
          <w:rFonts w:hint="eastAsia" w:ascii="宋体" w:hAnsi="宋体" w:cs="宋体"/>
          <w:b/>
          <w:snapToGrid w:val="0"/>
          <w:color w:val="auto"/>
          <w:spacing w:val="4"/>
          <w:sz w:val="24"/>
          <w:szCs w:val="24"/>
          <w:highlight w:val="none"/>
        </w:rPr>
        <w:t>：施工进度计划表</w:t>
      </w:r>
      <w:bookmarkEnd w:id="165"/>
      <w:bookmarkEnd w:id="166"/>
      <w:bookmarkEnd w:id="167"/>
      <w:bookmarkEnd w:id="168"/>
      <w:bookmarkEnd w:id="169"/>
      <w:bookmarkEnd w:id="170"/>
      <w:bookmarkEnd w:id="171"/>
      <w:bookmarkEnd w:id="172"/>
      <w:bookmarkEnd w:id="173"/>
    </w:p>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施工进度计划表</w:t>
      </w:r>
    </w:p>
    <w:tbl>
      <w:tblPr>
        <w:tblStyle w:val="2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876"/>
        <w:gridCol w:w="720"/>
        <w:gridCol w:w="776"/>
        <w:gridCol w:w="540"/>
        <w:gridCol w:w="540"/>
        <w:gridCol w:w="540"/>
        <w:gridCol w:w="540"/>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1620"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工程项目</w:t>
            </w:r>
          </w:p>
        </w:tc>
        <w:tc>
          <w:tcPr>
            <w:tcW w:w="876"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工程量</w:t>
            </w:r>
          </w:p>
        </w:tc>
        <w:tc>
          <w:tcPr>
            <w:tcW w:w="720"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开工时间</w:t>
            </w:r>
          </w:p>
        </w:tc>
        <w:tc>
          <w:tcPr>
            <w:tcW w:w="776"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完工时间</w:t>
            </w:r>
          </w:p>
        </w:tc>
        <w:tc>
          <w:tcPr>
            <w:tcW w:w="4860" w:type="dxa"/>
            <w:gridSpan w:val="9"/>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620"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6"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720"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776"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4860" w:type="dxa"/>
            <w:gridSpan w:val="9"/>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648"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620"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6"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720"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776" w:type="dxa"/>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r>
              <w:rPr>
                <w:rFonts w:hint="eastAsia" w:ascii="宋体" w:hAnsi="宋体"/>
                <w:color w:val="auto"/>
                <w:sz w:val="18"/>
                <w:szCs w:val="18"/>
                <w:highlight w:val="none"/>
              </w:rPr>
              <w:t>施工准备</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r>
              <w:rPr>
                <w:rFonts w:hint="default" w:ascii="宋体" w:hAnsi="宋体"/>
                <w:color w:val="auto"/>
                <w:sz w:val="18"/>
                <w:szCs w:val="18"/>
                <w:highlight w:val="none"/>
              </w:rPr>
              <w:t>……</w:t>
            </w:r>
            <w:r>
              <w:rPr>
                <w:rFonts w:hint="eastAsia" w:ascii="宋体" w:hAnsi="宋体"/>
                <w:color w:val="auto"/>
                <w:sz w:val="18"/>
                <w:szCs w:val="18"/>
                <w:highlight w:val="none"/>
              </w:rPr>
              <w:t>工程</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3</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r>
              <w:rPr>
                <w:rFonts w:hint="default" w:ascii="宋体" w:hAnsi="宋体"/>
                <w:color w:val="auto"/>
                <w:sz w:val="18"/>
                <w:szCs w:val="18"/>
                <w:highlight w:val="none"/>
              </w:rPr>
              <w:t>……</w:t>
            </w:r>
            <w:r>
              <w:rPr>
                <w:rFonts w:hint="eastAsia" w:ascii="宋体" w:hAnsi="宋体"/>
                <w:color w:val="auto"/>
                <w:sz w:val="18"/>
                <w:szCs w:val="18"/>
                <w:highlight w:val="none"/>
              </w:rPr>
              <w:t>工程</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4</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r>
              <w:rPr>
                <w:rFonts w:hint="default" w:ascii="宋体" w:hAnsi="宋体"/>
                <w:color w:val="auto"/>
                <w:sz w:val="18"/>
                <w:szCs w:val="18"/>
                <w:highlight w:val="none"/>
              </w:rPr>
              <w:t>……</w:t>
            </w:r>
            <w:r>
              <w:rPr>
                <w:rFonts w:hint="eastAsia" w:ascii="宋体" w:hAnsi="宋体"/>
                <w:color w:val="auto"/>
                <w:sz w:val="18"/>
                <w:szCs w:val="18"/>
                <w:highlight w:val="none"/>
              </w:rPr>
              <w:t>工程</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5</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r>
              <w:rPr>
                <w:rFonts w:hint="default" w:ascii="宋体" w:hAnsi="宋体"/>
                <w:color w:val="auto"/>
                <w:sz w:val="18"/>
                <w:szCs w:val="18"/>
                <w:highlight w:val="none"/>
              </w:rPr>
              <w:t>……</w:t>
            </w:r>
            <w:r>
              <w:rPr>
                <w:rFonts w:hint="eastAsia" w:ascii="宋体" w:hAnsi="宋体"/>
                <w:color w:val="auto"/>
                <w:sz w:val="18"/>
                <w:szCs w:val="18"/>
                <w:highlight w:val="none"/>
              </w:rPr>
              <w:t>工程</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6</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7</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8</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9</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10</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11</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8"/>
                <w:szCs w:val="18"/>
                <w:highlight w:val="none"/>
              </w:rPr>
            </w:pP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12</w:t>
            </w:r>
          </w:p>
        </w:tc>
        <w:tc>
          <w:tcPr>
            <w:tcW w:w="1620" w:type="dxa"/>
            <w:vAlign w:val="center"/>
          </w:tcPr>
          <w:p>
            <w:pPr>
              <w:keepNext w:val="0"/>
              <w:keepLines w:val="0"/>
              <w:suppressLineNumbers w:val="0"/>
              <w:spacing w:before="0" w:beforeAutospacing="0" w:after="0" w:afterAutospacing="0"/>
              <w:ind w:left="0" w:right="0"/>
              <w:jc w:val="left"/>
              <w:rPr>
                <w:rFonts w:hint="default" w:ascii="宋体" w:hAnsi="宋体"/>
                <w:color w:val="auto"/>
                <w:sz w:val="15"/>
                <w:szCs w:val="24"/>
                <w:highlight w:val="none"/>
              </w:rPr>
            </w:pPr>
            <w:r>
              <w:rPr>
                <w:rFonts w:hint="default" w:ascii="宋体" w:hAnsi="宋体"/>
                <w:color w:val="auto"/>
                <w:szCs w:val="24"/>
                <w:highlight w:val="none"/>
              </w:rPr>
              <w:t>……</w:t>
            </w:r>
          </w:p>
        </w:tc>
        <w:tc>
          <w:tcPr>
            <w:tcW w:w="8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7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5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bl>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180" w:name="_Toc16347"/>
      <w:bookmarkStart w:id="181" w:name="_Toc478044846"/>
      <w:bookmarkStart w:id="182" w:name="_Toc7013"/>
      <w:bookmarkStart w:id="183" w:name="_Toc15133"/>
      <w:bookmarkStart w:id="184" w:name="_Toc9094"/>
      <w:bookmarkStart w:id="185" w:name="_Toc6395"/>
      <w:bookmarkStart w:id="186" w:name="_Toc28233"/>
      <w:bookmarkStart w:id="187" w:name="_Toc19204"/>
      <w:bookmarkStart w:id="188" w:name="_Toc11050"/>
      <w:r>
        <w:rPr>
          <w:rFonts w:hint="eastAsia" w:ascii="宋体" w:hAnsi="宋体" w:cs="宋体"/>
          <w:b/>
          <w:snapToGrid w:val="0"/>
          <w:color w:val="auto"/>
          <w:spacing w:val="4"/>
          <w:sz w:val="24"/>
          <w:szCs w:val="24"/>
          <w:highlight w:val="none"/>
        </w:rPr>
        <w:t>附表2：投入劳动力计划表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投入劳动力计划表</w:t>
      </w:r>
    </w:p>
    <w:tbl>
      <w:tblPr>
        <w:tblStyle w:val="24"/>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21"/>
        <w:gridCol w:w="1440"/>
        <w:gridCol w:w="1137"/>
        <w:gridCol w:w="1138"/>
        <w:gridCol w:w="1137"/>
        <w:gridCol w:w="1138"/>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序号</w:t>
            </w:r>
          </w:p>
        </w:tc>
        <w:tc>
          <w:tcPr>
            <w:tcW w:w="721" w:type="dxa"/>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工种</w:t>
            </w:r>
          </w:p>
        </w:tc>
        <w:tc>
          <w:tcPr>
            <w:tcW w:w="1440" w:type="dxa"/>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投入总数量</w:t>
            </w:r>
          </w:p>
        </w:tc>
        <w:tc>
          <w:tcPr>
            <w:tcW w:w="6825"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进场计划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1"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6825" w:type="dxa"/>
            <w:gridSpan w:val="6"/>
            <w:tcBorders>
              <w:bottom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721"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c>
          <w:tcPr>
            <w:tcW w:w="1138"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c>
          <w:tcPr>
            <w:tcW w:w="1137"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c>
          <w:tcPr>
            <w:tcW w:w="1138"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c>
          <w:tcPr>
            <w:tcW w:w="1137"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c>
          <w:tcPr>
            <w:tcW w:w="1138"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3</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4</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5</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6</w:t>
            </w:r>
          </w:p>
        </w:tc>
        <w:tc>
          <w:tcPr>
            <w:tcW w:w="72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w:t>
            </w:r>
          </w:p>
        </w:tc>
        <w:tc>
          <w:tcPr>
            <w:tcW w:w="144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7"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38"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bl>
    <w:p>
      <w:pPr>
        <w:jc w:val="left"/>
        <w:rPr>
          <w:rFonts w:ascii="宋体" w:hAnsi="宋体"/>
          <w:color w:val="auto"/>
          <w:szCs w:val="21"/>
          <w:highlight w:val="none"/>
        </w:rPr>
      </w:pPr>
      <w:r>
        <w:rPr>
          <w:rFonts w:hint="eastAsia" w:ascii="宋体" w:hAnsi="宋体"/>
          <w:color w:val="auto"/>
          <w:szCs w:val="21"/>
          <w:highlight w:val="none"/>
        </w:rPr>
        <w:t>注：本表后应附投入劳动力计划柱状图。</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期：</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年</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月</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sectPr>
          <w:footerReference r:id="rId13" w:type="default"/>
          <w:pgSz w:w="11907" w:h="16840"/>
          <w:pgMar w:top="1418" w:right="1418" w:bottom="1418" w:left="1418" w:header="851" w:footer="851" w:gutter="0"/>
          <w:cols w:space="720" w:num="1"/>
          <w:docGrid w:type="lines" w:linePitch="312" w:charSpace="0"/>
        </w:sectPr>
      </w:pPr>
    </w:p>
    <w:p>
      <w:pPr>
        <w:widowControl/>
        <w:topLinePunct/>
        <w:adjustRightInd w:val="0"/>
        <w:snapToGrid w:val="0"/>
        <w:spacing w:line="360" w:lineRule="auto"/>
        <w:jc w:val="left"/>
        <w:rPr>
          <w:b/>
          <w:snapToGrid w:val="0"/>
          <w:color w:val="auto"/>
          <w:spacing w:val="4"/>
          <w:sz w:val="24"/>
          <w:szCs w:val="24"/>
          <w:highlight w:val="none"/>
        </w:rPr>
      </w:pPr>
      <w:bookmarkStart w:id="189" w:name="_Toc319444833"/>
      <w:bookmarkStart w:id="190" w:name="_Toc239311758"/>
      <w:bookmarkStart w:id="191" w:name="_Toc337720102"/>
      <w:bookmarkStart w:id="192" w:name="_Toc395261110"/>
      <w:bookmarkStart w:id="193" w:name="_Toc369536781"/>
      <w:bookmarkStart w:id="194" w:name="_Toc352623432"/>
      <w:bookmarkStart w:id="195" w:name="_Toc239216043"/>
      <w:bookmarkStart w:id="196" w:name="_Toc358370589"/>
      <w:bookmarkStart w:id="197" w:name="_Toc318924507"/>
      <w:bookmarkStart w:id="198" w:name="_Toc163337632"/>
      <w:bookmarkStart w:id="199" w:name="_Toc226209015"/>
      <w:bookmarkStart w:id="200" w:name="_Toc352240534"/>
      <w:r>
        <w:rPr>
          <w:rFonts w:hint="eastAsia" w:ascii="黑体" w:hAnsi="宋体" w:eastAsia="黑体"/>
          <w:b/>
          <w:bCs/>
          <w:snapToGrid w:val="0"/>
          <w:color w:val="auto"/>
          <w:spacing w:val="4"/>
          <w:sz w:val="24"/>
          <w:szCs w:val="24"/>
          <w:highlight w:val="none"/>
        </w:rPr>
        <w:t>附表3：投入主要施工机械设备表</w:t>
      </w:r>
    </w:p>
    <w:bookmarkEnd w:id="189"/>
    <w:bookmarkEnd w:id="190"/>
    <w:bookmarkEnd w:id="191"/>
    <w:bookmarkEnd w:id="192"/>
    <w:bookmarkEnd w:id="193"/>
    <w:bookmarkEnd w:id="194"/>
    <w:bookmarkEnd w:id="195"/>
    <w:bookmarkEnd w:id="196"/>
    <w:bookmarkEnd w:id="197"/>
    <w:bookmarkEnd w:id="198"/>
    <w:bookmarkEnd w:id="199"/>
    <w:bookmarkEnd w:id="200"/>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投入主要施工机械设备表</w:t>
      </w:r>
    </w:p>
    <w:tbl>
      <w:tblPr>
        <w:tblStyle w:val="24"/>
        <w:tblW w:w="9663"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2"/>
        <w:gridCol w:w="2091"/>
        <w:gridCol w:w="2100"/>
        <w:gridCol w:w="900"/>
        <w:gridCol w:w="900"/>
        <w:gridCol w:w="1080"/>
        <w:gridCol w:w="816"/>
        <w:gridCol w:w="134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523"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名称及型号</w:t>
            </w:r>
          </w:p>
        </w:tc>
        <w:tc>
          <w:tcPr>
            <w:tcW w:w="7140"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申请单位能达到的程度简述（由申请单位填写）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23" w:type="dxa"/>
            <w:gridSpan w:val="2"/>
            <w:vMerge w:val="continue"/>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10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机械最少投入数量</w:t>
            </w:r>
          </w:p>
        </w:tc>
        <w:tc>
          <w:tcPr>
            <w:tcW w:w="5040" w:type="dxa"/>
            <w:gridSpan w:val="5"/>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投入本项目施工机械的情况（台套）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523"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名</w:t>
            </w:r>
            <w:r>
              <w:rPr>
                <w:rFonts w:hint="default" w:ascii="宋体" w:hAnsi="宋体"/>
                <w:color w:val="auto"/>
                <w:szCs w:val="21"/>
                <w:highlight w:val="none"/>
              </w:rPr>
              <w:t xml:space="preserve">     </w:t>
            </w:r>
            <w:r>
              <w:rPr>
                <w:rFonts w:hint="eastAsia" w:ascii="宋体" w:hAnsi="宋体"/>
                <w:color w:val="auto"/>
                <w:szCs w:val="21"/>
                <w:highlight w:val="none"/>
              </w:rPr>
              <w:t>称</w:t>
            </w:r>
          </w:p>
        </w:tc>
        <w:tc>
          <w:tcPr>
            <w:tcW w:w="210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数量（台套）</w:t>
            </w: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小计</w:t>
            </w: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新购</w:t>
            </w:r>
          </w:p>
        </w:tc>
        <w:tc>
          <w:tcPr>
            <w:tcW w:w="108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自有</w:t>
            </w:r>
          </w:p>
        </w:tc>
        <w:tc>
          <w:tcPr>
            <w:tcW w:w="81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租赁</w:t>
            </w:r>
          </w:p>
        </w:tc>
        <w:tc>
          <w:tcPr>
            <w:tcW w:w="1344"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型号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施工机械设备</w:t>
            </w: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kern w:val="0"/>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其他设备</w:t>
            </w: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32" w:type="dxa"/>
            <w:vMerge w:val="continue"/>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091"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default" w:ascii="宋体" w:hAnsi="宋体"/>
                <w:color w:val="auto"/>
                <w:szCs w:val="21"/>
                <w:highlight w:val="none"/>
              </w:rPr>
              <w:t>…</w:t>
            </w:r>
          </w:p>
        </w:tc>
        <w:tc>
          <w:tcPr>
            <w:tcW w:w="21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90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080"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816"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344" w:type="dxa"/>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bl>
    <w:p>
      <w:pPr>
        <w:widowControl/>
        <w:topLinePunct/>
        <w:adjustRightInd w:val="0"/>
        <w:snapToGrid w:val="0"/>
        <w:ind w:firstLine="436" w:firstLineChars="200"/>
        <w:jc w:val="left"/>
        <w:rPr>
          <w:rFonts w:eastAsia="Times New Roman"/>
          <w:snapToGrid w:val="0"/>
          <w:color w:val="auto"/>
          <w:spacing w:val="4"/>
          <w:szCs w:val="21"/>
          <w:highlight w:val="none"/>
        </w:rPr>
      </w:pPr>
      <w:r>
        <w:rPr>
          <w:rFonts w:hint="eastAsia" w:ascii="宋体" w:hAnsi="宋体" w:cs="宋体"/>
          <w:snapToGrid w:val="0"/>
          <w:color w:val="auto"/>
          <w:spacing w:val="4"/>
          <w:szCs w:val="21"/>
          <w:highlight w:val="none"/>
        </w:rPr>
        <w:t>注：</w:t>
      </w:r>
      <w:r>
        <w:rPr>
          <w:rFonts w:hint="eastAsia" w:eastAsia="Times New Roman"/>
          <w:snapToGrid w:val="0"/>
          <w:color w:val="auto"/>
          <w:spacing w:val="4"/>
          <w:szCs w:val="21"/>
          <w:highlight w:val="none"/>
        </w:rPr>
        <w:t>1</w:t>
      </w:r>
      <w:r>
        <w:rPr>
          <w:rFonts w:hint="eastAsia" w:ascii="宋体" w:hAnsi="宋体" w:cs="宋体"/>
          <w:snapToGrid w:val="0"/>
          <w:color w:val="auto"/>
          <w:spacing w:val="4"/>
          <w:szCs w:val="21"/>
          <w:highlight w:val="none"/>
        </w:rPr>
        <w:t>、设备名称及要求数量视本工程具体情况结合招标人对本工程的具体要求自行配备；</w:t>
      </w:r>
    </w:p>
    <w:p>
      <w:pPr>
        <w:ind w:firstLine="420" w:firstLineChars="200"/>
        <w:jc w:val="left"/>
        <w:rPr>
          <w:rFonts w:ascii="宋体" w:hAnsi="宋体"/>
          <w:color w:val="auto"/>
          <w:szCs w:val="21"/>
          <w:highlight w:val="none"/>
        </w:rPr>
      </w:pPr>
      <w:r>
        <w:rPr>
          <w:rFonts w:hint="eastAsia" w:ascii="宋体" w:hAnsi="宋体"/>
          <w:color w:val="auto"/>
          <w:szCs w:val="21"/>
          <w:highlight w:val="none"/>
        </w:rPr>
        <w:t>2、投入的设备如为自有，须附购货发票、报关单（如为进口）；如为租用，须附租赁合同及上述证明资料，并准备原件待查。</w:t>
      </w:r>
    </w:p>
    <w:p>
      <w:pPr>
        <w:widowControl/>
        <w:topLinePunct/>
        <w:adjustRightInd w:val="0"/>
        <w:snapToGrid w:val="0"/>
        <w:spacing w:line="360" w:lineRule="auto"/>
        <w:ind w:firstLine="496" w:firstLineChars="20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期：</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年</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月</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p>
    <w:p>
      <w:pPr>
        <w:widowControl/>
        <w:topLinePunct/>
        <w:adjustRightInd w:val="0"/>
        <w:snapToGrid w:val="0"/>
        <w:spacing w:line="360" w:lineRule="auto"/>
        <w:jc w:val="left"/>
        <w:rPr>
          <w:b/>
          <w:snapToGrid w:val="0"/>
          <w:color w:val="auto"/>
          <w:spacing w:val="4"/>
          <w:sz w:val="24"/>
          <w:szCs w:val="24"/>
          <w:highlight w:val="none"/>
        </w:rPr>
      </w:pPr>
      <w:r>
        <w:rPr>
          <w:rFonts w:ascii="黑体" w:hAnsi="宋体" w:eastAsia="黑体"/>
          <w:b/>
          <w:bCs/>
          <w:snapToGrid w:val="0"/>
          <w:color w:val="auto"/>
          <w:spacing w:val="4"/>
          <w:sz w:val="24"/>
          <w:szCs w:val="24"/>
          <w:highlight w:val="none"/>
        </w:rPr>
        <w:br w:type="page"/>
      </w:r>
      <w:bookmarkStart w:id="201" w:name="_Toc239311759"/>
      <w:bookmarkStart w:id="202" w:name="_Toc30914"/>
      <w:bookmarkStart w:id="203" w:name="_Toc30181"/>
      <w:bookmarkStart w:id="204" w:name="_Toc352240535"/>
      <w:bookmarkStart w:id="205" w:name="_Toc395261111"/>
      <w:bookmarkStart w:id="206" w:name="_Toc358370590"/>
      <w:bookmarkStart w:id="207" w:name="_Toc337720103"/>
      <w:bookmarkStart w:id="208" w:name="_Toc318924508"/>
      <w:bookmarkStart w:id="209" w:name="_Toc11202"/>
      <w:bookmarkStart w:id="210" w:name="_Toc4395"/>
      <w:bookmarkStart w:id="211" w:name="_Toc239216044"/>
      <w:bookmarkStart w:id="212" w:name="_Toc163337633"/>
      <w:bookmarkStart w:id="213" w:name="_Toc369536782"/>
      <w:bookmarkStart w:id="214" w:name="_Toc11798"/>
      <w:bookmarkStart w:id="215" w:name="_Toc226209016"/>
      <w:bookmarkStart w:id="216" w:name="_Toc478044850"/>
      <w:bookmarkStart w:id="217" w:name="_Toc26069"/>
      <w:bookmarkStart w:id="218" w:name="_Toc352623433"/>
      <w:bookmarkStart w:id="219" w:name="_Toc319444834"/>
      <w:bookmarkStart w:id="220" w:name="_Toc29293"/>
      <w:bookmarkStart w:id="221" w:name="_Toc6889"/>
      <w:r>
        <w:rPr>
          <w:rFonts w:hint="eastAsia" w:ascii="黑体" w:hAnsi="宋体" w:eastAsia="黑体"/>
          <w:b/>
          <w:bCs/>
          <w:snapToGrid w:val="0"/>
          <w:color w:val="auto"/>
          <w:spacing w:val="4"/>
          <w:sz w:val="24"/>
          <w:szCs w:val="24"/>
          <w:highlight w:val="none"/>
        </w:rPr>
        <w:t>附表4：资金使用计划表</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topLinePunct/>
        <w:adjustRightInd w:val="0"/>
        <w:snapToGrid w:val="0"/>
        <w:spacing w:line="360" w:lineRule="auto"/>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资金使用计划表</w:t>
      </w:r>
    </w:p>
    <w:tbl>
      <w:tblPr>
        <w:tblStyle w:val="24"/>
        <w:tblW w:w="9116" w:type="dxa"/>
        <w:tblInd w:w="0" w:type="dxa"/>
        <w:tblLayout w:type="fixed"/>
        <w:tblCellMar>
          <w:top w:w="0" w:type="dxa"/>
          <w:left w:w="108" w:type="dxa"/>
          <w:bottom w:w="0" w:type="dxa"/>
          <w:right w:w="108" w:type="dxa"/>
        </w:tblCellMar>
      </w:tblPr>
      <w:tblGrid>
        <w:gridCol w:w="2285"/>
        <w:gridCol w:w="2277"/>
        <w:gridCol w:w="2277"/>
        <w:gridCol w:w="2277"/>
      </w:tblGrid>
      <w:tr>
        <w:tblPrEx>
          <w:tblCellMar>
            <w:top w:w="0" w:type="dxa"/>
            <w:left w:w="108" w:type="dxa"/>
            <w:bottom w:w="0" w:type="dxa"/>
            <w:right w:w="108" w:type="dxa"/>
          </w:tblCellMar>
        </w:tblPrEx>
        <w:tc>
          <w:tcPr>
            <w:tcW w:w="2285" w:type="dxa"/>
            <w:vMerge w:val="restart"/>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从开工月算起的时间（月）</w:t>
            </w:r>
          </w:p>
        </w:tc>
        <w:tc>
          <w:tcPr>
            <w:tcW w:w="4554" w:type="dxa"/>
            <w:gridSpan w:val="2"/>
            <w:tcBorders>
              <w:top w:val="single" w:color="auto" w:sz="4" w:space="0"/>
              <w:left w:val="single" w:color="auto" w:sz="6" w:space="0"/>
              <w:bottom w:val="single" w:color="auto" w:sz="6" w:space="0"/>
              <w:right w:val="single" w:color="auto" w:sz="6" w:space="0"/>
            </w:tcBorders>
            <w:vAlign w:val="center"/>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资金使用计划</w:t>
            </w:r>
          </w:p>
        </w:tc>
        <w:tc>
          <w:tcPr>
            <w:tcW w:w="2277" w:type="dxa"/>
            <w:vMerge w:val="restart"/>
            <w:tcBorders>
              <w:top w:val="single" w:color="auto" w:sz="4" w:space="0"/>
              <w:left w:val="single" w:color="auto" w:sz="6" w:space="0"/>
              <w:bottom w:val="single" w:color="auto" w:sz="6" w:space="0"/>
              <w:right w:val="single" w:color="auto" w:sz="4" w:space="0"/>
            </w:tcBorders>
            <w:vAlign w:val="center"/>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备注</w:t>
            </w:r>
          </w:p>
        </w:tc>
      </w:tr>
      <w:tr>
        <w:tblPrEx>
          <w:tblCellMar>
            <w:top w:w="0" w:type="dxa"/>
            <w:left w:w="108" w:type="dxa"/>
            <w:bottom w:w="0" w:type="dxa"/>
            <w:right w:w="108" w:type="dxa"/>
          </w:tblCellMar>
        </w:tblPrEx>
        <w:tc>
          <w:tcPr>
            <w:tcW w:w="2285"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分期（</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累计（</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tc>
        <w:tc>
          <w:tcPr>
            <w:tcW w:w="2277" w:type="dxa"/>
            <w:vMerge w:val="continue"/>
            <w:tcBorders>
              <w:top w:val="single" w:color="auto" w:sz="6" w:space="0"/>
              <w:left w:val="single" w:color="auto" w:sz="6" w:space="0"/>
              <w:bottom w:val="single" w:color="auto" w:sz="6" w:space="0"/>
              <w:right w:val="single" w:color="auto" w:sz="4" w:space="0"/>
            </w:tcBorders>
            <w:vAlign w:val="center"/>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预付款</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1</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2</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3</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第</w:t>
            </w:r>
            <w:r>
              <w:rPr>
                <w:rFonts w:hint="eastAsia" w:eastAsia="Times New Roman"/>
                <w:snapToGrid w:val="0"/>
                <w:color w:val="auto"/>
                <w:spacing w:val="4"/>
                <w:sz w:val="24"/>
                <w:szCs w:val="24"/>
                <w:highlight w:val="none"/>
              </w:rPr>
              <w:t>4</w:t>
            </w:r>
            <w:r>
              <w:rPr>
                <w:rFonts w:hint="eastAsia" w:ascii="宋体" w:hAnsi="宋体" w:cs="宋体"/>
                <w:snapToGrid w:val="0"/>
                <w:color w:val="auto"/>
                <w:spacing w:val="4"/>
                <w:sz w:val="24"/>
                <w:szCs w:val="24"/>
                <w:highlight w:val="none"/>
              </w:rPr>
              <w:t>月</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default" w:eastAsia="Times New Roman"/>
                <w:snapToGrid w:val="0"/>
                <w:color w:val="auto"/>
                <w:spacing w:val="4"/>
                <w:sz w:val="24"/>
                <w:szCs w:val="24"/>
                <w:highlight w:val="none"/>
              </w:rPr>
              <w:t>……</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保修期</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合计</w:t>
            </w: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c>
          <w:tcPr>
            <w:tcW w:w="2277" w:type="dxa"/>
            <w:tcBorders>
              <w:top w:val="single" w:color="auto" w:sz="6" w:space="0"/>
              <w:left w:val="single" w:color="auto" w:sz="6" w:space="0"/>
              <w:bottom w:val="single" w:color="auto" w:sz="6"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r>
        <w:tblPrEx>
          <w:tblCellMar>
            <w:top w:w="0" w:type="dxa"/>
            <w:left w:w="108" w:type="dxa"/>
            <w:bottom w:w="0" w:type="dxa"/>
            <w:right w:w="108" w:type="dxa"/>
          </w:tblCellMar>
        </w:tblPrEx>
        <w:tc>
          <w:tcPr>
            <w:tcW w:w="2285" w:type="dxa"/>
            <w:tcBorders>
              <w:top w:val="single" w:color="auto" w:sz="6" w:space="0"/>
              <w:left w:val="single" w:color="auto" w:sz="4" w:space="0"/>
              <w:bottom w:val="single" w:color="auto" w:sz="4" w:space="0"/>
              <w:right w:val="single" w:color="auto" w:sz="6" w:space="0"/>
            </w:tcBorders>
          </w:tcPr>
          <w:p>
            <w:pPr>
              <w:keepNext w:val="0"/>
              <w:keepLines w:val="0"/>
              <w:widowControl/>
              <w:suppressLineNumbers w:val="0"/>
              <w:topLinePunct/>
              <w:adjustRightInd w:val="0"/>
              <w:snapToGrid w:val="0"/>
              <w:spacing w:before="0" w:beforeAutospacing="0" w:after="0" w:afterAutospacing="0" w:line="360" w:lineRule="auto"/>
              <w:ind w:left="0" w:right="0"/>
              <w:jc w:val="center"/>
              <w:rPr>
                <w:rFonts w:hint="default"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说明</w:t>
            </w:r>
          </w:p>
        </w:tc>
        <w:tc>
          <w:tcPr>
            <w:tcW w:w="6831" w:type="dxa"/>
            <w:gridSpan w:val="3"/>
            <w:tcBorders>
              <w:top w:val="single" w:color="auto" w:sz="6" w:space="0"/>
              <w:left w:val="single" w:color="auto" w:sz="6" w:space="0"/>
              <w:bottom w:val="single" w:color="auto" w:sz="4" w:space="0"/>
              <w:right w:val="single" w:color="auto" w:sz="4" w:space="0"/>
            </w:tcBorders>
          </w:tcPr>
          <w:p>
            <w:pPr>
              <w:keepNext w:val="0"/>
              <w:keepLines w:val="0"/>
              <w:widowControl/>
              <w:suppressLineNumbers w:val="0"/>
              <w:topLinePunct/>
              <w:adjustRightInd w:val="0"/>
              <w:snapToGrid w:val="0"/>
              <w:spacing w:before="0" w:beforeAutospacing="0" w:after="0" w:afterAutospacing="0" w:line="360" w:lineRule="auto"/>
              <w:ind w:left="479" w:right="0"/>
              <w:jc w:val="center"/>
              <w:rPr>
                <w:rFonts w:hint="default" w:eastAsia="Times New Roman"/>
                <w:snapToGrid w:val="0"/>
                <w:color w:val="auto"/>
                <w:spacing w:val="4"/>
                <w:sz w:val="24"/>
                <w:szCs w:val="24"/>
                <w:highlight w:val="none"/>
              </w:rPr>
            </w:pPr>
          </w:p>
        </w:tc>
      </w:tr>
    </w:tbl>
    <w:p>
      <w:pPr>
        <w:widowControl/>
        <w:topLinePunct/>
        <w:adjustRightInd w:val="0"/>
        <w:snapToGrid w:val="0"/>
        <w:spacing w:line="360" w:lineRule="auto"/>
        <w:jc w:val="left"/>
        <w:rPr>
          <w:rFonts w:ascii="黑体" w:eastAsia="黑体"/>
          <w:snapToGrid w:val="0"/>
          <w:color w:val="auto"/>
          <w:spacing w:val="4"/>
          <w:sz w:val="24"/>
          <w:szCs w:val="24"/>
          <w:highlight w:val="none"/>
        </w:rPr>
      </w:pPr>
      <w:r>
        <w:rPr>
          <w:rFonts w:hint="eastAsia" w:ascii="黑体" w:eastAsia="黑体"/>
          <w:snapToGrid w:val="0"/>
          <w:color w:val="auto"/>
          <w:spacing w:val="4"/>
          <w:sz w:val="24"/>
          <w:szCs w:val="24"/>
          <w:highlight w:val="none"/>
        </w:rPr>
        <w:t>注：本表不得出现具体金额，仅以百分比表示。</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单位名称：　　（盖章）</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法定代表人或授权代理人</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签名或盖章</w:t>
      </w:r>
      <w:r>
        <w:rPr>
          <w:rFonts w:hint="eastAsia" w:eastAsia="Times New Roman"/>
          <w:snapToGrid w:val="0"/>
          <w:color w:val="auto"/>
          <w:spacing w:val="4"/>
          <w:sz w:val="24"/>
          <w:szCs w:val="24"/>
          <w:highlight w:val="none"/>
        </w:rPr>
        <w:t>)</w:t>
      </w:r>
      <w:r>
        <w:rPr>
          <w:rFonts w:hint="eastAsia" w:ascii="宋体" w:hAnsi="宋体" w:cs="宋体"/>
          <w:snapToGrid w:val="0"/>
          <w:color w:val="auto"/>
          <w:spacing w:val="4"/>
          <w:sz w:val="24"/>
          <w:szCs w:val="24"/>
          <w:highlight w:val="none"/>
        </w:rPr>
        <w:t>：</w:t>
      </w:r>
    </w:p>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期：</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年</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月</w:t>
      </w:r>
      <w:r>
        <w:rPr>
          <w:rFonts w:hint="eastAsia" w:eastAsia="Times New Roman"/>
          <w:snapToGrid w:val="0"/>
          <w:color w:val="auto"/>
          <w:spacing w:val="4"/>
          <w:sz w:val="24"/>
          <w:szCs w:val="24"/>
          <w:highlight w:val="none"/>
        </w:rPr>
        <w:t xml:space="preserve">    </w:t>
      </w:r>
      <w:r>
        <w:rPr>
          <w:rFonts w:hint="eastAsia" w:ascii="宋体" w:hAnsi="宋体" w:cs="宋体"/>
          <w:snapToGrid w:val="0"/>
          <w:color w:val="auto"/>
          <w:spacing w:val="4"/>
          <w:sz w:val="24"/>
          <w:szCs w:val="24"/>
          <w:highlight w:val="none"/>
        </w:rPr>
        <w:t>日</w:t>
      </w:r>
      <w:r>
        <w:rPr>
          <w:rFonts w:hint="eastAsia" w:eastAsia="Times New Roman"/>
          <w:snapToGrid w:val="0"/>
          <w:color w:val="auto"/>
          <w:spacing w:val="4"/>
          <w:sz w:val="24"/>
          <w:szCs w:val="24"/>
          <w:highlight w:val="none"/>
        </w:rPr>
        <w:t xml:space="preserve"> </w:t>
      </w:r>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eastAsia="黑体"/>
          <w:color w:val="auto"/>
          <w:spacing w:val="4"/>
          <w:kern w:val="0"/>
          <w:sz w:val="24"/>
          <w:szCs w:val="24"/>
          <w:highlight w:val="none"/>
        </w:rPr>
        <w:br w:type="page"/>
      </w:r>
      <w:bookmarkStart w:id="222" w:name="_Toc62056042"/>
      <w:bookmarkStart w:id="223" w:name="_Toc29476920"/>
      <w:r>
        <w:rPr>
          <w:rFonts w:hint="eastAsia" w:ascii="宋体" w:hAnsi="宋体"/>
          <w:color w:val="auto"/>
          <w:spacing w:val="4"/>
          <w:kern w:val="0"/>
          <w:sz w:val="24"/>
          <w:szCs w:val="24"/>
          <w:highlight w:val="none"/>
        </w:rPr>
        <w:t>格式十：类似工程业绩表</w:t>
      </w:r>
      <w:bookmarkEnd w:id="154"/>
      <w:bookmarkEnd w:id="222"/>
      <w:bookmarkEnd w:id="223"/>
    </w:p>
    <w:bookmarkEnd w:id="155"/>
    <w:bookmarkEnd w:id="156"/>
    <w:bookmarkEnd w:id="157"/>
    <w:bookmarkEnd w:id="158"/>
    <w:bookmarkEnd w:id="159"/>
    <w:bookmarkEnd w:id="160"/>
    <w:bookmarkEnd w:id="161"/>
    <w:p>
      <w:pPr>
        <w:topLinePunct/>
        <w:adjustRightInd w:val="0"/>
        <w:snapToGrid w:val="0"/>
        <w:spacing w:line="360" w:lineRule="auto"/>
        <w:jc w:val="center"/>
        <w:rPr>
          <w:rFonts w:eastAsia="黑体"/>
          <w:snapToGrid w:val="0"/>
          <w:color w:val="auto"/>
          <w:spacing w:val="4"/>
          <w:kern w:val="0"/>
          <w:sz w:val="36"/>
          <w:szCs w:val="36"/>
          <w:highlight w:val="none"/>
        </w:rPr>
      </w:pPr>
      <w:bookmarkStart w:id="224" w:name="_Toc226209012"/>
      <w:bookmarkStart w:id="225" w:name="_Toc163337629"/>
      <w:bookmarkStart w:id="226" w:name="_Toc449308428"/>
      <w:bookmarkStart w:id="227" w:name="_Toc369536779"/>
      <w:bookmarkStart w:id="228" w:name="_Toc352240532"/>
      <w:bookmarkStart w:id="229" w:name="_Toc358370587"/>
      <w:bookmarkStart w:id="230" w:name="_Toc395261108"/>
      <w:bookmarkStart w:id="231" w:name="_Toc352623430"/>
      <w:bookmarkStart w:id="232" w:name="_Toc318924504"/>
      <w:bookmarkStart w:id="233" w:name="_Toc337720100"/>
      <w:bookmarkStart w:id="234" w:name="_Toc239311755"/>
      <w:bookmarkStart w:id="235" w:name="_Toc464131231"/>
      <w:bookmarkStart w:id="236" w:name="_Toc239216040"/>
      <w:r>
        <w:rPr>
          <w:rFonts w:hint="eastAsia" w:eastAsia="黑体"/>
          <w:snapToGrid w:val="0"/>
          <w:color w:val="auto"/>
          <w:spacing w:val="4"/>
          <w:kern w:val="0"/>
          <w:sz w:val="36"/>
          <w:szCs w:val="36"/>
          <w:highlight w:val="none"/>
        </w:rPr>
        <w:t>一、已竣工验收的类似工程业绩表</w:t>
      </w:r>
    </w:p>
    <w:tbl>
      <w:tblPr>
        <w:tblStyle w:val="24"/>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45"/>
        <w:gridCol w:w="1160"/>
        <w:gridCol w:w="2135"/>
        <w:gridCol w:w="191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w:t>
            </w:r>
          </w:p>
        </w:tc>
        <w:tc>
          <w:tcPr>
            <w:tcW w:w="5835"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vMerge w:val="continue"/>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w:t>
            </w: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w:t>
            </w: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default"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工程名称</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工程对应的企业资质</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项目地点</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所包含的子项内容</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Merge w:val="restart"/>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总价(人民币：万元)</w:t>
            </w:r>
          </w:p>
        </w:tc>
        <w:tc>
          <w:tcPr>
            <w:tcW w:w="1205" w:type="dxa"/>
            <w:gridSpan w:val="2"/>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合同造价</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2" w:type="dxa"/>
            <w:vMerge w:val="continue"/>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205" w:type="dxa"/>
            <w:gridSpan w:val="2"/>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结算造价</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竣工日期</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7" w:type="dxa"/>
            <w:gridSpan w:val="2"/>
            <w:vMerge w:val="restart"/>
            <w:vAlign w:val="center"/>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工期(月)</w:t>
            </w:r>
          </w:p>
        </w:tc>
        <w:tc>
          <w:tcPr>
            <w:tcW w:w="1160"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合同</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7" w:type="dxa"/>
            <w:gridSpan w:val="2"/>
            <w:vMerge w:val="continue"/>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160"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实际</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贵公司所占比例</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项目经理姓名</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项目业主名称</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项目监理名称</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竣工质量评定等级</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工程获奖情况</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项目业主联系地址</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项目业主联系人姓名</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项目业主联系电话</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项目业主传真电话</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项目业主邮政编码</w:t>
            </w:r>
          </w:p>
        </w:tc>
        <w:tc>
          <w:tcPr>
            <w:tcW w:w="213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91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c>
          <w:tcPr>
            <w:tcW w:w="1785" w:type="dxa"/>
          </w:tcPr>
          <w:p>
            <w:pPr>
              <w:keepNext w:val="0"/>
              <w:keepLines w:val="0"/>
              <w:suppressLineNumbers w:val="0"/>
              <w:spacing w:before="0" w:beforeAutospacing="0" w:after="0" w:afterAutospacing="0"/>
              <w:ind w:left="0" w:right="0"/>
              <w:jc w:val="left"/>
              <w:rPr>
                <w:rFonts w:hint="default" w:ascii="宋体" w:hAnsi="宋体"/>
                <w:color w:val="auto"/>
                <w:szCs w:val="21"/>
                <w:highlight w:val="none"/>
              </w:rPr>
            </w:pPr>
          </w:p>
        </w:tc>
      </w:tr>
    </w:tbl>
    <w:p>
      <w:pPr>
        <w:spacing w:line="360" w:lineRule="auto"/>
        <w:jc w:val="left"/>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1、指</w:t>
      </w:r>
      <w:r>
        <w:rPr>
          <w:rFonts w:hint="eastAsia" w:ascii="宋体" w:hAnsi="宋体"/>
          <w:color w:val="auto"/>
          <w:szCs w:val="21"/>
          <w:highlight w:val="none"/>
          <w:lang w:val="en-US" w:eastAsia="zh-CN"/>
        </w:rPr>
        <w:t>2019</w:t>
      </w:r>
      <w:r>
        <w:rPr>
          <w:rFonts w:hint="eastAsia" w:ascii="宋体" w:hAnsi="宋体"/>
          <w:color w:val="auto"/>
          <w:szCs w:val="21"/>
          <w:highlight w:val="none"/>
        </w:rPr>
        <w:t>年1月1日至今完成的质量合格且电压等级为10</w:t>
      </w:r>
      <w:r>
        <w:rPr>
          <w:rFonts w:hint="eastAsia" w:ascii="宋体" w:hAnsi="宋体"/>
          <w:color w:val="auto"/>
          <w:szCs w:val="21"/>
          <w:highlight w:val="none"/>
          <w:lang w:eastAsia="zh-CN"/>
        </w:rPr>
        <w:t>kV</w:t>
      </w:r>
      <w:r>
        <w:rPr>
          <w:rFonts w:hint="eastAsia" w:ascii="宋体" w:hAnsi="宋体"/>
          <w:color w:val="auto"/>
          <w:szCs w:val="21"/>
          <w:highlight w:val="none"/>
        </w:rPr>
        <w:t>(或以上)的单项合同金额</w:t>
      </w:r>
      <w:r>
        <w:rPr>
          <w:rFonts w:hint="eastAsia" w:ascii="宋体" w:hAnsi="宋体"/>
          <w:color w:val="auto"/>
          <w:szCs w:val="21"/>
          <w:highlight w:val="none"/>
          <w:lang w:val="en-US" w:eastAsia="zh-CN"/>
        </w:rPr>
        <w:t>300</w:t>
      </w:r>
      <w:r>
        <w:rPr>
          <w:rFonts w:hint="eastAsia" w:ascii="宋体" w:hAnsi="宋体"/>
          <w:color w:val="auto"/>
          <w:szCs w:val="21"/>
          <w:highlight w:val="none"/>
        </w:rPr>
        <w:t>万元(或以上)电力施工工程业绩。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单独发包的电力工程业绩，需同时提供中标通知书或免招标的相关证明、施工合同、竣工验收报告或竣工验收证明（至少具有建设单位、设计、施工和监理单位盖章）扫描件。由总承包单位依法分包的专业工程业绩，需同时提供经业主和总承包单位确认的分包合同、竣工验收报告或竣工验收证明（至少具有建设单位、设计、施工和监理单位盖章）扫描件。如以上资料不能证明业绩规模的技术指标（指电压等级、金额等）的，须另提供可证明业绩技术指标的其他资料；完成时间以竣工验收时间为准；业绩金额按以下方式认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独发包的电力工程的业绩金额以中标通知书为准，中标通知书上没有金额或免招标的，以施工合同（不含补充合同）为准。如中标通知书未能体现对应的电力工程金额，则以施工合同（不含补充合同）载明的对应的电力工程金额为准，如中标通知书与施工合同均不能单独体现对应的电力工程金额，则以建设单位提供的证明资料中载明的对应专业金额为准。由总承包单位依法分包的专业工程业绩其金额以分包合同（不含补充合同）中约定的合同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投标单位提供的施工合同（分包合同）扫描件证明材料，可提供合同关键页，但应至少包括合同封面、合同指标金额规模页、合同盖章页。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2、如无已竣工验收的同类工程业绩的，在项目栏中填写“无”，并需签名和盖公章提交。</w:t>
      </w:r>
    </w:p>
    <w:p>
      <w:pPr>
        <w:rPr>
          <w:rFonts w:ascii="宋体" w:hAnsi="宋体"/>
          <w:color w:val="auto"/>
          <w:szCs w:val="21"/>
          <w:highlight w:val="none"/>
        </w:rPr>
      </w:pPr>
    </w:p>
    <w:p>
      <w:pPr>
        <w:widowControl/>
        <w:topLinePunct/>
        <w:adjustRightInd w:val="0"/>
        <w:snapToGrid w:val="0"/>
        <w:spacing w:line="360" w:lineRule="auto"/>
        <w:ind w:firstLine="3161" w:firstLineChars="1450"/>
        <w:jc w:val="left"/>
        <w:rPr>
          <w:snapToGrid w:val="0"/>
          <w:color w:val="auto"/>
          <w:spacing w:val="4"/>
          <w:kern w:val="0"/>
          <w:sz w:val="21"/>
          <w:szCs w:val="21"/>
          <w:highlight w:val="none"/>
        </w:rPr>
      </w:pPr>
      <w:r>
        <w:rPr>
          <w:rFonts w:hint="eastAsia"/>
          <w:snapToGrid w:val="0"/>
          <w:color w:val="auto"/>
          <w:spacing w:val="4"/>
          <w:kern w:val="0"/>
          <w:sz w:val="21"/>
          <w:szCs w:val="21"/>
          <w:highlight w:val="none"/>
        </w:rPr>
        <w:t>投标人：　　（盖章）</w:t>
      </w:r>
    </w:p>
    <w:p>
      <w:pPr>
        <w:widowControl/>
        <w:topLinePunct/>
        <w:adjustRightInd w:val="0"/>
        <w:snapToGrid w:val="0"/>
        <w:spacing w:line="360" w:lineRule="auto"/>
        <w:ind w:firstLine="3161" w:firstLineChars="1450"/>
        <w:jc w:val="left"/>
        <w:rPr>
          <w:snapToGrid w:val="0"/>
          <w:color w:val="auto"/>
          <w:spacing w:val="4"/>
          <w:kern w:val="0"/>
          <w:sz w:val="21"/>
          <w:szCs w:val="21"/>
          <w:highlight w:val="none"/>
        </w:rPr>
      </w:pPr>
      <w:r>
        <w:rPr>
          <w:rFonts w:hint="eastAsia"/>
          <w:snapToGrid w:val="0"/>
          <w:color w:val="auto"/>
          <w:spacing w:val="4"/>
          <w:kern w:val="0"/>
          <w:sz w:val="21"/>
          <w:szCs w:val="21"/>
          <w:highlight w:val="none"/>
        </w:rPr>
        <w:t>法定代表人或授权代理人(签名或盖章)：</w:t>
      </w:r>
    </w:p>
    <w:p>
      <w:pPr>
        <w:widowControl/>
        <w:topLinePunct/>
        <w:adjustRightInd w:val="0"/>
        <w:snapToGrid w:val="0"/>
        <w:spacing w:line="360" w:lineRule="auto"/>
        <w:ind w:firstLine="3161" w:firstLineChars="1450"/>
        <w:jc w:val="left"/>
        <w:rPr>
          <w:snapToGrid w:val="0"/>
          <w:color w:val="auto"/>
          <w:spacing w:val="4"/>
          <w:kern w:val="0"/>
          <w:sz w:val="21"/>
          <w:szCs w:val="21"/>
          <w:highlight w:val="none"/>
        </w:rPr>
      </w:pPr>
      <w:r>
        <w:rPr>
          <w:rFonts w:hint="eastAsia"/>
          <w:snapToGrid w:val="0"/>
          <w:color w:val="auto"/>
          <w:spacing w:val="4"/>
          <w:kern w:val="0"/>
          <w:sz w:val="21"/>
          <w:szCs w:val="21"/>
          <w:highlight w:val="none"/>
        </w:rPr>
        <w:t xml:space="preserve">日   期：    年    月    日 </w:t>
      </w:r>
    </w:p>
    <w:p>
      <w:pPr>
        <w:widowControl/>
        <w:jc w:val="left"/>
        <w:rPr>
          <w:color w:val="auto"/>
          <w:highlight w:val="none"/>
        </w:rPr>
      </w:pPr>
    </w:p>
    <w:p>
      <w:pPr>
        <w:rPr>
          <w:color w:val="auto"/>
          <w:highlight w:val="none"/>
        </w:rPr>
      </w:pPr>
    </w:p>
    <w:p>
      <w:pPr>
        <w:spacing w:line="360" w:lineRule="auto"/>
        <w:jc w:val="center"/>
        <w:rPr>
          <w:rFonts w:eastAsia="黑体"/>
          <w:snapToGrid w:val="0"/>
          <w:color w:val="auto"/>
          <w:spacing w:val="4"/>
          <w:kern w:val="0"/>
          <w:sz w:val="36"/>
          <w:szCs w:val="36"/>
          <w:highlight w:val="none"/>
        </w:rPr>
      </w:pPr>
      <w:r>
        <w:rPr>
          <w:rFonts w:ascii="黑体" w:hAnsi="宋体" w:eastAsia="黑体"/>
          <w:snapToGrid w:val="0"/>
          <w:color w:val="auto"/>
          <w:spacing w:val="4"/>
          <w:kern w:val="0"/>
          <w:sz w:val="24"/>
          <w:szCs w:val="24"/>
          <w:highlight w:val="none"/>
        </w:rPr>
        <w:br w:type="page"/>
      </w:r>
      <w:r>
        <w:rPr>
          <w:rFonts w:hint="eastAsia" w:eastAsia="黑体"/>
          <w:snapToGrid w:val="0"/>
          <w:color w:val="auto"/>
          <w:spacing w:val="4"/>
          <w:kern w:val="0"/>
          <w:sz w:val="36"/>
          <w:szCs w:val="36"/>
          <w:highlight w:val="none"/>
        </w:rPr>
        <w:t>二、在建类似工程业绩表</w:t>
      </w:r>
    </w:p>
    <w:tbl>
      <w:tblPr>
        <w:tblStyle w:val="2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235"/>
        <w:gridCol w:w="235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w:t>
            </w:r>
          </w:p>
        </w:tc>
        <w:tc>
          <w:tcPr>
            <w:tcW w:w="2235"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工程名称</w:t>
            </w:r>
          </w:p>
        </w:tc>
        <w:tc>
          <w:tcPr>
            <w:tcW w:w="2235"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vAlign w:val="center"/>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工程概述</w:t>
            </w:r>
          </w:p>
          <w:p>
            <w:pPr>
              <w:keepNext w:val="0"/>
              <w:keepLines w:val="0"/>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ind w:left="0" w:right="0"/>
              <w:jc w:val="left"/>
              <w:rPr>
                <w:rFonts w:hint="default"/>
                <w:color w:val="auto"/>
                <w:szCs w:val="21"/>
                <w:highlight w:val="none"/>
              </w:rPr>
            </w:pPr>
          </w:p>
          <w:p>
            <w:pPr>
              <w:keepNext w:val="0"/>
              <w:keepLines w:val="0"/>
              <w:suppressLineNumbers w:val="0"/>
              <w:spacing w:before="0" w:beforeAutospacing="0" w:after="0" w:afterAutospacing="0"/>
              <w:ind w:left="0" w:right="0"/>
              <w:jc w:val="left"/>
              <w:rPr>
                <w:rFonts w:hint="default"/>
                <w:color w:val="auto"/>
                <w:szCs w:val="21"/>
                <w:highlight w:val="none"/>
              </w:rPr>
            </w:pP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贵公司所占比例</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合同要求的工期</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签约日期</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合同总价（人民币：万元）</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已完工作量</w:t>
            </w:r>
          </w:p>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（人民币：万元）</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项目经理姓名</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业主、监理名称</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项目业主联系地址</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项目业主联系人姓名</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项目业主联系电话</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项目业主传真电话</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08" w:type="dxa"/>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项目业主邮政编码</w:t>
            </w:r>
          </w:p>
        </w:tc>
        <w:tc>
          <w:tcPr>
            <w:tcW w:w="2235"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358"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c>
          <w:tcPr>
            <w:tcW w:w="2157" w:type="dxa"/>
          </w:tcPr>
          <w:p>
            <w:pPr>
              <w:keepNext w:val="0"/>
              <w:keepLines w:val="0"/>
              <w:suppressLineNumbers w:val="0"/>
              <w:spacing w:before="0" w:beforeAutospacing="0" w:after="0" w:afterAutospacing="0"/>
              <w:ind w:left="0" w:right="0"/>
              <w:jc w:val="left"/>
              <w:rPr>
                <w:rFonts w:hint="default"/>
                <w:strike/>
                <w:color w:val="auto"/>
                <w:szCs w:val="20"/>
                <w:highlight w:val="none"/>
              </w:rPr>
            </w:pPr>
          </w:p>
        </w:tc>
      </w:tr>
    </w:tbl>
    <w:p>
      <w:pPr>
        <w:jc w:val="left"/>
        <w:rPr>
          <w:color w:val="auto"/>
          <w:szCs w:val="21"/>
          <w:highlight w:val="none"/>
        </w:rPr>
      </w:pPr>
      <w:r>
        <w:rPr>
          <w:rFonts w:hint="eastAsia"/>
          <w:color w:val="auto"/>
          <w:szCs w:val="21"/>
          <w:highlight w:val="none"/>
        </w:rPr>
        <w:t>注：</w:t>
      </w:r>
    </w:p>
    <w:p>
      <w:pPr>
        <w:jc w:val="left"/>
        <w:rPr>
          <w:color w:val="auto"/>
          <w:szCs w:val="21"/>
          <w:highlight w:val="none"/>
        </w:rPr>
      </w:pPr>
      <w:r>
        <w:rPr>
          <w:rFonts w:hint="eastAsia"/>
          <w:color w:val="auto"/>
          <w:szCs w:val="21"/>
          <w:highlight w:val="none"/>
        </w:rPr>
        <w:t>1、应附相关的证明材料（指施工合同相关页、中标通知书等）。</w:t>
      </w:r>
    </w:p>
    <w:p>
      <w:pPr>
        <w:jc w:val="left"/>
        <w:rPr>
          <w:color w:val="auto"/>
          <w:szCs w:val="21"/>
          <w:highlight w:val="none"/>
        </w:rPr>
      </w:pPr>
      <w:r>
        <w:rPr>
          <w:rFonts w:hint="eastAsia"/>
          <w:color w:val="auto"/>
          <w:szCs w:val="21"/>
          <w:highlight w:val="none"/>
        </w:rPr>
        <w:t>2、如无在建同类工程业绩的，在项目栏中填写“无”。</w:t>
      </w:r>
    </w:p>
    <w:p>
      <w:pPr>
        <w:widowControl/>
        <w:topLinePunct/>
        <w:adjustRightInd w:val="0"/>
        <w:snapToGrid w:val="0"/>
        <w:spacing w:line="360" w:lineRule="auto"/>
        <w:jc w:val="left"/>
        <w:rPr>
          <w:color w:val="auto"/>
          <w:szCs w:val="21"/>
          <w:highlight w:val="none"/>
        </w:rPr>
      </w:pPr>
      <w:r>
        <w:rPr>
          <w:rFonts w:hint="eastAsia"/>
          <w:color w:val="auto"/>
          <w:szCs w:val="21"/>
          <w:highlight w:val="none"/>
        </w:rPr>
        <w:t>3、在建类似工程业绩是否提供不影响评审。</w:t>
      </w:r>
    </w:p>
    <w:p>
      <w:pPr>
        <w:widowControl/>
        <w:topLinePunct/>
        <w:adjustRightInd w:val="0"/>
        <w:snapToGrid w:val="0"/>
        <w:spacing w:line="360" w:lineRule="auto"/>
        <w:ind w:firstLine="420" w:firstLineChars="200"/>
        <w:jc w:val="left"/>
        <w:rPr>
          <w:color w:val="auto"/>
          <w:szCs w:val="21"/>
          <w:highlight w:val="none"/>
        </w:rPr>
      </w:pPr>
    </w:p>
    <w:p>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投标人：　　（盖章）</w:t>
      </w:r>
    </w:p>
    <w:p>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法定代表人或授权代理人(签名或盖章)：</w:t>
      </w:r>
    </w:p>
    <w:p>
      <w:pPr>
        <w:widowControl/>
        <w:topLinePunct/>
        <w:adjustRightInd w:val="0"/>
        <w:snapToGrid w:val="0"/>
        <w:spacing w:line="360" w:lineRule="auto"/>
        <w:ind w:firstLine="3045" w:firstLineChars="1450"/>
        <w:jc w:val="left"/>
        <w:rPr>
          <w:color w:val="auto"/>
          <w:szCs w:val="21"/>
          <w:highlight w:val="none"/>
        </w:rPr>
      </w:pPr>
      <w:r>
        <w:rPr>
          <w:rFonts w:hint="eastAsia"/>
          <w:color w:val="auto"/>
          <w:szCs w:val="21"/>
          <w:highlight w:val="none"/>
        </w:rPr>
        <w:t xml:space="preserve">日   期：    年    月    日 </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p>
    <w:p>
      <w:pPr>
        <w:widowControl/>
        <w:topLinePunct/>
        <w:adjustRightInd w:val="0"/>
        <w:snapToGrid w:val="0"/>
        <w:spacing w:after="200"/>
        <w:jc w:val="left"/>
        <w:outlineLvl w:val="2"/>
        <w:rPr>
          <w:rFonts w:ascii="宋体"/>
          <w:color w:val="auto"/>
          <w:sz w:val="24"/>
          <w:szCs w:val="24"/>
          <w:highlight w:val="none"/>
        </w:rPr>
      </w:pPr>
      <w:r>
        <w:rPr>
          <w:rFonts w:ascii="宋体" w:hAnsi="宋体"/>
          <w:color w:val="auto"/>
          <w:spacing w:val="4"/>
          <w:kern w:val="0"/>
          <w:sz w:val="24"/>
          <w:szCs w:val="24"/>
          <w:highlight w:val="none"/>
        </w:rPr>
        <w:br w:type="page"/>
      </w:r>
      <w:bookmarkStart w:id="237" w:name="_Toc62056043"/>
      <w:bookmarkStart w:id="238" w:name="_Toc504722516"/>
      <w:bookmarkStart w:id="239" w:name="_Toc29476921"/>
      <w:r>
        <w:rPr>
          <w:rFonts w:hint="eastAsia" w:ascii="宋体"/>
          <w:color w:val="auto"/>
          <w:sz w:val="24"/>
          <w:szCs w:val="24"/>
          <w:highlight w:val="none"/>
        </w:rPr>
        <w:t>格式十</w:t>
      </w:r>
      <w:r>
        <w:rPr>
          <w:rFonts w:hint="eastAsia" w:ascii="宋体"/>
          <w:color w:val="auto"/>
          <w:sz w:val="24"/>
          <w:szCs w:val="24"/>
          <w:highlight w:val="none"/>
          <w:lang w:val="en-US" w:eastAsia="zh-CN"/>
        </w:rPr>
        <w:t>一</w:t>
      </w:r>
      <w:r>
        <w:rPr>
          <w:rFonts w:hint="eastAsia" w:ascii="宋体"/>
          <w:color w:val="auto"/>
          <w:sz w:val="24"/>
          <w:szCs w:val="24"/>
          <w:highlight w:val="none"/>
        </w:rPr>
        <w:t>：承诺书</w:t>
      </w:r>
      <w:bookmarkEnd w:id="237"/>
      <w:bookmarkEnd w:id="238"/>
      <w:bookmarkEnd w:id="239"/>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承  诺  书</w:t>
      </w:r>
    </w:p>
    <w:p>
      <w:pPr>
        <w:widowControl/>
        <w:topLinePunct/>
        <w:adjustRightInd w:val="0"/>
        <w:snapToGrid w:val="0"/>
        <w:spacing w:line="360" w:lineRule="auto"/>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致：广州市重点公共建设项目管理中心：</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pPr>
        <w:widowControl/>
        <w:topLinePunct/>
        <w:adjustRightInd w:val="0"/>
        <w:snapToGrid w:val="0"/>
        <w:spacing w:line="360" w:lineRule="auto"/>
        <w:ind w:firstLine="496" w:firstLineChars="200"/>
        <w:jc w:val="left"/>
        <w:rPr>
          <w:rFonts w:ascii="宋体" w:hAnsi="宋体"/>
          <w:snapToGrid w:val="0"/>
          <w:color w:val="auto"/>
          <w:spacing w:val="2"/>
          <w:kern w:val="0"/>
          <w:position w:val="2"/>
          <w:sz w:val="24"/>
          <w:szCs w:val="24"/>
          <w:highlight w:val="none"/>
        </w:rPr>
      </w:pPr>
      <w:r>
        <w:rPr>
          <w:rFonts w:hint="eastAsia" w:ascii="宋体" w:hAnsi="宋体"/>
          <w:snapToGrid w:val="0"/>
          <w:color w:val="auto"/>
          <w:spacing w:val="4"/>
          <w:kern w:val="0"/>
          <w:sz w:val="24"/>
          <w:szCs w:val="24"/>
          <w:highlight w:val="none"/>
        </w:rPr>
        <w:t>五、</w:t>
      </w:r>
      <w:r>
        <w:rPr>
          <w:rFonts w:hint="eastAsia" w:ascii="宋体" w:hAnsi="宋体"/>
          <w:snapToGrid w:val="0"/>
          <w:color w:val="auto"/>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pPr>
        <w:widowControl/>
        <w:topLinePunct/>
        <w:adjustRightInd w:val="0"/>
        <w:snapToGrid w:val="0"/>
        <w:spacing w:line="360" w:lineRule="auto"/>
        <w:ind w:firstLine="488"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2"/>
          <w:kern w:val="0"/>
          <w:position w:val="2"/>
          <w:sz w:val="24"/>
          <w:szCs w:val="24"/>
          <w:highlight w:val="none"/>
        </w:rPr>
        <w:t>六、</w:t>
      </w:r>
      <w:r>
        <w:rPr>
          <w:rFonts w:hint="eastAsia" w:ascii="宋体" w:hAnsi="宋体"/>
          <w:snapToGrid w:val="0"/>
          <w:color w:val="auto"/>
          <w:spacing w:val="4"/>
          <w:kern w:val="0"/>
          <w:sz w:val="24"/>
          <w:szCs w:val="24"/>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七、我司已充分阅读并理解招标文件第三章合同格式的所有内容，且对合同条款相关疑问已在投标阶段时提出。如果我司的投标被接受，将保证按招标文件规定的时间及合同条款与贵办签订合同，且在办理合同签订手续时积极主动配合招标人，不提出任何违反招标文件合同条款精神的任何书面要求和疑问。</w:t>
      </w:r>
    </w:p>
    <w:p>
      <w:pPr>
        <w:widowControl/>
        <w:topLinePunct/>
        <w:adjustRightInd w:val="0"/>
        <w:snapToGrid w:val="0"/>
        <w:spacing w:line="360" w:lineRule="auto"/>
        <w:ind w:firstLine="496" w:firstLineChars="200"/>
        <w:jc w:val="left"/>
        <w:rPr>
          <w:rFonts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八、我司保证本工程文明施工和职业健康安全管理方案完全满足国家、省、市政府、主管部门颁布的安全生产规程与规定，完全满足《建筑施工安全检查标准》（</w:t>
      </w:r>
      <w:r>
        <w:rPr>
          <w:rFonts w:ascii="宋体" w:hAnsi="宋体"/>
          <w:snapToGrid w:val="0"/>
          <w:color w:val="auto"/>
          <w:spacing w:val="4"/>
          <w:kern w:val="0"/>
          <w:sz w:val="24"/>
          <w:szCs w:val="24"/>
          <w:highlight w:val="none"/>
        </w:rPr>
        <w:t>JGJ59-2011</w:t>
      </w:r>
      <w:r>
        <w:rPr>
          <w:rFonts w:hint="eastAsia" w:ascii="宋体" w:hAnsi="宋体"/>
          <w:snapToGrid w:val="0"/>
          <w:color w:val="auto"/>
          <w:spacing w:val="4"/>
          <w:kern w:val="0"/>
          <w:sz w:val="24"/>
          <w:szCs w:val="24"/>
          <w:highlight w:val="none"/>
        </w:rPr>
        <w:t>）、《广州市建设工程现场文明施工管理办法》（穗建质</w:t>
      </w:r>
      <w:r>
        <w:rPr>
          <w:rFonts w:ascii="宋体" w:hAnsi="宋体"/>
          <w:snapToGrid w:val="0"/>
          <w:color w:val="auto"/>
          <w:spacing w:val="4"/>
          <w:kern w:val="0"/>
          <w:sz w:val="24"/>
          <w:szCs w:val="24"/>
          <w:highlight w:val="none"/>
        </w:rPr>
        <w:t>[2008]937</w:t>
      </w:r>
      <w:r>
        <w:rPr>
          <w:rFonts w:hint="eastAsia" w:ascii="宋体" w:hAnsi="宋体"/>
          <w:snapToGrid w:val="0"/>
          <w:color w:val="auto"/>
          <w:spacing w:val="4"/>
          <w:kern w:val="0"/>
          <w:sz w:val="24"/>
          <w:szCs w:val="24"/>
          <w:highlight w:val="none"/>
        </w:rPr>
        <w:t>号）、《广州市城乡建设委员会关于印发广州市加强建筑工地环保管理工作方案的通知》</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穗建质〔</w:t>
      </w:r>
      <w:r>
        <w:rPr>
          <w:rFonts w:ascii="宋体" w:hAnsi="宋体"/>
          <w:snapToGrid w:val="0"/>
          <w:color w:val="auto"/>
          <w:spacing w:val="4"/>
          <w:kern w:val="0"/>
          <w:sz w:val="24"/>
          <w:szCs w:val="24"/>
          <w:highlight w:val="none"/>
        </w:rPr>
        <w:t>2014</w:t>
      </w:r>
      <w:r>
        <w:rPr>
          <w:rFonts w:hint="eastAsia" w:ascii="宋体" w:hAnsi="宋体"/>
          <w:snapToGrid w:val="0"/>
          <w:color w:val="auto"/>
          <w:spacing w:val="4"/>
          <w:kern w:val="0"/>
          <w:sz w:val="24"/>
          <w:szCs w:val="24"/>
          <w:highlight w:val="none"/>
        </w:rPr>
        <w:t>〕</w:t>
      </w:r>
      <w:r>
        <w:rPr>
          <w:rFonts w:ascii="宋体" w:hAnsi="宋体"/>
          <w:snapToGrid w:val="0"/>
          <w:color w:val="auto"/>
          <w:spacing w:val="4"/>
          <w:kern w:val="0"/>
          <w:sz w:val="24"/>
          <w:szCs w:val="24"/>
          <w:highlight w:val="none"/>
        </w:rPr>
        <w:t>754</w:t>
      </w:r>
      <w:r>
        <w:rPr>
          <w:rFonts w:hint="eastAsia" w:ascii="宋体" w:hAnsi="宋体"/>
          <w:snapToGrid w:val="0"/>
          <w:color w:val="auto"/>
          <w:spacing w:val="4"/>
          <w:kern w:val="0"/>
          <w:sz w:val="24"/>
          <w:szCs w:val="24"/>
          <w:highlight w:val="none"/>
        </w:rPr>
        <w:t>号</w:t>
      </w:r>
      <w:r>
        <w:rPr>
          <w:rFonts w:ascii="宋体" w:hAnsi="宋体"/>
          <w:snapToGrid w:val="0"/>
          <w:color w:val="auto"/>
          <w:spacing w:val="4"/>
          <w:kern w:val="0"/>
          <w:sz w:val="24"/>
          <w:szCs w:val="24"/>
          <w:highlight w:val="none"/>
        </w:rPr>
        <w:t>)</w:t>
      </w:r>
      <w:r>
        <w:rPr>
          <w:rFonts w:hint="eastAsia" w:ascii="宋体" w:hAnsi="宋体"/>
          <w:snapToGrid w:val="0"/>
          <w:color w:val="auto"/>
          <w:spacing w:val="4"/>
          <w:kern w:val="0"/>
          <w:sz w:val="24"/>
          <w:szCs w:val="24"/>
          <w:highlight w:val="none"/>
        </w:rPr>
        <w:t>、</w:t>
      </w:r>
      <w:r>
        <w:rPr>
          <w:rFonts w:hint="eastAsia" w:ascii="宋体" w:hAnsi="宋体"/>
          <w:bCs/>
          <w:snapToGrid w:val="0"/>
          <w:color w:val="auto"/>
          <w:spacing w:val="4"/>
          <w:kern w:val="0"/>
          <w:sz w:val="24"/>
          <w:szCs w:val="24"/>
          <w:highlight w:val="none"/>
        </w:rPr>
        <w:t>《广州市提升建设工程安全文明施工管理水平的工作指引》（穗建质[2017]815号）</w:t>
      </w:r>
      <w:r>
        <w:rPr>
          <w:rFonts w:hint="eastAsia" w:ascii="宋体" w:hAnsi="宋体"/>
          <w:snapToGrid w:val="0"/>
          <w:color w:val="auto"/>
          <w:spacing w:val="4"/>
          <w:kern w:val="0"/>
          <w:sz w:val="24"/>
          <w:szCs w:val="24"/>
          <w:highlight w:val="none"/>
        </w:rPr>
        <w:t>和《广州市建筑工程安全生产措施费管理办法》（穗建筑</w:t>
      </w:r>
      <w:r>
        <w:rPr>
          <w:rFonts w:ascii="宋体" w:hAnsi="宋体"/>
          <w:snapToGrid w:val="0"/>
          <w:color w:val="auto"/>
          <w:spacing w:val="4"/>
          <w:kern w:val="0"/>
          <w:sz w:val="24"/>
          <w:szCs w:val="24"/>
          <w:highlight w:val="none"/>
        </w:rPr>
        <w:t>[2003]106</w:t>
      </w:r>
      <w:r>
        <w:rPr>
          <w:rFonts w:hint="eastAsia" w:ascii="宋体" w:hAnsi="宋体"/>
          <w:snapToGrid w:val="0"/>
          <w:color w:val="auto"/>
          <w:spacing w:val="4"/>
          <w:kern w:val="0"/>
          <w:sz w:val="24"/>
          <w:szCs w:val="24"/>
          <w:highlight w:val="none"/>
        </w:rPr>
        <w:t>号）各项规定和招标文件要求。否则，愿意无条件接受招标人的任何处罚，直至被清退出场，并为此承担相应的法律责任。</w:t>
      </w:r>
    </w:p>
    <w:p>
      <w:pPr>
        <w:widowControl/>
        <w:topLinePunct/>
        <w:adjustRightInd w:val="0"/>
        <w:snapToGrid w:val="0"/>
        <w:spacing w:line="360" w:lineRule="auto"/>
        <w:ind w:firstLine="472" w:firstLineChars="200"/>
        <w:jc w:val="left"/>
        <w:rPr>
          <w:rFonts w:ascii="宋体" w:hAnsi="宋体"/>
          <w:bCs/>
          <w:snapToGrid w:val="0"/>
          <w:color w:val="auto"/>
          <w:spacing w:val="-2"/>
          <w:kern w:val="0"/>
          <w:sz w:val="24"/>
          <w:szCs w:val="24"/>
          <w:highlight w:val="none"/>
        </w:rPr>
      </w:pPr>
      <w:r>
        <w:rPr>
          <w:rFonts w:hint="eastAsia" w:ascii="宋体" w:hAnsi="宋体"/>
          <w:bCs/>
          <w:snapToGrid w:val="0"/>
          <w:color w:val="auto"/>
          <w:spacing w:val="-2"/>
          <w:kern w:val="0"/>
          <w:sz w:val="24"/>
          <w:szCs w:val="24"/>
          <w:highlight w:val="none"/>
        </w:rPr>
        <w:t>九、</w:t>
      </w:r>
      <w:r>
        <w:rPr>
          <w:rFonts w:hint="eastAsia" w:ascii="宋体" w:hAnsi="宋体"/>
          <w:snapToGrid w:val="0"/>
          <w:color w:val="auto"/>
          <w:spacing w:val="-2"/>
          <w:kern w:val="0"/>
          <w:sz w:val="24"/>
          <w:szCs w:val="24"/>
          <w:highlight w:val="none"/>
        </w:rPr>
        <w:t>我司保证本工程竣工验收、竣工资料和竣工备案管理完全符合国家、省、市政府、主管部门颁布的竣工验收和档案管理各项规定及招标文件中提出的各项管理要求。</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十、我司保证在本项目投标中不存在围标、串标等违法、违规行为，如经招标监管部门查实存在上述行为，我司同意</w:t>
      </w:r>
      <w:r>
        <w:rPr>
          <w:rFonts w:ascii="宋体" w:hAnsi="宋体"/>
          <w:b/>
          <w:bCs/>
          <w:snapToGrid w:val="0"/>
          <w:color w:val="auto"/>
          <w:spacing w:val="4"/>
          <w:kern w:val="0"/>
          <w:sz w:val="24"/>
          <w:szCs w:val="24"/>
          <w:highlight w:val="none"/>
          <w:u w:val="single"/>
        </w:rPr>
        <w:t>对由此造成的损失作出赔偿</w:t>
      </w:r>
      <w:r>
        <w:rPr>
          <w:rFonts w:hint="eastAsia" w:ascii="宋体" w:hAnsi="宋体"/>
          <w:snapToGrid w:val="0"/>
          <w:color w:val="auto"/>
          <w:spacing w:val="4"/>
          <w:kern w:val="0"/>
          <w:sz w:val="24"/>
          <w:szCs w:val="24"/>
          <w:highlight w:val="none"/>
        </w:rPr>
        <w:t>，并对由此造成的后果承担相应的法律责任。</w:t>
      </w:r>
    </w:p>
    <w:p>
      <w:pPr>
        <w:widowControl/>
        <w:topLinePunct/>
        <w:adjustRightInd w:val="0"/>
        <w:snapToGrid w:val="0"/>
        <w:spacing w:line="360" w:lineRule="auto"/>
        <w:ind w:firstLine="496" w:firstLineChars="200"/>
        <w:jc w:val="left"/>
        <w:rPr>
          <w:rFonts w:ascii="宋体" w:hAnsi="宋体"/>
          <w:bCs/>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一、如果我司中标，我司保证实际投入本项目的人员、材料、机械、设备与我司递交的投标文件一致，且不低于本项目招标文件的要求，并保证按招标文件第五章中“项目经理部组成人员配备要求表”中的人员（包括但不限于项目负责人（项目经理））在进场前准时参加招标人组织的面试考核。若不满足招标文件要求或考核不通过，我司承诺无条件按招标人的要求进行更换，直至招标人满意为止。</w:t>
      </w:r>
      <w:r>
        <w:rPr>
          <w:rFonts w:hint="eastAsia" w:ascii="宋体" w:hAnsi="宋体"/>
          <w:bCs/>
          <w:snapToGrid w:val="0"/>
          <w:color w:val="auto"/>
          <w:spacing w:val="4"/>
          <w:kern w:val="0"/>
          <w:sz w:val="24"/>
          <w:szCs w:val="24"/>
          <w:highlight w:val="none"/>
        </w:rPr>
        <w:t>经招标人和总监理工程师考核，我司未按投标文件投入主要人员或经过更换后的人员不能满足本项目要求的，</w:t>
      </w:r>
      <w:r>
        <w:rPr>
          <w:rFonts w:hint="eastAsia" w:ascii="宋体" w:hAnsi="宋体"/>
          <w:snapToGrid w:val="0"/>
          <w:color w:val="auto"/>
          <w:spacing w:val="4"/>
          <w:kern w:val="0"/>
          <w:sz w:val="24"/>
          <w:szCs w:val="24"/>
          <w:highlight w:val="none"/>
        </w:rPr>
        <w:t>我司承诺</w:t>
      </w:r>
      <w:r>
        <w:rPr>
          <w:rFonts w:hint="eastAsia" w:ascii="宋体" w:hAnsi="宋体"/>
          <w:bCs/>
          <w:snapToGrid w:val="0"/>
          <w:color w:val="auto"/>
          <w:spacing w:val="4"/>
          <w:kern w:val="0"/>
          <w:sz w:val="24"/>
          <w:szCs w:val="24"/>
          <w:highlight w:val="none"/>
        </w:rPr>
        <w:t>除无条件按招标人的要求更换外，还应按合同约定的金额向招标人支付违约金。</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十三、如果我司中标，我司承诺无条件配合施工总承包单位完成竣工验收工作，如不配合，我司愿意无条件接受发包人的处罚，并承担法律相关责任。</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u w:val="single"/>
        </w:rPr>
      </w:pPr>
      <w:r>
        <w:rPr>
          <w:rFonts w:hint="eastAsia" w:ascii="宋体" w:hAnsi="宋体"/>
          <w:snapToGrid w:val="0"/>
          <w:color w:val="auto"/>
          <w:spacing w:val="4"/>
          <w:kern w:val="0"/>
          <w:sz w:val="24"/>
          <w:szCs w:val="24"/>
          <w:highlight w:val="none"/>
          <w:u w:val="single"/>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pPr>
        <w:widowControl/>
        <w:topLinePunct/>
        <w:adjustRightInd w:val="0"/>
        <w:snapToGrid w:val="0"/>
        <w:spacing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十五、我司已充分阅读本项目招标文件并充分了解本项目对质量保证及售后服务的严格要求。如果我司的投标被接受，我司保证按以下服务计划和服务内容进行本项目的质量保证期内服务：</w:t>
      </w:r>
    </w:p>
    <w:p>
      <w:pPr>
        <w:autoSpaceDE w:val="0"/>
        <w:autoSpaceDN w:val="0"/>
        <w:adjustRightInd w:val="0"/>
        <w:spacing w:line="360" w:lineRule="auto"/>
        <w:ind w:left="376" w:leftChars="179" w:firstLine="187" w:firstLineChars="78"/>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1．我司承诺本项目</w:t>
      </w:r>
      <w:r>
        <w:rPr>
          <w:rFonts w:hint="eastAsia" w:ascii="宋体" w:hAnsi="宋体"/>
          <w:color w:val="auto"/>
          <w:sz w:val="24"/>
          <w:szCs w:val="24"/>
          <w:highlight w:val="none"/>
        </w:rPr>
        <w:t>质量保证期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（不少于2年）</w:t>
      </w:r>
      <w:r>
        <w:rPr>
          <w:rFonts w:hint="eastAsia" w:ascii="宋体" w:hAnsi="宋体" w:cs="宋体"/>
          <w:color w:val="auto"/>
          <w:sz w:val="24"/>
          <w:szCs w:val="24"/>
          <w:highlight w:val="none"/>
          <w:lang w:val="zh-CN"/>
        </w:rPr>
        <w:t>，保修期自竣工验收合格之日起计。</w:t>
      </w:r>
    </w:p>
    <w:p>
      <w:pPr>
        <w:autoSpaceDE w:val="0"/>
        <w:autoSpaceDN w:val="0"/>
        <w:adjustRightInd w:val="0"/>
        <w:spacing w:line="360" w:lineRule="auto"/>
        <w:ind w:left="376" w:leftChars="179" w:firstLine="187" w:firstLineChars="78"/>
        <w:rPr>
          <w:rFonts w:ascii="宋体" w:hAnsi="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竣工验收合格后三个月内，针对项目特点及实际情况编制使用手册、培训手册以及培训计划。</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3.质保期内免费提供设备的维修及保养服务，定期派工程师到现场巡查。</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4.质保期内设备本身质量出现问题或由于设备本身质量原因造成的任何损伤或损坏，我司承诺及时给予免费维修或免费更换，由此引起的施工费、人工费、材料费等其他一切费用由我司负责。新更换的零部件的质保期则从更换之日起计。</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5.我司承诺,在接到发包人通知的1小时内予以答复；在发包人要求时，我司的技术人员须在收到业主通知后4小时之内到现场进行修理，相关的维修必须连续进行，直至故障完全修复为止。若在24小时内不能排除故障，我司立即采取切实有效的补救措施（包括免费提供应急设备），全力防止损失的扩大。</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6.从工程竣工验收合格正式运行之日起的质量保证期（含潜在缺陷质量保证期）内，由于设备材料因素造成的损坏，均由我司免费维修、更换，由于人为（非我司人员）和自然灾害造成的损坏，收取成本费用。</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7.在质量保证期结束前，我司承诺与发包人代表对合同项下设备进行全面的检查，对任何缺陷由我司负责修理。在修理之后，将缺陷原因、修理的内容、完成修理及恢复正常的时间和日期等情况报告给发包人。</w:t>
      </w:r>
    </w:p>
    <w:p>
      <w:pPr>
        <w:spacing w:line="360" w:lineRule="auto"/>
        <w:ind w:right="-53" w:firstLine="616" w:firstLineChars="257"/>
        <w:rPr>
          <w:rFonts w:ascii="宋体" w:hAnsi="宋体"/>
          <w:color w:val="auto"/>
          <w:sz w:val="24"/>
          <w:szCs w:val="24"/>
          <w:highlight w:val="none"/>
        </w:rPr>
      </w:pPr>
      <w:r>
        <w:rPr>
          <w:rFonts w:hint="eastAsia" w:ascii="宋体" w:hAnsi="宋体"/>
          <w:color w:val="auto"/>
          <w:sz w:val="24"/>
          <w:szCs w:val="24"/>
          <w:highlight w:val="none"/>
        </w:rPr>
        <w:t>8.在质量保证期内,我司承诺在有足够的备品备件供应，并随时优惠提供易损件，优惠提供产品更新、改造服务。</w:t>
      </w:r>
    </w:p>
    <w:p>
      <w:pPr>
        <w:widowControl/>
        <w:topLinePunct/>
        <w:adjustRightInd w:val="0"/>
        <w:snapToGrid w:val="0"/>
        <w:spacing w:line="360" w:lineRule="auto"/>
        <w:ind w:firstLine="597" w:firstLineChars="241"/>
        <w:jc w:val="left"/>
        <w:rPr>
          <w:rFonts w:ascii="宋体" w:hAnsi="宋体"/>
          <w:snapToGrid w:val="0"/>
          <w:color w:val="auto"/>
          <w:spacing w:val="4"/>
          <w:kern w:val="0"/>
          <w:szCs w:val="21"/>
          <w:highlight w:val="none"/>
        </w:rPr>
      </w:pPr>
      <w:r>
        <w:rPr>
          <w:rFonts w:hint="eastAsia" w:ascii="宋体" w:hAnsi="宋体"/>
          <w:snapToGrid w:val="0"/>
          <w:color w:val="auto"/>
          <w:spacing w:val="4"/>
          <w:kern w:val="0"/>
          <w:sz w:val="24"/>
          <w:szCs w:val="24"/>
          <w:highlight w:val="none"/>
        </w:rPr>
        <w:t>9.如我司未按承诺完成保修责任，发包人可另行聘请其他专业单位进行维修，其费用从质量保证金中扣取（不足部分由我司另行支付）。</w:t>
      </w:r>
    </w:p>
    <w:p>
      <w:pPr>
        <w:widowControl/>
        <w:topLinePunct/>
        <w:adjustRightInd w:val="0"/>
        <w:snapToGrid w:val="0"/>
        <w:spacing w:line="360" w:lineRule="auto"/>
        <w:ind w:firstLine="496" w:firstLineChars="200"/>
        <w:jc w:val="left"/>
        <w:rPr>
          <w:rFonts w:ascii="宋体" w:hAnsi="宋体" w:cs="EuroRoman"/>
          <w:snapToGrid w:val="0"/>
          <w:color w:val="auto"/>
          <w:spacing w:val="-4"/>
          <w:kern w:val="0"/>
          <w:sz w:val="24"/>
          <w:szCs w:val="21"/>
          <w:highlight w:val="none"/>
          <w:u w:val="single"/>
        </w:rPr>
      </w:pPr>
      <w:r>
        <w:rPr>
          <w:rFonts w:hint="eastAsia" w:ascii="宋体" w:hAnsi="宋体"/>
          <w:snapToGrid w:val="0"/>
          <w:color w:val="auto"/>
          <w:spacing w:val="4"/>
          <w:kern w:val="0"/>
          <w:sz w:val="24"/>
          <w:szCs w:val="24"/>
          <w:highlight w:val="none"/>
          <w:u w:val="single"/>
        </w:rPr>
        <w:t>十六、</w:t>
      </w:r>
      <w:r>
        <w:rPr>
          <w:rFonts w:hint="eastAsia" w:ascii="宋体" w:hAnsi="宋体" w:cs="EuroRoman"/>
          <w:snapToGrid w:val="0"/>
          <w:color w:val="auto"/>
          <w:spacing w:val="-4"/>
          <w:kern w:val="0"/>
          <w:sz w:val="24"/>
          <w:szCs w:val="21"/>
          <w:highlight w:val="none"/>
          <w:u w:val="single"/>
        </w:rPr>
        <w:t>如我司中标，我司承诺按贵中心材料设备看样定板的规定执行，选用的材料设备的品牌、档次、技术参数需满足或优于招标文件要求，且不以任何理由调整中标的材料、设备价格。</w:t>
      </w:r>
    </w:p>
    <w:p>
      <w:pPr>
        <w:widowControl/>
        <w:topLinePunct/>
        <w:adjustRightInd w:val="0"/>
        <w:snapToGrid w:val="0"/>
        <w:spacing w:line="360" w:lineRule="auto"/>
        <w:ind w:firstLine="464" w:firstLineChars="200"/>
        <w:jc w:val="left"/>
        <w:rPr>
          <w:rFonts w:ascii="宋体" w:hAnsi="宋体" w:cs="EuroRoman"/>
          <w:snapToGrid w:val="0"/>
          <w:color w:val="auto"/>
          <w:spacing w:val="-4"/>
          <w:kern w:val="0"/>
          <w:sz w:val="24"/>
          <w:szCs w:val="21"/>
          <w:highlight w:val="none"/>
          <w:u w:val="single"/>
        </w:rPr>
      </w:pPr>
      <w:r>
        <w:rPr>
          <w:rFonts w:hint="eastAsia" w:ascii="宋体" w:hAnsi="宋体" w:cs="EuroRoman"/>
          <w:snapToGrid w:val="0"/>
          <w:color w:val="auto"/>
          <w:spacing w:val="-4"/>
          <w:kern w:val="0"/>
          <w:sz w:val="24"/>
          <w:szCs w:val="21"/>
          <w:highlight w:val="none"/>
          <w:u w:val="single"/>
        </w:rPr>
        <w:t>十七、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pPr>
        <w:widowControl/>
        <w:topLinePunct/>
        <w:adjustRightInd w:val="0"/>
        <w:snapToGrid w:val="0"/>
        <w:spacing w:line="360" w:lineRule="auto"/>
        <w:ind w:firstLine="3472" w:firstLineChars="14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pPr>
        <w:widowControl/>
        <w:topLinePunct/>
        <w:adjustRightInd w:val="0"/>
        <w:snapToGrid w:val="0"/>
        <w:spacing w:line="360" w:lineRule="auto"/>
        <w:ind w:firstLine="3472" w:firstLineChars="14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pPr>
        <w:widowControl/>
        <w:topLinePunct/>
        <w:adjustRightInd w:val="0"/>
        <w:snapToGrid w:val="0"/>
        <w:spacing w:line="360" w:lineRule="auto"/>
        <w:ind w:firstLine="3472" w:firstLineChars="1400"/>
        <w:jc w:val="left"/>
        <w:rPr>
          <w:rFonts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pPr>
        <w:widowControl/>
        <w:topLinePunct/>
        <w:adjustRightInd w:val="0"/>
        <w:snapToGrid w:val="0"/>
        <w:spacing w:after="200"/>
        <w:jc w:val="left"/>
        <w:outlineLvl w:val="2"/>
        <w:rPr>
          <w:rFonts w:ascii="宋体"/>
          <w:color w:val="auto"/>
          <w:sz w:val="24"/>
          <w:szCs w:val="24"/>
          <w:highlight w:val="none"/>
        </w:rPr>
      </w:pPr>
      <w:r>
        <w:rPr>
          <w:rFonts w:ascii="宋体" w:hAnsi="宋体"/>
          <w:snapToGrid w:val="0"/>
          <w:color w:val="auto"/>
          <w:spacing w:val="4"/>
          <w:sz w:val="24"/>
          <w:szCs w:val="24"/>
          <w:highlight w:val="none"/>
        </w:rPr>
        <w:br w:type="page"/>
      </w:r>
      <w:bookmarkEnd w:id="224"/>
      <w:bookmarkEnd w:id="225"/>
      <w:bookmarkEnd w:id="226"/>
      <w:bookmarkEnd w:id="227"/>
      <w:bookmarkEnd w:id="228"/>
      <w:bookmarkEnd w:id="229"/>
      <w:bookmarkEnd w:id="230"/>
      <w:bookmarkEnd w:id="231"/>
      <w:bookmarkEnd w:id="232"/>
      <w:bookmarkEnd w:id="233"/>
      <w:bookmarkEnd w:id="234"/>
      <w:bookmarkEnd w:id="235"/>
      <w:bookmarkEnd w:id="236"/>
      <w:bookmarkStart w:id="240" w:name="_Toc62056044"/>
      <w:r>
        <w:rPr>
          <w:rFonts w:hint="eastAsia" w:ascii="宋体" w:hAnsi="宋体"/>
          <w:color w:val="auto"/>
          <w:spacing w:val="4"/>
          <w:kern w:val="0"/>
          <w:sz w:val="24"/>
          <w:szCs w:val="24"/>
          <w:highlight w:val="none"/>
        </w:rPr>
        <w:t>格式十</w:t>
      </w:r>
      <w:r>
        <w:rPr>
          <w:rFonts w:hint="eastAsia" w:ascii="宋体" w:hAnsi="宋体"/>
          <w:color w:val="auto"/>
          <w:spacing w:val="4"/>
          <w:kern w:val="0"/>
          <w:sz w:val="24"/>
          <w:szCs w:val="24"/>
          <w:highlight w:val="none"/>
          <w:lang w:val="en-US" w:eastAsia="zh-CN"/>
        </w:rPr>
        <w:t>二</w:t>
      </w:r>
      <w:r>
        <w:rPr>
          <w:rFonts w:hint="eastAsia" w:ascii="宋体" w:hAnsi="宋体"/>
          <w:color w:val="auto"/>
          <w:spacing w:val="4"/>
          <w:kern w:val="0"/>
          <w:sz w:val="24"/>
          <w:szCs w:val="24"/>
          <w:highlight w:val="none"/>
        </w:rPr>
        <w:t>：产品质保和维护维修承诺书</w:t>
      </w:r>
      <w:bookmarkEnd w:id="240"/>
    </w:p>
    <w:p>
      <w:pPr>
        <w:widowControl/>
        <w:topLinePunct/>
        <w:adjustRightInd w:val="0"/>
        <w:snapToGrid w:val="0"/>
        <w:spacing w:before="158" w:beforeLines="50"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产品质保和维护维修承诺书</w:t>
      </w:r>
    </w:p>
    <w:p>
      <w:pPr>
        <w:widowControl/>
        <w:topLinePunct/>
        <w:adjustRightInd w:val="0"/>
        <w:snapToGrid w:val="0"/>
        <w:spacing w:after="200" w:line="360" w:lineRule="auto"/>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致：广州市重点公共建设项目管理中心：</w:t>
      </w:r>
    </w:p>
    <w:p>
      <w:pPr>
        <w:widowControl/>
        <w:topLinePunct/>
        <w:adjustRightInd w:val="0"/>
        <w:snapToGrid w:val="0"/>
        <w:spacing w:after="200" w:line="360" w:lineRule="auto"/>
        <w:ind w:firstLine="496" w:firstLineChars="2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经详细阅读</w:t>
      </w:r>
      <w:r>
        <w:rPr>
          <w:rFonts w:hint="eastAsia" w:ascii="宋体" w:hAnsi="宋体"/>
          <w:snapToGrid w:val="0"/>
          <w:color w:val="auto"/>
          <w:spacing w:val="4"/>
          <w:kern w:val="0"/>
          <w:sz w:val="24"/>
          <w:szCs w:val="24"/>
          <w:highlight w:val="none"/>
          <w:u w:val="single"/>
        </w:rPr>
        <w:t>（工程项目名称）</w:t>
      </w:r>
      <w:r>
        <w:rPr>
          <w:rFonts w:hint="eastAsia" w:ascii="宋体" w:hAnsi="宋体"/>
          <w:snapToGrid w:val="0"/>
          <w:color w:val="auto"/>
          <w:spacing w:val="4"/>
          <w:kern w:val="0"/>
          <w:sz w:val="24"/>
          <w:szCs w:val="24"/>
          <w:highlight w:val="none"/>
        </w:rPr>
        <w:t>招标文件，我司已理解招标人对本招标项目工程管理的高标准及严格要求，在此，我司郑重作出以下承诺：</w:t>
      </w:r>
    </w:p>
    <w:p>
      <w:pPr>
        <w:spacing w:line="360" w:lineRule="auto"/>
        <w:ind w:firstLine="472" w:firstLineChars="196"/>
        <w:rPr>
          <w:rFonts w:ascii="宋体" w:hAnsi="宋体"/>
          <w:color w:val="auto"/>
          <w:sz w:val="24"/>
          <w:szCs w:val="24"/>
          <w:highlight w:val="none"/>
        </w:rPr>
      </w:pPr>
      <w:r>
        <w:rPr>
          <w:rFonts w:hint="eastAsia" w:ascii="宋体" w:hAnsi="宋体"/>
          <w:b/>
          <w:color w:val="auto"/>
          <w:sz w:val="24"/>
          <w:szCs w:val="24"/>
          <w:highlight w:val="none"/>
        </w:rPr>
        <w:t>一</w:t>
      </w:r>
      <w:r>
        <w:rPr>
          <w:rFonts w:hint="eastAsia" w:ascii="宋体" w:hAnsi="宋体"/>
          <w:color w:val="auto"/>
          <w:sz w:val="24"/>
          <w:szCs w:val="24"/>
          <w:highlight w:val="none"/>
        </w:rPr>
        <w:t>、质保及</w:t>
      </w:r>
      <w:r>
        <w:rPr>
          <w:rFonts w:ascii="宋体" w:hAnsi="宋体"/>
          <w:color w:val="auto"/>
          <w:sz w:val="24"/>
          <w:szCs w:val="24"/>
          <w:highlight w:val="none"/>
        </w:rPr>
        <w:t>维护维修</w:t>
      </w:r>
      <w:r>
        <w:rPr>
          <w:rFonts w:hint="eastAsia" w:ascii="宋体" w:hAnsi="宋体"/>
          <w:color w:val="auto"/>
          <w:sz w:val="24"/>
          <w:szCs w:val="24"/>
          <w:highlight w:val="none"/>
        </w:rPr>
        <w:t>均由我司派专业技术人员负责。</w:t>
      </w:r>
    </w:p>
    <w:p>
      <w:pPr>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二、我司承诺完全按照招标文件要求做好配合安装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调试督导、验收，保证全程派专业技术人员参与安装</w:t>
      </w:r>
      <w:r>
        <w:rPr>
          <w:rFonts w:hint="eastAsia" w:ascii="宋体" w:hAnsi="宋体"/>
          <w:snapToGrid w:val="0"/>
          <w:color w:val="auto"/>
          <w:sz w:val="24"/>
          <w:szCs w:val="24"/>
          <w:highlight w:val="none"/>
        </w:rPr>
        <w:t>督导、</w:t>
      </w:r>
      <w:r>
        <w:rPr>
          <w:rFonts w:hint="eastAsia" w:ascii="宋体" w:hAnsi="宋体"/>
          <w:color w:val="auto"/>
          <w:sz w:val="24"/>
          <w:szCs w:val="24"/>
          <w:highlight w:val="none"/>
        </w:rPr>
        <w:t>调试督导、验收。</w:t>
      </w:r>
    </w:p>
    <w:p>
      <w:pPr>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三、我司保证所选用厂家设有固定的售后服务机构，保证在收到业主维修通知后及时安排技术人员到现场进行维修，相关的维修必须连续进行，直至故障完全修复为止。若不能及时排除故障，我司立即采取切实有效的补救措施（包括免费提供应急设备），全力防止损失的扩大。</w:t>
      </w:r>
    </w:p>
    <w:p>
      <w:pPr>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p>
    <w:p>
      <w:pPr>
        <w:ind w:firstLine="470" w:firstLineChars="196"/>
        <w:rPr>
          <w:rFonts w:ascii="宋体" w:hAnsi="宋体"/>
          <w:color w:val="auto"/>
          <w:sz w:val="24"/>
          <w:szCs w:val="24"/>
          <w:highlight w:val="none"/>
        </w:rPr>
      </w:pPr>
    </w:p>
    <w:p>
      <w:pPr>
        <w:ind w:firstLine="470" w:firstLineChars="196"/>
        <w:rPr>
          <w:rFonts w:ascii="宋体" w:hAnsi="宋体"/>
          <w:color w:val="auto"/>
          <w:sz w:val="24"/>
          <w:szCs w:val="24"/>
          <w:highlight w:val="none"/>
          <w:u w:val="single"/>
        </w:rPr>
      </w:pPr>
      <w:r>
        <w:rPr>
          <w:rFonts w:hint="eastAsia" w:ascii="宋体" w:hAnsi="宋体"/>
          <w:color w:val="auto"/>
          <w:sz w:val="24"/>
          <w:szCs w:val="24"/>
          <w:highlight w:val="none"/>
          <w:u w:val="single"/>
        </w:rPr>
        <w:t>(其它服务承诺由投标人自行填写)</w:t>
      </w:r>
    </w:p>
    <w:p>
      <w:pPr>
        <w:ind w:firstLine="470" w:firstLineChars="196"/>
        <w:rPr>
          <w:rFonts w:ascii="宋体" w:hAnsi="宋体"/>
          <w:color w:val="auto"/>
          <w:sz w:val="24"/>
          <w:szCs w:val="24"/>
          <w:highlight w:val="none"/>
          <w:u w:val="single"/>
        </w:rPr>
      </w:pPr>
    </w:p>
    <w:p>
      <w:pPr>
        <w:ind w:firstLine="470" w:firstLineChars="196"/>
        <w:rPr>
          <w:rFonts w:ascii="宋体" w:hAnsi="宋体"/>
          <w:color w:val="auto"/>
          <w:sz w:val="24"/>
          <w:szCs w:val="24"/>
          <w:highlight w:val="none"/>
          <w:u w:val="single"/>
        </w:rPr>
      </w:pPr>
    </w:p>
    <w:p>
      <w:pPr>
        <w:ind w:firstLine="470" w:firstLineChars="196"/>
        <w:rPr>
          <w:rFonts w:ascii="宋体" w:hAnsi="宋体"/>
          <w:color w:val="auto"/>
          <w:sz w:val="24"/>
          <w:szCs w:val="24"/>
          <w:highlight w:val="none"/>
          <w:u w:val="single"/>
        </w:rPr>
      </w:pPr>
    </w:p>
    <w:p>
      <w:pPr>
        <w:widowControl/>
        <w:topLinePunct/>
        <w:adjustRightInd w:val="0"/>
        <w:snapToGrid w:val="0"/>
        <w:spacing w:after="200" w:line="360" w:lineRule="auto"/>
        <w:ind w:firstLine="3472" w:firstLineChars="1400"/>
        <w:jc w:val="left"/>
        <w:rPr>
          <w:rFonts w:ascii="宋体" w:hAnsi="宋体"/>
          <w:snapToGrid w:val="0"/>
          <w:color w:val="auto"/>
          <w:spacing w:val="4"/>
          <w:kern w:val="0"/>
          <w:sz w:val="24"/>
          <w:szCs w:val="24"/>
          <w:highlight w:val="none"/>
        </w:rPr>
      </w:pPr>
    </w:p>
    <w:p>
      <w:pPr>
        <w:widowControl/>
        <w:topLinePunct/>
        <w:adjustRightInd w:val="0"/>
        <w:snapToGrid w:val="0"/>
        <w:spacing w:after="200" w:line="360" w:lineRule="auto"/>
        <w:ind w:firstLine="3472" w:firstLineChars="14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pPr>
        <w:widowControl/>
        <w:topLinePunct/>
        <w:adjustRightInd w:val="0"/>
        <w:snapToGrid w:val="0"/>
        <w:spacing w:after="200" w:line="360" w:lineRule="auto"/>
        <w:ind w:firstLine="3472" w:firstLineChars="1400"/>
        <w:jc w:val="left"/>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法定代表人或授权代理人（签名或盖章）：</w:t>
      </w:r>
    </w:p>
    <w:p>
      <w:pPr>
        <w:widowControl/>
        <w:topLinePunct/>
        <w:adjustRightInd w:val="0"/>
        <w:snapToGrid w:val="0"/>
        <w:spacing w:after="200" w:line="360" w:lineRule="auto"/>
        <w:ind w:firstLine="3472" w:firstLineChars="1400"/>
        <w:jc w:val="left"/>
        <w:rPr>
          <w:rFonts w:ascii="宋体" w:hAnsi="宋体"/>
          <w:color w:val="auto"/>
          <w:spacing w:val="4"/>
          <w:kern w:val="0"/>
          <w:sz w:val="24"/>
          <w:szCs w:val="24"/>
          <w:highlight w:val="none"/>
        </w:rPr>
      </w:pPr>
      <w:r>
        <w:rPr>
          <w:rFonts w:hint="eastAsia" w:ascii="宋体" w:hAnsi="宋体"/>
          <w:snapToGrid w:val="0"/>
          <w:color w:val="auto"/>
          <w:spacing w:val="4"/>
          <w:kern w:val="0"/>
          <w:sz w:val="24"/>
          <w:szCs w:val="24"/>
          <w:highlight w:val="none"/>
        </w:rPr>
        <w:t>日期：    年    月    日</w:t>
      </w:r>
    </w:p>
    <w:p>
      <w:pPr>
        <w:widowControl/>
        <w:topLinePunct/>
        <w:adjustRightInd w:val="0"/>
        <w:snapToGrid w:val="0"/>
        <w:spacing w:after="200"/>
        <w:jc w:val="left"/>
        <w:outlineLvl w:val="2"/>
        <w:rPr>
          <w:rFonts w:ascii="宋体"/>
          <w:color w:val="auto"/>
          <w:sz w:val="24"/>
          <w:szCs w:val="24"/>
          <w:highlight w:val="none"/>
        </w:rPr>
      </w:pPr>
      <w:r>
        <w:rPr>
          <w:color w:val="auto"/>
          <w:szCs w:val="21"/>
          <w:highlight w:val="none"/>
        </w:rPr>
        <w:br w:type="page"/>
      </w:r>
      <w:bookmarkStart w:id="241" w:name="_Toc62056045"/>
      <w:r>
        <w:rPr>
          <w:rFonts w:hint="eastAsia" w:ascii="宋体" w:hAnsi="宋体"/>
          <w:color w:val="auto"/>
          <w:spacing w:val="4"/>
          <w:kern w:val="0"/>
          <w:sz w:val="24"/>
          <w:szCs w:val="24"/>
          <w:highlight w:val="none"/>
        </w:rPr>
        <w:t>格式十</w:t>
      </w:r>
      <w:r>
        <w:rPr>
          <w:rFonts w:hint="eastAsia" w:ascii="宋体" w:hAnsi="宋体"/>
          <w:color w:val="auto"/>
          <w:spacing w:val="4"/>
          <w:kern w:val="0"/>
          <w:sz w:val="24"/>
          <w:szCs w:val="24"/>
          <w:highlight w:val="none"/>
          <w:lang w:val="en-US" w:eastAsia="zh-CN"/>
        </w:rPr>
        <w:t>三</w:t>
      </w:r>
      <w:r>
        <w:rPr>
          <w:rFonts w:hint="eastAsia" w:ascii="宋体" w:hAnsi="宋体"/>
          <w:color w:val="auto"/>
          <w:spacing w:val="4"/>
          <w:kern w:val="0"/>
          <w:sz w:val="24"/>
          <w:szCs w:val="24"/>
          <w:highlight w:val="none"/>
        </w:rPr>
        <w:t>：参与编制技术标投标文件人员名单</w:t>
      </w:r>
      <w:bookmarkEnd w:id="241"/>
    </w:p>
    <w:p>
      <w:pPr>
        <w:autoSpaceDE w:val="0"/>
        <w:autoSpaceDN w:val="0"/>
        <w:adjustRightInd w:val="0"/>
        <w:rPr>
          <w:color w:val="auto"/>
          <w:szCs w:val="21"/>
          <w:highlight w:val="none"/>
        </w:rPr>
      </w:pPr>
    </w:p>
    <w:p>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bl>
    <w:p>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pPr>
        <w:rPr>
          <w:color w:val="auto"/>
          <w:highlight w:val="none"/>
        </w:rPr>
      </w:pPr>
      <w:bookmarkStart w:id="242" w:name="_Toc62056046"/>
      <w:r>
        <w:rPr>
          <w:rFonts w:hint="eastAsia"/>
          <w:color w:val="auto"/>
          <w:highlight w:val="none"/>
        </w:rPr>
        <w:t xml:space="preserve"> </w:t>
      </w:r>
      <w:bookmarkEnd w:id="242"/>
    </w:p>
    <w:p>
      <w:pPr>
        <w:ind w:firstLine="420"/>
        <w:rPr>
          <w:color w:val="auto"/>
          <w:kern w:val="0"/>
          <w:sz w:val="20"/>
          <w:szCs w:val="20"/>
          <w:highlight w:val="none"/>
        </w:rPr>
      </w:pPr>
      <w:r>
        <w:rPr>
          <w:color w:val="auto"/>
          <w:kern w:val="0"/>
          <w:sz w:val="20"/>
          <w:szCs w:val="20"/>
          <w:highlight w:val="none"/>
        </w:rPr>
        <w:br w:type="page"/>
      </w:r>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w:t>
      </w:r>
      <w:r>
        <w:rPr>
          <w:rFonts w:hint="eastAsia" w:ascii="宋体" w:hAnsi="宋体"/>
          <w:color w:val="auto"/>
          <w:spacing w:val="4"/>
          <w:kern w:val="0"/>
          <w:sz w:val="24"/>
          <w:szCs w:val="24"/>
          <w:highlight w:val="none"/>
          <w:lang w:val="en-US" w:eastAsia="zh-CN"/>
        </w:rPr>
        <w:t>四</w:t>
      </w:r>
      <w:r>
        <w:rPr>
          <w:rFonts w:hint="eastAsia" w:ascii="宋体" w:hAnsi="宋体"/>
          <w:color w:val="auto"/>
          <w:spacing w:val="4"/>
          <w:kern w:val="0"/>
          <w:sz w:val="24"/>
          <w:szCs w:val="24"/>
          <w:highlight w:val="none"/>
        </w:rPr>
        <w:t>：危险性较大的分部分项工程清单及超过一定规模的危险性较大的分部分项工程清单</w:t>
      </w:r>
    </w:p>
    <w:p>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pPr>
        <w:numPr>
          <w:ilvl w:val="0"/>
          <w:numId w:val="2"/>
        </w:numPr>
        <w:autoSpaceDE w:val="0"/>
        <w:autoSpaceDN w:val="0"/>
        <w:adjustRightInd w:val="0"/>
        <w:spacing w:line="276" w:lineRule="auto"/>
        <w:jc w:val="left"/>
        <w:rPr>
          <w:rFonts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24"/>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1931"/>
        <w:gridCol w:w="193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建设单位</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投标单位</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一、基坑支护</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二、模板工程及支撑体系</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四、脚手架工程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（二）附着式升降脚手架工程。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（三）悬挑式脚手架工程。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（四）高处作业吊篮。</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（五）卸料平台、操作平台工程。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（六）异型脚手架工程。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五、拆除工程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　六、暗挖工程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931" w:type="dxa"/>
            <w:vAlign w:val="center"/>
          </w:tcPr>
          <w:p>
            <w:pPr>
              <w:keepNext w:val="0"/>
              <w:keepLines w:val="0"/>
              <w:widowControl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color w:val="auto"/>
                <w:szCs w:val="21"/>
                <w:highlight w:val="none"/>
              </w:rPr>
              <w:t xml:space="preserve">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七、其它</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（一）建筑幕墙安装工程。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（二）钢结构、网架和索膜结构安装工程。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（三）人工挖孔桩工程。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（四）水下作业工程。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vAlign w:val="center"/>
          </w:tcPr>
          <w:p>
            <w:pPr>
              <w:keepNext w:val="0"/>
              <w:keepLines w:val="0"/>
              <w:widowControl/>
              <w:suppressLineNumbers w:val="0"/>
              <w:spacing w:before="0" w:beforeAutospacing="0" w:after="0" w:afterAutospacing="0" w:line="276" w:lineRule="auto"/>
              <w:ind w:left="0" w:right="0"/>
              <w:rPr>
                <w:rFonts w:hint="default"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一、深基坑工程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firstLine="480"/>
              <w:jc w:val="left"/>
              <w:rPr>
                <w:rFonts w:hint="default"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firstLine="48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firstLine="480"/>
              <w:jc w:val="left"/>
              <w:rPr>
                <w:rFonts w:hint="default" w:ascii="宋体" w:hAnsi="宋体"/>
                <w:color w:val="auto"/>
                <w:szCs w:val="21"/>
                <w:highlight w:val="none"/>
              </w:rPr>
            </w:pPr>
            <w:r>
              <w:rPr>
                <w:rFonts w:hint="eastAsia" w:ascii="宋体" w:hAnsi="宋体"/>
                <w:color w:val="auto"/>
                <w:szCs w:val="21"/>
                <w:highlight w:val="none"/>
              </w:rPr>
              <w:t>二、模板工程及支撑体系</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firstLine="48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firstLine="480"/>
              <w:jc w:val="left"/>
              <w:rPr>
                <w:rFonts w:hint="default"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firstLine="48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firstLine="480"/>
              <w:jc w:val="left"/>
              <w:rPr>
                <w:rFonts w:hint="default"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　三、起重吊装及起重机械安装拆卸工程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四、脚手架工程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五、拆除工程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六、暗挖工程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七、其它</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（四）水下作业工程。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4" w:type="dxa"/>
          </w:tcPr>
          <w:p>
            <w:pPr>
              <w:keepNext w:val="0"/>
              <w:keepLines w:val="0"/>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931"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    )</w:t>
            </w:r>
          </w:p>
        </w:tc>
        <w:tc>
          <w:tcPr>
            <w:tcW w:w="1173"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p>
        </w:tc>
      </w:tr>
    </w:tbl>
    <w:p>
      <w:pPr>
        <w:spacing w:line="360" w:lineRule="auto"/>
        <w:ind w:firstLine="3000" w:firstLineChars="1250"/>
        <w:rPr>
          <w:rFonts w:ascii="宋体" w:hAnsi="宋体" w:cs="宋体"/>
          <w:color w:val="auto"/>
          <w:sz w:val="24"/>
          <w:szCs w:val="20"/>
          <w:highlight w:val="none"/>
        </w:rPr>
      </w:pPr>
    </w:p>
    <w:p>
      <w:pPr>
        <w:spacing w:line="360" w:lineRule="auto"/>
        <w:jc w:val="center"/>
        <w:rPr>
          <w:rFonts w:ascii="宋体" w:hAnsi="宋体" w:cs="宋体"/>
          <w:color w:val="auto"/>
          <w:sz w:val="24"/>
          <w:szCs w:val="20"/>
          <w:highlight w:val="none"/>
          <w:u w:val="single"/>
        </w:rPr>
      </w:pPr>
      <w:r>
        <w:rPr>
          <w:rFonts w:hint="eastAsia" w:ascii="宋体" w:hAnsi="宋体" w:cs="宋体"/>
          <w:color w:val="auto"/>
          <w:sz w:val="24"/>
          <w:szCs w:val="20"/>
          <w:highlight w:val="none"/>
        </w:rPr>
        <w:t xml:space="preserve">                        投标人名称（盖法人公章）：</w:t>
      </w:r>
    </w:p>
    <w:p>
      <w:pPr>
        <w:spacing w:line="360" w:lineRule="auto"/>
        <w:jc w:val="center"/>
        <w:rPr>
          <w:rFonts w:ascii="宋体" w:hAnsi="宋体" w:cs="宋体"/>
          <w:color w:val="auto"/>
          <w:sz w:val="24"/>
          <w:szCs w:val="20"/>
          <w:highlight w:val="none"/>
          <w:u w:val="single"/>
        </w:rPr>
      </w:pPr>
      <w:r>
        <w:rPr>
          <w:rFonts w:hint="eastAsia" w:ascii="宋体" w:hAnsi="宋体" w:cs="宋体"/>
          <w:color w:val="auto"/>
          <w:sz w:val="24"/>
          <w:szCs w:val="20"/>
          <w:highlight w:val="none"/>
        </w:rPr>
        <w:t xml:space="preserve">                                  法定代表人或被授权人（签字或盖章）：</w:t>
      </w:r>
    </w:p>
    <w:p>
      <w:pPr>
        <w:spacing w:line="360" w:lineRule="auto"/>
        <w:jc w:val="center"/>
        <w:rPr>
          <w:color w:val="auto"/>
          <w:highlight w:val="none"/>
        </w:rPr>
      </w:pPr>
      <w:r>
        <w:rPr>
          <w:rFonts w:hint="eastAsia" w:ascii="宋体" w:hAnsi="宋体" w:cs="宋体"/>
          <w:color w:val="auto"/>
          <w:sz w:val="24"/>
          <w:szCs w:val="20"/>
          <w:highlight w:val="none"/>
        </w:rPr>
        <w:t xml:space="preserve">                       日  期：   年   月   日</w:t>
      </w:r>
    </w:p>
    <w:p>
      <w:pPr>
        <w:spacing w:line="360" w:lineRule="auto"/>
        <w:jc w:val="center"/>
        <w:rPr>
          <w:b/>
          <w:color w:val="auto"/>
          <w:highlight w:val="none"/>
        </w:rPr>
      </w:pPr>
    </w:p>
    <w:p>
      <w:pPr>
        <w:ind w:firstLine="420"/>
        <w:rPr>
          <w:color w:val="auto"/>
          <w:kern w:val="0"/>
          <w:sz w:val="20"/>
          <w:szCs w:val="20"/>
          <w:highlight w:val="none"/>
        </w:rPr>
      </w:pPr>
      <w:r>
        <w:rPr>
          <w:color w:val="auto"/>
          <w:kern w:val="0"/>
          <w:sz w:val="20"/>
          <w:szCs w:val="20"/>
          <w:highlight w:val="none"/>
        </w:rPr>
        <w:br w:type="page"/>
      </w:r>
    </w:p>
    <w:p>
      <w:pPr>
        <w:widowControl/>
        <w:topLinePunct/>
        <w:adjustRightInd w:val="0"/>
        <w:snapToGrid w:val="0"/>
        <w:spacing w:after="200"/>
        <w:jc w:val="left"/>
        <w:outlineLvl w:val="1"/>
        <w:rPr>
          <w:rFonts w:ascii="宋体" w:hAnsi="宋体"/>
          <w:b/>
          <w:color w:val="auto"/>
          <w:sz w:val="28"/>
          <w:highlight w:val="none"/>
        </w:rPr>
      </w:pPr>
      <w:bookmarkStart w:id="243" w:name="_Toc1507"/>
      <w:bookmarkStart w:id="244" w:name="_Toc62056047"/>
      <w:bookmarkStart w:id="245" w:name="_Toc504722518"/>
      <w:r>
        <w:rPr>
          <w:rFonts w:hint="eastAsia" w:ascii="宋体" w:hAnsi="宋体"/>
          <w:b/>
          <w:color w:val="auto"/>
          <w:sz w:val="28"/>
          <w:highlight w:val="none"/>
        </w:rPr>
        <w:t>二、经济标投标文件格式</w:t>
      </w:r>
      <w:bookmarkEnd w:id="243"/>
      <w:bookmarkEnd w:id="244"/>
      <w:bookmarkEnd w:id="245"/>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246" w:name="_Toc4489953"/>
      <w:bookmarkStart w:id="247" w:name="_Toc22912"/>
      <w:bookmarkStart w:id="248" w:name="_Toc504722519"/>
      <w:bookmarkStart w:id="249" w:name="_Toc62056048"/>
      <w:bookmarkStart w:id="250" w:name="_Toc29476922"/>
      <w:r>
        <w:rPr>
          <w:rFonts w:hint="eastAsia" w:ascii="宋体" w:hAnsi="宋体"/>
          <w:color w:val="auto"/>
          <w:spacing w:val="4"/>
          <w:kern w:val="0"/>
          <w:sz w:val="24"/>
          <w:szCs w:val="24"/>
          <w:highlight w:val="none"/>
        </w:rPr>
        <w:t>格式一：经济标封面</w:t>
      </w:r>
      <w:bookmarkEnd w:id="246"/>
      <w:bookmarkEnd w:id="247"/>
      <w:bookmarkEnd w:id="248"/>
      <w:bookmarkEnd w:id="249"/>
      <w:bookmarkEnd w:id="250"/>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   </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251" w:name="_Toc337720111"/>
      <w:bookmarkStart w:id="252" w:name="_Toc163337643"/>
      <w:bookmarkStart w:id="253" w:name="_Toc239216052"/>
      <w:bookmarkStart w:id="254" w:name="_Toc226209025"/>
      <w:bookmarkStart w:id="255" w:name="_Toc318924517"/>
      <w:bookmarkStart w:id="256" w:name="_Toc239311767"/>
      <w:bookmarkStart w:id="257" w:name="_Toc464131240"/>
      <w:bookmarkStart w:id="258" w:name="_Toc352240543"/>
      <w:bookmarkStart w:id="259" w:name="_Toc484958710"/>
      <w:bookmarkStart w:id="260" w:name="_Toc449308436"/>
      <w:bookmarkStart w:id="261" w:name="_Toc352623441"/>
      <w:bookmarkStart w:id="262" w:name="_Toc358370596"/>
      <w:bookmarkStart w:id="263" w:name="_Toc395261116"/>
      <w:bookmarkStart w:id="264" w:name="_Toc369536788"/>
      <w:r>
        <w:rPr>
          <w:rFonts w:hint="eastAsia" w:ascii="宋体" w:hAnsi="宋体"/>
          <w:color w:val="auto"/>
          <w:spacing w:val="4"/>
          <w:kern w:val="0"/>
          <w:sz w:val="30"/>
          <w:szCs w:val="30"/>
          <w:highlight w:val="none"/>
          <w:u w:val="single"/>
        </w:rPr>
        <w:t xml:space="preserve">       （填写投标人单位</w:t>
      </w:r>
      <w:bookmarkEnd w:id="251"/>
      <w:bookmarkEnd w:id="252"/>
      <w:bookmarkEnd w:id="253"/>
      <w:bookmarkEnd w:id="254"/>
      <w:bookmarkEnd w:id="255"/>
      <w:bookmarkEnd w:id="256"/>
      <w:r>
        <w:rPr>
          <w:rFonts w:hint="eastAsia" w:ascii="宋体" w:hAnsi="宋体"/>
          <w:color w:val="auto"/>
          <w:spacing w:val="4"/>
          <w:kern w:val="0"/>
          <w:sz w:val="30"/>
          <w:szCs w:val="30"/>
          <w:highlight w:val="none"/>
          <w:u w:val="single"/>
        </w:rPr>
        <w:t xml:space="preserve">名称）  </w:t>
      </w:r>
      <w:bookmarkEnd w:id="257"/>
      <w:bookmarkEnd w:id="258"/>
      <w:bookmarkEnd w:id="259"/>
      <w:bookmarkEnd w:id="260"/>
      <w:bookmarkEnd w:id="261"/>
      <w:bookmarkEnd w:id="262"/>
      <w:bookmarkEnd w:id="263"/>
      <w:bookmarkEnd w:id="264"/>
      <w:r>
        <w:rPr>
          <w:rFonts w:hint="eastAsia" w:ascii="宋体" w:hAnsi="宋体"/>
          <w:color w:val="auto"/>
          <w:spacing w:val="4"/>
          <w:kern w:val="0"/>
          <w:sz w:val="30"/>
          <w:szCs w:val="30"/>
          <w:highlight w:val="none"/>
          <w:u w:val="single"/>
        </w:rPr>
        <w:t xml:space="preserve">     （盖章）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r>
        <w:rPr>
          <w:rFonts w:hint="eastAsia" w:ascii="宋体" w:hAnsi="宋体"/>
          <w:color w:val="auto"/>
          <w:spacing w:val="4"/>
          <w:kern w:val="0"/>
          <w:sz w:val="30"/>
          <w:szCs w:val="30"/>
          <w:highlight w:val="none"/>
          <w:u w:val="single"/>
        </w:rPr>
        <w:t xml:space="preserve">                                        </w:t>
      </w:r>
      <w:r>
        <w:rPr>
          <w:rFonts w:ascii="宋体" w:hAnsi="宋体"/>
          <w:color w:val="auto"/>
          <w:spacing w:val="4"/>
          <w:kern w:val="0"/>
          <w:sz w:val="30"/>
          <w:szCs w:val="30"/>
          <w:highlight w:val="none"/>
        </w:rPr>
        <w:t xml:space="preserve"> </w:t>
      </w:r>
    </w:p>
    <w:p>
      <w:pPr>
        <w:widowControl/>
        <w:topLinePunct/>
        <w:adjustRightInd w:val="0"/>
        <w:snapToGrid w:val="0"/>
        <w:spacing w:after="200"/>
        <w:jc w:val="left"/>
        <w:outlineLvl w:val="2"/>
        <w:rPr>
          <w:rFonts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265" w:name="_Toc4489954"/>
      <w:bookmarkStart w:id="266" w:name="_Toc29476923"/>
      <w:bookmarkStart w:id="267" w:name="_Toc62056049"/>
      <w:r>
        <w:rPr>
          <w:rFonts w:hint="eastAsia" w:ascii="宋体" w:hAnsi="宋体"/>
          <w:color w:val="auto"/>
          <w:spacing w:val="4"/>
          <w:kern w:val="0"/>
          <w:sz w:val="24"/>
          <w:szCs w:val="24"/>
          <w:highlight w:val="none"/>
        </w:rPr>
        <w:t>格式二</w:t>
      </w:r>
      <w:bookmarkStart w:id="268" w:name="_Toc29524"/>
      <w:bookmarkStart w:id="269" w:name="_Toc504722521"/>
      <w:r>
        <w:rPr>
          <w:rFonts w:hint="eastAsia" w:ascii="宋体" w:hAnsi="宋体"/>
          <w:color w:val="auto"/>
          <w:spacing w:val="4"/>
          <w:kern w:val="0"/>
          <w:sz w:val="24"/>
          <w:szCs w:val="24"/>
          <w:highlight w:val="none"/>
        </w:rPr>
        <w:t>：工程量清单计价表</w:t>
      </w:r>
      <w:bookmarkEnd w:id="265"/>
      <w:bookmarkEnd w:id="266"/>
      <w:bookmarkEnd w:id="267"/>
      <w:bookmarkEnd w:id="268"/>
      <w:bookmarkEnd w:id="269"/>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7"/>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tabs>
          <w:tab w:val="left" w:pos="720"/>
        </w:tabs>
        <w:snapToGrid w:val="0"/>
        <w:spacing w:line="360" w:lineRule="auto"/>
        <w:jc w:val="center"/>
        <w:rPr>
          <w:rFonts w:ascii="宋体" w:hAnsi="宋体"/>
          <w:color w:val="auto"/>
          <w:highlight w:val="none"/>
        </w:rPr>
      </w:pPr>
      <w:r>
        <w:rPr>
          <w:rFonts w:hint="eastAsia" w:ascii="宋体" w:hAnsi="宋体"/>
          <w:color w:val="auto"/>
          <w:highlight w:val="none"/>
        </w:rPr>
        <w:t>本部分内容详见招标文件第七章工程量清单。</w:t>
      </w:r>
    </w:p>
    <w:p>
      <w:pPr>
        <w:tabs>
          <w:tab w:val="left" w:pos="720"/>
        </w:tabs>
        <w:snapToGrid w:val="0"/>
        <w:spacing w:line="360" w:lineRule="auto"/>
        <w:outlineLvl w:val="2"/>
        <w:rPr>
          <w:rFonts w:ascii="宋体" w:hAnsi="宋体"/>
          <w:snapToGrid w:val="0"/>
          <w:color w:val="auto"/>
          <w:spacing w:val="4"/>
          <w:kern w:val="0"/>
          <w:sz w:val="24"/>
          <w:szCs w:val="24"/>
          <w:highlight w:val="none"/>
        </w:rPr>
      </w:pPr>
      <w:r>
        <w:rPr>
          <w:color w:val="auto"/>
          <w:highlight w:val="none"/>
        </w:rPr>
        <w:br w:type="page"/>
      </w:r>
      <w:bookmarkStart w:id="270" w:name="_Toc62056050"/>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270"/>
    </w:p>
    <w:p>
      <w:pPr>
        <w:tabs>
          <w:tab w:val="left" w:pos="720"/>
        </w:tabs>
        <w:snapToGrid w:val="0"/>
        <w:spacing w:line="360" w:lineRule="auto"/>
        <w:jc w:val="center"/>
        <w:rPr>
          <w:b/>
          <w:color w:val="auto"/>
          <w:szCs w:val="21"/>
          <w:highlight w:val="none"/>
        </w:rPr>
      </w:pPr>
      <w:r>
        <w:rPr>
          <w:rFonts w:hint="eastAsia"/>
          <w:b/>
          <w:color w:val="auto"/>
          <w:szCs w:val="21"/>
          <w:highlight w:val="none"/>
        </w:rPr>
        <w:t>参与编制经济标投标文件人员名单</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napToGrid w:val="0"/>
              <w:spacing w:before="0" w:beforeAutospacing="0" w:after="0" w:afterAutospacing="0" w:line="360" w:lineRule="auto"/>
              <w:ind w:left="0" w:right="0"/>
              <w:jc w:val="center"/>
              <w:rPr>
                <w:rFonts w:hint="default"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pPr>
        <w:spacing w:line="360" w:lineRule="auto"/>
        <w:ind w:left="-2" w:leftChars="-1" w:firstLine="420" w:firstLineChars="175"/>
        <w:jc w:val="center"/>
        <w:rPr>
          <w:color w:val="auto"/>
          <w:kern w:val="0"/>
          <w:sz w:val="24"/>
          <w:szCs w:val="24"/>
          <w:highlight w:val="none"/>
        </w:rPr>
      </w:pPr>
    </w:p>
    <w:p>
      <w:pPr>
        <w:autoSpaceDE w:val="0"/>
        <w:autoSpaceDN w:val="0"/>
        <w:adjustRightInd w:val="0"/>
        <w:outlineLvl w:val="2"/>
        <w:rPr>
          <w:color w:val="auto"/>
          <w:szCs w:val="21"/>
          <w:highlight w:val="none"/>
        </w:rPr>
      </w:pPr>
      <w:r>
        <w:rPr>
          <w:color w:val="auto"/>
          <w:szCs w:val="21"/>
          <w:highlight w:val="none"/>
        </w:rPr>
        <w:br w:type="page"/>
      </w:r>
      <w:bookmarkStart w:id="271" w:name="_Toc62056051"/>
      <w:r>
        <w:rPr>
          <w:rFonts w:hint="eastAsia" w:ascii="宋体" w:hAnsi="宋体"/>
          <w:snapToGrid w:val="0"/>
          <w:color w:val="auto"/>
          <w:spacing w:val="4"/>
          <w:kern w:val="0"/>
          <w:sz w:val="24"/>
          <w:szCs w:val="24"/>
          <w:highlight w:val="none"/>
        </w:rPr>
        <w:t>格式四：对投标文件编制的承诺</w:t>
      </w:r>
      <w:bookmarkEnd w:id="271"/>
    </w:p>
    <w:p>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 xml:space="preserve">如由于未遵守上述承诺内容之一导致无法进行澄清的，我公司认可和接受评标委员会作出的评审结论。                                 </w:t>
      </w:r>
    </w:p>
    <w:p>
      <w:pPr>
        <w:spacing w:line="360" w:lineRule="auto"/>
        <w:ind w:firstLine="360" w:firstLineChars="150"/>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spacing w:line="360" w:lineRule="auto"/>
        <w:rPr>
          <w:b/>
          <w:color w:val="auto"/>
          <w:kern w:val="0"/>
          <w:sz w:val="32"/>
          <w:szCs w:val="32"/>
          <w:highlight w:val="none"/>
        </w:rPr>
      </w:pPr>
    </w:p>
    <w:p>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24"/>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电脑类型</w:t>
            </w:r>
          </w:p>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电脑所属单位</w:t>
            </w:r>
          </w:p>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tabs>
          <w:tab w:val="left" w:pos="720"/>
        </w:tabs>
        <w:snapToGrid w:val="0"/>
        <w:spacing w:line="360" w:lineRule="auto"/>
        <w:jc w:val="center"/>
        <w:outlineLvl w:val="0"/>
        <w:rPr>
          <w:rFonts w:ascii="Arial" w:hAnsi="Arial"/>
          <w:b/>
          <w:color w:val="auto"/>
          <w:kern w:val="44"/>
          <w:sz w:val="32"/>
          <w:szCs w:val="36"/>
          <w:highlight w:val="none"/>
        </w:rPr>
      </w:pPr>
      <w:bookmarkStart w:id="272" w:name="_Toc2272568"/>
      <w:r>
        <w:rPr>
          <w:rFonts w:hint="eastAsia" w:ascii="Arial" w:hAnsi="Arial"/>
          <w:b/>
          <w:color w:val="auto"/>
          <w:kern w:val="44"/>
          <w:sz w:val="32"/>
          <w:szCs w:val="36"/>
          <w:highlight w:val="none"/>
        </w:rPr>
        <w:br w:type="page"/>
      </w:r>
      <w:bookmarkStart w:id="273" w:name="_Toc62056052"/>
      <w:r>
        <w:rPr>
          <w:rFonts w:hint="eastAsia" w:ascii="Arial" w:hAnsi="Arial"/>
          <w:b/>
          <w:color w:val="auto"/>
          <w:kern w:val="44"/>
          <w:sz w:val="32"/>
          <w:szCs w:val="36"/>
          <w:highlight w:val="none"/>
        </w:rPr>
        <w:t>第五章  技术条件（工程建设标准）</w:t>
      </w:r>
      <w:bookmarkEnd w:id="272"/>
      <w:bookmarkEnd w:id="273"/>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1、遵照市重点项目中心相关规定要求；</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2、采用图纸中规定的其它技术和验收标准；</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3、采用中华人民共和国现行技术和验收规范。</w:t>
      </w:r>
    </w:p>
    <w:p>
      <w:pPr>
        <w:topLinePunct w:val="0"/>
        <w:adjustRightInd/>
        <w:snapToGrid/>
        <w:spacing w:line="240" w:lineRule="auto"/>
        <w:ind w:firstLine="0" w:firstLineChars="0"/>
        <w:jc w:val="left"/>
        <w:rPr>
          <w:rFonts w:ascii="Times New Roman" w:hAnsi="Times New Roman"/>
          <w:snapToGrid/>
          <w:color w:val="auto"/>
          <w:spacing w:val="0"/>
          <w:sz w:val="21"/>
          <w:szCs w:val="22"/>
          <w:highlight w:val="none"/>
        </w:rPr>
      </w:pPr>
    </w:p>
    <w:p>
      <w:pPr>
        <w:numPr>
          <w:ilvl w:val="0"/>
          <w:numId w:val="3"/>
        </w:numPr>
        <w:topLinePunct/>
        <w:adjustRightInd w:val="0"/>
        <w:snapToGrid w:val="0"/>
        <w:spacing w:before="240" w:line="360" w:lineRule="auto"/>
        <w:ind w:left="1060" w:hanging="1060" w:hangingChars="343"/>
        <w:jc w:val="center"/>
        <w:outlineLvl w:val="1"/>
        <w:rPr>
          <w:rFonts w:hint="eastAsia" w:ascii="宋体" w:hAnsi="宋体"/>
          <w:b/>
          <w:snapToGrid w:val="0"/>
          <w:color w:val="auto"/>
          <w:spacing w:val="4"/>
          <w:kern w:val="0"/>
          <w:sz w:val="30"/>
          <w:szCs w:val="30"/>
          <w:highlight w:val="none"/>
        </w:rPr>
      </w:pPr>
      <w:bookmarkStart w:id="274" w:name="_Toc29618"/>
      <w:bookmarkStart w:id="275" w:name="_Toc12286"/>
      <w:bookmarkStart w:id="276" w:name="_Toc386995907"/>
      <w:r>
        <w:rPr>
          <w:rFonts w:hint="eastAsia" w:ascii="宋体" w:hAnsi="宋体"/>
          <w:b/>
          <w:snapToGrid w:val="0"/>
          <w:color w:val="auto"/>
          <w:spacing w:val="4"/>
          <w:kern w:val="0"/>
          <w:sz w:val="30"/>
          <w:szCs w:val="30"/>
          <w:highlight w:val="none"/>
        </w:rPr>
        <w:t>项目概述</w:t>
      </w:r>
    </w:p>
    <w:p>
      <w:pPr>
        <w:widowControl/>
        <w:topLinePunct/>
        <w:adjustRightInd w:val="0"/>
        <w:snapToGrid w:val="0"/>
        <w:spacing w:line="360" w:lineRule="auto"/>
        <w:ind w:firstLine="199" w:firstLineChars="80"/>
        <w:jc w:val="left"/>
        <w:rPr>
          <w:b/>
          <w:snapToGrid w:val="0"/>
          <w:color w:val="auto"/>
          <w:spacing w:val="4"/>
          <w:kern w:val="0"/>
          <w:sz w:val="24"/>
          <w:szCs w:val="24"/>
          <w:highlight w:val="none"/>
        </w:rPr>
      </w:pPr>
      <w:r>
        <w:rPr>
          <w:rFonts w:hint="eastAsia"/>
          <w:b/>
          <w:snapToGrid w:val="0"/>
          <w:color w:val="auto"/>
          <w:spacing w:val="4"/>
          <w:kern w:val="0"/>
          <w:sz w:val="24"/>
          <w:szCs w:val="24"/>
          <w:highlight w:val="none"/>
        </w:rPr>
        <w:t>（一）项目概述</w:t>
      </w:r>
    </w:p>
    <w:p>
      <w:pPr>
        <w:pStyle w:val="32"/>
        <w:kinsoku w:val="0"/>
        <w:wordWrap w:val="0"/>
        <w:overflowPunct w:val="0"/>
        <w:adjustRightInd/>
        <w:snapToGrid/>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1、广州市残疾人托养中心（星安居）项目工程总装机容量（变压器）为5130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A，变压器配置新装专变为2×1250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A+2×1000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A+1×630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w:t>
      </w:r>
    </w:p>
    <w:p>
      <w:pPr>
        <w:pStyle w:val="32"/>
        <w:kinsoku w:val="0"/>
        <w:wordWrap w:val="0"/>
        <w:overflowPunct w:val="0"/>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2、供电等级采用10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单回路电源供电。</w:t>
      </w:r>
    </w:p>
    <w:p>
      <w:pPr>
        <w:pStyle w:val="32"/>
        <w:kinsoku w:val="0"/>
        <w:wordWrap w:val="0"/>
        <w:overflowPunct w:val="0"/>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3、电源接入方式：</w:t>
      </w:r>
    </w:p>
    <w:p>
      <w:pPr>
        <w:pStyle w:val="32"/>
        <w:kinsoku w:val="0"/>
        <w:wordWrap w:val="0"/>
        <w:overflowPunct w:val="0"/>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在公用开关房接取电源。由公用开关房新敷 10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 xml:space="preserve"> 电缆依次至#1 高压室（2×1250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A+2×1000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A）、至#2 高压室（1×630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A），再由以上高压室分别新敷 10</w:t>
      </w:r>
      <w:r>
        <w:rPr>
          <w:rFonts w:hint="eastAsia" w:ascii="宋体" w:hAnsi="宋体" w:eastAsia="宋体" w:cs="宋体"/>
          <w:color w:val="auto"/>
          <w:highlight w:val="none"/>
          <w:u w:val="single"/>
          <w:lang w:eastAsia="zh-CN"/>
        </w:rPr>
        <w:t>kV</w:t>
      </w:r>
      <w:r>
        <w:rPr>
          <w:rFonts w:hint="eastAsia" w:ascii="宋体" w:hAnsi="宋体" w:eastAsia="宋体" w:cs="宋体"/>
          <w:color w:val="auto"/>
          <w:highlight w:val="none"/>
          <w:u w:val="single"/>
        </w:rPr>
        <w:t xml:space="preserve"> 电缆至各专变房。</w:t>
      </w:r>
    </w:p>
    <w:p>
      <w:pPr>
        <w:pStyle w:val="32"/>
        <w:numPr>
          <w:ilvl w:val="0"/>
          <w:numId w:val="4"/>
        </w:numPr>
        <w:kinsoku w:val="0"/>
        <w:wordWrap w:val="0"/>
        <w:overflowPunct w:val="0"/>
        <w:ind w:firstLine="496"/>
        <w:rPr>
          <w:rFonts w:hint="eastAsia" w:ascii="宋体" w:hAnsi="宋体" w:eastAsia="宋体" w:cs="宋体"/>
          <w:color w:val="auto"/>
          <w:highlight w:val="none"/>
          <w:u w:val="single"/>
        </w:rPr>
      </w:pPr>
      <w:r>
        <w:rPr>
          <w:rFonts w:hint="eastAsia" w:ascii="宋体" w:hAnsi="宋体" w:eastAsia="宋体" w:cs="宋体"/>
          <w:color w:val="auto"/>
          <w:kern w:val="0"/>
          <w:szCs w:val="20"/>
          <w:highlight w:val="none"/>
          <w:u w:val="single"/>
        </w:rPr>
        <w:t>其他内容详见用电咨询服务答复书。</w:t>
      </w:r>
    </w:p>
    <w:p>
      <w:pPr>
        <w:widowControl/>
        <w:topLinePunct/>
        <w:adjustRightInd w:val="0"/>
        <w:snapToGrid w:val="0"/>
        <w:spacing w:line="360" w:lineRule="auto"/>
        <w:ind w:firstLine="496" w:firstLineChars="200"/>
        <w:jc w:val="left"/>
        <w:rPr>
          <w:snapToGrid w:val="0"/>
          <w:color w:val="auto"/>
          <w:spacing w:val="4"/>
          <w:kern w:val="0"/>
          <w:sz w:val="24"/>
          <w:szCs w:val="24"/>
          <w:highlight w:val="none"/>
        </w:rPr>
      </w:pPr>
      <w:r>
        <w:rPr>
          <w:rFonts w:hint="eastAsia"/>
          <w:snapToGrid w:val="0"/>
          <w:color w:val="auto"/>
          <w:spacing w:val="4"/>
          <w:kern w:val="0"/>
          <w:sz w:val="24"/>
          <w:szCs w:val="24"/>
          <w:highlight w:val="none"/>
        </w:rPr>
        <w:t xml:space="preserve">                              </w:t>
      </w:r>
    </w:p>
    <w:p>
      <w:pPr>
        <w:widowControl/>
        <w:topLinePunct/>
        <w:adjustRightInd w:val="0"/>
        <w:snapToGrid w:val="0"/>
        <w:spacing w:line="360" w:lineRule="auto"/>
        <w:jc w:val="left"/>
        <w:rPr>
          <w:rFonts w:hint="eastAsia" w:ascii="宋体" w:hAnsi="宋体"/>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（二）项目实施内容及范围</w:t>
      </w:r>
    </w:p>
    <w:p>
      <w:pPr>
        <w:spacing w:line="360" w:lineRule="auto"/>
        <w:ind w:firstLine="480" w:firstLineChars="200"/>
        <w:rPr>
          <w:rFonts w:ascii="宋体"/>
          <w:color w:val="auto"/>
          <w:sz w:val="24"/>
          <w:szCs w:val="24"/>
          <w:highlight w:val="none"/>
        </w:rPr>
      </w:pPr>
      <w:r>
        <w:rPr>
          <w:rFonts w:hint="eastAsia" w:ascii="宋体" w:hAnsi="宋体" w:cs="宋体"/>
          <w:color w:val="auto"/>
          <w:sz w:val="24"/>
          <w:highlight w:val="none"/>
        </w:rPr>
        <w:t>招标内容及承包方式：本次招标内容为</w:t>
      </w:r>
      <w:r>
        <w:rPr>
          <w:rFonts w:hint="eastAsia" w:ascii="宋体" w:hAnsi="宋体" w:cs="宋体"/>
          <w:color w:val="auto"/>
          <w:sz w:val="24"/>
          <w:highlight w:val="none"/>
          <w:u w:val="single"/>
        </w:rPr>
        <w:t>广州市残疾人托养中心(星安居)项目10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供配电工程施工专业承包</w:t>
      </w:r>
      <w:r>
        <w:rPr>
          <w:rFonts w:hint="eastAsia" w:ascii="宋体" w:hAnsi="宋体" w:cs="宋体"/>
          <w:color w:val="auto"/>
          <w:sz w:val="24"/>
          <w:highlight w:val="none"/>
        </w:rPr>
        <w:t>，主要内容</w:t>
      </w:r>
      <w:r>
        <w:rPr>
          <w:rFonts w:hint="eastAsia" w:ascii="宋体" w:hAnsi="宋体" w:cs="宋体"/>
          <w:color w:val="auto"/>
          <w:sz w:val="24"/>
          <w:szCs w:val="24"/>
          <w:highlight w:val="none"/>
        </w:rPr>
        <w:t>如下（包括但不限于）：</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（1）招标内容：</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①外电接入工程：电源接入采用10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单回路电源供电的供电方式，负责外电接入工程（含室外10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电缆、管道、接线井等）。</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②高、低压供配电工程：</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1）以低压配电柜出线端头为界，开关房电源进线至低压配电柜（含低压配电柜）属于10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 xml:space="preserve">供配电单位实施范围；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2）供配电房（开关房、高压室、专变房、低压房）的相关配套工程，开关房、高压室、专变房、低压房之间的设备、管线、弱电系统及其他配套工程的深化设计及施工属于10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 xml:space="preserve">供配电单位实施范围；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3）供配电房内装修工程和照明【包括门、窗、排气扇以及电房辅助设施（如线路模拟板牌、标牌、驱鼠器、环境控制箱、绝缘地板胶、绝缘安全操作工具、安全隔网、防鼠防潮防水洞口处理等）】属于10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供配电工程范围；土建（批荡、找平）、防雷（防雷接地引出点之后电房内的防雷接地）、消防（除消防通风设施外的其他消防工程）、弱电智能化等其他相关配套工程的实施属于10</w:t>
      </w:r>
      <w:r>
        <w:rPr>
          <w:rFonts w:hint="eastAsia" w:ascii="宋体" w:hAnsi="宋体" w:cs="宋体"/>
          <w:color w:val="auto"/>
          <w:sz w:val="24"/>
          <w:szCs w:val="24"/>
          <w:highlight w:val="none"/>
          <w:u w:val="single"/>
          <w:lang w:eastAsia="zh-CN"/>
        </w:rPr>
        <w:t>kV</w:t>
      </w:r>
      <w:r>
        <w:rPr>
          <w:rFonts w:hint="eastAsia" w:ascii="宋体" w:hAnsi="宋体" w:cs="宋体"/>
          <w:color w:val="auto"/>
          <w:sz w:val="24"/>
          <w:szCs w:val="24"/>
          <w:highlight w:val="none"/>
          <w:u w:val="single"/>
        </w:rPr>
        <w:t>供配电工程范围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③在供配电工程实施前期准备阶段、实施阶段、正式送电阶段，负责办理过程中涉及各相关主管部门的报批、报建、报验、专项检测、调试和联合试运转、送电方案报审手续及沟通协调工作，并承担相关费用；</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④</w:t>
      </w:r>
      <w:r>
        <w:rPr>
          <w:rFonts w:hint="eastAsia" w:ascii="宋体" w:hAnsi="宋体" w:cs="宋体"/>
          <w:color w:val="auto"/>
          <w:sz w:val="24"/>
          <w:szCs w:val="24"/>
          <w:highlight w:val="none"/>
          <w:u w:val="single"/>
        </w:rPr>
        <w:t>确保供配电工程实施过程的安全文明施工；确保按时、按质、按量完成建设；确保按供电部门要求通过竣工验收，并达到送电要求；</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⑤</w:t>
      </w:r>
      <w:r>
        <w:rPr>
          <w:rFonts w:hint="eastAsia" w:ascii="宋体" w:hAnsi="宋体" w:cs="宋体"/>
          <w:color w:val="auto"/>
          <w:sz w:val="24"/>
          <w:szCs w:val="24"/>
          <w:highlight w:val="none"/>
          <w:u w:val="single"/>
        </w:rPr>
        <w:t>及时按要求组织项目建设结算及资料整理；</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⑥</w:t>
      </w:r>
      <w:r>
        <w:rPr>
          <w:rFonts w:hint="eastAsia" w:ascii="宋体" w:hAnsi="宋体" w:cs="宋体"/>
          <w:color w:val="auto"/>
          <w:sz w:val="24"/>
          <w:szCs w:val="24"/>
          <w:highlight w:val="none"/>
          <w:u w:val="single"/>
        </w:rPr>
        <w:t>运行维护管理；</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⑦</w:t>
      </w:r>
      <w:r>
        <w:rPr>
          <w:rFonts w:hint="eastAsia" w:ascii="宋体" w:hAnsi="宋体" w:cs="宋体"/>
          <w:color w:val="auto"/>
          <w:sz w:val="24"/>
          <w:szCs w:val="24"/>
          <w:highlight w:val="none"/>
          <w:u w:val="single"/>
        </w:rPr>
        <w:t>质保期售后服务。</w:t>
      </w:r>
    </w:p>
    <w:p>
      <w:pPr>
        <w:spacing w:line="360" w:lineRule="auto"/>
        <w:ind w:firstLine="480" w:firstLineChars="200"/>
        <w:rPr>
          <w:rFonts w:hint="eastAsia" w:ascii="宋体" w:hAnsi="宋体" w:cs="宋体"/>
          <w:color w:val="auto"/>
          <w:sz w:val="24"/>
          <w:szCs w:val="24"/>
          <w:highlight w:val="none"/>
          <w:u w:val="single"/>
          <w:lang w:bidi="ar"/>
        </w:rPr>
      </w:pPr>
      <w:r>
        <w:rPr>
          <w:rFonts w:hint="eastAsia" w:ascii="宋体" w:hAnsi="宋体" w:cs="宋体"/>
          <w:color w:val="auto"/>
          <w:sz w:val="24"/>
          <w:szCs w:val="24"/>
          <w:highlight w:val="none"/>
          <w:u w:val="single"/>
        </w:rPr>
        <w:t>（2）承包方式：</w:t>
      </w:r>
      <w:r>
        <w:rPr>
          <w:rFonts w:hint="eastAsia" w:ascii="宋体" w:hAnsi="宋体" w:cs="宋体"/>
          <w:color w:val="auto"/>
          <w:sz w:val="24"/>
          <w:szCs w:val="24"/>
          <w:highlight w:val="none"/>
          <w:u w:val="single"/>
          <w:lang w:bidi="ar"/>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招标文件施工合同约定的计价方式进行计价和结算。</w:t>
      </w:r>
    </w:p>
    <w:p>
      <w:pPr>
        <w:pStyle w:val="7"/>
        <w:rPr>
          <w:rFonts w:hint="eastAsia"/>
          <w:color w:val="auto"/>
          <w:highlight w:val="none"/>
        </w:rPr>
      </w:pPr>
    </w:p>
    <w:p>
      <w:pPr>
        <w:widowControl/>
        <w:topLinePunct/>
        <w:adjustRightInd w:val="0"/>
        <w:snapToGrid w:val="0"/>
        <w:spacing w:line="360" w:lineRule="auto"/>
        <w:jc w:val="left"/>
        <w:rPr>
          <w:rFonts w:hint="eastAsia" w:ascii="宋体" w:hAnsi="宋体"/>
          <w:b/>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（三）项目现状</w:t>
      </w:r>
      <w:r>
        <w:rPr>
          <w:rFonts w:ascii="宋体" w:hAnsi="宋体"/>
          <w:b/>
          <w:snapToGrid w:val="0"/>
          <w:color w:val="auto"/>
          <w:spacing w:val="4"/>
          <w:kern w:val="0"/>
          <w:sz w:val="24"/>
          <w:szCs w:val="24"/>
          <w:highlight w:val="none"/>
        </w:rPr>
        <w:tab/>
      </w:r>
    </w:p>
    <w:p>
      <w:pPr>
        <w:widowControl/>
        <w:topLinePunct/>
        <w:adjustRightInd w:val="0"/>
        <w:snapToGrid w:val="0"/>
        <w:spacing w:line="360" w:lineRule="auto"/>
        <w:ind w:firstLine="496" w:firstLineChars="200"/>
        <w:jc w:val="left"/>
        <w:rPr>
          <w:rFonts w:hint="eastAsia"/>
          <w:snapToGrid w:val="0"/>
          <w:color w:val="auto"/>
          <w:spacing w:val="4"/>
          <w:kern w:val="0"/>
          <w:sz w:val="24"/>
          <w:szCs w:val="24"/>
          <w:highlight w:val="none"/>
        </w:rPr>
      </w:pPr>
      <w:r>
        <w:rPr>
          <w:rFonts w:hint="eastAsia"/>
          <w:snapToGrid w:val="0"/>
          <w:color w:val="auto"/>
          <w:spacing w:val="4"/>
          <w:kern w:val="0"/>
          <w:sz w:val="24"/>
          <w:szCs w:val="24"/>
          <w:highlight w:val="none"/>
        </w:rPr>
        <w:t>1、参建单位</w:t>
      </w:r>
    </w:p>
    <w:p>
      <w:pPr>
        <w:ind w:firstLine="496" w:firstLineChars="200"/>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建设单位：广州市重点公共建设项目管理中心</w:t>
      </w:r>
    </w:p>
    <w:p>
      <w:pPr>
        <w:tabs>
          <w:tab w:val="center" w:pos="4819"/>
        </w:tabs>
        <w:spacing w:line="360" w:lineRule="auto"/>
        <w:ind w:firstLine="496" w:firstLineChars="200"/>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设计单位：华南理工大学建筑设计研究院有限公司</w:t>
      </w:r>
    </w:p>
    <w:p>
      <w:pPr>
        <w:widowControl/>
        <w:topLinePunct/>
        <w:adjustRightInd w:val="0"/>
        <w:snapToGrid w:val="0"/>
        <w:spacing w:line="360" w:lineRule="auto"/>
        <w:ind w:firstLine="496" w:firstLineChars="200"/>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监理单位：广东工程建设监理有限公司</w:t>
      </w:r>
    </w:p>
    <w:p>
      <w:pPr>
        <w:widowControl/>
        <w:topLinePunct/>
        <w:adjustRightInd w:val="0"/>
        <w:snapToGrid w:val="0"/>
        <w:spacing w:line="360" w:lineRule="auto"/>
        <w:ind w:firstLine="496" w:firstLineChars="200"/>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2、施工进度</w:t>
      </w:r>
    </w:p>
    <w:p>
      <w:pPr>
        <w:ind w:firstLine="480" w:firstLineChars="200"/>
        <w:rPr>
          <w:rFonts w:hint="eastAsia"/>
          <w:color w:val="auto"/>
          <w:sz w:val="24"/>
          <w:szCs w:val="24"/>
          <w:highlight w:val="none"/>
        </w:rPr>
      </w:pPr>
      <w:r>
        <w:rPr>
          <w:rFonts w:hint="eastAsia"/>
          <w:color w:val="auto"/>
          <w:sz w:val="24"/>
          <w:szCs w:val="24"/>
          <w:highlight w:val="none"/>
        </w:rPr>
        <w:t>目前正在进行主体结构施工。</w:t>
      </w:r>
    </w:p>
    <w:p>
      <w:pPr>
        <w:pStyle w:val="7"/>
        <w:rPr>
          <w:rFonts w:hint="eastAsia"/>
          <w:color w:val="auto"/>
          <w:highlight w:val="none"/>
        </w:rPr>
      </w:pPr>
    </w:p>
    <w:p>
      <w:pPr>
        <w:widowControl/>
        <w:topLinePunct/>
        <w:adjustRightInd w:val="0"/>
        <w:snapToGrid w:val="0"/>
        <w:spacing w:line="360" w:lineRule="auto"/>
        <w:jc w:val="left"/>
        <w:rPr>
          <w:rFonts w:hint="eastAsia" w:ascii="宋体" w:hAnsi="宋体"/>
          <w:b/>
          <w:snapToGrid w:val="0"/>
          <w:color w:val="auto"/>
          <w:spacing w:val="4"/>
          <w:kern w:val="0"/>
          <w:sz w:val="24"/>
          <w:szCs w:val="24"/>
          <w:highlight w:val="none"/>
        </w:rPr>
      </w:pPr>
      <w:r>
        <w:rPr>
          <w:rFonts w:hint="eastAsia" w:ascii="宋体" w:hAnsi="宋体"/>
          <w:b/>
          <w:snapToGrid w:val="0"/>
          <w:color w:val="auto"/>
          <w:spacing w:val="4"/>
          <w:kern w:val="0"/>
          <w:sz w:val="24"/>
          <w:szCs w:val="24"/>
          <w:highlight w:val="none"/>
        </w:rPr>
        <w:t>（四）本次招标内容与相关各专业工程的界面</w:t>
      </w:r>
    </w:p>
    <w:p>
      <w:pPr>
        <w:topLinePunct/>
        <w:adjustRightInd w:val="0"/>
        <w:snapToGrid w:val="0"/>
        <w:spacing w:line="360" w:lineRule="auto"/>
        <w:ind w:firstLine="512"/>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1.高、低压电房、开关房、专变房土建以结构层为界，变电站至开关房红线内电力走廊的土建工程,房内装修工程和照明（包括批荡层、找平层、门、窗、排气扇及电房辅助设备）、设备基础、防雷接地</w:t>
      </w:r>
      <w:r>
        <w:rPr>
          <w:rFonts w:ascii="宋体" w:hAnsi="宋体" w:eastAsia="宋体" w:cs="宋体"/>
          <w:color w:val="auto"/>
          <w:sz w:val="24"/>
          <w:szCs w:val="24"/>
          <w:highlight w:val="none"/>
        </w:rPr>
        <w:t>引出点</w:t>
      </w:r>
      <w:r>
        <w:rPr>
          <w:rFonts w:hint="eastAsia" w:ascii="宋体" w:hAnsi="宋体" w:cs="仿宋"/>
          <w:snapToGrid w:val="0"/>
          <w:color w:val="auto"/>
          <w:spacing w:val="4"/>
          <w:kern w:val="0"/>
          <w:sz w:val="24"/>
          <w:szCs w:val="24"/>
          <w:highlight w:val="none"/>
        </w:rPr>
        <w:t>之后的防雷接地由10kv供配电工程单位实施。</w:t>
      </w:r>
    </w:p>
    <w:p>
      <w:pPr>
        <w:topLinePunct/>
        <w:adjustRightInd w:val="0"/>
        <w:snapToGrid w:val="0"/>
        <w:spacing w:line="360" w:lineRule="auto"/>
        <w:ind w:firstLine="512"/>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2.供配电设备安装及电缆安装以低压柜出线端为界，低压柜前（含柜）至供电单位接驳点由外电单位实施。电房内电气部分以电房配电箱为界，配电箱（含配电箱）之后至电房内属于10kv供配电工程单位施工。</w:t>
      </w:r>
    </w:p>
    <w:p>
      <w:pPr>
        <w:topLinePunct/>
        <w:adjustRightInd w:val="0"/>
        <w:snapToGrid w:val="0"/>
        <w:spacing w:line="360" w:lineRule="auto"/>
        <w:ind w:firstLine="512"/>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3.电力监控系统由外电单位实施。</w:t>
      </w:r>
    </w:p>
    <w:p>
      <w:pPr>
        <w:topLinePunct/>
        <w:adjustRightInd w:val="0"/>
        <w:snapToGrid w:val="0"/>
        <w:spacing w:line="360" w:lineRule="auto"/>
        <w:ind w:firstLine="512"/>
        <w:jc w:val="left"/>
        <w:rPr>
          <w:rFonts w:hint="eastAsia" w:ascii="宋体" w:hAnsi="宋体" w:cs="仿宋"/>
          <w:snapToGrid w:val="0"/>
          <w:color w:val="auto"/>
          <w:spacing w:val="4"/>
          <w:kern w:val="0"/>
          <w:sz w:val="24"/>
          <w:szCs w:val="24"/>
          <w:highlight w:val="none"/>
        </w:rPr>
      </w:pPr>
      <w:r>
        <w:rPr>
          <w:rFonts w:hint="eastAsia" w:ascii="宋体" w:hAnsi="宋体" w:cs="仿宋"/>
          <w:snapToGrid w:val="0"/>
          <w:color w:val="auto"/>
          <w:spacing w:val="4"/>
          <w:kern w:val="0"/>
          <w:sz w:val="24"/>
          <w:szCs w:val="24"/>
          <w:highlight w:val="none"/>
        </w:rPr>
        <w:t>4.本次按施工专业承包进行招标，仅包含广州市残疾人托养中心(星安居)项目外电工程的施工内容。以低压柜的出线端为界，项目区域红线内低压配电柜以后的动力配电及照明系统均由房建总包实施。</w:t>
      </w:r>
    </w:p>
    <w:p>
      <w:pPr>
        <w:pStyle w:val="7"/>
        <w:rPr>
          <w:rFonts w:hint="eastAsia"/>
          <w:color w:val="auto"/>
          <w:highlight w:val="none"/>
        </w:rPr>
      </w:pPr>
    </w:p>
    <w:p>
      <w:pPr>
        <w:pStyle w:val="4"/>
        <w:spacing w:line="360" w:lineRule="auto"/>
        <w:rPr>
          <w:rFonts w:hint="eastAsia"/>
          <w:color w:val="auto"/>
          <w:sz w:val="30"/>
          <w:szCs w:val="30"/>
          <w:highlight w:val="none"/>
        </w:rPr>
      </w:pPr>
      <w:r>
        <w:rPr>
          <w:rFonts w:hint="eastAsia"/>
          <w:color w:val="auto"/>
          <w:sz w:val="30"/>
          <w:szCs w:val="30"/>
          <w:highlight w:val="none"/>
        </w:rPr>
        <w:t>二、项目管理目标</w:t>
      </w:r>
    </w:p>
    <w:p>
      <w:pPr>
        <w:pStyle w:val="5"/>
        <w:spacing w:line="360" w:lineRule="auto"/>
        <w:rPr>
          <w:rFonts w:hint="eastAsia" w:cs="仿宋"/>
          <w:snapToGrid w:val="0"/>
          <w:color w:val="auto"/>
          <w:spacing w:val="4"/>
          <w:sz w:val="24"/>
          <w:szCs w:val="24"/>
          <w:highlight w:val="none"/>
        </w:rPr>
      </w:pPr>
      <w:r>
        <w:rPr>
          <w:rFonts w:hint="eastAsia" w:cs="仿宋"/>
          <w:snapToGrid w:val="0"/>
          <w:color w:val="auto"/>
          <w:spacing w:val="4"/>
          <w:sz w:val="24"/>
          <w:szCs w:val="24"/>
          <w:highlight w:val="none"/>
        </w:rPr>
        <w:t>（一）工期进度目标</w:t>
      </w:r>
    </w:p>
    <w:p>
      <w:pPr>
        <w:pStyle w:val="32"/>
        <w:ind w:firstLine="496"/>
        <w:rPr>
          <w:rFonts w:hint="eastAsia" w:ascii="宋体" w:hAnsi="宋体" w:eastAsia="宋体" w:cs="仿宋"/>
          <w:color w:val="auto"/>
          <w:kern w:val="0"/>
          <w:highlight w:val="none"/>
        </w:rPr>
      </w:pPr>
      <w:r>
        <w:rPr>
          <w:rFonts w:hint="eastAsia" w:ascii="宋体" w:hAnsi="宋体" w:eastAsia="宋体" w:cs="仿宋"/>
          <w:color w:val="auto"/>
          <w:kern w:val="0"/>
          <w:highlight w:val="none"/>
        </w:rPr>
        <w:t>本工程总工期为</w:t>
      </w:r>
      <w:r>
        <w:rPr>
          <w:rFonts w:hint="eastAsia" w:ascii="宋体" w:hAnsi="宋体" w:eastAsia="宋体" w:cs="仿宋"/>
          <w:color w:val="auto"/>
          <w:kern w:val="0"/>
          <w:highlight w:val="none"/>
          <w:lang w:val="en-US" w:eastAsia="zh-CN"/>
        </w:rPr>
        <w:t xml:space="preserve"> 180 </w:t>
      </w:r>
      <w:r>
        <w:rPr>
          <w:rFonts w:hint="eastAsia" w:ascii="宋体" w:hAnsi="宋体" w:eastAsia="宋体" w:cs="仿宋"/>
          <w:color w:val="auto"/>
          <w:kern w:val="0"/>
          <w:highlight w:val="none"/>
        </w:rPr>
        <w:t>个日历天，计划2024年</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6 </w:t>
      </w:r>
      <w:r>
        <w:rPr>
          <w:rFonts w:hint="eastAsia" w:ascii="宋体" w:hAnsi="宋体" w:eastAsia="宋体" w:cs="仿宋"/>
          <w:color w:val="auto"/>
          <w:kern w:val="0"/>
          <w:highlight w:val="none"/>
        </w:rPr>
        <w:t>月</w:t>
      </w:r>
      <w:r>
        <w:rPr>
          <w:rFonts w:hint="eastAsia" w:ascii="宋体" w:hAnsi="宋体" w:eastAsia="宋体" w:cs="仿宋"/>
          <w:color w:val="auto"/>
          <w:kern w:val="0"/>
          <w:highlight w:val="none"/>
          <w:lang w:val="en-US" w:eastAsia="zh-CN"/>
        </w:rPr>
        <w:t xml:space="preserve"> 1 </w:t>
      </w:r>
      <w:r>
        <w:rPr>
          <w:rFonts w:hint="eastAsia" w:ascii="宋体" w:hAnsi="宋体" w:eastAsia="宋体" w:cs="仿宋"/>
          <w:color w:val="auto"/>
          <w:kern w:val="0"/>
          <w:highlight w:val="none"/>
        </w:rPr>
        <w:t>日开工，2024年</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11 </w:t>
      </w:r>
      <w:r>
        <w:rPr>
          <w:rFonts w:hint="eastAsia" w:ascii="宋体" w:hAnsi="宋体" w:eastAsia="宋体" w:cs="仿宋"/>
          <w:color w:val="auto"/>
          <w:kern w:val="0"/>
          <w:highlight w:val="none"/>
        </w:rPr>
        <w:t>月</w:t>
      </w:r>
      <w:r>
        <w:rPr>
          <w:rFonts w:hint="eastAsia" w:ascii="宋体" w:hAnsi="宋体" w:eastAsia="宋体" w:cs="仿宋"/>
          <w:color w:val="auto"/>
          <w:kern w:val="0"/>
          <w:highlight w:val="none"/>
          <w:lang w:eastAsia="zh-CN"/>
        </w:rPr>
        <w:t xml:space="preserve"> </w:t>
      </w:r>
      <w:r>
        <w:rPr>
          <w:rFonts w:hint="eastAsia" w:ascii="宋体" w:hAnsi="宋体" w:eastAsia="宋体" w:cs="仿宋"/>
          <w:color w:val="auto"/>
          <w:kern w:val="0"/>
          <w:highlight w:val="none"/>
          <w:lang w:val="en-US" w:eastAsia="zh-CN"/>
        </w:rPr>
        <w:t xml:space="preserve">27 </w:t>
      </w:r>
      <w:r>
        <w:rPr>
          <w:rFonts w:hint="eastAsia" w:ascii="宋体" w:hAnsi="宋体" w:eastAsia="宋体" w:cs="仿宋"/>
          <w:color w:val="auto"/>
          <w:kern w:val="0"/>
          <w:highlight w:val="none"/>
        </w:rPr>
        <w:t>日竣工，具体开工日期以总监理工程师发出的开工令为准。</w:t>
      </w:r>
    </w:p>
    <w:p>
      <w:pPr>
        <w:pStyle w:val="5"/>
        <w:spacing w:line="360" w:lineRule="auto"/>
        <w:rPr>
          <w:rFonts w:hint="eastAsia" w:cs="仿宋"/>
          <w:snapToGrid w:val="0"/>
          <w:color w:val="auto"/>
          <w:spacing w:val="4"/>
          <w:sz w:val="24"/>
          <w:szCs w:val="24"/>
          <w:highlight w:val="none"/>
        </w:rPr>
      </w:pPr>
      <w:r>
        <w:rPr>
          <w:rFonts w:hint="eastAsia" w:cs="仿宋"/>
          <w:snapToGrid w:val="0"/>
          <w:color w:val="auto"/>
          <w:spacing w:val="4"/>
          <w:sz w:val="24"/>
          <w:szCs w:val="24"/>
          <w:highlight w:val="none"/>
        </w:rPr>
        <w:t>（二）质量目标</w:t>
      </w:r>
    </w:p>
    <w:p>
      <w:pPr>
        <w:pStyle w:val="32"/>
        <w:ind w:firstLine="496"/>
        <w:rPr>
          <w:rFonts w:hint="eastAsia" w:ascii="宋体" w:hAnsi="宋体" w:eastAsia="宋体" w:cs="仿宋"/>
          <w:color w:val="auto"/>
          <w:kern w:val="0"/>
          <w:highlight w:val="none"/>
        </w:rPr>
      </w:pPr>
      <w:r>
        <w:rPr>
          <w:rFonts w:hint="eastAsia" w:ascii="宋体" w:hAnsi="宋体" w:eastAsia="宋体" w:cs="仿宋"/>
          <w:color w:val="auto"/>
          <w:kern w:val="0"/>
          <w:highlight w:val="none"/>
        </w:rPr>
        <w:t>一次竣工验收合格，且达到供电部门验收要求。</w:t>
      </w:r>
    </w:p>
    <w:p>
      <w:pPr>
        <w:pStyle w:val="5"/>
        <w:spacing w:line="360" w:lineRule="auto"/>
        <w:rPr>
          <w:rFonts w:hint="eastAsia" w:cs="仿宋"/>
          <w:snapToGrid w:val="0"/>
          <w:color w:val="auto"/>
          <w:spacing w:val="4"/>
          <w:sz w:val="24"/>
          <w:szCs w:val="24"/>
          <w:highlight w:val="none"/>
        </w:rPr>
      </w:pPr>
      <w:r>
        <w:rPr>
          <w:rFonts w:hint="eastAsia" w:cs="仿宋"/>
          <w:snapToGrid w:val="0"/>
          <w:color w:val="auto"/>
          <w:spacing w:val="4"/>
          <w:sz w:val="24"/>
          <w:szCs w:val="24"/>
          <w:highlight w:val="none"/>
        </w:rPr>
        <w:t>（三）安全、文明施工目标</w:t>
      </w:r>
    </w:p>
    <w:p>
      <w:pPr>
        <w:pStyle w:val="32"/>
        <w:ind w:firstLine="496"/>
        <w:rPr>
          <w:rFonts w:hint="eastAsia" w:ascii="宋体" w:hAnsi="宋体" w:eastAsia="宋体" w:cs="仿宋"/>
          <w:color w:val="auto"/>
          <w:kern w:val="0"/>
          <w:highlight w:val="none"/>
        </w:rPr>
      </w:pPr>
      <w:r>
        <w:rPr>
          <w:rFonts w:hint="eastAsia" w:ascii="宋体" w:hAnsi="宋体" w:eastAsia="宋体" w:cs="仿宋"/>
          <w:color w:val="auto"/>
          <w:kern w:val="0"/>
          <w:highlight w:val="none"/>
        </w:rPr>
        <w:t>职业健康安全管理目标：杜绝发生一般事故等级及以上的伤亡事故且工伤责任事故死亡人数为零。</w:t>
      </w:r>
    </w:p>
    <w:p>
      <w:pPr>
        <w:pStyle w:val="32"/>
        <w:ind w:firstLine="496"/>
        <w:rPr>
          <w:rFonts w:hint="eastAsia" w:ascii="宋体" w:hAnsi="宋体" w:eastAsia="宋体" w:cs="仿宋"/>
          <w:color w:val="auto"/>
          <w:kern w:val="0"/>
          <w:highlight w:val="none"/>
        </w:rPr>
      </w:pPr>
      <w:r>
        <w:rPr>
          <w:rFonts w:hint="eastAsia" w:ascii="宋体" w:hAnsi="宋体" w:eastAsia="宋体" w:cs="仿宋"/>
          <w:color w:val="auto"/>
          <w:kern w:val="0"/>
          <w:highlight w:val="none"/>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局等8部门关于印发广州市建设工程扬尘防治“6个100%”管理标准图集（V2.0版）的通知》、《广州市住房和城乡建设委员会关于印发建设工程扬尘防治“6个100%”管理标准细化措施的通知》（穗建质〔2018〕1394号）、《广州市住房和城乡建设局关于印发广州市房屋建筑工程安全防护指导图集（防高坠篇）的通知》、广州市住房和城乡建设局关于印发广州市建设工程安全文明施工规程（试行版）的通知（穗建质〔2021) 316 号）和广州市住房和城乡建设局等9部门关于印发广州市建设工程绿色施工围蔽指导图集（V2.0版）的通知（穗建质〔2020〕1号）等国家、省、市现行标准、规定和文件要求，确保噪声污染、扬尘污染等环境污染问题零投诉。</w:t>
      </w:r>
    </w:p>
    <w:p>
      <w:pPr>
        <w:pStyle w:val="32"/>
        <w:ind w:firstLine="496"/>
        <w:rPr>
          <w:rFonts w:hint="eastAsia" w:ascii="宋体" w:hAnsi="宋体" w:eastAsia="宋体" w:cs="仿宋"/>
          <w:strike/>
          <w:color w:val="auto"/>
          <w:kern w:val="0"/>
          <w:highlight w:val="none"/>
        </w:rPr>
      </w:pPr>
    </w:p>
    <w:p>
      <w:pPr>
        <w:pStyle w:val="4"/>
        <w:spacing w:line="360" w:lineRule="auto"/>
        <w:rPr>
          <w:rFonts w:hint="eastAsia"/>
          <w:color w:val="auto"/>
          <w:sz w:val="30"/>
          <w:szCs w:val="30"/>
          <w:highlight w:val="none"/>
        </w:rPr>
      </w:pPr>
      <w:r>
        <w:rPr>
          <w:rFonts w:hint="eastAsia"/>
          <w:color w:val="auto"/>
          <w:sz w:val="30"/>
          <w:szCs w:val="30"/>
          <w:highlight w:val="none"/>
        </w:rPr>
        <w:t>三、项目管理重点、难点</w:t>
      </w:r>
    </w:p>
    <w:p>
      <w:pPr>
        <w:pStyle w:val="5"/>
        <w:spacing w:line="360" w:lineRule="auto"/>
        <w:rPr>
          <w:rFonts w:hint="eastAsia"/>
          <w:color w:val="auto"/>
          <w:sz w:val="24"/>
          <w:szCs w:val="24"/>
          <w:highlight w:val="none"/>
        </w:rPr>
      </w:pPr>
      <w:r>
        <w:rPr>
          <w:rFonts w:hint="eastAsia"/>
          <w:color w:val="auto"/>
          <w:sz w:val="24"/>
          <w:szCs w:val="24"/>
          <w:highlight w:val="none"/>
        </w:rPr>
        <w:t>（一）项目管理重点</w:t>
      </w:r>
    </w:p>
    <w:p>
      <w:pPr>
        <w:spacing w:line="360" w:lineRule="auto"/>
        <w:ind w:firstLine="480" w:firstLineChars="200"/>
        <w:rPr>
          <w:rFonts w:hint="eastAsia"/>
          <w:color w:val="auto"/>
          <w:sz w:val="24"/>
          <w:highlight w:val="none"/>
        </w:rPr>
      </w:pPr>
      <w:r>
        <w:rPr>
          <w:rFonts w:hint="eastAsia"/>
          <w:color w:val="auto"/>
          <w:sz w:val="24"/>
          <w:highlight w:val="none"/>
        </w:rPr>
        <w:t>1、由于变压器、高压设备等有关设备是确保供电运行的关键，因此如何做好核心设备的看样定板与按时供货是本项目管理重点。</w:t>
      </w:r>
    </w:p>
    <w:p>
      <w:pPr>
        <w:spacing w:line="360" w:lineRule="auto"/>
        <w:ind w:firstLine="480" w:firstLineChars="200"/>
        <w:rPr>
          <w:rFonts w:hint="eastAsia"/>
          <w:color w:val="auto"/>
          <w:sz w:val="24"/>
          <w:highlight w:val="none"/>
        </w:rPr>
      </w:pPr>
      <w:r>
        <w:rPr>
          <w:rFonts w:hint="eastAsia"/>
          <w:color w:val="auto"/>
          <w:sz w:val="24"/>
          <w:highlight w:val="none"/>
        </w:rPr>
        <w:t>2、由于该项目是专业工程承包，因此设计与施工的配合，承包人与供电部门的沟通协调为项目管理重点。</w:t>
      </w:r>
    </w:p>
    <w:p>
      <w:pPr>
        <w:pStyle w:val="5"/>
        <w:spacing w:line="360" w:lineRule="auto"/>
        <w:rPr>
          <w:rFonts w:hint="eastAsia"/>
          <w:color w:val="auto"/>
          <w:sz w:val="24"/>
          <w:szCs w:val="24"/>
          <w:highlight w:val="none"/>
        </w:rPr>
      </w:pPr>
      <w:r>
        <w:rPr>
          <w:rFonts w:hint="eastAsia"/>
          <w:color w:val="auto"/>
          <w:sz w:val="24"/>
          <w:szCs w:val="24"/>
          <w:highlight w:val="none"/>
        </w:rPr>
        <w:t>（二）项目管理难点</w:t>
      </w:r>
    </w:p>
    <w:p>
      <w:pPr>
        <w:adjustRightInd w:val="0"/>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1、</w:t>
      </w:r>
      <w:r>
        <w:rPr>
          <w:rFonts w:hint="eastAsia"/>
          <w:color w:val="auto"/>
          <w:sz w:val="24"/>
          <w:highlight w:val="none"/>
        </w:rPr>
        <w:t>由于供电工程专业性质较强，各种报批报建、报验手续涉及部门多，前置条件及制约因素多且难以预见，因此承包人进场后应及时完成各项报批报建手续，并在实施过程中及时有效组织运行调试、检测、报验工作。其中，确保供电部分竣工验收合格并做到准时送电是本项目的一个难点</w:t>
      </w:r>
      <w:r>
        <w:rPr>
          <w:rFonts w:hint="eastAsia"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color w:val="auto"/>
          <w:sz w:val="24"/>
          <w:highlight w:val="none"/>
        </w:rPr>
        <w:t>对于已安装于工程上的贵重半成品、成品的保护（防盗、防损坏）是承包人应考虑的难点问题，承包人应设置半成品、成品保护小组，24小时进行巡视看护。</w:t>
      </w:r>
    </w:p>
    <w:p>
      <w:pPr>
        <w:pStyle w:val="4"/>
        <w:spacing w:line="360" w:lineRule="auto"/>
        <w:rPr>
          <w:rFonts w:hint="eastAsia"/>
          <w:color w:val="auto"/>
          <w:highlight w:val="none"/>
        </w:rPr>
      </w:pPr>
      <w:r>
        <w:rPr>
          <w:rFonts w:hint="eastAsia"/>
          <w:color w:val="auto"/>
          <w:sz w:val="30"/>
          <w:szCs w:val="30"/>
          <w:highlight w:val="none"/>
        </w:rPr>
        <w:t>四、项目管理要求</w:t>
      </w:r>
    </w:p>
    <w:p>
      <w:pPr>
        <w:pStyle w:val="32"/>
        <w:ind w:firstLine="482"/>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（一）总平面管理要求</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1.承包人进场后，编制总平面布置方案，对场地内临时设施布置、进出入口布置、临时材料堆场、进出道路布置、临水、临电布置等均需按总平面管理要求执行。</w:t>
      </w:r>
    </w:p>
    <w:p>
      <w:pPr>
        <w:pStyle w:val="32"/>
        <w:ind w:firstLine="482"/>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（二）临时设施布置要求</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由于本项目红线范围内已由总承包单位开展施工工作，可利用场地有限，承包人进场后应根据实际需求考虑临时设施搭设，若现有场地无法满足承包人临时设施搭设，则承包人必须采取其他措施以满足施工人员办公、住宿场地需求。所产生的费用包含在本次招标费用中，请承包人予以考虑。</w:t>
      </w:r>
    </w:p>
    <w:p>
      <w:pPr>
        <w:pStyle w:val="32"/>
        <w:ind w:firstLine="482"/>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（三）图纸深化设计管理要求</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承包人需要对施工图进行深化设计，深化设计图需要原设计单位确认；深化设计单位需要建设单位批准确定。</w:t>
      </w:r>
    </w:p>
    <w:p>
      <w:pPr>
        <w:pStyle w:val="32"/>
        <w:ind w:firstLine="482"/>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（四）进度管理要求</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承包人进场前应根据招标图纸、项目管理要求、现场踏勘情况、市场情况，梳理制约因素，提出解决方案。如工程具备开工条件，承包人应就全面开工或局部开工的实际条件，合理安排相匹配的人员、材料、机械设备进场，对于大型机械设备还须报监理人、发包人批准进场方案后方能进场；如工程不具备开工条件，承包人应在收到发包人进场通知后5天内以书面形式向发包人提出延期进场的要求并说明理由，报监理单位和发包人批准后方可延期进场，否则发包人不承担由此造成承包人的损失。</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2.本工程工期较紧，要求承包人须认真做好施工计划，按图纸要求提前备好工程所需土建、设备等材料，并保证足够的人员投入。务必按时按质完成施工任务。</w:t>
      </w:r>
    </w:p>
    <w:p>
      <w:pPr>
        <w:pStyle w:val="32"/>
        <w:ind w:firstLine="482"/>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（五）质量管理要求</w:t>
      </w:r>
    </w:p>
    <w:p>
      <w:pPr>
        <w:numPr>
          <w:ilvl w:val="0"/>
          <w:numId w:val="5"/>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要求施工单位按照（GB/T 19001-2008）《质量管理体系要求》，以及市重点项目管理中心质量管理规定的要求，建立和健全质量管理体系，设立质量管理专职机构，配备满足规定要求的专职管理人员。</w:t>
      </w:r>
    </w:p>
    <w:p>
      <w:pPr>
        <w:numPr>
          <w:ilvl w:val="0"/>
          <w:numId w:val="5"/>
        </w:numPr>
        <w:tabs>
          <w:tab w:val="left" w:pos="0"/>
          <w:tab w:val="clear" w:pos="1478"/>
        </w:tabs>
        <w:adjustRightInd w:val="0"/>
        <w:snapToGrid w:val="0"/>
        <w:spacing w:line="360" w:lineRule="auto"/>
        <w:ind w:left="0"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要求施工单位严格按《广州市重点公共建设项目管理办公室建设项目工程质量样板引路实施细则》（修订）的要求，建立工序质量样板，在工序样板引路的基础上，实施分项分部子单位样板引路。</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3．承包人投入的施工作业人员必须具备相应的上岗证，如特种人员，还须具备特种人员作业证书，以确保施工质量。所有人员必须带证上岗，随时接受发包人、监理人检查，否则按合同约定承担违约责任。</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4、施工方案进行审查后方可实施，施工单位必须严格按照施工方案及相关规范进行施工。</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建立完整的质量保证体系，委派专人负责工程质量管理，现场管理机构、工区（段）设有专职质检人员，班组设质检员、安全员，必须附有项目架构人员名单，各类人员必须持有上岗资格证，于本合同签订后5天内将上述人员报总监理工程师备查，承包人还应建立并完善各项目质量管理检查制度及企业质量管理文件等，同时，承包人应积极配合工程质量第三方检测工作。</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7、单项工程开工前，承包人必须按要求对职工分级进行技术交底，组织学习有关规程、标准、规范和工艺要求（规程包括但不限于施工企业标准和作业指导书），在施工中必须按规程及工艺进行操作。</w:t>
      </w:r>
    </w:p>
    <w:p>
      <w:pPr>
        <w:tabs>
          <w:tab w:val="left" w:pos="142"/>
        </w:tabs>
        <w:spacing w:line="360" w:lineRule="auto"/>
        <w:ind w:left="-69" w:leftChars="-33" w:firstLine="472" w:firstLineChars="196"/>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（六）</w:t>
      </w:r>
      <w:r>
        <w:rPr>
          <w:rFonts w:hint="eastAsia" w:ascii="宋体" w:hAnsi="宋体" w:cs="宋体"/>
          <w:b/>
          <w:color w:val="auto"/>
          <w:kern w:val="0"/>
          <w:sz w:val="24"/>
          <w:szCs w:val="24"/>
          <w:highlight w:val="none"/>
        </w:rPr>
        <w:t>安全、文明施工要求</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1.要求施工单位按照GB/T28001-2011职业健康安全管理体系要求，以及市重点项目管理中心安全管理规定的要求，建立和健全安全管理体系，设立安全管理专职机构，配备满足规定要求的专职管理人员。</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基于本项目地理位置特殊而敏感，被关注度高。要求施工单位按《广州市重点公共建设项目管理办公室建设项目环境管理规定》以及《广州市重点公共建设项目管理办公室建设项目环境管理文明施工标准》的要求，制定环境管理计划及应急处理预案。</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会封闭施工方案，确保不对周边环境、道路、行人和相邻施工现场造成不利影响。</w:t>
      </w:r>
    </w:p>
    <w:p>
      <w:pPr>
        <w:tabs>
          <w:tab w:val="left" w:pos="540"/>
        </w:tabs>
        <w:spacing w:line="360" w:lineRule="auto"/>
        <w:ind w:left="420"/>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kern w:val="0"/>
          <w:sz w:val="24"/>
          <w:szCs w:val="24"/>
          <w:highlight w:val="none"/>
        </w:rPr>
        <w:t>对材料的要求</w:t>
      </w:r>
    </w:p>
    <w:p>
      <w:pPr>
        <w:tabs>
          <w:tab w:val="left" w:pos="54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pPr>
        <w:tabs>
          <w:tab w:val="left" w:pos="54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主材若属发包人推荐品牌范围的，承包人须按发包人推荐的供货厂家进行报价。承包人必须在《主要材料设备品牌选用表》中列明所选用材料及设备的品牌、产地等，否则承包人中标后，发包人有权要求承包人按发包人的要求采购，并保留调整其材料价格的权利。</w:t>
      </w:r>
    </w:p>
    <w:p>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3、本项目主要设备材料品牌/生产厂家推荐表如下：</w:t>
      </w:r>
    </w:p>
    <w:tbl>
      <w:tblPr>
        <w:tblStyle w:val="24"/>
        <w:tblW w:w="8353" w:type="dxa"/>
        <w:tblInd w:w="93" w:type="dxa"/>
        <w:tblLayout w:type="fixed"/>
        <w:tblCellMar>
          <w:top w:w="0" w:type="dxa"/>
          <w:left w:w="108" w:type="dxa"/>
          <w:bottom w:w="0" w:type="dxa"/>
          <w:right w:w="108" w:type="dxa"/>
        </w:tblCellMar>
      </w:tblPr>
      <w:tblGrid>
        <w:gridCol w:w="876"/>
        <w:gridCol w:w="4210"/>
        <w:gridCol w:w="2175"/>
        <w:gridCol w:w="436"/>
        <w:gridCol w:w="656"/>
      </w:tblGrid>
      <w:tr>
        <w:tblPrEx>
          <w:tblCellMar>
            <w:top w:w="0" w:type="dxa"/>
            <w:left w:w="108" w:type="dxa"/>
            <w:bottom w:w="0" w:type="dxa"/>
            <w:right w:w="108" w:type="dxa"/>
          </w:tblCellMar>
        </w:tblPrEx>
        <w:trPr>
          <w:trHeight w:val="600" w:hRule="atLeast"/>
        </w:trPr>
        <w:tc>
          <w:tcPr>
            <w:tcW w:w="835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主要设备材料品牌/生产厂家推荐表</w:t>
            </w:r>
            <w:r>
              <w:rPr>
                <w:rFonts w:hint="eastAsia" w:ascii="宋体" w:hAnsi="宋体" w:eastAsia="宋体" w:cs="宋体"/>
                <w:color w:val="auto"/>
                <w:kern w:val="0"/>
                <w:sz w:val="32"/>
                <w:szCs w:val="32"/>
                <w:highlight w:val="none"/>
                <w:lang w:val="en-US" w:eastAsia="zh-CN"/>
              </w:rPr>
              <w:t>(相当于或优于）</w:t>
            </w:r>
          </w:p>
        </w:tc>
      </w:tr>
      <w:tr>
        <w:tblPrEx>
          <w:tblCellMar>
            <w:top w:w="0" w:type="dxa"/>
            <w:left w:w="108" w:type="dxa"/>
            <w:bottom w:w="0" w:type="dxa"/>
            <w:right w:w="108" w:type="dxa"/>
          </w:tblCellMar>
        </w:tblPrEx>
        <w:trPr>
          <w:trHeight w:val="495"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一、建筑装饰类</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（一）化工产品</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1、内墙涂料</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广东美涂士建材股份有限公司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美涂士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中华制漆（深圳）有限公司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菊花牌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广州立邦涂料有限公司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立邦</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三棵树涂料股份有限公司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三棵树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阿克苏诺贝尔漆油（上海）有限公司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多乐士专业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广州集泰化工股份有限公司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广州集泰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广东华润涂料有限公司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华润漆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广州市诺宝涂料有限公司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诺宝</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四国化研（上海）有限公司广州分公司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SKK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广州香海生物科技有限公司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糯米图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佛山市欧辅环保建材有限公司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PPG大师漆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固克节能科技股份有限公司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固克漆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铃鹿复合建材（上海）有限公司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铃鹿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亚士漆（上海）有限公司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亚士漆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德爱威建设工程有限公司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德爱威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嘉宝莉化工集团股份有限公司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嘉宝莉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广东乐匠新材料有限公司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乐匠</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2、地面涂料（地坪漆）</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广东美涂士建材股份有限公司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美涂士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中华制漆（深圳）有限公司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菊花牌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广州立邦涂料有限公司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立邦</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广州秀珀化工涂料有限公司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秀珀牌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三棵树涂料股份有限公司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三棵树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固克节能科技股份有限公司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固克漆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广东台实实业有限公司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台实</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广东耐迪化工有限公司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耐迪斯</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巴斯夫化学建材（中国）有限公司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巴斯夫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亚士漆（上海）有限公司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亚士漆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马贝建筑材料（广州）有限公司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马贝</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广东华润涂料有限公司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华润漆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西卡（中国）有限公司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阿克苏诺贝尔漆油（上海）有限公司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多乐士专业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二、机电材料设备类</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1、电线电缆</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广州电缆厂有限公司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双菱</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广州南洋电缆集团有限公司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NAN南牌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广州番禺电缆集团有限公司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番电/乐光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广州市新兴电缆实业有限公司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新兴</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广州市明兴电缆有限公司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明兴电缆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广州珠江电缆有限公司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花城</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广州澳通电线电缆有限公司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澳通牌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广东南缆电缆有限公司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广东思柏科技股份有限公司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思柏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江铜胜华（上海）电缆有限公司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新昕牌（胜华电缆）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2、干式变压器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海鸿升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海南金盘智能科技股份有限公司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JST</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顺特电气SUNTEN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广东明阳电气股份有限公司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明阳电气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明珠电气股份有限公司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明珠电气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广东海坤电气股份有限公司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江西明正变电设备有限公司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明正电气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江苏华辰变压器股份有限公司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华变</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广州中车骏发电气有限公司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中国中车</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广州西门子变压器有限公司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西门子能源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南京大全变压器有限公司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大全变压器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中变集团上海变压器有限公司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中变变压器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中电电气（江苏）变压器制造有限公司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中电电气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悉瑞绿色电气（苏州）有限公司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悉瑞绿电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公司原名称为：江苏大航有能输配电有限公司</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品牌原名称为：大航有能</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广州广高高压电器有限公司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3、高压柜</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厦门ABB开关有限公司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西门子中压开关技术（无锡）有限公司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SIEMENS</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广东省顺德开关厂有限公司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广州广高高压电器有限公司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上海西门子开关有限公司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江苏大全长江电器股份有限公司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大全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广东明阳电气股份有限公司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明阳电气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广州羊城电气设备有限公司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广州羊城电气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航粤智能电气股份有限公司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航粤电气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库柏（宁波）电气有限公司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COOPER</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广东海坤电气股份有限公司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厦门华电开关有限公司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Huatech</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广州南方电力集团电器有限公司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Gspe广州南方电器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深圳市宝安任达电器实业有限公司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任达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北京ABB开关有限公司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泰豪科技（深圳）电力技术有限公司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华仪电气股份有限公司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华仪电气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广东番开电气设备制造有限公司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番开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北京科锐配电自动化股份有限公司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北京科锐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宁波奥克斯高科技有限公司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奥克斯</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北京合纵科技股份有限公司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北京合纵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盛隆电气集团有限公司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盛隆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广东施富电气实业有限公司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江苏银佳企业集团有限公司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广州市天得自动化设备有限公司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天得电器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科润智能控制股份有限公司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科润智控</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江苏超宇电气有限公司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超宇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广州穗达电气有限公司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穗达电气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广东珠江开关有限公司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珠江</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广东必达电器有限公司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必达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安奕极电气工业系统（上海）有限公司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广东创亚电气集团有限公司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创亚电气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北京双杰电气股份有限公司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双杰电气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广东雅华电气有限公司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广东雅华</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广东金晖隆开关有限公司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金晖隆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镇江大全智能电气有限公司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大全智能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江苏亿能电气有限公司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华盛亿能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广东中鹏电气有限公司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广东中鹏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珠海康晋电气股份有限公司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珠海康晋</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广东华德力电气有限公司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华德力</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广东金光默勒电气有限公司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金光默勒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广东思东利电力科技有限公司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思东利</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广州市高波机电设备有限公司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广州高波</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东莞市致远机电设备工程有限公司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莞达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中山市富通电气设备有限公司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富通电气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江苏安赫电气有限公司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安赫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广东金铭利电气有限公司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金铭利电气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广东省江门市新会电气控制设备厂有限公司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新会电控</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广州雷诺尔电气有限公司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雷诺尔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环宇集团（广州）电气有限公司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环宇电气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广东省新会电器厂有限公司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顺特电气SUNTEN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4、低压柜</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广东省顺德开关厂有限公司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厦门ABB低压电器设备有限公司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广州广高高压电器有限公司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西门子工厂自动化工程有限公司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广州南方电力集团电器有限公司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Gspe广州南方电器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广东海坤电气股份有限公司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航粤智能电气股份有限公司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航粤电气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库柏（宁波）电气有限公司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COOPER</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广东明阳电气股份有限公司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明阳电气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广州羊城电气设备有限公司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广州羊城电气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镇江默勒电器有限公司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默勒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深圳市宝安任达电器实业有限公司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任达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泰豪科技（深圳）电力技术有限公司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厦门华电开关有限公司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Huatech</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广东番开电气设备制造有限公司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番开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南京大全电气有限公司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大全电气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华仪电气股份有限公司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华仪电气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深圳金奇辉电气有限公司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金奇辉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广东施富电气实业有限公司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江苏银佳企业集团有限公司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北京双杰电气股份有限公司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双杰电气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广州市天得自动化设备有限公司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天得电器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广东珠江开关有限公司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珠江</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科润智能控制股份有限公司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科润智控</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广东必达电器有限公司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必达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广东创亚电气集团有限公司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创亚电气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江苏亿能电气有限公司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华盛亿能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宁波奥克斯高科技有限公司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奥克斯</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盛隆电气集团有限公司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盛隆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江苏超宇电气有限公司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超宇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北京科锐配电自动化股份有限公司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北京科锐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广州穗达电气有限公司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穗达电气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广东中鹏电气有限公司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广东中鹏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北京合纵科技股份有限公司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北京合纵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安奕极电气工业系统（上海）有限公司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深圳市泰昂能源科技股份有限公司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泰昂</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珠海康晋电气股份有限公司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珠海康晋</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广东华德力电气有限公司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华德力</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广东康德威电气股份有限公司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康德威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镇江西门子母线有限公司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广东金泽电气（集团）有限公司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广东雅华电气有限公司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广东雅华</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广东科源电气股份有限公司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南网科源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广东求精电气有限公司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求精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江苏安赫电气有限公司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安赫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广州市盟凯电气科技有限公司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盟凯创展</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深圳市光辉电器实业有限公司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深圳光辉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广东金光默勒电气有限公司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金光默勒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中山市富通电气设备有限公司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富通电气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广东思东利电力科技有限公司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思东利</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广州市高波机电设备有限公司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广州高波</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珠海市丰兰实业有限公司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丰兰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东莞市致远机电设备工程有限公司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莞达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广东潘开电气制造有限公司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潘开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公司原名称为：广州恭硕电气设备有限公司</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品牌原名称为：恭硕</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广州雷诺尔电气有限公司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雷诺尔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广东金铭利电气有限公司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金铭利电气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广州华御电气设备有限公司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环宇集团（广州）电气有限公司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环宇电气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广州晨兴电控科技有限公司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晨兴</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广州市祥腾电气机械有限公司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广州祥腾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广州旭辉电气科技有限公司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广州旭辉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广州市番禺区华能电气设备制造有限公司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番禺华能电气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广州能迪能源科技股份有限公司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能迪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广东省江门市新会电气控制设备厂有限公司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新会电控</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顺特电气SUNTEN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广东省新会电器厂有限公司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广东金晖隆开关有限公司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金晖隆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广州市恒宇电力设备有限公司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恒宇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广东长电成套电器有限公司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长电电器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广州中科电气设备有限公司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中科电气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广州晨力发电设备科技有限公司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广州晨力</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江苏海航电气科技有限公司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江苏海航电气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广东昊宇电气自动化设备有限公司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广东昊宇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广州科铭电气设备有限公司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广州科铭电气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5、高压柜内核心元件</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1）真空断路器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厦门ABB开关有限公司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施耐德（陕西）宝光电器有限公司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施耐德宝光</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广州东芝白云电器设备有限公司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东芝</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现代重工（中国）电气有限公司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广州南方电力集团电器有限公司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Gspe广州南方电器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厦门华电开关有限公司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Huatech</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上海安奕极企业发展有限公司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广州广高高压电器有限公司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广东省顺德开关厂有限公司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库柏（宁波）电气有限公司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COOPER</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常熟开关制造有限公司（原常熟开关厂）</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2）综合继电保护装置</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西门子电力自动化有限公司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SIEMENS</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南京国电南自电网自动化有限公司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施耐德（陕西）宝光电器有限公司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施耐德宝光</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广州市扬新技术研究有限责任公司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厦门华电开关有限公司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Huatech</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广东省顺德开关厂有限公司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库柏电子科技（上海）有限公司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6、低压柜（箱）内核心元件</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1）断路器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浙江正泰电器股份有限公司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北京北元电器有限公司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北元电器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伊顿EATON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海格电气（惠州）有限公司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海格</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上海安奕极企业发展有限公司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厦门华电开关有限公司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Huatech</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浙江天正电气股份有限公司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广东省顺德开关厂有限公司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顺开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库柏（宁波）电气有限公司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COOPER</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广州南方电力集团电器有限公司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Gspe广州南方电器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现代重工（中国）电气有限公司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松下电气设备（中国)有限公司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Panasonic</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常熟开关制造有限公司（原常熟开关厂）</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西屋低压开关设备（镇江）有限公司）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Westinghouse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2）隔离开关、接触器、热继电器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施耐德万高（天津）电气设备有限公司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浙江正泰电器股份有限公司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北京北元电器有限公司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北元电器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伊顿EATON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浙江天正电气股份有限公司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上海巢安电气有限公司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巢安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现代重工（中国）电气有限公司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现代重工</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常熟开关制造有限公司（原常熟开关厂）</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3）双电源（ATS）</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施耐德万高（天津）电气设备有限公司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广州市好络电气科技有限公司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ASCO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浙江正泰电器股份有限公司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溯高美索克曼电气（上海）有限公司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溯高美索克曼SOCOMEC</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北京北元电器有限公司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北元电器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伊顿EATON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上海安奕极企业发展有限公司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广州瑞亿科技有限公司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高森GOOCIN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海格电气（惠州）有限公司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海格</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浙江天正电气股份有限公司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苏州飞腾电器有限公司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飞腾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常熟开关制造有限公司（原常熟开关厂）</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德力西电气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沈阳斯沃电器有限公司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SIWO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4）浪涌保护器及后备浪涌保护装置</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施耐德万高（天津）电气设备有限公司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欧宝电气（深圳）有限公司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OBO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浙江正泰电器股份有限公司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上海良信电器股份有限公司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Nader良信</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北京北元电器有限公司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北元电器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贵州泰永长征技术股份有限公司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泰永长征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浙江天正电气股份有限公司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广州瑞亿科技有限公司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高森GOOCIN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上海诺雅克电气有限公司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诺雅克NOARK</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厦门大恒科技有限公司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厦门大恒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常熟开关制造有限公司（原常熟开关厂）</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常熟开关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5）电容电抗、SVG</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溯高美索克曼电气（上海）有限公司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溯高美索克曼SOCOMEC</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广州瑞亿科技有限公司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高森GOOCIN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苏州工业园区苏容电气有限公司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苏容电气</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北京爱博精电科技有限公司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爱博精电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帝森克罗德集团有限公司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帝森克罗德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戴姆电气有限公司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戴姆电气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昆山博格马丁电力技术有限公司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博格马丁</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北京彼恩伊电气有限公司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北京彼恩伊</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深圳博雅电气有限公司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博雅</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柯贝尔电能质量技术（上海）有限公司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KBR</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上海杜马希电力技术有限公司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杜马希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广东德帝机电设备有限公司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德帝</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广东海坤电气股份有限公司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上海安奕极企业发展有限公司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北京英博电气股份有限公司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英博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上海铀力电气有限公司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铀力</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广东可信新能源股份有限公司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COMSON可米颂</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西安爱科赛博电气股份有限公司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爱科赛博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深圳市盛弘电气股份有限公司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盛弘电气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艾恩格电气（珠海）有限公司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艾恩格A-ENERGY</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江苏现代电力科技股份有限公司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现代电力</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上海艾临科智能科技有限公司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艾临科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深圳市粤能通科技开发有限公司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粤能通科技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阿珂法电气（广州）有限公司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阿珂法</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法拉德节能技术（北京）股份有限公司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法拉德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意鲁斯电气（北京）有限公司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意鲁斯</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上海库柏电力电容器有限公司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浙江桂容谐平科技有限责任公司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桂容谐平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捷稀科电气（上海）有限公司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ZEZSILKO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圣佩罗（杭州）电气有限公司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圣佩罗SANPERRO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6）多功能仪表</w:t>
            </w:r>
          </w:p>
        </w:tc>
        <w:tc>
          <w:tcPr>
            <w:tcW w:w="421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西门子电力自动化有限公司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SIEMENS</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溯高美索克曼电气（上海）有限公司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溯高美索克曼SOCOMEC</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广州瑞亿科技有限公司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高森GOOCIN</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南京帝森南自电气有限公司</w:t>
            </w:r>
          </w:p>
        </w:tc>
        <w:tc>
          <w:tcPr>
            <w:tcW w:w="21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帝森南自</w:t>
            </w:r>
          </w:p>
        </w:tc>
        <w:tc>
          <w:tcPr>
            <w:tcW w:w="43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上海纳宇电气有限公司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纳宇电气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北京爱博精电科技有限公司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爱博精电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南京亚派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广州柏诚智能科技有限公司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柏诚智能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深圳市中电电力技术股份有限公司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CET中电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广东雅达电子股份有限公司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YADA</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浙江天正电气股份有限公司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杭州基础创新科技有限公司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杭州基础创新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广东海坤电气股份有限公司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海坤电气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广东可信新能源股份有限公司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COMSON可米颂</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威胜信息技术股份有限公司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威胜信息</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广州市扬新技术研究有限责任公司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上海艾临科智能科技有限公司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艾临科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深圳市粤能通科技开发有限公司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粤能通科技</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上海安奕极企业发展有限公司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AEG</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沈阳斯沃电器有限公司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SIWO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库柏电子科技（上海）有限公司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伊顿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深圳市科雷特能源科技股份有限公司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深圳科雷特</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7"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圣佩罗（杭州）电气有限公司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圣佩罗SANPERRO</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1"/>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7、母线槽</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广州白云电器设备股份有限公司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BYE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广州南方电力集团电器有限公司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Gspe广州南方电器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广州南电电气有限公司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广州南电电气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威腾电气集团股份有限公司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威腾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ABB（中国）有限公司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广东施富电气实业有限公司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广东顺德默勒夫电气有限公司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默勒夫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镇江西门子母线有限公司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西门子</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厦门ABB低压电器设备有限公司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ABB</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西屋母线（江苏）有限公司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Westinghouse</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古河母线镇件有限公司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古河三明治</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广东金光默勒电气有限公司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金光默勒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贝托巴（广东）电力科技有限公司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贝托巴</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广东可耐夫电气有限公司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可耐夫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江苏华鹏电力设备股份有限公司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中山市富通电气设备有限公司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富通电气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广州市半径电力铜材有限公司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广州半径</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江苏亿能电气有限公司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华盛亿能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施耐德（广州）母线有限公司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江苏超宇电气有限公司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超宇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正泰电气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8、电缆桥架</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广州贝滨管业有限公司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贝滨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广东同亿电气有限公司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同亿</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广东金来电气有限公司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金来</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广东联大电气设备有限公司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联大电气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广州市良粤电力设备有限公司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良粤</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广东金光默勒电气有限公司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金光默勒</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广东施富电气实业有限公司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广东长电成套电器有限公司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长电电器</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河北联塑金属管道科技有限公司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LESSO联塑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广东天来钢管桥架有限公司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天来牌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广东一通科技股份有限公司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一通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广东润祺电气科技有限公司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广东润祺</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广州市协合电气设备有限公司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协合</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广东中广胜电气实业有限公司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中广胜</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佛山市联希线槽有限公司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联希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广州品发机电科技有限公司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广东金基电器实业有限公司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金基</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雄兴电气科技有限公司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雄兴</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广东桥鑫实业有限公司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桥鑫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广东大龙电气科技有限公司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广东大龙</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广东兴壹方电力设备有限公司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兴壹方</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深圳市万安实业有限公司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广东新旭展电气科技有限公司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新旭展</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佛山市南海西钢五金电器有限公司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西钢</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佛山市国领五金电器有限公司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长领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罗格朗低压电器（无锡）有限公司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legrand</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广东联标电缆桥架实业有限公司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联标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江苏超宇电气有限公司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超宇</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江苏圣大中远电气有限公司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圣大中远</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广州番禺珠铝电缆桥架有限公司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PLQ番铝</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江苏银佳企业集团有限公司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江苏银佳</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广东深联实业有限公司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原品牌“深塑”</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江苏安赫电气有限公司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安赫</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广东宏际线管实业有限公司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宏际</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江苏龙成电气有限公司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龙成飞疆</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秉正（广州）电气设备有限公司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秉正</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江苏中鹏电气有限公司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中鹏</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9、智能电表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申报单位</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广州汉光电气股份有限公司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上海纳宇电气有限公司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纳宇电气</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广州柏诚智能科技有限公司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柏诚智能</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深圳市中电电力技术股份有限公司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CET</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广东欧莱克智能科技有限公司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欧莱克</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北京爱博精电科技有限公司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爱博精电</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上海雷优智能科技有限公司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雷优</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10、各类管材</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1）电力电缆通信管（包括PE、PVC-C、PVC-U、HDPE管等）</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公元股份有限公司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公元牌/永高牌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公司原名称为：永高股份有限公司</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广东东方管业有限公司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东方伍拾年</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广东联塑科技实业有限公司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联塑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康泰塑胶科技集团有限公司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康泰牌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广州广化塑料管道有限公司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锋牌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江门市宏图建材有限公司 </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宏图牌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广东雄塑科技集团股份有限公司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雄塑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日丰企业集团有限公司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日丰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广州中亚实业有限公司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佛山顾地塑胶有限公司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顾地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广东新亚光电缆股份有限公司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新亚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广东建通管道制品有限公司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粤星管道</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广东源诚塑业有限公司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永通达</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广东三凌塑料管材有限公司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和塑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15</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广州枫叶管业有限公司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枫叶</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广东统塑管业有限公司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统塑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广东顺塑塑料实业有限公司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广东顺塑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2）PVC绝缘电线管槽</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供应方名称</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公元股份有限公司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公元牌/永高牌</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公司原名称为：永高股份有限公司</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浙江中财管道科技股份有限公司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中财</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广东联塑科技实业有限公司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联塑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广东雄塑科技集团股份有限公司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雄塑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广州中亚实业有限公司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中亚</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佛山顾地塑胶有限公司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顾地</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广东三凌塑料管材有限公司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和塑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广东清塑实业有限公司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清塑</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495" w:hRule="atLeast"/>
        </w:trPr>
        <w:tc>
          <w:tcPr>
            <w:tcW w:w="87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山西中德管业有限公司</w:t>
            </w:r>
          </w:p>
        </w:tc>
        <w:tc>
          <w:tcPr>
            <w:tcW w:w="21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中德</w:t>
            </w:r>
          </w:p>
        </w:tc>
        <w:tc>
          <w:tcPr>
            <w:tcW w:w="43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353"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11、电力监控系统</w:t>
            </w:r>
          </w:p>
        </w:tc>
      </w:tr>
      <w:tr>
        <w:tblPrEx>
          <w:tblCellMar>
            <w:top w:w="0" w:type="dxa"/>
            <w:left w:w="108" w:type="dxa"/>
            <w:bottom w:w="0" w:type="dxa"/>
            <w:right w:w="108" w:type="dxa"/>
          </w:tblCellMar>
        </w:tblPrEx>
        <w:trPr>
          <w:trHeight w:val="503" w:hRule="atLeast"/>
        </w:trPr>
        <w:tc>
          <w:tcPr>
            <w:tcW w:w="876"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210"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申报单位</w:t>
            </w:r>
          </w:p>
        </w:tc>
        <w:tc>
          <w:tcPr>
            <w:tcW w:w="21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品牌</w:t>
            </w:r>
          </w:p>
        </w:tc>
        <w:tc>
          <w:tcPr>
            <w:tcW w:w="436"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single" w:color="auto" w:sz="4" w:space="0"/>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施耐德电气（中国）有限公司广州分公司</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施耐德电气</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广州汉光电气股份有限公司</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广州汉光</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上海纳宇电气有限公司 </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纳宇电气</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珠海派诺科技股份有限公司</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珠海派诺</w:t>
            </w:r>
          </w:p>
        </w:tc>
        <w:tc>
          <w:tcPr>
            <w:tcW w:w="436"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深圳市中电电力技术股份有限公司</w:t>
            </w:r>
          </w:p>
        </w:tc>
        <w:tc>
          <w:tcPr>
            <w:tcW w:w="21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CET</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北京爱博精电科技有限公司</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爱博精电</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广东欧莱克智能科技有限公司</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欧莱克</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上海雷优智能科技有限公司</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雷优</w:t>
            </w:r>
          </w:p>
        </w:tc>
        <w:tc>
          <w:tcPr>
            <w:tcW w:w="436"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r>
        <w:tblPrEx>
          <w:tblCellMar>
            <w:top w:w="0" w:type="dxa"/>
            <w:left w:w="108" w:type="dxa"/>
            <w:bottom w:w="0" w:type="dxa"/>
            <w:right w:w="108" w:type="dxa"/>
          </w:tblCellMar>
        </w:tblPrEx>
        <w:trPr>
          <w:trHeight w:val="503" w:hRule="atLeast"/>
        </w:trPr>
        <w:tc>
          <w:tcPr>
            <w:tcW w:w="876" w:type="dxa"/>
            <w:tcBorders>
              <w:top w:val="nil"/>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421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广州中浩控制技术有限公司</w:t>
            </w:r>
          </w:p>
        </w:tc>
        <w:tc>
          <w:tcPr>
            <w:tcW w:w="21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C·H中浩控制</w:t>
            </w:r>
          </w:p>
        </w:tc>
        <w:tc>
          <w:tcPr>
            <w:tcW w:w="43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p>
        </w:tc>
        <w:tc>
          <w:tcPr>
            <w:tcW w:w="656" w:type="dxa"/>
            <w:tcBorders>
              <w:top w:val="nil"/>
              <w:left w:val="nil"/>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highlight w:val="none"/>
              </w:rPr>
            </w:pPr>
            <w:r>
              <w:rPr>
                <w:rFonts w:hint="eastAsia" w:ascii="宋体" w:hAnsi="宋体" w:eastAsia="宋体" w:cs="宋体"/>
                <w:color w:val="auto"/>
                <w:kern w:val="0"/>
                <w:sz w:val="22"/>
                <w:highlight w:val="none"/>
              </w:rPr>
              <w:t>　</w:t>
            </w:r>
          </w:p>
        </w:tc>
      </w:tr>
    </w:tbl>
    <w:p>
      <w:pPr>
        <w:adjustRightInd w:val="0"/>
        <w:snapToGrid w:val="0"/>
        <w:spacing w:line="360" w:lineRule="auto"/>
        <w:ind w:firstLine="0" w:firstLineChars="0"/>
        <w:rPr>
          <w:rFonts w:hint="eastAsia" w:ascii="宋体" w:hAnsi="宋体" w:cs="宋体"/>
          <w:color w:val="auto"/>
          <w:kern w:val="0"/>
          <w:sz w:val="24"/>
          <w:szCs w:val="24"/>
          <w:highlight w:val="none"/>
        </w:rPr>
      </w:pPr>
      <w:r>
        <w:rPr>
          <w:rFonts w:hint="eastAsia" w:ascii="宋体" w:hAnsi="宋体" w:cs="宋体"/>
          <w:color w:val="auto"/>
          <w:kern w:val="2"/>
          <w:sz w:val="24"/>
          <w:szCs w:val="24"/>
          <w:highlight w:val="none"/>
        </w:rPr>
        <w:t>注：以上广州市残疾人托养中心(星安居)项目主要设备材料品牌/生产厂家推荐表，本次招标项目如涉及上述主要设备材料，可从上述推荐表中选择推荐；若投标人选用相当于或优于上述推荐品牌的，须有提供有效的证明材料，有效证明材料是指主要材料设备的技术手册、供货证明（含供货合同及清单），否则，视为不符合招标文件要求。</w:t>
      </w:r>
    </w:p>
    <w:p>
      <w:pPr>
        <w:tabs>
          <w:tab w:val="left" w:pos="540"/>
        </w:tabs>
        <w:spacing w:line="360" w:lineRule="auto"/>
        <w:ind w:left="42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（八）人员配置要求</w:t>
      </w:r>
    </w:p>
    <w:p>
      <w:pPr>
        <w:tabs>
          <w:tab w:val="left" w:pos="0"/>
        </w:tabs>
        <w:adjustRightInd w:val="0"/>
        <w:snapToGrid w:val="0"/>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1、要求施工单位进场即成立项目管理部负责工程现场施工管理工作。项目管理部组成人员配备要求见《项目管理部组成人员配备要求表》。</w:t>
      </w:r>
    </w:p>
    <w:p>
      <w:pPr>
        <w:pStyle w:val="46"/>
        <w:numPr>
          <w:ilvl w:val="1"/>
          <w:numId w:val="6"/>
        </w:numPr>
        <w:tabs>
          <w:tab w:val="left" w:pos="0"/>
          <w:tab w:val="left" w:pos="425"/>
        </w:tabs>
        <w:adjustRightInd w:val="0"/>
        <w:snapToGrid w:val="0"/>
        <w:spacing w:line="360" w:lineRule="auto"/>
        <w:ind w:left="0" w:firstLine="567"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现场组织实施管理费以月为单位，进行计量支付。现场组织实施管理费的支付及费用标准按合同规定执行。</w:t>
      </w:r>
    </w:p>
    <w:p>
      <w:pPr>
        <w:pStyle w:val="46"/>
        <w:numPr>
          <w:ilvl w:val="1"/>
          <w:numId w:val="6"/>
        </w:numPr>
        <w:adjustRightInd w:val="0"/>
        <w:snapToGrid w:val="0"/>
        <w:spacing w:line="360" w:lineRule="auto"/>
        <w:ind w:left="0" w:firstLine="567"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施工单位进场后5天之内，现场实际情况，报审项目组织架构及项目人员组织实施计划,经业主和监理单位书面同意。</w:t>
      </w:r>
    </w:p>
    <w:p>
      <w:pPr>
        <w:adjustRightInd w:val="0"/>
        <w:snapToGrid w:val="0"/>
        <w:spacing w:line="360" w:lineRule="auto"/>
        <w:ind w:firstLine="482" w:firstLineChars="200"/>
        <w:jc w:val="center"/>
        <w:rPr>
          <w:rFonts w:hint="eastAsia" w:ascii="宋体" w:hAnsi="宋体" w:cs="宋体"/>
          <w:b/>
          <w:color w:val="auto"/>
          <w:sz w:val="24"/>
          <w:szCs w:val="24"/>
          <w:highlight w:val="none"/>
        </w:rPr>
      </w:pPr>
    </w:p>
    <w:p>
      <w:pPr>
        <w:adjustRightInd w:val="0"/>
        <w:snapToGrid w:val="0"/>
        <w:spacing w:line="360" w:lineRule="auto"/>
        <w:ind w:firstLine="482" w:firstLine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项目管理部组成人员配备要求表</w:t>
      </w:r>
    </w:p>
    <w:tbl>
      <w:tblPr>
        <w:tblStyle w:val="24"/>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02"/>
        <w:gridCol w:w="8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1502"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职务</w:t>
            </w:r>
          </w:p>
        </w:tc>
        <w:tc>
          <w:tcPr>
            <w:tcW w:w="85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人员数量</w:t>
            </w:r>
          </w:p>
        </w:tc>
        <w:tc>
          <w:tcPr>
            <w:tcW w:w="6660"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基本任职条件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p>
        </w:tc>
        <w:tc>
          <w:tcPr>
            <w:tcW w:w="1502" w:type="dxa"/>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项目负责人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1</w:t>
            </w:r>
          </w:p>
        </w:tc>
        <w:tc>
          <w:tcPr>
            <w:tcW w:w="6660" w:type="dxa"/>
            <w:noWrap w:val="0"/>
            <w:vAlign w:val="center"/>
          </w:tcPr>
          <w:p>
            <w:pPr>
              <w:keepNext w:val="0"/>
              <w:keepLines w:val="0"/>
              <w:suppressLineNumbers w:val="0"/>
              <w:tabs>
                <w:tab w:val="left" w:pos="2520"/>
              </w:tabs>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Cs w:val="21"/>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p>
        </w:tc>
        <w:tc>
          <w:tcPr>
            <w:tcW w:w="1502" w:type="dxa"/>
            <w:noWrap w:val="0"/>
            <w:vAlign w:val="center"/>
          </w:tcPr>
          <w:p>
            <w:pPr>
              <w:keepNext w:val="0"/>
              <w:keepLines w:val="0"/>
              <w:suppressLineNumbers w:val="0"/>
              <w:adjustRightInd w:val="0"/>
              <w:snapToGrid w:val="0"/>
              <w:spacing w:before="0" w:beforeAutospacing="0" w:after="0" w:afterAutospacing="0"/>
              <w:ind w:left="71" w:leftChars="34" w:right="0"/>
              <w:jc w:val="center"/>
              <w:rPr>
                <w:rFonts w:hint="default" w:ascii="宋体" w:hAnsi="宋体" w:cs="宋体"/>
                <w:color w:val="auto"/>
                <w:sz w:val="24"/>
                <w:szCs w:val="24"/>
                <w:highlight w:val="none"/>
              </w:rPr>
            </w:pPr>
            <w:r>
              <w:rPr>
                <w:rFonts w:hint="eastAsia" w:ascii="宋体" w:hAnsi="宋体" w:cs="宋体"/>
                <w:color w:val="auto"/>
                <w:szCs w:val="21"/>
                <w:highlight w:val="none"/>
              </w:rPr>
              <w:t>技术负责人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1</w:t>
            </w:r>
          </w:p>
        </w:tc>
        <w:tc>
          <w:tcPr>
            <w:tcW w:w="6660"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Cs w:val="21"/>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w:t>
            </w:r>
          </w:p>
        </w:tc>
        <w:tc>
          <w:tcPr>
            <w:tcW w:w="1502" w:type="dxa"/>
            <w:noWrap w:val="0"/>
            <w:vAlign w:val="center"/>
          </w:tcPr>
          <w:p>
            <w:pPr>
              <w:keepNext w:val="0"/>
              <w:keepLines w:val="0"/>
              <w:suppressLineNumbers w:val="0"/>
              <w:adjustRightInd w:val="0"/>
              <w:snapToGrid w:val="0"/>
              <w:spacing w:before="0" w:beforeAutospacing="0" w:after="0" w:afterAutospacing="0"/>
              <w:ind w:left="71" w:leftChars="34" w:right="0"/>
              <w:jc w:val="center"/>
              <w:rPr>
                <w:rFonts w:hint="default" w:ascii="宋体" w:hAnsi="宋体" w:cs="宋体"/>
                <w:color w:val="auto"/>
                <w:sz w:val="24"/>
                <w:szCs w:val="24"/>
                <w:highlight w:val="none"/>
              </w:rPr>
            </w:pPr>
            <w:r>
              <w:rPr>
                <w:rFonts w:hint="eastAsia" w:ascii="宋体" w:hAnsi="宋体" w:cs="宋体"/>
                <w:color w:val="auto"/>
                <w:szCs w:val="21"/>
                <w:highlight w:val="none"/>
              </w:rPr>
              <w:t>专职安全员</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1</w:t>
            </w:r>
          </w:p>
        </w:tc>
        <w:tc>
          <w:tcPr>
            <w:tcW w:w="6660"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Cs w:val="21"/>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sz w:val="24"/>
                <w:szCs w:val="24"/>
                <w:highlight w:val="none"/>
              </w:rPr>
            </w:pPr>
            <w:r>
              <w:rPr>
                <w:rFonts w:hint="eastAsia" w:ascii="宋体" w:hAnsi="宋体"/>
                <w:color w:val="auto"/>
                <w:kern w:val="0"/>
                <w:szCs w:val="21"/>
                <w:highlight w:val="none"/>
              </w:rPr>
              <w:t>质量负责人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1</w:t>
            </w:r>
          </w:p>
        </w:tc>
        <w:tc>
          <w:tcPr>
            <w:tcW w:w="6660"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olor w:val="auto"/>
                <w:kern w:val="0"/>
                <w:szCs w:val="21"/>
                <w:highlight w:val="none"/>
              </w:rPr>
              <w:t>具有电气</w:t>
            </w:r>
            <w:r>
              <w:rPr>
                <w:rFonts w:hint="eastAsia" w:ascii="宋体" w:hAnsi="宋体"/>
                <w:color w:val="auto"/>
                <w:szCs w:val="21"/>
                <w:highlight w:val="none"/>
              </w:rPr>
              <w:t>或电力</w:t>
            </w:r>
            <w:r>
              <w:rPr>
                <w:rFonts w:hint="eastAsia" w:ascii="宋体" w:hAnsi="宋体"/>
                <w:color w:val="auto"/>
                <w:kern w:val="0"/>
                <w:szCs w:val="21"/>
                <w:highlight w:val="none"/>
              </w:rPr>
              <w:t>类专业中级工程师或以上职称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5</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造价负责人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1</w:t>
            </w:r>
          </w:p>
        </w:tc>
        <w:tc>
          <w:tcPr>
            <w:tcW w:w="6660"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auto"/>
                <w:sz w:val="24"/>
                <w:szCs w:val="24"/>
                <w:highlight w:val="none"/>
              </w:rPr>
            </w:pPr>
            <w:r>
              <w:rPr>
                <w:rFonts w:hint="eastAsia" w:ascii="宋体" w:hAnsi="宋体"/>
                <w:color w:val="auto"/>
                <w:szCs w:val="21"/>
                <w:highlight w:val="none"/>
              </w:rPr>
              <w:t>具</w:t>
            </w:r>
            <w:r>
              <w:rPr>
                <w:rFonts w:hint="eastAsia" w:ascii="宋体" w:hAnsi="宋体"/>
                <w:color w:val="auto"/>
                <w:kern w:val="0"/>
                <w:szCs w:val="21"/>
                <w:highlight w:val="none"/>
              </w:rPr>
              <w:t>有造价类或电气类或电力类工程师或以上职称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6</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leftChars="0" w:right="0"/>
              <w:jc w:val="center"/>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工作负责人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1</w:t>
            </w:r>
          </w:p>
        </w:tc>
        <w:tc>
          <w:tcPr>
            <w:tcW w:w="6660" w:type="dxa"/>
            <w:noWrap w:val="0"/>
            <w:vAlign w:val="center"/>
          </w:tcPr>
          <w:p>
            <w:pPr>
              <w:keepNext w:val="0"/>
              <w:keepLines w:val="0"/>
              <w:suppressLineNumbers w:val="0"/>
              <w:spacing w:before="0" w:beforeAutospacing="0" w:after="0" w:afterAutospacing="0"/>
              <w:ind w:left="0" w:right="0"/>
              <w:jc w:val="left"/>
              <w:rPr>
                <w:rFonts w:hint="eastAsia" w:ascii="宋体" w:hAnsi="宋体" w:cs="Times New Roman"/>
                <w:color w:val="auto"/>
                <w:kern w:val="0"/>
                <w:sz w:val="21"/>
                <w:szCs w:val="21"/>
                <w:highlight w:val="none"/>
              </w:rPr>
            </w:pPr>
            <w:r>
              <w:rPr>
                <w:rFonts w:hint="eastAsia" w:ascii="宋体" w:hAnsi="宋体"/>
                <w:color w:val="auto"/>
                <w:kern w:val="0"/>
                <w:sz w:val="21"/>
                <w:szCs w:val="21"/>
                <w:highlight w:val="none"/>
              </w:rPr>
              <w:t>具有工作票“</w:t>
            </w:r>
            <w:r>
              <w:rPr>
                <w:rFonts w:hint="eastAsia" w:ascii="宋体" w:hAnsi="宋体" w:cs="Times New Roman"/>
                <w:color w:val="auto"/>
                <w:kern w:val="0"/>
                <w:sz w:val="21"/>
                <w:szCs w:val="21"/>
                <w:highlight w:val="none"/>
              </w:rPr>
              <w:t>两种人</w:t>
            </w:r>
            <w:r>
              <w:rPr>
                <w:rFonts w:hint="eastAsia" w:ascii="宋体" w:hAnsi="宋体"/>
                <w:color w:val="auto"/>
                <w:kern w:val="0"/>
                <w:sz w:val="21"/>
                <w:szCs w:val="21"/>
                <w:highlight w:val="none"/>
              </w:rPr>
              <w:t>”</w:t>
            </w:r>
            <w:r>
              <w:rPr>
                <w:rFonts w:hint="eastAsia" w:ascii="宋体" w:hAnsi="宋体" w:cs="Times New Roman"/>
                <w:color w:val="auto"/>
                <w:kern w:val="0"/>
                <w:sz w:val="21"/>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7</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leftChars="0" w:right="0"/>
              <w:jc w:val="center"/>
              <w:rPr>
                <w:rFonts w:hint="eastAsia" w:ascii="宋体" w:hAnsi="宋体" w:cs="Times New Roman"/>
                <w:color w:val="auto"/>
                <w:kern w:val="0"/>
                <w:sz w:val="21"/>
                <w:szCs w:val="21"/>
                <w:highlight w:val="none"/>
              </w:rPr>
            </w:pPr>
            <w:r>
              <w:rPr>
                <w:rFonts w:hint="eastAsia" w:ascii="宋体" w:hAnsi="宋体" w:cs="Times New Roman"/>
                <w:color w:val="auto"/>
                <w:kern w:val="0"/>
                <w:sz w:val="21"/>
                <w:szCs w:val="21"/>
                <w:highlight w:val="none"/>
              </w:rPr>
              <w:t>工作票签发人人</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1</w:t>
            </w:r>
          </w:p>
        </w:tc>
        <w:tc>
          <w:tcPr>
            <w:tcW w:w="6660" w:type="dxa"/>
            <w:noWrap w:val="0"/>
            <w:vAlign w:val="center"/>
          </w:tcPr>
          <w:p>
            <w:pPr>
              <w:keepNext w:val="0"/>
              <w:keepLines w:val="0"/>
              <w:suppressLineNumbers w:val="0"/>
              <w:spacing w:before="0" w:beforeAutospacing="0" w:after="0" w:afterAutospacing="0"/>
              <w:ind w:left="0" w:right="0"/>
              <w:jc w:val="left"/>
              <w:rPr>
                <w:rFonts w:hint="eastAsia" w:ascii="宋体" w:hAnsi="宋体" w:cs="Times New Roman"/>
                <w:color w:val="auto"/>
                <w:kern w:val="0"/>
                <w:sz w:val="21"/>
                <w:szCs w:val="21"/>
                <w:highlight w:val="none"/>
              </w:rPr>
            </w:pPr>
            <w:r>
              <w:rPr>
                <w:rFonts w:hint="eastAsia" w:ascii="宋体" w:hAnsi="宋体"/>
                <w:color w:val="auto"/>
                <w:kern w:val="0"/>
                <w:sz w:val="21"/>
                <w:szCs w:val="21"/>
                <w:highlight w:val="none"/>
              </w:rPr>
              <w:t>具有工作票“</w:t>
            </w:r>
            <w:r>
              <w:rPr>
                <w:rFonts w:hint="eastAsia" w:ascii="宋体" w:hAnsi="宋体" w:cs="Times New Roman"/>
                <w:color w:val="auto"/>
                <w:kern w:val="0"/>
                <w:sz w:val="21"/>
                <w:szCs w:val="21"/>
                <w:highlight w:val="none"/>
              </w:rPr>
              <w:t>两种人</w:t>
            </w:r>
            <w:r>
              <w:rPr>
                <w:rFonts w:hint="eastAsia" w:ascii="宋体" w:hAnsi="宋体"/>
                <w:color w:val="auto"/>
                <w:kern w:val="0"/>
                <w:sz w:val="21"/>
                <w:szCs w:val="21"/>
                <w:highlight w:val="none"/>
              </w:rPr>
              <w:t>”</w:t>
            </w:r>
            <w:r>
              <w:rPr>
                <w:rFonts w:hint="eastAsia" w:ascii="宋体" w:hAnsi="宋体" w:cs="Times New Roman"/>
                <w:color w:val="auto"/>
                <w:kern w:val="0"/>
                <w:sz w:val="21"/>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8</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深化设计工程师</w:t>
            </w:r>
          </w:p>
        </w:tc>
        <w:tc>
          <w:tcPr>
            <w:tcW w:w="85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1</w:t>
            </w:r>
          </w:p>
        </w:tc>
        <w:tc>
          <w:tcPr>
            <w:tcW w:w="6660"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auto"/>
                <w:sz w:val="24"/>
                <w:szCs w:val="24"/>
                <w:highlight w:val="none"/>
              </w:rPr>
            </w:pPr>
            <w:r>
              <w:rPr>
                <w:rFonts w:hint="eastAsia" w:ascii="宋体" w:hAnsi="宋体"/>
                <w:color w:val="auto"/>
                <w:szCs w:val="21"/>
                <w:highlight w:val="none"/>
              </w:rPr>
              <w:t>具有电气或电力类中级工程师或以上职称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资料员</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bCs/>
                <w:color w:val="auto"/>
                <w:kern w:val="44"/>
                <w:szCs w:val="21"/>
                <w:highlight w:val="none"/>
              </w:rPr>
              <w:t>1</w:t>
            </w:r>
          </w:p>
        </w:tc>
        <w:tc>
          <w:tcPr>
            <w:tcW w:w="6660"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auto"/>
                <w:sz w:val="24"/>
                <w:szCs w:val="24"/>
                <w:highlight w:val="none"/>
              </w:rPr>
            </w:pPr>
            <w:r>
              <w:rPr>
                <w:rFonts w:hint="eastAsia" w:ascii="宋体" w:hAnsi="宋体"/>
                <w:color w:val="auto"/>
                <w:szCs w:val="21"/>
                <w:highlight w:val="none"/>
              </w:rPr>
              <w:t>具有资料员上岗证和</w:t>
            </w:r>
            <w:r>
              <w:rPr>
                <w:rFonts w:hint="eastAsia" w:ascii="宋体" w:hAnsi="宋体" w:cs="宋体"/>
                <w:bCs w:val="0"/>
                <w:color w:val="auto"/>
                <w:kern w:val="0"/>
                <w:szCs w:val="21"/>
                <w:highlight w:val="none"/>
                <w:lang w:val="en-US"/>
              </w:rPr>
              <w:t>电气类</w:t>
            </w:r>
            <w:r>
              <w:rPr>
                <w:rFonts w:hint="eastAsia" w:ascii="宋体" w:hAnsi="宋体"/>
                <w:color w:val="auto"/>
                <w:szCs w:val="21"/>
                <w:highlight w:val="none"/>
              </w:rPr>
              <w:t>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sz w:val="24"/>
                <w:szCs w:val="24"/>
                <w:highlight w:val="none"/>
              </w:rPr>
            </w:pPr>
            <w:r>
              <w:rPr>
                <w:rFonts w:hint="eastAsia" w:ascii="宋体" w:hAnsi="宋体" w:cs="宋体"/>
                <w:color w:val="auto"/>
                <w:kern w:val="0"/>
                <w:szCs w:val="21"/>
                <w:highlight w:val="none"/>
              </w:rPr>
              <w:t>施工员</w:t>
            </w:r>
          </w:p>
        </w:tc>
        <w:tc>
          <w:tcPr>
            <w:tcW w:w="853"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auto"/>
                <w:sz w:val="24"/>
                <w:szCs w:val="24"/>
                <w:highlight w:val="none"/>
              </w:rPr>
            </w:pPr>
            <w:r>
              <w:rPr>
                <w:rFonts w:hint="eastAsia" w:ascii="宋体" w:hAnsi="宋体" w:cs="宋体"/>
                <w:color w:val="auto"/>
                <w:kern w:val="0"/>
                <w:szCs w:val="21"/>
                <w:highlight w:val="none"/>
              </w:rPr>
              <w:t>具有施工员上岗证</w:t>
            </w:r>
            <w:r>
              <w:rPr>
                <w:rFonts w:hint="eastAsia" w:ascii="宋体" w:hAnsi="宋体"/>
                <w:color w:val="auto"/>
                <w:szCs w:val="21"/>
                <w:highlight w:val="none"/>
              </w:rPr>
              <w:t>和</w:t>
            </w:r>
            <w:r>
              <w:rPr>
                <w:rFonts w:hint="eastAsia" w:ascii="宋体" w:hAnsi="宋体" w:cs="宋体"/>
                <w:bCs w:val="0"/>
                <w:color w:val="auto"/>
                <w:kern w:val="0"/>
                <w:szCs w:val="21"/>
                <w:highlight w:val="none"/>
                <w:lang w:val="en-US"/>
              </w:rPr>
              <w:t>电气类</w:t>
            </w:r>
            <w:r>
              <w:rPr>
                <w:rFonts w:hint="eastAsia" w:ascii="宋体" w:hAnsi="宋体"/>
                <w:color w:val="auto"/>
                <w:szCs w:val="21"/>
                <w:highlight w:val="none"/>
              </w:rPr>
              <w:t>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eastAsia="宋体" w:cs="宋体"/>
                <w:color w:val="auto"/>
                <w:kern w:val="0"/>
                <w:sz w:val="21"/>
                <w:szCs w:val="21"/>
                <w:highlight w:val="none"/>
                <w:u w:val="none"/>
              </w:rPr>
              <w:t>造价员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rPr>
            </w:pPr>
            <w:r>
              <w:rPr>
                <w:rFonts w:hint="eastAsia" w:ascii="宋体" w:hAnsi="宋体" w:cs="宋体"/>
                <w:bCs w:val="0"/>
                <w:color w:val="auto"/>
                <w:kern w:val="0"/>
                <w:szCs w:val="21"/>
                <w:highlight w:val="none"/>
                <w:lang w:val="en-US"/>
              </w:rPr>
              <w:t>具有二级注册造价工程师或以上资格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eastAsia="宋体" w:cs="宋体"/>
                <w:color w:val="auto"/>
                <w:kern w:val="0"/>
                <w:sz w:val="21"/>
                <w:szCs w:val="21"/>
                <w:highlight w:val="none"/>
                <w:u w:val="none"/>
              </w:rPr>
              <w:t>质量员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eastAsia="zh-CN"/>
              </w:rPr>
            </w:pPr>
            <w:r>
              <w:rPr>
                <w:rFonts w:hint="eastAsia" w:ascii="宋体" w:hAnsi="宋体" w:cs="宋体"/>
                <w:bCs w:val="0"/>
                <w:color w:val="auto"/>
                <w:kern w:val="0"/>
                <w:szCs w:val="21"/>
                <w:highlight w:val="none"/>
                <w:lang w:val="en-US"/>
              </w:rPr>
              <w:t>具有质量员上岗证和电气类助理工程师或以上职称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eastAsia="宋体" w:cs="宋体"/>
                <w:color w:val="auto"/>
                <w:kern w:val="0"/>
                <w:sz w:val="21"/>
                <w:szCs w:val="21"/>
                <w:highlight w:val="none"/>
                <w:u w:val="none"/>
              </w:rPr>
              <w:t>材料员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rPr>
            </w:pPr>
            <w:r>
              <w:rPr>
                <w:rFonts w:hint="eastAsia" w:ascii="宋体" w:hAnsi="宋体" w:cs="宋体"/>
                <w:bCs w:val="0"/>
                <w:color w:val="auto"/>
                <w:kern w:val="0"/>
                <w:szCs w:val="21"/>
                <w:highlight w:val="none"/>
                <w:lang w:val="en-US"/>
              </w:rPr>
              <w:t>具有材料员上岗证和电气类助理工程师或以上职称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eastAsia="宋体" w:cs="宋体"/>
                <w:color w:val="auto"/>
                <w:kern w:val="0"/>
                <w:sz w:val="21"/>
                <w:szCs w:val="21"/>
                <w:highlight w:val="none"/>
                <w:u w:val="none"/>
              </w:rPr>
              <w:t>机械员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rPr>
            </w:pPr>
            <w:r>
              <w:rPr>
                <w:rFonts w:hint="eastAsia" w:ascii="宋体" w:hAnsi="宋体" w:cs="宋体"/>
                <w:bCs w:val="0"/>
                <w:color w:val="auto"/>
                <w:kern w:val="0"/>
                <w:szCs w:val="21"/>
                <w:highlight w:val="none"/>
                <w:lang w:val="en-US"/>
              </w:rPr>
              <w:t>具有机械员上岗证和电气类助理工程师或以上职称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eastAsia="宋体" w:cs="宋体"/>
                <w:color w:val="auto"/>
                <w:kern w:val="0"/>
                <w:sz w:val="21"/>
                <w:szCs w:val="21"/>
                <w:highlight w:val="none"/>
                <w:u w:val="none"/>
              </w:rPr>
              <w:t>劳务员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rPr>
            </w:pPr>
            <w:r>
              <w:rPr>
                <w:rFonts w:hint="eastAsia" w:ascii="宋体" w:hAnsi="宋体" w:cs="宋体"/>
                <w:bCs w:val="0"/>
                <w:color w:val="auto"/>
                <w:kern w:val="0"/>
                <w:szCs w:val="21"/>
                <w:highlight w:val="none"/>
                <w:lang w:val="en-US"/>
              </w:rPr>
              <w:t>具有劳务员上岗证和电气类助理工程师或以上职称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1502"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 w:val="21"/>
                <w:szCs w:val="21"/>
                <w:highlight w:val="none"/>
                <w:u w:val="none"/>
                <w:lang w:eastAsia="zh-CN"/>
              </w:rPr>
              <w:t>标准员</w:t>
            </w:r>
          </w:p>
        </w:tc>
        <w:tc>
          <w:tcPr>
            <w:tcW w:w="853"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cs="宋体"/>
                <w:bCs w:val="0"/>
                <w:color w:val="auto"/>
                <w:kern w:val="0"/>
                <w:szCs w:val="21"/>
                <w:highlight w:val="none"/>
                <w:lang w:val="en-US"/>
              </w:rPr>
            </w:pPr>
            <w:r>
              <w:rPr>
                <w:rFonts w:hint="eastAsia" w:ascii="宋体" w:hAnsi="宋体" w:cs="宋体"/>
                <w:bCs/>
                <w:color w:val="auto"/>
                <w:kern w:val="44"/>
                <w:szCs w:val="21"/>
                <w:highlight w:val="none"/>
                <w:lang w:val="en-US" w:eastAsia="zh-CN"/>
              </w:rPr>
              <w:t>1</w:t>
            </w:r>
          </w:p>
        </w:tc>
        <w:tc>
          <w:tcPr>
            <w:tcW w:w="6660" w:type="dxa"/>
            <w:noWrap w:val="0"/>
            <w:vAlign w:val="center"/>
          </w:tcPr>
          <w:p>
            <w:pPr>
              <w:keepNext w:val="0"/>
              <w:keepLines w:val="0"/>
              <w:widowControl/>
              <w:suppressLineNumbers w:val="0"/>
              <w:adjustRightInd w:val="0"/>
              <w:snapToGrid w:val="0"/>
              <w:spacing w:before="0" w:beforeAutospacing="0" w:after="0" w:afterAutospacing="0" w:line="240" w:lineRule="exact"/>
              <w:ind w:left="0" w:right="0"/>
              <w:jc w:val="left"/>
              <w:rPr>
                <w:rFonts w:hint="eastAsia" w:ascii="宋体" w:hAnsi="宋体" w:cs="宋体"/>
                <w:bCs w:val="0"/>
                <w:color w:val="auto"/>
                <w:kern w:val="0"/>
                <w:szCs w:val="21"/>
                <w:highlight w:val="none"/>
                <w:lang w:val="en-US"/>
              </w:rPr>
            </w:pPr>
            <w:r>
              <w:rPr>
                <w:rFonts w:hint="eastAsia" w:ascii="宋体" w:hAnsi="宋体" w:cs="宋体"/>
                <w:bCs w:val="0"/>
                <w:color w:val="auto"/>
                <w:kern w:val="0"/>
                <w:szCs w:val="21"/>
                <w:highlight w:val="none"/>
                <w:lang w:val="en-US"/>
              </w:rPr>
              <w:t>具有</w:t>
            </w:r>
            <w:r>
              <w:rPr>
                <w:rFonts w:hint="eastAsia" w:ascii="宋体" w:hAnsi="宋体" w:cs="宋体"/>
                <w:bCs w:val="0"/>
                <w:color w:val="auto"/>
                <w:kern w:val="0"/>
                <w:szCs w:val="21"/>
                <w:highlight w:val="none"/>
                <w:lang w:val="en-US" w:eastAsia="zh-CN"/>
              </w:rPr>
              <w:t>标准</w:t>
            </w:r>
            <w:r>
              <w:rPr>
                <w:rFonts w:hint="eastAsia" w:ascii="宋体" w:hAnsi="宋体" w:cs="宋体"/>
                <w:bCs w:val="0"/>
                <w:color w:val="auto"/>
                <w:kern w:val="0"/>
                <w:szCs w:val="21"/>
                <w:highlight w:val="none"/>
                <w:lang w:val="en-US"/>
              </w:rPr>
              <w:t>员上岗证和电气类助理工程师或以上职称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02"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小计</w:t>
            </w:r>
          </w:p>
        </w:tc>
        <w:tc>
          <w:tcPr>
            <w:tcW w:w="85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16</w:t>
            </w:r>
          </w:p>
        </w:tc>
        <w:tc>
          <w:tcPr>
            <w:tcW w:w="6660" w:type="dxa"/>
            <w:noWrap w:val="0"/>
            <w:vAlign w:val="top"/>
          </w:tcPr>
          <w:p>
            <w:pPr>
              <w:keepNext w:val="0"/>
              <w:keepLines w:val="0"/>
              <w:suppressLineNumbers w:val="0"/>
              <w:spacing w:before="0" w:beforeAutospacing="0" w:after="0" w:afterAutospacing="0"/>
              <w:ind w:left="0" w:right="0"/>
              <w:rPr>
                <w:rFonts w:hint="default" w:ascii="宋体" w:hAnsi="宋体" w:cs="宋体"/>
                <w:b/>
                <w:color w:val="auto"/>
                <w:sz w:val="21"/>
                <w:szCs w:val="21"/>
                <w:highlight w:val="none"/>
              </w:rPr>
            </w:pPr>
          </w:p>
        </w:tc>
      </w:tr>
    </w:tbl>
    <w:p>
      <w:pPr>
        <w:widowControl/>
        <w:spacing w:line="360" w:lineRule="auto"/>
        <w:rPr>
          <w:rFonts w:hint="eastAsia" w:ascii="宋体" w:hAnsi="宋体" w:cs="宋体"/>
          <w:color w:val="auto"/>
          <w:sz w:val="24"/>
          <w:szCs w:val="24"/>
          <w:highlight w:val="none"/>
        </w:rPr>
      </w:pPr>
      <w:r>
        <w:rPr>
          <w:rFonts w:hint="eastAsia" w:ascii="宋体" w:hAnsi="宋体" w:cs="宋体"/>
          <w:snapToGrid w:val="0"/>
          <w:color w:val="auto"/>
          <w:spacing w:val="4"/>
          <w:kern w:val="0"/>
          <w:sz w:val="24"/>
          <w:szCs w:val="24"/>
          <w:highlight w:val="none"/>
        </w:rPr>
        <w:t>注：1上述人员要求为投标单位正式员工，各岗位人员不得相互兼职，所有人员要求全过程驻场办公。</w:t>
      </w:r>
    </w:p>
    <w:p>
      <w:pPr>
        <w:tabs>
          <w:tab w:val="left" w:pos="540"/>
        </w:tabs>
        <w:spacing w:line="360" w:lineRule="auto"/>
        <w:ind w:left="42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（九）验收、移交及结算管理要求</w:t>
      </w:r>
    </w:p>
    <w:p>
      <w:pPr>
        <w:numPr>
          <w:ilvl w:val="0"/>
          <w:numId w:val="7"/>
        </w:numPr>
        <w:tabs>
          <w:tab w:val="left" w:pos="0"/>
          <w:tab w:val="left" w:pos="1080"/>
          <w:tab w:val="clear" w:pos="1478"/>
        </w:tabs>
        <w:adjustRightInd w:val="0"/>
        <w:snapToGrid w:val="0"/>
        <w:spacing w:line="360" w:lineRule="auto"/>
        <w:ind w:left="0" w:firstLine="540"/>
        <w:rPr>
          <w:rFonts w:hint="eastAsia" w:ascii="宋体" w:hAnsi="宋体" w:cs="宋体"/>
          <w:b/>
          <w:color w:val="auto"/>
          <w:sz w:val="24"/>
          <w:szCs w:val="24"/>
          <w:highlight w:val="none"/>
        </w:rPr>
      </w:pPr>
      <w:r>
        <w:rPr>
          <w:rFonts w:hint="eastAsia" w:ascii="宋体" w:hAnsi="宋体" w:cs="宋体"/>
          <w:b/>
          <w:color w:val="auto"/>
          <w:sz w:val="24"/>
          <w:szCs w:val="24"/>
          <w:highlight w:val="none"/>
        </w:rPr>
        <w:t>工程验收管理要求：</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（1）施工单位必须在工程具备验收条件时的3周前编制验收计划（包括专业工程验收计划、专项验收计划等），按工程竣工验收有关规定及验收计划分阶段逐项申报验收，确保工程一次验收合格。</w:t>
      </w:r>
    </w:p>
    <w:p>
      <w:pPr>
        <w:pStyle w:val="32"/>
        <w:tabs>
          <w:tab w:val="left" w:pos="1080"/>
        </w:tabs>
        <w:ind w:firstLine="496"/>
        <w:rPr>
          <w:rFonts w:hint="eastAsia" w:ascii="宋体" w:hAnsi="宋体" w:eastAsia="宋体" w:cs="宋体"/>
          <w:color w:val="auto"/>
          <w:highlight w:val="none"/>
        </w:rPr>
      </w:pPr>
      <w:r>
        <w:rPr>
          <w:rFonts w:hint="eastAsia" w:ascii="宋体" w:hAnsi="宋体" w:eastAsia="宋体" w:cs="宋体"/>
          <w:color w:val="auto"/>
          <w:highlight w:val="none"/>
        </w:rPr>
        <w:t>（2）竣工验收执行《房屋建筑和市政基础设施工程竣工验收规定》（建质〔2013〕171号）（注：如有新规定则按新规定执行）。</w:t>
      </w:r>
    </w:p>
    <w:p>
      <w:pPr>
        <w:pStyle w:val="32"/>
        <w:tabs>
          <w:tab w:val="left" w:pos="1080"/>
        </w:tabs>
        <w:ind w:firstLine="496"/>
        <w:rPr>
          <w:rFonts w:hint="eastAsia" w:ascii="宋体" w:hAnsi="宋体" w:eastAsia="宋体" w:cs="宋体"/>
          <w:color w:val="auto"/>
          <w:highlight w:val="none"/>
        </w:rPr>
      </w:pPr>
      <w:r>
        <w:rPr>
          <w:rFonts w:hint="eastAsia" w:ascii="宋体" w:hAnsi="宋体" w:eastAsia="宋体" w:cs="宋体"/>
          <w:color w:val="auto"/>
          <w:highlight w:val="none"/>
        </w:rPr>
        <w:t>（3）要求施工单位严格按我中心《工程验收及备案管理实施细则》执行。</w:t>
      </w:r>
    </w:p>
    <w:p>
      <w:pPr>
        <w:pStyle w:val="32"/>
        <w:tabs>
          <w:tab w:val="left" w:pos="1080"/>
        </w:tabs>
        <w:ind w:firstLine="496"/>
        <w:rPr>
          <w:rFonts w:hint="eastAsia" w:ascii="宋体" w:hAnsi="宋体" w:eastAsia="宋体" w:cs="宋体"/>
          <w:color w:val="auto"/>
          <w:highlight w:val="none"/>
        </w:rPr>
      </w:pPr>
      <w:r>
        <w:rPr>
          <w:rFonts w:hint="eastAsia" w:ascii="宋体" w:hAnsi="宋体" w:eastAsia="宋体" w:cs="宋体"/>
          <w:color w:val="auto"/>
          <w:highlight w:val="none"/>
        </w:rPr>
        <w:t>（4）工程验收资料由承包人按要求进行组卷完成后，纳入总承包单位资料管理范围内，接受总承包单位的资料管理，配合总承包单位完成单位工程竣工验收的各项管理工作。</w:t>
      </w:r>
    </w:p>
    <w:p>
      <w:pPr>
        <w:numPr>
          <w:ilvl w:val="0"/>
          <w:numId w:val="7"/>
        </w:numPr>
        <w:tabs>
          <w:tab w:val="left" w:pos="0"/>
          <w:tab w:val="left" w:pos="1080"/>
          <w:tab w:val="clear" w:pos="1478"/>
        </w:tabs>
        <w:adjustRightInd w:val="0"/>
        <w:snapToGrid w:val="0"/>
        <w:spacing w:line="360" w:lineRule="auto"/>
        <w:ind w:left="0" w:firstLine="540"/>
        <w:rPr>
          <w:rFonts w:hint="eastAsia" w:ascii="宋体" w:hAnsi="宋体" w:cs="宋体"/>
          <w:b/>
          <w:color w:val="auto"/>
          <w:sz w:val="24"/>
          <w:szCs w:val="24"/>
          <w:highlight w:val="none"/>
        </w:rPr>
      </w:pPr>
      <w:r>
        <w:rPr>
          <w:rFonts w:hint="eastAsia" w:ascii="宋体" w:hAnsi="宋体" w:cs="宋体"/>
          <w:b/>
          <w:color w:val="auto"/>
          <w:sz w:val="24"/>
          <w:szCs w:val="24"/>
          <w:highlight w:val="none"/>
        </w:rPr>
        <w:t>工程移交管理要求：</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（1）工程项目移交原则上力争在外电工程竣工验收备案通过后一个月之内完成。</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（2）本项目的移交内容包括工程资料移交、工程实体移交和使用及维护管理移交。计划根据本项目情况先进行工程实体移交和使用及维护管理移交，然后进行工程资料移交。</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（3）要求施工单位应在进行移交工作前编写工程项目移交计划，并报及监理单位审核，在经及监理单位审核同意后按计划进行移交。</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（4）工程移交工作的相关要求按我中心《建设项目工程移交管理办法》的规定执行。</w:t>
      </w:r>
    </w:p>
    <w:p>
      <w:pPr>
        <w:pStyle w:val="32"/>
        <w:tabs>
          <w:tab w:val="left" w:pos="1080"/>
        </w:tabs>
        <w:ind w:firstLine="443" w:firstLineChars="179"/>
        <w:rPr>
          <w:rFonts w:hint="eastAsia" w:ascii="宋体" w:hAnsi="宋体" w:eastAsia="宋体" w:cs="宋体"/>
          <w:color w:val="auto"/>
          <w:highlight w:val="none"/>
        </w:rPr>
      </w:pPr>
      <w:r>
        <w:rPr>
          <w:rFonts w:hint="eastAsia" w:ascii="宋体" w:hAnsi="宋体" w:eastAsia="宋体" w:cs="宋体"/>
          <w:color w:val="auto"/>
          <w:highlight w:val="none"/>
        </w:rPr>
        <w:t>（5）要求施工单位在竣工验收合格后3个月内，施工单位须针对各系统特点及项目实际情况编制使用手册、培训手册以及培训计划，并组织专人（包括主要设备供货商）对业主管理人员进行培训工作。</w:t>
      </w:r>
    </w:p>
    <w:p>
      <w:pPr>
        <w:tabs>
          <w:tab w:val="left" w:pos="0"/>
          <w:tab w:val="left" w:pos="1080"/>
        </w:tabs>
        <w:adjustRightInd w:val="0"/>
        <w:snapToGrid w:val="0"/>
        <w:spacing w:line="360" w:lineRule="auto"/>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3．工程造价管理要求：</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（1）结算组织工作要求</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①承包人应按发包人要求派出足够的、有能力的造价人员负责结算工作。若派出的造价人员不足或不能胜任结算工作，承包人应按发包人的要求及时更换，直至满足发包人要求为止。</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②承包人应执行发包人下发的结算编制指引及与结算有关的文件规定。</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③承包人应配合发包人的结算工作，包括按要求按时参加会议、按要求派人参加结算对数、对数人员应在对数备忘录上签字确认等。</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④承包人应在发包人下达计划的规定时间内提交送审结算书和结算资料，提交的结算资料应完整并且符合《关于财政投资评审实行预受理制度的通知》（穗财建〔2012〕446号）对送审资料的要求，结算书格式、结算资料的有效性、结算资料装订等应符合发包人的结算下发的结算编制指引要求。</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⑤在结算审核过程中，若发现承包人送审的结算资料不完整或不合规，承包人应按发包人或有权结算终审部门的要求在规定时间内补充完善。不按此要求补充相关资料，则发包人或有权结算终审部门有权不再接收任何补充资料，由此产生的一切损失由承包人承担。</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⑥承包人不按上述要求完成竣工结算相关工作的，每发生1次，相应承担1次一般违约责任。</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⑦工程完工后，双方必须在合同约定的时间内办理竣工结算。承包人未在规定时间内递交竣工结算报告，经发包人催促后仍未递交或未明确答复的，发包人有权组织监理人根据已有资料单方面编制竣工结算文件并送审，且视为承包人对相关结果予以认可。</w:t>
      </w:r>
    </w:p>
    <w:p>
      <w:pPr>
        <w:widowControl/>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⑧如承包人无正当理由、逾期未完成结算财政评审送审的，发包人有权报建设行政主管部门按照诚信评价体系的相关规定处理。</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（2）承包人对发包人审核的竣工结算金额有异议的，对于有异议部分应在收到发包人的竣工结算审核资料后7天内提出异议。承包人逾期未提出异议的，视为认可发包人的审批结果。</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3）承包人在工程实施过程中将发生的工程变更费用、工程签证费用、相关索赔费用报报发包人审核后，如双方发生争议且未能达成一致意见，则由发包人待工程竣工结算时将相关情况报上级主管部门审定。承包人不得因此而影响工程进度，否则，将按合同规定承担相应的违约责任。</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（4）对施工过程中发生的工程变更、工程签证等引起合同变更事项，承包人应在上述事项实施前或在实施过程中同步编制相关变更费用预算，并报监理单位和发包人审批。</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（5）承包人应按发包人要求派出足够的、有能力的造价人员负责结算工作。若派出的造价人员不足或不能胜任结算工作，承包人应按发包人的要求及时更换，直至满足发包人要求为止。</w:t>
      </w:r>
    </w:p>
    <w:p>
      <w:pPr>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（6）承包人执行发包人下发的结算编制指引及与结算有关的文件规定。</w:t>
      </w:r>
    </w:p>
    <w:p>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（十）质保期服务管理要求</w:t>
      </w:r>
    </w:p>
    <w:p>
      <w:pPr>
        <w:adjustRightInd w:val="0"/>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1.在质量保证期内，施工单位按保修协议约定免费提供设备的维修及保养服务。</w:t>
      </w:r>
    </w:p>
    <w:p>
      <w:pPr>
        <w:adjustRightInd w:val="0"/>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2.施工单位在故障保修响应方面应做到：施工单位须在接到业主通知的1小时内予以答复；在业主要求时，施工单位的技术人员须在收到业主通知后3小时之内到现场进行修理，相关的维修必须连续进行，直至故障完全修复为止。若在24小时内不能排除故障，施工单位应立即采取切实有效的补救措施（包括免费提供应急设备），全力防止损失的扩大。</w:t>
      </w:r>
    </w:p>
    <w:p>
      <w:pPr>
        <w:adjustRightInd w:val="0"/>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3、施工单位必提供满足质量保证期内正常运行的备品备件和易损、易耗件。</w:t>
      </w:r>
    </w:p>
    <w:p>
      <w:pPr>
        <w:adjustRightInd w:val="0"/>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4、质保期满，由施工单位提出退还质量保证金申请，按要求提交《工程质量保修责任期终止证书》，经监理单位、使用单位和我中心确认后按合同要求退还。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十一</w:t>
      </w:r>
      <w:r>
        <w:rPr>
          <w:rFonts w:hint="eastAsia" w:ascii="宋体" w:hAnsi="宋体" w:cs="宋体"/>
          <w:b/>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bidi="ar"/>
        </w:rPr>
        <w:t>施工现场建筑垃圾源头减量的具体要求和建筑垃圾综合利用产品的使用要求</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2.建筑垃圾应当按照国家有关规定进行分类，实行分类收集、分类贮存、分类运输、分类处置。</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5.工程泥浆应当在施工现场进行脱水固化处理。施工现场不具备条件的，应当采用罐装器具密闭运输至依法设置的建筑垃圾处置场所进行处置。水上工程中依法无需经脱水处理的除外。</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pStyle w:val="7"/>
        <w:rPr>
          <w:rFonts w:hint="eastAsia"/>
          <w:color w:val="auto"/>
          <w:highlight w:val="none"/>
        </w:rPr>
      </w:pPr>
      <w:r>
        <w:rPr>
          <w:rFonts w:hint="eastAsia" w:ascii="宋体" w:hAnsi="宋体" w:eastAsia="宋体" w:cs="宋体"/>
          <w:color w:val="auto"/>
          <w:kern w:val="2"/>
          <w:sz w:val="24"/>
          <w:szCs w:val="24"/>
          <w:highlight w:val="none"/>
          <w:lang w:val="en-US" w:eastAsia="zh-CN" w:bidi="ar"/>
        </w:rPr>
        <w:t>7.施工单位严格遵守并执行《广东省建筑垃圾管理条例》。</w:t>
      </w:r>
    </w:p>
    <w:p>
      <w:pPr>
        <w:pStyle w:val="4"/>
        <w:spacing w:line="360" w:lineRule="auto"/>
        <w:rPr>
          <w:rFonts w:hint="eastAsia"/>
          <w:color w:val="auto"/>
          <w:sz w:val="30"/>
          <w:szCs w:val="30"/>
          <w:highlight w:val="none"/>
        </w:rPr>
      </w:pPr>
      <w:r>
        <w:rPr>
          <w:rFonts w:hint="eastAsia"/>
          <w:color w:val="auto"/>
          <w:sz w:val="30"/>
          <w:szCs w:val="30"/>
          <w:highlight w:val="none"/>
          <w:lang w:val="en-US" w:eastAsia="zh-CN"/>
        </w:rPr>
        <w:t>五</w:t>
      </w:r>
      <w:r>
        <w:rPr>
          <w:rFonts w:hint="eastAsia"/>
          <w:color w:val="auto"/>
          <w:sz w:val="30"/>
          <w:szCs w:val="30"/>
          <w:highlight w:val="none"/>
        </w:rPr>
        <w:t>、其它要求及相关提示</w:t>
      </w:r>
    </w:p>
    <w:p>
      <w:pPr>
        <w:pStyle w:val="32"/>
        <w:ind w:firstLine="496"/>
        <w:rPr>
          <w:rFonts w:hint="eastAsia" w:ascii="宋体" w:hAnsi="宋体" w:eastAsia="宋体" w:cs="宋体"/>
          <w:color w:val="auto"/>
          <w:highlight w:val="none"/>
        </w:rPr>
      </w:pPr>
      <w:r>
        <w:rPr>
          <w:rFonts w:hint="eastAsia" w:ascii="宋体" w:hAnsi="宋体" w:eastAsia="宋体" w:cs="宋体"/>
          <w:color w:val="auto"/>
          <w:highlight w:val="none"/>
        </w:rPr>
        <w:t>1.投标人在报价时要充分考虑本工程的一切风险因素（如工程变更、工程费用调整因素、外部环境影响因素、招标人在招标时所提供的所有资料的完整性及准确性等），在投标报价时作出最优的方案和最合适、最有竞争力的报价。招标人所提供的一切招标资料予以公示。备标时投标人应对招标人提供的图纸、招标工程量清单等资料进行复核，对存在的异议或疑问，须按规定的时间提交书面意见，否则视为投标人同意招标资料的内容。针对招标文件的澄清或答疑招标人最迟在开标前十五天统一书面回复。中标后承包人对现场勘察的资料不作为竣工结算的依据。</w:t>
      </w:r>
    </w:p>
    <w:p>
      <w:pPr>
        <w:pStyle w:val="32"/>
        <w:ind w:firstLine="496"/>
        <w:rPr>
          <w:rFonts w:hint="eastAsia"/>
          <w:color w:val="auto"/>
          <w:highlight w:val="none"/>
        </w:rPr>
      </w:pPr>
      <w:r>
        <w:rPr>
          <w:rFonts w:hint="eastAsia" w:ascii="宋体" w:hAnsi="宋体" w:eastAsia="宋体" w:cs="宋体"/>
          <w:color w:val="auto"/>
          <w:highlight w:val="none"/>
        </w:rPr>
        <w:t>2.招标人提请投标人详细阅读和全面理解本招标文件和合同条款的内容，准确把握招标人对本建设项目的各项管理制度和要求，结合本企业的资源和实力，对本工程的投标作出最优的方案和最合适、最有竞争力的报价。</w:t>
      </w:r>
    </w:p>
    <w:p>
      <w:pPr>
        <w:spacing w:line="360" w:lineRule="auto"/>
        <w:rPr>
          <w:rFonts w:hint="eastAsia"/>
          <w:color w:val="auto"/>
          <w:sz w:val="30"/>
          <w:szCs w:val="30"/>
          <w:highlight w:val="none"/>
        </w:rPr>
      </w:pPr>
      <w:r>
        <w:rPr>
          <w:rFonts w:hint="eastAsia"/>
          <w:color w:val="auto"/>
          <w:sz w:val="30"/>
          <w:szCs w:val="30"/>
          <w:highlight w:val="none"/>
        </w:rPr>
        <w:br w:type="page"/>
      </w:r>
    </w:p>
    <w:bookmarkEnd w:id="274"/>
    <w:bookmarkEnd w:id="275"/>
    <w:bookmarkEnd w:id="276"/>
    <w:p>
      <w:pPr>
        <w:keepNext/>
        <w:keepLines/>
        <w:spacing w:before="120" w:after="120" w:line="360" w:lineRule="auto"/>
        <w:jc w:val="center"/>
        <w:outlineLvl w:val="0"/>
        <w:rPr>
          <w:b/>
          <w:color w:val="auto"/>
          <w:kern w:val="44"/>
          <w:sz w:val="28"/>
          <w:szCs w:val="28"/>
          <w:highlight w:val="none"/>
        </w:rPr>
      </w:pPr>
      <w:bookmarkStart w:id="277" w:name="_Toc62056136"/>
      <w:bookmarkStart w:id="278" w:name="_Toc2272569"/>
      <w:r>
        <w:rPr>
          <w:rFonts w:hint="eastAsia"/>
          <w:b/>
          <w:color w:val="auto"/>
          <w:kern w:val="44"/>
          <w:sz w:val="28"/>
          <w:szCs w:val="28"/>
          <w:highlight w:val="none"/>
        </w:rPr>
        <w:t>第六章</w:t>
      </w:r>
      <w:r>
        <w:rPr>
          <w:b/>
          <w:color w:val="auto"/>
          <w:kern w:val="44"/>
          <w:sz w:val="28"/>
          <w:szCs w:val="28"/>
          <w:highlight w:val="none"/>
        </w:rPr>
        <w:t xml:space="preserve">  </w:t>
      </w:r>
      <w:r>
        <w:rPr>
          <w:rFonts w:hint="eastAsia"/>
          <w:b/>
          <w:color w:val="auto"/>
          <w:kern w:val="44"/>
          <w:sz w:val="28"/>
          <w:szCs w:val="28"/>
          <w:highlight w:val="none"/>
        </w:rPr>
        <w:t>图纸及勘察资料</w:t>
      </w:r>
      <w:bookmarkEnd w:id="277"/>
      <w:bookmarkEnd w:id="278"/>
    </w:p>
    <w:p>
      <w:pPr>
        <w:spacing w:line="360" w:lineRule="auto"/>
        <w:rPr>
          <w:rFonts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pPr>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注：招标图纸，另册。</w:t>
      </w:r>
    </w:p>
    <w:p>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279" w:name="_Toc2272570"/>
      <w:bookmarkStart w:id="280" w:name="_Toc62056137"/>
      <w:r>
        <w:rPr>
          <w:rFonts w:hint="eastAsia"/>
          <w:b/>
          <w:color w:val="auto"/>
          <w:kern w:val="44"/>
          <w:sz w:val="28"/>
          <w:szCs w:val="28"/>
          <w:highlight w:val="none"/>
        </w:rPr>
        <w:t>第七章</w:t>
      </w:r>
      <w:r>
        <w:rPr>
          <w:b/>
          <w:color w:val="auto"/>
          <w:kern w:val="44"/>
          <w:sz w:val="28"/>
          <w:szCs w:val="28"/>
          <w:highlight w:val="none"/>
        </w:rPr>
        <w:t xml:space="preserve">  </w:t>
      </w:r>
      <w:r>
        <w:rPr>
          <w:rFonts w:hint="eastAsia"/>
          <w:b/>
          <w:color w:val="auto"/>
          <w:kern w:val="44"/>
          <w:sz w:val="28"/>
          <w:szCs w:val="28"/>
          <w:highlight w:val="none"/>
        </w:rPr>
        <w:t>工程量清单</w:t>
      </w:r>
      <w:bookmarkEnd w:id="279"/>
      <w:bookmarkEnd w:id="280"/>
    </w:p>
    <w:p>
      <w:pPr>
        <w:rPr>
          <w:rFonts w:ascii="宋体"/>
          <w:b/>
          <w:color w:val="auto"/>
          <w:sz w:val="24"/>
          <w:szCs w:val="24"/>
          <w:highlight w:val="none"/>
        </w:rPr>
      </w:pPr>
      <w:r>
        <w:rPr>
          <w:rFonts w:hint="eastAsia" w:ascii="宋体" w:hAnsi="宋体"/>
          <w:color w:val="auto"/>
          <w:sz w:val="24"/>
          <w:szCs w:val="24"/>
          <w:highlight w:val="none"/>
        </w:rPr>
        <w:t>注：另册。</w:t>
      </w:r>
    </w:p>
    <w:p>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281" w:name="_Toc62056138"/>
      <w:bookmarkStart w:id="282" w:name="_Toc2272571"/>
      <w:r>
        <w:rPr>
          <w:rFonts w:hint="eastAsia"/>
          <w:b/>
          <w:color w:val="auto"/>
          <w:kern w:val="44"/>
          <w:sz w:val="28"/>
          <w:szCs w:val="28"/>
          <w:highlight w:val="none"/>
        </w:rPr>
        <w:t>第八章</w:t>
      </w:r>
      <w:r>
        <w:rPr>
          <w:b/>
          <w:color w:val="auto"/>
          <w:kern w:val="44"/>
          <w:sz w:val="28"/>
          <w:szCs w:val="28"/>
          <w:highlight w:val="none"/>
        </w:rPr>
        <w:t xml:space="preserve">  </w:t>
      </w:r>
      <w:r>
        <w:rPr>
          <w:rFonts w:hint="eastAsia"/>
          <w:b/>
          <w:color w:val="auto"/>
          <w:kern w:val="44"/>
          <w:sz w:val="28"/>
          <w:szCs w:val="28"/>
          <w:highlight w:val="none"/>
        </w:rPr>
        <w:t>最高投标限价</w:t>
      </w:r>
      <w:bookmarkEnd w:id="281"/>
      <w:bookmarkEnd w:id="282"/>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pPr>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具体见本项目《最高投标限价公布函》。</w:t>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uroRoman">
    <w:altName w:val="Segoe Print"/>
    <w:panose1 w:val="00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8"/>
      </w:rPr>
    </w:pPr>
    <w:r>
      <w:fldChar w:fldCharType="begin"/>
    </w:r>
    <w:r>
      <w:rPr>
        <w:rStyle w:val="28"/>
      </w:rPr>
      <w:instrText xml:space="preserve">PAGE  </w:instrText>
    </w:r>
    <w:r>
      <w:fldChar w:fldCharType="separate"/>
    </w:r>
    <w:r>
      <w:rPr>
        <w:rStyle w:val="28"/>
        <w:rFonts w:hint="eastAsia"/>
      </w:rPr>
      <w:t>一</w:t>
    </w:r>
    <w:r>
      <w:rPr>
        <w:rStyle w:val="28"/>
      </w:rPr>
      <w:t>–2</w:t>
    </w:r>
    <w:r>
      <w:fldChar w:fldCharType="end"/>
    </w:r>
  </w:p>
  <w:p>
    <w:pPr>
      <w:pStyle w:val="16"/>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center"/>
      <w:rPr>
        <w:rStyle w:val="28"/>
        <w:szCs w:val="22"/>
      </w:rPr>
    </w:pPr>
    <w:r>
      <w:fldChar w:fldCharType="begin"/>
    </w:r>
    <w:r>
      <w:rPr>
        <w:rStyle w:val="28"/>
      </w:rPr>
      <w:instrText xml:space="preserve">PAGE  </w:instrText>
    </w:r>
    <w:r>
      <w:fldChar w:fldCharType="separate"/>
    </w:r>
    <w:r>
      <w:rPr>
        <w:rStyle w:val="28"/>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center"/>
      <w:rPr>
        <w:rStyle w:val="28"/>
      </w:rPr>
    </w:pPr>
    <w:r>
      <w:fldChar w:fldCharType="begin"/>
    </w:r>
    <w:r>
      <w:rPr>
        <w:rStyle w:val="28"/>
      </w:rPr>
      <w:instrText xml:space="preserve">PAGE  </w:instrText>
    </w:r>
    <w:r>
      <w:fldChar w:fldCharType="separate"/>
    </w:r>
    <w:r>
      <w:rPr>
        <w:rStyle w:val="28"/>
      </w:rPr>
      <w:t>58</w:t>
    </w:r>
    <w:r>
      <w:fldChar w:fldCharType="end"/>
    </w:r>
  </w:p>
  <w:p>
    <w:pPr>
      <w:pStyle w:val="16"/>
      <w:framePr w:wrap="around" w:vAnchor="text" w:hAnchor="margin" w:xAlign="outside" w:y="1"/>
      <w:ind w:left="-4410" w:leftChars="-2100" w:right="-4439" w:rightChars="-2114"/>
      <w:rPr>
        <w:rStyle w:val="28"/>
      </w:rPr>
    </w:pPr>
  </w:p>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Fonts w:hint="eastAsia"/>
      </w:rPr>
      <w:t>一</w:t>
    </w:r>
    <w:r>
      <w:rPr>
        <w:rStyle w:val="28"/>
      </w:rPr>
      <w:t>–2</w:t>
    </w:r>
    <w:r>
      <w:fldChar w:fldCharType="end"/>
    </w:r>
  </w:p>
  <w:p>
    <w:pPr>
      <w:pStyle w:val="16"/>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8"/>
      </w:rPr>
      <w:instrText xml:space="preserve"> PAGE </w:instrText>
    </w:r>
    <w:r>
      <w:fldChar w:fldCharType="separate"/>
    </w:r>
    <w:r>
      <w:rPr>
        <w:rStyle w:val="28"/>
      </w:rPr>
      <w:t>55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8"/>
      </w:rPr>
      <w:instrText xml:space="preserve"> PAGE </w:instrText>
    </w:r>
    <w:r>
      <w:fldChar w:fldCharType="separate"/>
    </w:r>
    <w:r>
      <w:rPr>
        <w:rStyle w:val="28"/>
      </w:rPr>
      <w:t>78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64"/>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10441A"/>
    <w:multiLevelType w:val="singleLevel"/>
    <w:tmpl w:val="0010441A"/>
    <w:lvl w:ilvl="0" w:tentative="0">
      <w:start w:val="4"/>
      <w:numFmt w:val="decimal"/>
      <w:suff w:val="nothing"/>
      <w:lvlText w:val="%1、"/>
      <w:lvlJc w:val="left"/>
    </w:lvl>
  </w:abstractNum>
  <w:abstractNum w:abstractNumId="3">
    <w:nsid w:val="13042E43"/>
    <w:multiLevelType w:val="multilevel"/>
    <w:tmpl w:val="13042E43"/>
    <w:lvl w:ilvl="0" w:tentative="0">
      <w:start w:val="4"/>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A1C4FDB"/>
    <w:multiLevelType w:val="multilevel"/>
    <w:tmpl w:val="4A1C4F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AC55B6"/>
    <w:multiLevelType w:val="multilevel"/>
    <w:tmpl w:val="4BAC55B6"/>
    <w:lvl w:ilvl="0" w:tentative="0">
      <w:start w:val="1"/>
      <w:numFmt w:val="decimal"/>
      <w:lvlText w:val="%1."/>
      <w:lvlJc w:val="left"/>
      <w:pPr>
        <w:tabs>
          <w:tab w:val="left" w:pos="1478"/>
        </w:tabs>
        <w:ind w:left="1478" w:hanging="720"/>
      </w:pPr>
      <w:rPr>
        <w:rFonts w:hint="default"/>
      </w:rPr>
    </w:lvl>
    <w:lvl w:ilvl="1" w:tentative="0">
      <w:start w:val="1"/>
      <w:numFmt w:val="lowerLetter"/>
      <w:lvlText w:val="%2)"/>
      <w:lvlJc w:val="left"/>
      <w:pPr>
        <w:tabs>
          <w:tab w:val="left" w:pos="1036"/>
        </w:tabs>
        <w:ind w:left="103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876"/>
        </w:tabs>
        <w:ind w:left="1876" w:hanging="420"/>
      </w:pPr>
    </w:lvl>
    <w:lvl w:ilvl="4" w:tentative="0">
      <w:start w:val="1"/>
      <w:numFmt w:val="lowerLetter"/>
      <w:lvlText w:val="%5)"/>
      <w:lvlJc w:val="left"/>
      <w:pPr>
        <w:tabs>
          <w:tab w:val="left" w:pos="2296"/>
        </w:tabs>
        <w:ind w:left="2296" w:hanging="420"/>
      </w:pPr>
    </w:lvl>
    <w:lvl w:ilvl="5" w:tentative="0">
      <w:start w:val="1"/>
      <w:numFmt w:val="lowerRoman"/>
      <w:lvlText w:val="%6."/>
      <w:lvlJc w:val="right"/>
      <w:pPr>
        <w:tabs>
          <w:tab w:val="left" w:pos="2716"/>
        </w:tabs>
        <w:ind w:left="2716" w:hanging="420"/>
      </w:pPr>
    </w:lvl>
    <w:lvl w:ilvl="6" w:tentative="0">
      <w:start w:val="1"/>
      <w:numFmt w:val="decimal"/>
      <w:lvlText w:val="%7."/>
      <w:lvlJc w:val="left"/>
      <w:pPr>
        <w:tabs>
          <w:tab w:val="left" w:pos="3136"/>
        </w:tabs>
        <w:ind w:left="3136" w:hanging="420"/>
      </w:pPr>
    </w:lvl>
    <w:lvl w:ilvl="7" w:tentative="0">
      <w:start w:val="1"/>
      <w:numFmt w:val="lowerLetter"/>
      <w:lvlText w:val="%8)"/>
      <w:lvlJc w:val="left"/>
      <w:pPr>
        <w:tabs>
          <w:tab w:val="left" w:pos="3556"/>
        </w:tabs>
        <w:ind w:left="3556" w:hanging="420"/>
      </w:pPr>
    </w:lvl>
    <w:lvl w:ilvl="8" w:tentative="0">
      <w:start w:val="1"/>
      <w:numFmt w:val="lowerRoman"/>
      <w:lvlText w:val="%9."/>
      <w:lvlJc w:val="right"/>
      <w:pPr>
        <w:tabs>
          <w:tab w:val="left" w:pos="3976"/>
        </w:tabs>
        <w:ind w:left="3976" w:hanging="420"/>
      </w:pPr>
    </w:lvl>
  </w:abstractNum>
  <w:abstractNum w:abstractNumId="6">
    <w:nsid w:val="5AE00CFE"/>
    <w:multiLevelType w:val="multilevel"/>
    <w:tmpl w:val="5AE00CFE"/>
    <w:lvl w:ilvl="0" w:tentative="0">
      <w:start w:val="1"/>
      <w:numFmt w:val="decimal"/>
      <w:lvlText w:val="%1."/>
      <w:lvlJc w:val="left"/>
      <w:pPr>
        <w:tabs>
          <w:tab w:val="left" w:pos="1478"/>
        </w:tabs>
        <w:ind w:left="1478" w:hanging="720"/>
      </w:pPr>
      <w:rPr>
        <w:rFonts w:hint="default"/>
      </w:rPr>
    </w:lvl>
    <w:lvl w:ilvl="1" w:tentative="0">
      <w:start w:val="1"/>
      <w:numFmt w:val="lowerLetter"/>
      <w:lvlText w:val="%2)"/>
      <w:lvlJc w:val="left"/>
      <w:pPr>
        <w:tabs>
          <w:tab w:val="left" w:pos="1036"/>
        </w:tabs>
        <w:ind w:left="103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876"/>
        </w:tabs>
        <w:ind w:left="1876" w:hanging="420"/>
      </w:pPr>
    </w:lvl>
    <w:lvl w:ilvl="4" w:tentative="0">
      <w:start w:val="1"/>
      <w:numFmt w:val="lowerLetter"/>
      <w:lvlText w:val="%5)"/>
      <w:lvlJc w:val="left"/>
      <w:pPr>
        <w:tabs>
          <w:tab w:val="left" w:pos="2296"/>
        </w:tabs>
        <w:ind w:left="2296" w:hanging="420"/>
      </w:pPr>
    </w:lvl>
    <w:lvl w:ilvl="5" w:tentative="0">
      <w:start w:val="1"/>
      <w:numFmt w:val="lowerRoman"/>
      <w:lvlText w:val="%6."/>
      <w:lvlJc w:val="right"/>
      <w:pPr>
        <w:tabs>
          <w:tab w:val="left" w:pos="2716"/>
        </w:tabs>
        <w:ind w:left="2716" w:hanging="420"/>
      </w:pPr>
    </w:lvl>
    <w:lvl w:ilvl="6" w:tentative="0">
      <w:start w:val="1"/>
      <w:numFmt w:val="decimal"/>
      <w:lvlText w:val="%7."/>
      <w:lvlJc w:val="left"/>
      <w:pPr>
        <w:tabs>
          <w:tab w:val="left" w:pos="3136"/>
        </w:tabs>
        <w:ind w:left="3136" w:hanging="420"/>
      </w:pPr>
    </w:lvl>
    <w:lvl w:ilvl="7" w:tentative="0">
      <w:start w:val="1"/>
      <w:numFmt w:val="lowerLetter"/>
      <w:lvlText w:val="%8)"/>
      <w:lvlJc w:val="left"/>
      <w:pPr>
        <w:tabs>
          <w:tab w:val="left" w:pos="3556"/>
        </w:tabs>
        <w:ind w:left="3556" w:hanging="420"/>
      </w:pPr>
    </w:lvl>
    <w:lvl w:ilvl="8" w:tentative="0">
      <w:start w:val="1"/>
      <w:numFmt w:val="lowerRoman"/>
      <w:lvlText w:val="%9."/>
      <w:lvlJc w:val="right"/>
      <w:pPr>
        <w:tabs>
          <w:tab w:val="left" w:pos="3976"/>
        </w:tabs>
        <w:ind w:left="3976" w:hanging="42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DcyNGUwODJkY2JmNzAxYjYxYzFlMmYxYWE3YmIifQ=="/>
    <w:docVar w:name="KSO_WPS_MARK_KEY" w:val="d30aa6f9-5d61-474b-a97c-34115113e38b"/>
  </w:docVars>
  <w:rsids>
    <w:rsidRoot w:val="142B1BC6"/>
    <w:rsid w:val="000A3888"/>
    <w:rsid w:val="000A3A39"/>
    <w:rsid w:val="001460B8"/>
    <w:rsid w:val="001A04E9"/>
    <w:rsid w:val="001A3F13"/>
    <w:rsid w:val="001A5D27"/>
    <w:rsid w:val="00256D3D"/>
    <w:rsid w:val="002A1F57"/>
    <w:rsid w:val="0035402B"/>
    <w:rsid w:val="003B4216"/>
    <w:rsid w:val="003F2235"/>
    <w:rsid w:val="00401044"/>
    <w:rsid w:val="00406E6A"/>
    <w:rsid w:val="00445A94"/>
    <w:rsid w:val="004B0827"/>
    <w:rsid w:val="00542C4E"/>
    <w:rsid w:val="00556863"/>
    <w:rsid w:val="005601BE"/>
    <w:rsid w:val="00572168"/>
    <w:rsid w:val="00583B91"/>
    <w:rsid w:val="005C78D1"/>
    <w:rsid w:val="005E1593"/>
    <w:rsid w:val="00663196"/>
    <w:rsid w:val="00690CE3"/>
    <w:rsid w:val="006E6C3C"/>
    <w:rsid w:val="007979D1"/>
    <w:rsid w:val="00803BB3"/>
    <w:rsid w:val="0095574A"/>
    <w:rsid w:val="00966202"/>
    <w:rsid w:val="009A474C"/>
    <w:rsid w:val="009C3BBB"/>
    <w:rsid w:val="009F1FB0"/>
    <w:rsid w:val="00A67117"/>
    <w:rsid w:val="00A75B51"/>
    <w:rsid w:val="00B3610B"/>
    <w:rsid w:val="00B373CE"/>
    <w:rsid w:val="00B47BDE"/>
    <w:rsid w:val="00B649EE"/>
    <w:rsid w:val="00C34A00"/>
    <w:rsid w:val="00C66064"/>
    <w:rsid w:val="00CC2A4D"/>
    <w:rsid w:val="00CE0CF3"/>
    <w:rsid w:val="00CF7B74"/>
    <w:rsid w:val="00D06BAD"/>
    <w:rsid w:val="00D1407A"/>
    <w:rsid w:val="00D1479A"/>
    <w:rsid w:val="00D22EBB"/>
    <w:rsid w:val="00D37BEF"/>
    <w:rsid w:val="00DD3FA5"/>
    <w:rsid w:val="00E72558"/>
    <w:rsid w:val="00F911CC"/>
    <w:rsid w:val="01474EA6"/>
    <w:rsid w:val="02646330"/>
    <w:rsid w:val="033B5315"/>
    <w:rsid w:val="05D830A9"/>
    <w:rsid w:val="05F00D7F"/>
    <w:rsid w:val="066E369D"/>
    <w:rsid w:val="06F4623B"/>
    <w:rsid w:val="07302A71"/>
    <w:rsid w:val="09622C8A"/>
    <w:rsid w:val="09BC18F4"/>
    <w:rsid w:val="0B29281C"/>
    <w:rsid w:val="0B5A76CD"/>
    <w:rsid w:val="0BB409D7"/>
    <w:rsid w:val="0C322DE7"/>
    <w:rsid w:val="0D976E5A"/>
    <w:rsid w:val="0E100F06"/>
    <w:rsid w:val="0E8337BB"/>
    <w:rsid w:val="0F0861A4"/>
    <w:rsid w:val="10001C84"/>
    <w:rsid w:val="10877B94"/>
    <w:rsid w:val="142B1BC6"/>
    <w:rsid w:val="17BE6ABA"/>
    <w:rsid w:val="1A053807"/>
    <w:rsid w:val="1AE130F7"/>
    <w:rsid w:val="1C6B012B"/>
    <w:rsid w:val="1D034C1E"/>
    <w:rsid w:val="1EAC6648"/>
    <w:rsid w:val="1F6F63E5"/>
    <w:rsid w:val="1FBF0E4C"/>
    <w:rsid w:val="1FE8583F"/>
    <w:rsid w:val="20623E68"/>
    <w:rsid w:val="206670F5"/>
    <w:rsid w:val="20B22373"/>
    <w:rsid w:val="20DD28A7"/>
    <w:rsid w:val="20E81469"/>
    <w:rsid w:val="21F95081"/>
    <w:rsid w:val="23264FFC"/>
    <w:rsid w:val="23A323EE"/>
    <w:rsid w:val="24363C6A"/>
    <w:rsid w:val="24797116"/>
    <w:rsid w:val="24B93C4E"/>
    <w:rsid w:val="253177CC"/>
    <w:rsid w:val="257E4457"/>
    <w:rsid w:val="25C81B45"/>
    <w:rsid w:val="25C90728"/>
    <w:rsid w:val="288822B5"/>
    <w:rsid w:val="293F5C8D"/>
    <w:rsid w:val="29D05CC2"/>
    <w:rsid w:val="2B3E372E"/>
    <w:rsid w:val="2BC071BE"/>
    <w:rsid w:val="2BCE566B"/>
    <w:rsid w:val="2C9A3D89"/>
    <w:rsid w:val="2D1465C9"/>
    <w:rsid w:val="2D6D3123"/>
    <w:rsid w:val="2DCD878D"/>
    <w:rsid w:val="2E9848D4"/>
    <w:rsid w:val="2F6E3672"/>
    <w:rsid w:val="2F747F19"/>
    <w:rsid w:val="2FF13484"/>
    <w:rsid w:val="30830BEB"/>
    <w:rsid w:val="32800DDF"/>
    <w:rsid w:val="355FD4B6"/>
    <w:rsid w:val="35C96C7E"/>
    <w:rsid w:val="35E33273"/>
    <w:rsid w:val="366A3757"/>
    <w:rsid w:val="366F0610"/>
    <w:rsid w:val="37201A7A"/>
    <w:rsid w:val="37757EA8"/>
    <w:rsid w:val="37BF76D2"/>
    <w:rsid w:val="395F1C11"/>
    <w:rsid w:val="39F01A68"/>
    <w:rsid w:val="39FF58B5"/>
    <w:rsid w:val="3A7D6A3C"/>
    <w:rsid w:val="3ABBF4D5"/>
    <w:rsid w:val="3AD042A0"/>
    <w:rsid w:val="3B7D5617"/>
    <w:rsid w:val="3D1BF986"/>
    <w:rsid w:val="3DBF9151"/>
    <w:rsid w:val="3DF23F5D"/>
    <w:rsid w:val="3EE2CFE6"/>
    <w:rsid w:val="3F3D0829"/>
    <w:rsid w:val="3FAA4051"/>
    <w:rsid w:val="3FB3C3D4"/>
    <w:rsid w:val="3FED78E4"/>
    <w:rsid w:val="3FF58DE7"/>
    <w:rsid w:val="40683756"/>
    <w:rsid w:val="412C782A"/>
    <w:rsid w:val="421A58D4"/>
    <w:rsid w:val="42F64163"/>
    <w:rsid w:val="4438469C"/>
    <w:rsid w:val="46FA3F26"/>
    <w:rsid w:val="471A1059"/>
    <w:rsid w:val="472E1A29"/>
    <w:rsid w:val="48082673"/>
    <w:rsid w:val="489839F7"/>
    <w:rsid w:val="48A759E8"/>
    <w:rsid w:val="48E34DF9"/>
    <w:rsid w:val="499F74D9"/>
    <w:rsid w:val="49D97E23"/>
    <w:rsid w:val="4A0550BC"/>
    <w:rsid w:val="4AF6726F"/>
    <w:rsid w:val="4B6F1204"/>
    <w:rsid w:val="4BF7CE97"/>
    <w:rsid w:val="4CEF0A6D"/>
    <w:rsid w:val="4CF23581"/>
    <w:rsid w:val="4D9CF01B"/>
    <w:rsid w:val="4E6423A8"/>
    <w:rsid w:val="4E7FFBDD"/>
    <w:rsid w:val="4F66081F"/>
    <w:rsid w:val="50032EC5"/>
    <w:rsid w:val="50B23B3E"/>
    <w:rsid w:val="519669E8"/>
    <w:rsid w:val="53E774F6"/>
    <w:rsid w:val="53FA6118"/>
    <w:rsid w:val="55FE818E"/>
    <w:rsid w:val="56A93273"/>
    <w:rsid w:val="576BDFDE"/>
    <w:rsid w:val="57F901B7"/>
    <w:rsid w:val="58321596"/>
    <w:rsid w:val="59D76A81"/>
    <w:rsid w:val="5A7264C8"/>
    <w:rsid w:val="5BFF4C41"/>
    <w:rsid w:val="5D6FD3D5"/>
    <w:rsid w:val="5D741621"/>
    <w:rsid w:val="5DB37CC1"/>
    <w:rsid w:val="5DDF413C"/>
    <w:rsid w:val="5EFFBDBA"/>
    <w:rsid w:val="5F156E8F"/>
    <w:rsid w:val="5F3FAD93"/>
    <w:rsid w:val="5F6E0A42"/>
    <w:rsid w:val="5F7A2454"/>
    <w:rsid w:val="5FE57944"/>
    <w:rsid w:val="5FECB87D"/>
    <w:rsid w:val="5FFE6BEB"/>
    <w:rsid w:val="61E41603"/>
    <w:rsid w:val="62F2712F"/>
    <w:rsid w:val="63617DB9"/>
    <w:rsid w:val="640632E1"/>
    <w:rsid w:val="64B04E9B"/>
    <w:rsid w:val="66993B3D"/>
    <w:rsid w:val="66A5312E"/>
    <w:rsid w:val="672A7AB8"/>
    <w:rsid w:val="67364DA6"/>
    <w:rsid w:val="687F9075"/>
    <w:rsid w:val="68A82244"/>
    <w:rsid w:val="693721CA"/>
    <w:rsid w:val="69791D4E"/>
    <w:rsid w:val="69B01D77"/>
    <w:rsid w:val="69E9AECA"/>
    <w:rsid w:val="6AF724FF"/>
    <w:rsid w:val="6B6DF573"/>
    <w:rsid w:val="6B6FE87C"/>
    <w:rsid w:val="6CAF0FAE"/>
    <w:rsid w:val="6DAD2B9A"/>
    <w:rsid w:val="6DF5F1DA"/>
    <w:rsid w:val="6DF76C73"/>
    <w:rsid w:val="6E5017A9"/>
    <w:rsid w:val="6EDF62B8"/>
    <w:rsid w:val="6F5E5BC2"/>
    <w:rsid w:val="6F9D4995"/>
    <w:rsid w:val="6FAF54C3"/>
    <w:rsid w:val="6FB97839"/>
    <w:rsid w:val="6FED343B"/>
    <w:rsid w:val="71C10361"/>
    <w:rsid w:val="72037EBE"/>
    <w:rsid w:val="736D6E0E"/>
    <w:rsid w:val="73DD2AC2"/>
    <w:rsid w:val="74717568"/>
    <w:rsid w:val="747F9DBE"/>
    <w:rsid w:val="74F568FE"/>
    <w:rsid w:val="75ECFC9C"/>
    <w:rsid w:val="76C9543C"/>
    <w:rsid w:val="771FACBA"/>
    <w:rsid w:val="777F77DF"/>
    <w:rsid w:val="77DBE019"/>
    <w:rsid w:val="77DF85E6"/>
    <w:rsid w:val="77FF8DAF"/>
    <w:rsid w:val="78345538"/>
    <w:rsid w:val="783A38D3"/>
    <w:rsid w:val="78DDB063"/>
    <w:rsid w:val="78E93935"/>
    <w:rsid w:val="78F357D4"/>
    <w:rsid w:val="792902B8"/>
    <w:rsid w:val="797F4D73"/>
    <w:rsid w:val="79D786D1"/>
    <w:rsid w:val="7AAE78F4"/>
    <w:rsid w:val="7BDF7F1B"/>
    <w:rsid w:val="7CB3D673"/>
    <w:rsid w:val="7CCA3A64"/>
    <w:rsid w:val="7CE91EA0"/>
    <w:rsid w:val="7CF947E0"/>
    <w:rsid w:val="7D16490F"/>
    <w:rsid w:val="7D3D2B21"/>
    <w:rsid w:val="7D6B56FD"/>
    <w:rsid w:val="7D9F4AC8"/>
    <w:rsid w:val="7DB7DEEC"/>
    <w:rsid w:val="7DBE69C6"/>
    <w:rsid w:val="7DFD5C2B"/>
    <w:rsid w:val="7E45C2A9"/>
    <w:rsid w:val="7ED70D8A"/>
    <w:rsid w:val="7EEF14A6"/>
    <w:rsid w:val="7EF6091F"/>
    <w:rsid w:val="7EFFAF34"/>
    <w:rsid w:val="7F67FE07"/>
    <w:rsid w:val="7F7EB943"/>
    <w:rsid w:val="7F7F0718"/>
    <w:rsid w:val="7F7F6BC2"/>
    <w:rsid w:val="7F9EED94"/>
    <w:rsid w:val="7FB9D497"/>
    <w:rsid w:val="7FBF794C"/>
    <w:rsid w:val="7FBFFFBE"/>
    <w:rsid w:val="7FDFA112"/>
    <w:rsid w:val="7FF3D604"/>
    <w:rsid w:val="7FF6D8D8"/>
    <w:rsid w:val="7FF9E526"/>
    <w:rsid w:val="7FFB1CAD"/>
    <w:rsid w:val="7FFED94D"/>
    <w:rsid w:val="7FFF6302"/>
    <w:rsid w:val="89FF459F"/>
    <w:rsid w:val="8F6F0FCB"/>
    <w:rsid w:val="8F7FBCAB"/>
    <w:rsid w:val="9ADF3FCB"/>
    <w:rsid w:val="9B67832B"/>
    <w:rsid w:val="9D7D17B2"/>
    <w:rsid w:val="9F7B9A0E"/>
    <w:rsid w:val="9F9EA170"/>
    <w:rsid w:val="9FEE1CAA"/>
    <w:rsid w:val="AF2B9846"/>
    <w:rsid w:val="AF37C190"/>
    <w:rsid w:val="AFCAE1C4"/>
    <w:rsid w:val="AFDFC430"/>
    <w:rsid w:val="B7BF1BF9"/>
    <w:rsid w:val="BBFF6E2C"/>
    <w:rsid w:val="BDDF861E"/>
    <w:rsid w:val="BDF81268"/>
    <w:rsid w:val="BDFB2AF2"/>
    <w:rsid w:val="BEE74784"/>
    <w:rsid w:val="BEFE0ECA"/>
    <w:rsid w:val="BFEDF7EA"/>
    <w:rsid w:val="BFEFC854"/>
    <w:rsid w:val="C3B6F267"/>
    <w:rsid w:val="CA634127"/>
    <w:rsid w:val="CAF9B90E"/>
    <w:rsid w:val="CD5FA6A1"/>
    <w:rsid w:val="CFD7E06A"/>
    <w:rsid w:val="CFD8E3A1"/>
    <w:rsid w:val="D5E7C2E5"/>
    <w:rsid w:val="D78F0329"/>
    <w:rsid w:val="D7C6A07D"/>
    <w:rsid w:val="DABE4483"/>
    <w:rsid w:val="DAFFE97B"/>
    <w:rsid w:val="DBECA5B7"/>
    <w:rsid w:val="DD767C56"/>
    <w:rsid w:val="DF5B9748"/>
    <w:rsid w:val="DF9B6720"/>
    <w:rsid w:val="DFF2A343"/>
    <w:rsid w:val="DFFC250A"/>
    <w:rsid w:val="DFFD1658"/>
    <w:rsid w:val="E0FF1DA2"/>
    <w:rsid w:val="E3BBF3B8"/>
    <w:rsid w:val="E7FB4F07"/>
    <w:rsid w:val="E7FBD204"/>
    <w:rsid w:val="EAEFCC76"/>
    <w:rsid w:val="EAF6E4DF"/>
    <w:rsid w:val="EAFF6BE4"/>
    <w:rsid w:val="EED763E6"/>
    <w:rsid w:val="EF2777F2"/>
    <w:rsid w:val="EFAF9390"/>
    <w:rsid w:val="EFCB55F1"/>
    <w:rsid w:val="EFF6A1E6"/>
    <w:rsid w:val="EFFD90AE"/>
    <w:rsid w:val="EFFF6FDF"/>
    <w:rsid w:val="F3FFC8D4"/>
    <w:rsid w:val="F5FFE6B4"/>
    <w:rsid w:val="F77D7DCA"/>
    <w:rsid w:val="F77FE7D1"/>
    <w:rsid w:val="F7CFA9E0"/>
    <w:rsid w:val="F7D53015"/>
    <w:rsid w:val="F7F5F3F1"/>
    <w:rsid w:val="F7FF10C5"/>
    <w:rsid w:val="F7FF1581"/>
    <w:rsid w:val="F7FF6F87"/>
    <w:rsid w:val="F8E548C7"/>
    <w:rsid w:val="F9BF18D1"/>
    <w:rsid w:val="FA5D215A"/>
    <w:rsid w:val="FA711F80"/>
    <w:rsid w:val="FB3629E0"/>
    <w:rsid w:val="FB5DF0F5"/>
    <w:rsid w:val="FBCE3061"/>
    <w:rsid w:val="FBFB649E"/>
    <w:rsid w:val="FBFDCA73"/>
    <w:rsid w:val="FCD1CA28"/>
    <w:rsid w:val="FCFF5727"/>
    <w:rsid w:val="FD5218BF"/>
    <w:rsid w:val="FDAFD4E3"/>
    <w:rsid w:val="FDBB370D"/>
    <w:rsid w:val="FDECDD2B"/>
    <w:rsid w:val="FDF951FE"/>
    <w:rsid w:val="FDFE0FEB"/>
    <w:rsid w:val="FE1E539B"/>
    <w:rsid w:val="FE57056E"/>
    <w:rsid w:val="FE734801"/>
    <w:rsid w:val="FEC39D25"/>
    <w:rsid w:val="FED70525"/>
    <w:rsid w:val="FEEF3FDB"/>
    <w:rsid w:val="FF3517D5"/>
    <w:rsid w:val="FF5AB529"/>
    <w:rsid w:val="FF77755B"/>
    <w:rsid w:val="FFAF4254"/>
    <w:rsid w:val="FFDA5C67"/>
    <w:rsid w:val="FFDDBDA7"/>
    <w:rsid w:val="FFDFD4BB"/>
    <w:rsid w:val="FFECD278"/>
    <w:rsid w:val="FFEF33CE"/>
    <w:rsid w:val="FFEF3A6E"/>
    <w:rsid w:val="FFF603EE"/>
    <w:rsid w:val="FFFACB69"/>
    <w:rsid w:val="FFFCE759"/>
    <w:rsid w:val="FFFD3E42"/>
    <w:rsid w:val="FFFD7957"/>
    <w:rsid w:val="FFFD9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8"/>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4">
    <w:name w:val="heading 2"/>
    <w:basedOn w:val="1"/>
    <w:next w:val="1"/>
    <w:link w:val="35"/>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36"/>
    <w:autoRedefine/>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77"/>
    <w:autoRedefine/>
    <w:semiHidden/>
    <w:unhideWhenUsed/>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autoRedefine/>
    <w:qFormat/>
    <w:uiPriority w:val="99"/>
    <w:pPr>
      <w:ind w:firstLine="420"/>
    </w:pPr>
    <w:rPr>
      <w:kern w:val="0"/>
      <w:sz w:val="20"/>
      <w:szCs w:val="20"/>
    </w:rPr>
  </w:style>
  <w:style w:type="paragraph" w:styleId="8">
    <w:name w:val="annotation text"/>
    <w:basedOn w:val="1"/>
    <w:link w:val="49"/>
    <w:autoRedefine/>
    <w:qFormat/>
    <w:uiPriority w:val="0"/>
    <w:pPr>
      <w:jc w:val="left"/>
    </w:pPr>
  </w:style>
  <w:style w:type="paragraph" w:styleId="9">
    <w:name w:val="Body Text"/>
    <w:basedOn w:val="1"/>
    <w:link w:val="37"/>
    <w:autoRedefine/>
    <w:qFormat/>
    <w:uiPriority w:val="99"/>
    <w:pPr>
      <w:spacing w:after="120"/>
    </w:pPr>
  </w:style>
  <w:style w:type="paragraph" w:styleId="10">
    <w:name w:val="Body Text Indent"/>
    <w:basedOn w:val="1"/>
    <w:next w:val="11"/>
    <w:link w:val="38"/>
    <w:autoRedefine/>
    <w:qFormat/>
    <w:uiPriority w:val="0"/>
    <w:pPr>
      <w:ind w:firstLine="570"/>
    </w:pPr>
    <w:rPr>
      <w:kern w:val="0"/>
      <w:sz w:val="28"/>
      <w:szCs w:val="20"/>
    </w:rPr>
  </w:style>
  <w:style w:type="paragraph" w:styleId="11">
    <w:name w:val="envelope return"/>
    <w:basedOn w:val="1"/>
    <w:autoRedefine/>
    <w:qFormat/>
    <w:uiPriority w:val="0"/>
    <w:pPr>
      <w:snapToGrid w:val="0"/>
    </w:pPr>
    <w:rPr>
      <w:rFonts w:ascii="Arial" w:hAnsi="Arial"/>
      <w:szCs w:val="24"/>
    </w:rPr>
  </w:style>
  <w:style w:type="paragraph" w:styleId="12">
    <w:name w:val="index 4"/>
    <w:basedOn w:val="1"/>
    <w:next w:val="1"/>
    <w:autoRedefine/>
    <w:unhideWhenUsed/>
    <w:qFormat/>
    <w:uiPriority w:val="99"/>
    <w:pPr>
      <w:ind w:left="600" w:leftChars="600"/>
    </w:pPr>
    <w:rPr>
      <w:rFonts w:ascii="Calibri" w:hAnsi="Calibri"/>
      <w:szCs w:val="21"/>
    </w:rPr>
  </w:style>
  <w:style w:type="paragraph" w:styleId="13">
    <w:name w:val="Plain Text"/>
    <w:basedOn w:val="1"/>
    <w:next w:val="1"/>
    <w:link w:val="51"/>
    <w:autoRedefine/>
    <w:qFormat/>
    <w:uiPriority w:val="99"/>
    <w:rPr>
      <w:rFonts w:ascii="宋体" w:hAnsi="Courier New"/>
      <w:kern w:val="0"/>
      <w:sz w:val="20"/>
      <w:szCs w:val="20"/>
    </w:rPr>
  </w:style>
  <w:style w:type="paragraph" w:styleId="14">
    <w:name w:val="Date"/>
    <w:basedOn w:val="1"/>
    <w:next w:val="1"/>
    <w:link w:val="52"/>
    <w:autoRedefine/>
    <w:unhideWhenUsed/>
    <w:qFormat/>
    <w:uiPriority w:val="99"/>
    <w:rPr>
      <w:rFonts w:ascii="Calibri" w:hAnsi="Calibri" w:cs="Calibri"/>
      <w:kern w:val="0"/>
      <w:sz w:val="20"/>
      <w:szCs w:val="20"/>
    </w:rPr>
  </w:style>
  <w:style w:type="paragraph" w:styleId="15">
    <w:name w:val="Balloon Text"/>
    <w:basedOn w:val="1"/>
    <w:link w:val="34"/>
    <w:autoRedefine/>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autoRedefine/>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6"/>
    <w:autoRedefine/>
    <w:unhideWhenUsed/>
    <w:qFormat/>
    <w:uiPriority w:val="99"/>
    <w:rPr>
      <w:rFonts w:hint="eastAsia" w:ascii="宋体" w:hAnsi="宋体" w:cs="Calibri"/>
      <w:kern w:val="0"/>
      <w:sz w:val="20"/>
      <w:szCs w:val="20"/>
      <w:u w:val="single"/>
    </w:rPr>
  </w:style>
  <w:style w:type="paragraph" w:styleId="20">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2"/>
      <w:lang w:val="en-US" w:eastAsia="zh-CN" w:bidi="ar"/>
    </w:rPr>
  </w:style>
  <w:style w:type="paragraph" w:styleId="21">
    <w:name w:val="Title"/>
    <w:basedOn w:val="1"/>
    <w:next w:val="1"/>
    <w:link w:val="57"/>
    <w:autoRedefine/>
    <w:qFormat/>
    <w:uiPriority w:val="10"/>
    <w:pPr>
      <w:spacing w:before="240" w:after="60"/>
      <w:jc w:val="center"/>
      <w:outlineLvl w:val="0"/>
    </w:pPr>
    <w:rPr>
      <w:rFonts w:ascii="Cambria" w:hAnsi="Cambria" w:cs="Calibri"/>
      <w:b/>
      <w:bCs/>
      <w:sz w:val="32"/>
      <w:szCs w:val="32"/>
    </w:rPr>
  </w:style>
  <w:style w:type="paragraph" w:styleId="22">
    <w:name w:val="Body Text First Indent"/>
    <w:basedOn w:val="9"/>
    <w:link w:val="41"/>
    <w:autoRedefine/>
    <w:qFormat/>
    <w:uiPriority w:val="99"/>
    <w:pPr>
      <w:ind w:firstLine="420"/>
    </w:pPr>
    <w:rPr>
      <w:rFonts w:ascii="Calibri" w:hAnsi="Calibri"/>
    </w:rPr>
  </w:style>
  <w:style w:type="paragraph" w:styleId="23">
    <w:name w:val="Body Text First Indent 2"/>
    <w:basedOn w:val="10"/>
    <w:link w:val="42"/>
    <w:autoRedefine/>
    <w:qFormat/>
    <w:uiPriority w:val="99"/>
    <w:pPr>
      <w:spacing w:after="120"/>
      <w:ind w:left="200" w:leftChars="200" w:firstLine="200" w:firstLineChars="200"/>
    </w:pPr>
    <w:rPr>
      <w:rFonts w:ascii="Calibri" w:hAnsi="Calibri"/>
      <w:color w:val="0D0D0D"/>
      <w:kern w:val="2"/>
      <w:sz w:val="21"/>
      <w:szCs w:val="24"/>
      <w:lang w:eastAsia="en-US"/>
    </w:rPr>
  </w:style>
  <w:style w:type="table" w:styleId="25">
    <w:name w:val="Table Grid"/>
    <w:basedOn w:val="24"/>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Calibri" w:hAnsi="Calibri" w:eastAsia="宋体" w:cs="Times New Roman"/>
    </w:rPr>
  </w:style>
  <w:style w:type="character" w:styleId="29">
    <w:name w:val="Hyperlink"/>
    <w:autoRedefine/>
    <w:qFormat/>
    <w:uiPriority w:val="99"/>
    <w:rPr>
      <w:rFonts w:ascii="Calibri" w:hAnsi="Calibri" w:eastAsia="宋体" w:cs="Times New Roman"/>
      <w:color w:val="0000FF"/>
      <w:u w:val="single"/>
    </w:rPr>
  </w:style>
  <w:style w:type="character" w:styleId="30">
    <w:name w:val="annotation reference"/>
    <w:autoRedefine/>
    <w:unhideWhenUsed/>
    <w:qFormat/>
    <w:uiPriority w:val="0"/>
    <w:rPr>
      <w:sz w:val="21"/>
      <w:szCs w:val="21"/>
    </w:rPr>
  </w:style>
  <w:style w:type="paragraph" w:customStyle="1" w:styleId="31">
    <w:name w:val="章节三"/>
    <w:basedOn w:val="32"/>
    <w:next w:val="32"/>
    <w:autoRedefine/>
    <w:qFormat/>
    <w:uiPriority w:val="99"/>
    <w:pPr>
      <w:widowControl w:val="0"/>
      <w:spacing w:beforeLines="50" w:line="240" w:lineRule="auto"/>
      <w:ind w:firstLine="0" w:firstLineChars="0"/>
      <w:outlineLvl w:val="2"/>
    </w:pPr>
    <w:rPr>
      <w:rFonts w:ascii="黑体" w:hAnsi="宋体" w:eastAsia="黑体"/>
      <w:b/>
    </w:rPr>
  </w:style>
  <w:style w:type="paragraph" w:customStyle="1" w:styleId="32">
    <w:name w:val="文一"/>
    <w:link w:val="47"/>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3">
    <w:name w:val="正文1"/>
    <w:basedOn w:val="1"/>
    <w:autoRedefine/>
    <w:qFormat/>
    <w:uiPriority w:val="0"/>
    <w:pPr>
      <w:spacing w:line="360" w:lineRule="auto"/>
      <w:ind w:firstLine="200" w:firstLineChars="200"/>
      <w:jc w:val="left"/>
    </w:pPr>
    <w:rPr>
      <w:rFonts w:ascii="Calibri" w:hAnsi="Calibri"/>
      <w:sz w:val="24"/>
    </w:rPr>
  </w:style>
  <w:style w:type="character" w:customStyle="1" w:styleId="34">
    <w:name w:val="批注框文本 Char"/>
    <w:basedOn w:val="26"/>
    <w:link w:val="15"/>
    <w:autoRedefine/>
    <w:qFormat/>
    <w:uiPriority w:val="99"/>
    <w:rPr>
      <w:rFonts w:ascii="Times New Roman" w:hAnsi="Times New Roman" w:cs="Times New Roman"/>
      <w:kern w:val="2"/>
      <w:sz w:val="18"/>
      <w:szCs w:val="18"/>
    </w:rPr>
  </w:style>
  <w:style w:type="character" w:customStyle="1" w:styleId="35">
    <w:name w:val="标题 2 Char"/>
    <w:link w:val="4"/>
    <w:autoRedefine/>
    <w:qFormat/>
    <w:uiPriority w:val="0"/>
    <w:rPr>
      <w:rFonts w:ascii="Arial" w:hAnsi="Arial" w:cs="Times New Roman"/>
      <w:b/>
      <w:color w:val="000000"/>
      <w:kern w:val="2"/>
      <w:sz w:val="28"/>
      <w:szCs w:val="24"/>
    </w:rPr>
  </w:style>
  <w:style w:type="character" w:customStyle="1" w:styleId="36">
    <w:name w:val="标题 3 Char"/>
    <w:link w:val="5"/>
    <w:autoRedefine/>
    <w:qFormat/>
    <w:uiPriority w:val="0"/>
    <w:rPr>
      <w:rFonts w:ascii="宋体" w:hAnsi="宋体" w:cs="Times New Roman"/>
      <w:sz w:val="27"/>
      <w:szCs w:val="27"/>
    </w:rPr>
  </w:style>
  <w:style w:type="character" w:customStyle="1" w:styleId="37">
    <w:name w:val="正文文本 Char"/>
    <w:link w:val="9"/>
    <w:autoRedefine/>
    <w:qFormat/>
    <w:uiPriority w:val="0"/>
    <w:rPr>
      <w:rFonts w:ascii="Times New Roman" w:hAnsi="Times New Roman" w:cs="Times New Roman"/>
      <w:kern w:val="2"/>
      <w:sz w:val="21"/>
      <w:szCs w:val="22"/>
    </w:rPr>
  </w:style>
  <w:style w:type="character" w:customStyle="1" w:styleId="38">
    <w:name w:val="正文文本缩进 Char"/>
    <w:basedOn w:val="26"/>
    <w:link w:val="10"/>
    <w:autoRedefine/>
    <w:qFormat/>
    <w:uiPriority w:val="0"/>
    <w:rPr>
      <w:rFonts w:ascii="Times New Roman" w:hAnsi="Times New Roman" w:cs="Times New Roman"/>
      <w:sz w:val="28"/>
    </w:rPr>
  </w:style>
  <w:style w:type="character" w:customStyle="1" w:styleId="39">
    <w:name w:val="页脚 Char"/>
    <w:link w:val="16"/>
    <w:autoRedefine/>
    <w:qFormat/>
    <w:uiPriority w:val="99"/>
    <w:rPr>
      <w:rFonts w:ascii="Times New Roman" w:hAnsi="Times New Roman" w:cs="Times New Roman"/>
      <w:sz w:val="18"/>
      <w:szCs w:val="18"/>
    </w:rPr>
  </w:style>
  <w:style w:type="character" w:customStyle="1" w:styleId="40">
    <w:name w:val="页眉 Char"/>
    <w:link w:val="17"/>
    <w:autoRedefine/>
    <w:qFormat/>
    <w:uiPriority w:val="0"/>
    <w:rPr>
      <w:rFonts w:ascii="Times New Roman" w:hAnsi="Times New Roman" w:cs="Times New Roman"/>
      <w:sz w:val="18"/>
      <w:szCs w:val="18"/>
    </w:rPr>
  </w:style>
  <w:style w:type="character" w:customStyle="1" w:styleId="41">
    <w:name w:val="正文首行缩进 Char"/>
    <w:basedOn w:val="37"/>
    <w:link w:val="22"/>
    <w:autoRedefine/>
    <w:qFormat/>
    <w:uiPriority w:val="0"/>
    <w:rPr>
      <w:rFonts w:ascii="Times New Roman" w:hAnsi="Times New Roman" w:cs="Times New Roman"/>
      <w:kern w:val="2"/>
      <w:sz w:val="21"/>
      <w:szCs w:val="22"/>
    </w:rPr>
  </w:style>
  <w:style w:type="character" w:customStyle="1" w:styleId="42">
    <w:name w:val="正文首行缩进 2 Char"/>
    <w:basedOn w:val="38"/>
    <w:link w:val="23"/>
    <w:autoRedefine/>
    <w:qFormat/>
    <w:uiPriority w:val="0"/>
    <w:rPr>
      <w:rFonts w:ascii="Times New Roman" w:hAnsi="Times New Roman" w:cs="Times New Roman"/>
      <w:color w:val="0D0D0D"/>
      <w:kern w:val="2"/>
      <w:sz w:val="21"/>
      <w:szCs w:val="24"/>
      <w:lang w:eastAsia="en-US"/>
    </w:rPr>
  </w:style>
  <w:style w:type="character" w:customStyle="1" w:styleId="43">
    <w:name w:val="font11"/>
    <w:autoRedefine/>
    <w:qFormat/>
    <w:uiPriority w:val="0"/>
    <w:rPr>
      <w:rFonts w:hint="eastAsia" w:ascii="仿宋" w:hAnsi="仿宋" w:eastAsia="仿宋" w:cs="仿宋"/>
      <w:b/>
      <w:color w:val="000000"/>
      <w:sz w:val="28"/>
      <w:szCs w:val="28"/>
      <w:u w:val="none"/>
    </w:rPr>
  </w:style>
  <w:style w:type="character" w:customStyle="1" w:styleId="44">
    <w:name w:val="font21"/>
    <w:autoRedefine/>
    <w:qFormat/>
    <w:uiPriority w:val="0"/>
    <w:rPr>
      <w:rFonts w:hint="eastAsia" w:ascii="仿宋" w:hAnsi="仿宋" w:eastAsia="仿宋" w:cs="仿宋"/>
      <w:b/>
      <w:color w:val="000000"/>
      <w:sz w:val="28"/>
      <w:szCs w:val="28"/>
      <w:u w:val="none"/>
    </w:rPr>
  </w:style>
  <w:style w:type="paragraph" w:customStyle="1" w:styleId="45">
    <w:name w:val="正题"/>
    <w:basedOn w:val="32"/>
    <w:next w:val="32"/>
    <w:autoRedefine/>
    <w:qFormat/>
    <w:uiPriority w:val="0"/>
    <w:pPr>
      <w:spacing w:after="200"/>
      <w:ind w:firstLine="0" w:firstLineChars="0"/>
      <w:jc w:val="center"/>
    </w:pPr>
    <w:rPr>
      <w:rFonts w:eastAsia="黑体"/>
      <w:b/>
      <w:snapToGrid/>
      <w:kern w:val="0"/>
      <w:sz w:val="36"/>
      <w:szCs w:val="36"/>
    </w:rPr>
  </w:style>
  <w:style w:type="paragraph" w:styleId="46">
    <w:name w:val="List Paragraph"/>
    <w:basedOn w:val="1"/>
    <w:autoRedefine/>
    <w:qFormat/>
    <w:uiPriority w:val="0"/>
    <w:pPr>
      <w:ind w:firstLine="420" w:firstLineChars="200"/>
    </w:pPr>
    <w:rPr>
      <w:szCs w:val="20"/>
    </w:rPr>
  </w:style>
  <w:style w:type="character" w:customStyle="1" w:styleId="47">
    <w:name w:val="文一 Char"/>
    <w:link w:val="32"/>
    <w:autoRedefine/>
    <w:qFormat/>
    <w:uiPriority w:val="0"/>
    <w:rPr>
      <w:rFonts w:ascii="Times New Roman" w:hAnsi="Times New Roman" w:eastAsia="Times New Roman" w:cs="Times New Roman"/>
      <w:snapToGrid w:val="0"/>
      <w:spacing w:val="4"/>
      <w:kern w:val="2"/>
      <w:sz w:val="24"/>
      <w:szCs w:val="24"/>
    </w:rPr>
  </w:style>
  <w:style w:type="character" w:customStyle="1" w:styleId="48">
    <w:name w:val="标题 1 Char"/>
    <w:basedOn w:val="26"/>
    <w:link w:val="2"/>
    <w:autoRedefine/>
    <w:qFormat/>
    <w:uiPriority w:val="9"/>
    <w:rPr>
      <w:rFonts w:ascii="Arial" w:hAnsi="Arial"/>
      <w:b/>
      <w:kern w:val="44"/>
      <w:sz w:val="28"/>
      <w:szCs w:val="28"/>
    </w:rPr>
  </w:style>
  <w:style w:type="character" w:customStyle="1" w:styleId="49">
    <w:name w:val="批注文字 Char"/>
    <w:link w:val="8"/>
    <w:autoRedefine/>
    <w:qFormat/>
    <w:uiPriority w:val="0"/>
    <w:rPr>
      <w:rFonts w:ascii="Times New Roman" w:hAnsi="Times New Roman" w:cs="Times New Roman"/>
      <w:kern w:val="2"/>
      <w:sz w:val="21"/>
      <w:szCs w:val="22"/>
    </w:rPr>
  </w:style>
  <w:style w:type="character" w:customStyle="1" w:styleId="50">
    <w:name w:val="正文文本 Char1"/>
    <w:autoRedefine/>
    <w:semiHidden/>
    <w:qFormat/>
    <w:uiPriority w:val="99"/>
    <w:rPr>
      <w:rFonts w:ascii="Calibri" w:hAnsi="Calibri" w:eastAsia="宋体" w:cs="Times New Roman"/>
    </w:rPr>
  </w:style>
  <w:style w:type="character" w:customStyle="1" w:styleId="51">
    <w:name w:val="纯文本 Char1"/>
    <w:link w:val="13"/>
    <w:autoRedefine/>
    <w:qFormat/>
    <w:uiPriority w:val="99"/>
    <w:rPr>
      <w:rFonts w:ascii="宋体" w:hAnsi="Courier New" w:cs="Times New Roman"/>
    </w:rPr>
  </w:style>
  <w:style w:type="character" w:customStyle="1" w:styleId="52">
    <w:name w:val="日期 Char"/>
    <w:basedOn w:val="26"/>
    <w:link w:val="14"/>
    <w:autoRedefine/>
    <w:qFormat/>
    <w:uiPriority w:val="99"/>
  </w:style>
  <w:style w:type="character" w:customStyle="1" w:styleId="53">
    <w:name w:val="批注框文本 Char1"/>
    <w:autoRedefine/>
    <w:semiHidden/>
    <w:qFormat/>
    <w:uiPriority w:val="99"/>
    <w:rPr>
      <w:rFonts w:ascii="Calibri" w:hAnsi="Calibri" w:eastAsia="宋体" w:cs="Times New Roman"/>
      <w:sz w:val="18"/>
      <w:szCs w:val="18"/>
    </w:rPr>
  </w:style>
  <w:style w:type="character" w:customStyle="1" w:styleId="54">
    <w:name w:val="页脚 Char1"/>
    <w:autoRedefine/>
    <w:semiHidden/>
    <w:qFormat/>
    <w:uiPriority w:val="99"/>
    <w:rPr>
      <w:rFonts w:ascii="Calibri" w:hAnsi="Calibri" w:eastAsia="宋体" w:cs="Times New Roman"/>
      <w:sz w:val="18"/>
      <w:szCs w:val="18"/>
    </w:rPr>
  </w:style>
  <w:style w:type="character" w:customStyle="1" w:styleId="55">
    <w:name w:val="页眉 Char1"/>
    <w:autoRedefine/>
    <w:semiHidden/>
    <w:qFormat/>
    <w:uiPriority w:val="99"/>
    <w:rPr>
      <w:rFonts w:ascii="Calibri" w:hAnsi="Calibri" w:eastAsia="宋体" w:cs="Times New Roman"/>
      <w:sz w:val="18"/>
      <w:szCs w:val="18"/>
    </w:rPr>
  </w:style>
  <w:style w:type="character" w:customStyle="1" w:styleId="56">
    <w:name w:val="正文文本 2 Char"/>
    <w:basedOn w:val="26"/>
    <w:link w:val="19"/>
    <w:autoRedefine/>
    <w:qFormat/>
    <w:uiPriority w:val="99"/>
    <w:rPr>
      <w:rFonts w:ascii="宋体" w:hAnsi="宋体"/>
      <w:u w:val="single"/>
    </w:rPr>
  </w:style>
  <w:style w:type="character" w:customStyle="1" w:styleId="57">
    <w:name w:val="标题 Char"/>
    <w:basedOn w:val="26"/>
    <w:link w:val="21"/>
    <w:autoRedefine/>
    <w:qFormat/>
    <w:uiPriority w:val="10"/>
    <w:rPr>
      <w:rFonts w:ascii="Cambria" w:hAnsi="Cambria"/>
      <w:b/>
      <w:bCs/>
      <w:kern w:val="2"/>
      <w:sz w:val="32"/>
      <w:szCs w:val="32"/>
    </w:rPr>
  </w:style>
  <w:style w:type="character" w:customStyle="1" w:styleId="58">
    <w:name w:val="正文首行缩进 Char1"/>
    <w:autoRedefine/>
    <w:semiHidden/>
    <w:qFormat/>
    <w:uiPriority w:val="99"/>
    <w:rPr>
      <w:rFonts w:ascii="Calibri" w:hAnsi="Calibri" w:eastAsia="宋体" w:cs="Times New Roman"/>
    </w:rPr>
  </w:style>
  <w:style w:type="character" w:customStyle="1" w:styleId="59">
    <w:name w:val="纯文本 Char"/>
    <w:autoRedefine/>
    <w:qFormat/>
    <w:uiPriority w:val="99"/>
    <w:rPr>
      <w:rFonts w:ascii="宋体" w:hAnsi="Courier New"/>
      <w:kern w:val="2"/>
      <w:sz w:val="21"/>
    </w:rPr>
  </w:style>
  <w:style w:type="character" w:customStyle="1" w:styleId="60">
    <w:name w:val="15"/>
    <w:autoRedefine/>
    <w:qFormat/>
    <w:uiPriority w:val="0"/>
    <w:rPr>
      <w:rFonts w:hint="default" w:ascii="Times New Roman" w:hAnsi="Times New Roman" w:cs="Times New Roman"/>
      <w:color w:val="0000FF"/>
      <w:u w:val="single"/>
    </w:rPr>
  </w:style>
  <w:style w:type="character" w:customStyle="1" w:styleId="61">
    <w:name w:val="标题 Char2"/>
    <w:autoRedefine/>
    <w:qFormat/>
    <w:uiPriority w:val="0"/>
    <w:rPr>
      <w:rFonts w:ascii="Cambria" w:hAnsi="Cambria" w:eastAsia="宋体" w:cs="Times New Roman"/>
      <w:b/>
      <w:bCs/>
      <w:kern w:val="2"/>
      <w:sz w:val="32"/>
      <w:szCs w:val="32"/>
    </w:rPr>
  </w:style>
  <w:style w:type="character" w:customStyle="1" w:styleId="62">
    <w:name w:val="17"/>
    <w:autoRedefine/>
    <w:qFormat/>
    <w:uiPriority w:val="0"/>
    <w:rPr>
      <w:rFonts w:hint="default" w:ascii="Times New Roman" w:hAnsi="Times New Roman" w:cs="Times New Roman"/>
    </w:rPr>
  </w:style>
  <w:style w:type="character" w:customStyle="1" w:styleId="63">
    <w:name w:val="样式1 Char Char"/>
    <w:link w:val="64"/>
    <w:autoRedefine/>
    <w:qFormat/>
    <w:locked/>
    <w:uiPriority w:val="0"/>
    <w:rPr>
      <w:rFonts w:ascii="Cambria" w:hAnsi="Arial" w:eastAsia="黑体"/>
      <w:b/>
      <w:bCs/>
      <w:kern w:val="2"/>
      <w:sz w:val="32"/>
      <w:szCs w:val="32"/>
    </w:rPr>
  </w:style>
  <w:style w:type="paragraph" w:customStyle="1" w:styleId="64">
    <w:name w:val="样式1"/>
    <w:basedOn w:val="21"/>
    <w:link w:val="63"/>
    <w:autoRedefine/>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5">
    <w:name w:val="16"/>
    <w:autoRedefine/>
    <w:qFormat/>
    <w:uiPriority w:val="0"/>
    <w:rPr>
      <w:rFonts w:hint="eastAsia" w:ascii="宋体" w:hAnsi="宋体" w:eastAsia="宋体" w:cs="宋体"/>
      <w:color w:val="000000"/>
      <w:sz w:val="20"/>
      <w:szCs w:val="20"/>
    </w:rPr>
  </w:style>
  <w:style w:type="paragraph" w:customStyle="1" w:styleId="66">
    <w:name w:val="文二"/>
    <w:basedOn w:val="1"/>
    <w:autoRedefine/>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7">
    <w:name w:val="Table Paragraph"/>
    <w:basedOn w:val="1"/>
    <w:autoRedefine/>
    <w:qFormat/>
    <w:uiPriority w:val="0"/>
    <w:pPr>
      <w:spacing w:before="26" w:line="208" w:lineRule="exact"/>
    </w:pPr>
    <w:rPr>
      <w:rFonts w:ascii="仿宋_GB2312" w:hAnsi="仿宋_GB2312" w:eastAsia="仿宋_GB2312" w:cs="仿宋_GB2312"/>
    </w:rPr>
  </w:style>
  <w:style w:type="paragraph" w:customStyle="1" w:styleId="68">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69">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0">
    <w:name w:val="发文落款"/>
    <w:basedOn w:val="69"/>
    <w:autoRedefine/>
    <w:qFormat/>
    <w:uiPriority w:val="0"/>
    <w:pPr>
      <w:ind w:left="4094" w:right="607" w:firstLine="0"/>
      <w:jc w:val="center"/>
    </w:pPr>
  </w:style>
  <w:style w:type="paragraph" w:customStyle="1" w:styleId="71">
    <w:name w:val="正文 New New"/>
    <w:basedOn w:val="1"/>
    <w:autoRedefine/>
    <w:qFormat/>
    <w:uiPriority w:val="0"/>
    <w:rPr>
      <w:rFonts w:ascii="Calibri" w:hAnsi="Calibri" w:eastAsia="楷体_GB2312" w:cs="宋体"/>
      <w:szCs w:val="21"/>
    </w:rPr>
  </w:style>
  <w:style w:type="paragraph" w:customStyle="1" w:styleId="72">
    <w:name w:val="章节二"/>
    <w:basedOn w:val="1"/>
    <w:next w:val="1"/>
    <w:autoRedefine/>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3">
    <w:name w:val="Revision"/>
    <w:autoRedefine/>
    <w:unhideWhenUsed/>
    <w:qFormat/>
    <w:uiPriority w:val="99"/>
    <w:rPr>
      <w:rFonts w:ascii="Calibri" w:hAnsi="Calibri" w:eastAsia="宋体" w:cs="Calibri"/>
      <w:kern w:val="2"/>
      <w:sz w:val="21"/>
      <w:szCs w:val="22"/>
      <w:lang w:val="en-US" w:eastAsia="zh-CN" w:bidi="ar-SA"/>
    </w:rPr>
  </w:style>
  <w:style w:type="paragraph" w:customStyle="1" w:styleId="74">
    <w:name w:val="Default"/>
    <w:next w:val="1"/>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5">
    <w:name w:val="正文文本3"/>
    <w:basedOn w:val="1"/>
    <w:autoRedefine/>
    <w:qFormat/>
    <w:uiPriority w:val="0"/>
    <w:pPr>
      <w:shd w:val="clear" w:color="auto" w:fill="FFFFFF"/>
      <w:spacing w:line="0" w:lineRule="atLeast"/>
      <w:jc w:val="left"/>
    </w:pPr>
    <w:rPr>
      <w:rFonts w:hint="eastAsia" w:ascii="宋体" w:hAnsi="宋体" w:cs="Calibri"/>
      <w:kern w:val="0"/>
      <w:sz w:val="19"/>
      <w:szCs w:val="19"/>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标题 4 Char"/>
    <w:basedOn w:val="26"/>
    <w:link w:val="6"/>
    <w:autoRedefine/>
    <w:qFormat/>
    <w:uiPriority w:val="0"/>
    <w:rPr>
      <w:rFonts w:hint="eastAsia" w:ascii="宋体" w:hAnsi="宋体" w:eastAsia="宋体" w:cs="宋体"/>
      <w:b/>
      <w:sz w:val="24"/>
      <w:szCs w:val="24"/>
    </w:rPr>
  </w:style>
  <w:style w:type="character" w:customStyle="1" w:styleId="78">
    <w:name w:val="font01"/>
    <w:basedOn w:val="2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131</Pages>
  <Words>138483</Words>
  <Characters>144763</Characters>
  <Lines>1</Lines>
  <Paragraphs>1</Paragraphs>
  <TotalTime>55</TotalTime>
  <ScaleCrop>false</ScaleCrop>
  <LinksUpToDate>false</LinksUpToDate>
  <CharactersWithSpaces>149911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2023-12-18T07:19:00Z</dcterms:created>
  <dc:creator>植暇荒宰募</dc:creator>
  <cp:lastModifiedBy>省机电</cp:lastModifiedBy>
  <dcterms:modified xsi:type="dcterms:W3CDTF">2024-05-16T06:48:42Z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E298BF3D1365470CA8A01BEF1A9733A2</vt:lpwstr>
  </property>
</Properties>
</file>