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color w:val="auto"/>
          <w:highlight w:val="none"/>
        </w:rPr>
      </w:pPr>
      <w:r>
        <w:rPr>
          <w:rFonts w:hint="eastAsia"/>
          <w:color w:val="auto"/>
          <w:highlight w:val="none"/>
        </w:rPr>
        <w:t xml:space="preserve"> </w:t>
      </w:r>
    </w:p>
    <w:p>
      <w:pPr>
        <w:spacing w:line="360" w:lineRule="auto"/>
        <w:jc w:val="center"/>
        <w:rPr>
          <w:rFonts w:hint="eastAsia"/>
          <w:color w:val="auto"/>
          <w:highlight w:val="none"/>
        </w:rPr>
      </w:pPr>
      <w:r>
        <w:rPr>
          <w:rFonts w:hint="eastAsia"/>
          <w:color w:val="auto"/>
          <w:highlight w:val="none"/>
        </w:rPr>
        <w:t xml:space="preserve"> </w:t>
      </w:r>
    </w:p>
    <w:p>
      <w:pPr>
        <w:spacing w:line="360" w:lineRule="auto"/>
        <w:jc w:val="center"/>
        <w:rPr>
          <w:color w:val="auto"/>
          <w:sz w:val="36"/>
          <w:highlight w:val="none"/>
          <w:u w:val="single"/>
        </w:rPr>
      </w:pPr>
      <w:r>
        <w:rPr>
          <w:rFonts w:hint="eastAsia" w:ascii="宋体" w:hAnsi="宋体"/>
          <w:b/>
          <w:color w:val="auto"/>
          <w:sz w:val="48"/>
          <w:szCs w:val="46"/>
          <w:highlight w:val="none"/>
          <w:lang w:eastAsia="zh-CN"/>
        </w:rPr>
        <w:t>广州市残疾人托养中心（星安居）10kV供配电工程施工专业承包</w:t>
      </w:r>
    </w:p>
    <w:p>
      <w:pPr>
        <w:spacing w:line="360" w:lineRule="auto"/>
        <w:jc w:val="center"/>
        <w:rPr>
          <w:color w:val="auto"/>
          <w:sz w:val="36"/>
          <w:highlight w:val="none"/>
          <w:u w:val="single"/>
        </w:rPr>
      </w:pPr>
    </w:p>
    <w:p>
      <w:pPr>
        <w:spacing w:line="360" w:lineRule="auto"/>
        <w:jc w:val="center"/>
        <w:rPr>
          <w:color w:val="auto"/>
          <w:sz w:val="36"/>
          <w:highlight w:val="none"/>
          <w:u w:val="single"/>
        </w:rPr>
      </w:pPr>
    </w:p>
    <w:p>
      <w:pPr>
        <w:spacing w:line="360" w:lineRule="auto"/>
        <w:jc w:val="center"/>
        <w:rPr>
          <w:color w:val="auto"/>
          <w:sz w:val="36"/>
          <w:highlight w:val="none"/>
          <w:u w:val="single"/>
        </w:rPr>
      </w:pPr>
    </w:p>
    <w:p>
      <w:pPr>
        <w:pStyle w:val="13"/>
        <w:rPr>
          <w:color w:val="auto"/>
          <w:sz w:val="36"/>
          <w:highlight w:val="none"/>
          <w:u w:val="single"/>
        </w:rPr>
      </w:pPr>
    </w:p>
    <w:p>
      <w:pPr>
        <w:rPr>
          <w:color w:val="auto"/>
          <w:highlight w:val="none"/>
        </w:rPr>
      </w:pPr>
    </w:p>
    <w:p>
      <w:pPr>
        <w:spacing w:line="360" w:lineRule="auto"/>
        <w:jc w:val="center"/>
        <w:rPr>
          <w:rFonts w:eastAsia="楷体_GB2312"/>
          <w:b/>
          <w:bCs/>
          <w:color w:val="auto"/>
          <w:spacing w:val="26"/>
          <w:sz w:val="110"/>
          <w:szCs w:val="110"/>
          <w:highlight w:val="none"/>
        </w:rPr>
      </w:pPr>
      <w:r>
        <w:rPr>
          <w:rFonts w:hint="eastAsia" w:ascii="宋体" w:hAnsi="宋体"/>
          <w:b/>
          <w:bCs/>
          <w:color w:val="auto"/>
          <w:spacing w:val="26"/>
          <w:sz w:val="96"/>
          <w:szCs w:val="110"/>
          <w:highlight w:val="none"/>
        </w:rPr>
        <w:t>招标公告</w:t>
      </w:r>
    </w:p>
    <w:p>
      <w:pPr>
        <w:spacing w:line="360" w:lineRule="auto"/>
        <w:jc w:val="center"/>
        <w:rPr>
          <w:color w:val="auto"/>
          <w:sz w:val="32"/>
          <w:highlight w:val="none"/>
        </w:rPr>
      </w:pPr>
    </w:p>
    <w:p>
      <w:pPr>
        <w:spacing w:line="360" w:lineRule="auto"/>
        <w:ind w:firstLine="2560" w:firstLineChars="800"/>
        <w:rPr>
          <w:color w:val="auto"/>
          <w:sz w:val="32"/>
          <w:highlight w:val="none"/>
        </w:rPr>
      </w:pPr>
    </w:p>
    <w:p>
      <w:pPr>
        <w:spacing w:line="360" w:lineRule="auto"/>
        <w:ind w:firstLine="2560" w:firstLineChars="800"/>
        <w:rPr>
          <w:color w:val="auto"/>
          <w:sz w:val="32"/>
          <w:highlight w:val="none"/>
        </w:rPr>
      </w:pPr>
    </w:p>
    <w:p>
      <w:pPr>
        <w:pStyle w:val="13"/>
        <w:rPr>
          <w:color w:val="auto"/>
          <w:sz w:val="32"/>
          <w:highlight w:val="none"/>
        </w:rPr>
      </w:pPr>
    </w:p>
    <w:p>
      <w:pPr>
        <w:rPr>
          <w:color w:val="auto"/>
          <w:highlight w:val="none"/>
        </w:rPr>
      </w:pPr>
    </w:p>
    <w:p>
      <w:pPr>
        <w:spacing w:line="360" w:lineRule="auto"/>
        <w:ind w:firstLine="2560" w:firstLineChars="800"/>
        <w:rPr>
          <w:color w:val="auto"/>
          <w:sz w:val="32"/>
          <w:highlight w:val="none"/>
        </w:rPr>
      </w:pPr>
    </w:p>
    <w:p>
      <w:pPr>
        <w:tabs>
          <w:tab w:val="left" w:pos="2513"/>
        </w:tabs>
        <w:spacing w:line="360" w:lineRule="auto"/>
        <w:rPr>
          <w:color w:val="auto"/>
          <w:sz w:val="52"/>
          <w:highlight w:val="none"/>
        </w:rPr>
      </w:pPr>
      <w:r>
        <w:rPr>
          <w:rFonts w:hint="eastAsia"/>
          <w:color w:val="auto"/>
          <w:sz w:val="52"/>
          <w:highlight w:val="none"/>
        </w:rPr>
        <w:tab/>
      </w:r>
    </w:p>
    <w:p>
      <w:pPr>
        <w:spacing w:line="360" w:lineRule="auto"/>
        <w:ind w:left="1050" w:leftChars="500"/>
        <w:jc w:val="left"/>
        <w:rPr>
          <w:rFonts w:ascii="宋体" w:hAnsi="宋体" w:cs="宋体"/>
          <w:color w:val="auto"/>
          <w:sz w:val="30"/>
          <w:szCs w:val="30"/>
          <w:highlight w:val="none"/>
          <w:u w:val="single"/>
        </w:rPr>
      </w:pPr>
      <w:r>
        <w:rPr>
          <w:rFonts w:hint="eastAsia" w:ascii="宋体" w:hAnsi="宋体" w:cs="宋体"/>
          <w:color w:val="auto"/>
          <w:sz w:val="30"/>
          <w:szCs w:val="30"/>
          <w:highlight w:val="none"/>
        </w:rPr>
        <w:t>招</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标</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单</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位：</w:t>
      </w:r>
      <w:r>
        <w:rPr>
          <w:rFonts w:hint="eastAsia" w:ascii="宋体" w:hAnsi="宋体" w:cs="宋体"/>
          <w:color w:val="auto"/>
          <w:sz w:val="30"/>
          <w:szCs w:val="30"/>
          <w:highlight w:val="none"/>
          <w:u w:val="single"/>
        </w:rPr>
        <w:t>广州市重点公共建设项目管理中心</w:t>
      </w:r>
    </w:p>
    <w:p>
      <w:pPr>
        <w:spacing w:line="360" w:lineRule="auto"/>
        <w:ind w:left="1050" w:leftChars="500"/>
        <w:jc w:val="left"/>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u w:val="single"/>
          <w:lang w:eastAsia="zh-CN"/>
        </w:rPr>
        <w:t>广东省机电设备招标有限公司</w:t>
      </w:r>
    </w:p>
    <w:p>
      <w:pPr>
        <w:spacing w:line="360" w:lineRule="auto"/>
        <w:ind w:left="1050" w:leftChars="500"/>
        <w:jc w:val="left"/>
        <w:rPr>
          <w:rFonts w:ascii="宋体" w:hAnsi="宋体" w:cs="宋体"/>
          <w:color w:val="auto"/>
          <w:sz w:val="30"/>
          <w:szCs w:val="30"/>
          <w:highlight w:val="none"/>
        </w:rPr>
      </w:pPr>
      <w:r>
        <w:rPr>
          <w:rFonts w:hint="eastAsia" w:ascii="宋体" w:hAnsi="宋体" w:cs="宋体"/>
          <w:color w:val="auto"/>
          <w:sz w:val="32"/>
          <w:highlight w:val="none"/>
        </w:rPr>
        <w:t>日</w:t>
      </w:r>
      <w:r>
        <w:rPr>
          <w:rFonts w:ascii="宋体" w:hAnsi="宋体" w:cs="宋体"/>
          <w:color w:val="auto"/>
          <w:sz w:val="32"/>
          <w:highlight w:val="none"/>
        </w:rPr>
        <w:t xml:space="preserve">       </w:t>
      </w:r>
      <w:r>
        <w:rPr>
          <w:rFonts w:hint="eastAsia" w:ascii="宋体" w:hAnsi="宋体" w:cs="宋体"/>
          <w:color w:val="auto"/>
          <w:sz w:val="32"/>
          <w:highlight w:val="none"/>
        </w:rPr>
        <w:t>期：</w:t>
      </w:r>
      <w:r>
        <w:rPr>
          <w:rFonts w:ascii="宋体" w:hAnsi="宋体" w:cs="宋体"/>
          <w:color w:val="auto"/>
          <w:sz w:val="32"/>
          <w:highlight w:val="none"/>
          <w:u w:val="single"/>
        </w:rPr>
        <w:t>202</w:t>
      </w:r>
      <w:r>
        <w:rPr>
          <w:rFonts w:hint="eastAsia" w:ascii="宋体" w:hAnsi="宋体" w:cs="宋体"/>
          <w:color w:val="auto"/>
          <w:sz w:val="32"/>
          <w:highlight w:val="none"/>
          <w:u w:val="single"/>
          <w:lang w:val="en-US" w:eastAsia="zh-CN"/>
        </w:rPr>
        <w:t>4</w:t>
      </w:r>
      <w:r>
        <w:rPr>
          <w:rFonts w:hint="eastAsia" w:ascii="宋体" w:hAnsi="宋体" w:cs="宋体"/>
          <w:color w:val="auto"/>
          <w:sz w:val="32"/>
          <w:highlight w:val="none"/>
        </w:rPr>
        <w:t>年</w:t>
      </w:r>
      <w:r>
        <w:rPr>
          <w:rFonts w:ascii="宋体" w:hAnsi="宋体" w:cs="宋体"/>
          <w:color w:val="auto"/>
          <w:sz w:val="32"/>
          <w:highlight w:val="none"/>
          <w:u w:val="single"/>
        </w:rPr>
        <w:t xml:space="preserve"> </w:t>
      </w:r>
      <w:r>
        <w:rPr>
          <w:rFonts w:hint="eastAsia" w:ascii="宋体" w:hAnsi="宋体" w:cs="宋体"/>
          <w:color w:val="auto"/>
          <w:sz w:val="32"/>
          <w:highlight w:val="none"/>
          <w:u w:val="single"/>
          <w:lang w:val="en-US" w:eastAsia="zh-CN"/>
        </w:rPr>
        <w:t>5</w:t>
      </w:r>
      <w:r>
        <w:rPr>
          <w:rFonts w:hint="eastAsia" w:ascii="宋体" w:hAnsi="宋体" w:cs="宋体"/>
          <w:color w:val="auto"/>
          <w:sz w:val="30"/>
          <w:szCs w:val="30"/>
          <w:highlight w:val="none"/>
        </w:rPr>
        <w:t>月</w:t>
      </w:r>
    </w:p>
    <w:p>
      <w:pPr>
        <w:spacing w:line="360" w:lineRule="auto"/>
        <w:ind w:firstLine="900" w:firstLineChars="300"/>
        <w:rPr>
          <w:color w:val="auto"/>
          <w:sz w:val="30"/>
          <w:szCs w:val="30"/>
          <w:highlight w:val="none"/>
        </w:rPr>
      </w:pPr>
    </w:p>
    <w:p>
      <w:pPr>
        <w:spacing w:line="360" w:lineRule="auto"/>
        <w:ind w:firstLine="632" w:firstLineChars="300"/>
        <w:jc w:val="left"/>
        <w:rPr>
          <w:b/>
          <w:bCs/>
          <w:color w:val="auto"/>
          <w:highlight w:val="none"/>
          <w:u w:val="single"/>
        </w:rPr>
        <w:sectPr>
          <w:headerReference r:id="rId4" w:type="first"/>
          <w:footerReference r:id="rId6" w:type="first"/>
          <w:headerReference r:id="rId3" w:type="default"/>
          <w:footerReference r:id="rId5" w:type="default"/>
          <w:pgSz w:w="11906" w:h="16838"/>
          <w:pgMar w:top="1440" w:right="1800" w:bottom="1440" w:left="1800" w:header="851" w:footer="992" w:gutter="0"/>
          <w:cols w:space="720" w:num="1"/>
          <w:docGrid w:type="lines" w:linePitch="312" w:charSpace="0"/>
        </w:sectPr>
      </w:pPr>
    </w:p>
    <w:p>
      <w:pPr>
        <w:spacing w:line="360" w:lineRule="auto"/>
        <w:jc w:val="center"/>
        <w:rPr>
          <w:rFonts w:hint="eastAsia" w:ascii="宋体" w:hAnsi="宋体"/>
          <w:b/>
          <w:color w:val="auto"/>
          <w:sz w:val="28"/>
          <w:szCs w:val="28"/>
          <w:highlight w:val="none"/>
          <w:u w:val="none"/>
          <w:lang w:eastAsia="zh-CN"/>
        </w:rPr>
      </w:pPr>
      <w:r>
        <w:rPr>
          <w:rFonts w:hint="eastAsia" w:ascii="宋体" w:hAnsi="宋体"/>
          <w:b/>
          <w:color w:val="auto"/>
          <w:sz w:val="28"/>
          <w:szCs w:val="28"/>
          <w:highlight w:val="none"/>
          <w:u w:val="none"/>
          <w:lang w:eastAsia="zh-CN"/>
        </w:rPr>
        <w:t>广州市残疾人托养中心（星安居）10kV供配电工程施工专业承包</w:t>
      </w:r>
    </w:p>
    <w:p>
      <w:pPr>
        <w:spacing w:line="360" w:lineRule="auto"/>
        <w:jc w:val="center"/>
        <w:rPr>
          <w:rFonts w:ascii="宋体" w:hAnsi="宋体"/>
          <w:b/>
          <w:color w:val="auto"/>
          <w:sz w:val="28"/>
          <w:szCs w:val="28"/>
          <w:highlight w:val="none"/>
          <w:u w:val="single"/>
        </w:rPr>
      </w:pPr>
      <w:r>
        <w:rPr>
          <w:rFonts w:ascii="宋体" w:hAnsi="宋体"/>
          <w:b/>
          <w:color w:val="auto"/>
          <w:sz w:val="28"/>
          <w:szCs w:val="28"/>
          <w:highlight w:val="none"/>
        </w:rPr>
        <w:t>招标公告</w:t>
      </w:r>
    </w:p>
    <w:p>
      <w:pPr>
        <w:spacing w:line="360" w:lineRule="auto"/>
        <w:ind w:firstLine="537" w:firstLineChars="224"/>
        <w:jc w:val="center"/>
        <w:rPr>
          <w:color w:val="auto"/>
          <w:sz w:val="24"/>
          <w:highlight w:val="none"/>
        </w:rPr>
      </w:pPr>
    </w:p>
    <w:p>
      <w:pPr>
        <w:spacing w:line="360" w:lineRule="auto"/>
        <w:ind w:firstLine="566" w:firstLineChars="236"/>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lang w:eastAsia="zh-CN"/>
        </w:rPr>
        <w:t>穗发改投批〔2021〕93号</w:t>
      </w:r>
      <w:r>
        <w:rPr>
          <w:rFonts w:hint="eastAsia" w:ascii="宋体" w:hAnsi="宋体"/>
          <w:color w:val="auto"/>
          <w:sz w:val="24"/>
          <w:highlight w:val="none"/>
        </w:rPr>
        <w:t>批准，并且图纸和技术资料满足施工需要，</w:t>
      </w:r>
      <w:r>
        <w:rPr>
          <w:rFonts w:hint="eastAsia" w:ascii="宋体" w:hAnsi="宋体" w:cs="宋体"/>
          <w:color w:val="auto"/>
          <w:sz w:val="24"/>
          <w:szCs w:val="24"/>
          <w:highlight w:val="none"/>
          <w:u w:val="single"/>
        </w:rPr>
        <w:t>广州市重点公共建设项目管理中心</w:t>
      </w:r>
      <w:r>
        <w:rPr>
          <w:rFonts w:hint="eastAsia" w:ascii="宋体" w:hAnsi="宋体"/>
          <w:color w:val="auto"/>
          <w:sz w:val="24"/>
          <w:highlight w:val="none"/>
        </w:rPr>
        <w:t>现对</w:t>
      </w:r>
      <w:r>
        <w:rPr>
          <w:rFonts w:hint="eastAsia" w:ascii="宋体" w:hAnsi="宋体"/>
          <w:color w:val="auto"/>
          <w:sz w:val="24"/>
          <w:highlight w:val="none"/>
          <w:u w:val="single"/>
          <w:lang w:eastAsia="zh-CN"/>
        </w:rPr>
        <w:t>广州市残疾人托养中心（星安居）10kV供配电工程施工专业承包</w:t>
      </w:r>
      <w:r>
        <w:rPr>
          <w:rFonts w:hint="eastAsia" w:ascii="宋体" w:hAnsi="宋体"/>
          <w:color w:val="auto"/>
          <w:sz w:val="24"/>
          <w:highlight w:val="none"/>
        </w:rPr>
        <w:t>进行公开招标，选定承包人。</w:t>
      </w:r>
    </w:p>
    <w:p>
      <w:pPr>
        <w:tabs>
          <w:tab w:val="center" w:pos="4415"/>
        </w:tabs>
        <w:spacing w:line="360" w:lineRule="auto"/>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一、工程名称：</w:t>
      </w:r>
      <w:r>
        <w:rPr>
          <w:rFonts w:hint="eastAsia" w:ascii="宋体" w:hAnsi="宋体"/>
          <w:color w:val="auto"/>
          <w:sz w:val="24"/>
          <w:highlight w:val="none"/>
          <w:u w:val="single"/>
          <w:lang w:eastAsia="zh-CN"/>
        </w:rPr>
        <w:t>广州市残疾人托养中心（星安居）10kV供配电工程施工专业承包</w:t>
      </w:r>
    </w:p>
    <w:p>
      <w:pPr>
        <w:tabs>
          <w:tab w:val="center" w:pos="4415"/>
        </w:tabs>
        <w:spacing w:line="360" w:lineRule="auto"/>
        <w:ind w:firstLine="960" w:firstLineChars="400"/>
        <w:rPr>
          <w:rFonts w:hint="default" w:ascii="宋体" w:hAnsi="宋体" w:eastAsia="宋体"/>
          <w:color w:val="auto"/>
          <w:sz w:val="24"/>
          <w:highlight w:val="none"/>
          <w:u w:val="single"/>
          <w:lang w:val="en-US" w:eastAsia="zh-CN"/>
        </w:rPr>
      </w:pPr>
      <w:r>
        <w:rPr>
          <w:rFonts w:hint="eastAsia" w:ascii="宋体"/>
          <w:color w:val="auto"/>
          <w:sz w:val="24"/>
          <w:highlight w:val="none"/>
        </w:rPr>
        <w:t>项目代码：</w:t>
      </w:r>
      <w:r>
        <w:rPr>
          <w:rFonts w:hint="eastAsia" w:ascii="宋体" w:hAnsi="宋体"/>
          <w:color w:val="auto"/>
          <w:sz w:val="24"/>
          <w:highlight w:val="none"/>
          <w:u w:val="single"/>
          <w:lang w:val="en-US" w:eastAsia="zh-CN"/>
        </w:rPr>
        <w:t xml:space="preserve"> 2016-440118-85-01-006893 </w:t>
      </w:r>
    </w:p>
    <w:p>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二、招标单位：</w:t>
      </w:r>
      <w:r>
        <w:rPr>
          <w:rFonts w:hint="eastAsia" w:ascii="宋体" w:hAnsi="宋体" w:cs="宋体"/>
          <w:color w:val="auto"/>
          <w:sz w:val="24"/>
          <w:szCs w:val="24"/>
          <w:highlight w:val="none"/>
          <w:u w:val="single"/>
        </w:rPr>
        <w:t>广州市重点公共建设项目管理中心</w:t>
      </w:r>
    </w:p>
    <w:p>
      <w:pPr>
        <w:spacing w:line="360" w:lineRule="auto"/>
        <w:ind w:firstLine="960" w:firstLineChars="400"/>
        <w:jc w:val="left"/>
        <w:rPr>
          <w:rFonts w:hint="default" w:ascii="宋体" w:hAnsi="宋体" w:eastAsia="宋体"/>
          <w:color w:val="auto"/>
          <w:sz w:val="24"/>
          <w:szCs w:val="24"/>
          <w:highlight w:val="none"/>
          <w:u w:val="single"/>
          <w:lang w:val="en-US" w:eastAsia="zh-CN"/>
        </w:rPr>
      </w:pPr>
      <w:r>
        <w:rPr>
          <w:rFonts w:hint="eastAsia" w:ascii="宋体" w:hAnsi="宋体"/>
          <w:color w:val="auto"/>
          <w:sz w:val="24"/>
          <w:highlight w:val="none"/>
        </w:rPr>
        <w:t>联系人：</w:t>
      </w:r>
      <w:r>
        <w:rPr>
          <w:rFonts w:hint="eastAsia" w:ascii="宋体" w:hAnsi="宋体"/>
          <w:color w:val="auto"/>
          <w:sz w:val="24"/>
          <w:szCs w:val="24"/>
          <w:highlight w:val="none"/>
          <w:u w:val="single"/>
          <w:lang w:val="en-US" w:eastAsia="zh-CN"/>
        </w:rPr>
        <w:t>张</w:t>
      </w:r>
      <w:r>
        <w:rPr>
          <w:rFonts w:hint="eastAsia" w:ascii="宋体" w:hAnsi="宋体"/>
          <w:color w:val="auto"/>
          <w:sz w:val="24"/>
          <w:szCs w:val="24"/>
          <w:highlight w:val="none"/>
          <w:u w:val="single"/>
        </w:rPr>
        <w:t>工</w:t>
      </w:r>
      <w:r>
        <w:rPr>
          <w:rFonts w:ascii="宋体" w:hAnsi="宋体"/>
          <w:color w:val="auto"/>
          <w:sz w:val="24"/>
          <w:highlight w:val="none"/>
        </w:rPr>
        <w:t xml:space="preserve">      </w:t>
      </w:r>
      <w:r>
        <w:rPr>
          <w:rFonts w:hint="eastAsia" w:ascii="宋体" w:hAnsi="宋体"/>
          <w:color w:val="auto"/>
          <w:sz w:val="24"/>
          <w:highlight w:val="none"/>
        </w:rPr>
        <w:t>联系电话：</w:t>
      </w:r>
      <w:r>
        <w:rPr>
          <w:rFonts w:hint="default" w:ascii="宋体" w:hAnsi="宋体"/>
          <w:color w:val="auto"/>
          <w:sz w:val="24"/>
          <w:szCs w:val="24"/>
          <w:highlight w:val="none"/>
          <w:u w:val="single"/>
        </w:rPr>
        <w:t>020-22905692</w:t>
      </w:r>
    </w:p>
    <w:p>
      <w:pPr>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广州大学城内环东星运路1号</w:t>
      </w:r>
      <w:r>
        <w:rPr>
          <w:rFonts w:hint="eastAsia" w:ascii="宋体" w:hAnsi="宋体"/>
          <w:color w:val="auto"/>
          <w:sz w:val="24"/>
          <w:highlight w:val="none"/>
        </w:rPr>
        <w:t xml:space="preserve"> </w:t>
      </w:r>
    </w:p>
    <w:p>
      <w:pPr>
        <w:spacing w:line="360" w:lineRule="auto"/>
        <w:ind w:firstLine="960" w:firstLineChars="400"/>
        <w:jc w:val="left"/>
        <w:rPr>
          <w:rFonts w:hint="eastAsia" w:ascii="宋体" w:eastAsia="宋体"/>
          <w:color w:val="auto"/>
          <w:sz w:val="24"/>
          <w:highlight w:val="none"/>
          <w:u w:val="single"/>
          <w:lang w:eastAsia="zh-CN"/>
        </w:rPr>
      </w:pPr>
      <w:r>
        <w:rPr>
          <w:rFonts w:hint="eastAsia" w:ascii="宋体" w:hAnsi="宋体"/>
          <w:color w:val="auto"/>
          <w:sz w:val="24"/>
          <w:highlight w:val="none"/>
        </w:rPr>
        <w:t>招标代理机构：</w:t>
      </w:r>
      <w:r>
        <w:rPr>
          <w:rFonts w:hint="eastAsia" w:ascii="宋体" w:hAnsi="宋体"/>
          <w:color w:val="auto"/>
          <w:sz w:val="24"/>
          <w:szCs w:val="24"/>
          <w:highlight w:val="none"/>
          <w:u w:val="single"/>
          <w:lang w:eastAsia="zh-CN"/>
        </w:rPr>
        <w:t>广东省机电设备招标有限公司</w:t>
      </w:r>
    </w:p>
    <w:p>
      <w:pPr>
        <w:spacing w:line="360" w:lineRule="auto"/>
        <w:ind w:firstLine="960" w:firstLineChars="400"/>
        <w:jc w:val="left"/>
        <w:rPr>
          <w:rFonts w:hint="eastAsia" w:ascii="宋体" w:hAnsi="宋体" w:eastAsia="宋体"/>
          <w:color w:val="auto"/>
          <w:sz w:val="24"/>
          <w:highlight w:val="none"/>
          <w:u w:val="single"/>
          <w:lang w:eastAsia="zh-CN"/>
        </w:rPr>
      </w:pPr>
      <w:r>
        <w:rPr>
          <w:rFonts w:hint="eastAsia" w:ascii="宋体" w:hAnsi="宋体"/>
          <w:color w:val="auto"/>
          <w:sz w:val="24"/>
          <w:highlight w:val="none"/>
        </w:rPr>
        <w:t>联系人：</w:t>
      </w:r>
      <w:r>
        <w:rPr>
          <w:rFonts w:hint="eastAsia" w:ascii="宋体" w:hAnsi="宋体"/>
          <w:color w:val="auto"/>
          <w:sz w:val="24"/>
          <w:szCs w:val="24"/>
          <w:highlight w:val="none"/>
          <w:u w:val="single"/>
          <w:lang w:val="en-US" w:eastAsia="zh-CN"/>
        </w:rPr>
        <w:t>欧宇旻、朱娇娇</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olor w:val="auto"/>
          <w:sz w:val="24"/>
          <w:highlight w:val="none"/>
          <w:u w:val="single"/>
          <w:lang w:eastAsia="zh-CN"/>
        </w:rPr>
        <w:t>020-83541707</w:t>
      </w:r>
    </w:p>
    <w:p>
      <w:pPr>
        <w:spacing w:line="360" w:lineRule="auto"/>
        <w:ind w:firstLine="960" w:firstLineChars="400"/>
        <w:jc w:val="left"/>
        <w:rPr>
          <w:rFonts w:hint="eastAsia" w:ascii="宋体" w:hAnsi="宋体" w:eastAsia="宋体"/>
          <w:color w:val="auto"/>
          <w:sz w:val="24"/>
          <w:highlight w:val="none"/>
          <w:lang w:eastAsia="zh-CN"/>
        </w:rPr>
      </w:pPr>
      <w:r>
        <w:rPr>
          <w:rFonts w:hint="eastAsia" w:ascii="宋体" w:hAnsi="宋体"/>
          <w:color w:val="auto"/>
          <w:sz w:val="24"/>
          <w:highlight w:val="none"/>
        </w:rPr>
        <w:t>联系地址：</w:t>
      </w:r>
      <w:r>
        <w:rPr>
          <w:rFonts w:hint="eastAsia" w:ascii="宋体" w:hAnsi="宋体"/>
          <w:color w:val="auto"/>
          <w:sz w:val="24"/>
          <w:highlight w:val="none"/>
          <w:u w:val="single"/>
          <w:lang w:eastAsia="zh-CN"/>
        </w:rPr>
        <w:t>广州市越秀区环市中路316号金鹰大厦9楼</w:t>
      </w:r>
    </w:p>
    <w:p>
      <w:pPr>
        <w:spacing w:line="360" w:lineRule="auto"/>
        <w:ind w:firstLine="960" w:firstLineChars="400"/>
        <w:jc w:val="left"/>
        <w:rPr>
          <w:rFonts w:ascii="宋体"/>
          <w:color w:val="auto"/>
          <w:sz w:val="24"/>
          <w:highlight w:val="none"/>
        </w:rPr>
      </w:pPr>
      <w:r>
        <w:rPr>
          <w:rFonts w:hint="eastAsia" w:ascii="宋体" w:hAnsi="宋体"/>
          <w:color w:val="auto"/>
          <w:sz w:val="24"/>
          <w:highlight w:val="none"/>
        </w:rPr>
        <w:t>招标监督机构：</w:t>
      </w:r>
      <w:r>
        <w:rPr>
          <w:rFonts w:hint="eastAsia" w:ascii="宋体" w:hAnsi="宋体"/>
          <w:color w:val="auto"/>
          <w:sz w:val="24"/>
          <w:highlight w:val="none"/>
          <w:u w:val="single"/>
        </w:rPr>
        <w:t>广州市建设工程招标管理办公室</w:t>
      </w:r>
    </w:p>
    <w:p>
      <w:pPr>
        <w:spacing w:line="360" w:lineRule="auto"/>
        <w:ind w:firstLine="960" w:firstLineChars="400"/>
        <w:jc w:val="left"/>
        <w:rPr>
          <w:rFonts w:ascii="宋体" w:hAnsi="宋体"/>
          <w:color w:val="auto"/>
          <w:sz w:val="24"/>
          <w:highlight w:val="none"/>
          <w:u w:val="single"/>
        </w:rPr>
      </w:pPr>
      <w:r>
        <w:rPr>
          <w:rFonts w:hint="eastAsia" w:ascii="宋体" w:hAnsi="宋体"/>
          <w:color w:val="auto"/>
          <w:sz w:val="24"/>
          <w:highlight w:val="none"/>
        </w:rPr>
        <w:t>监督电话：</w:t>
      </w:r>
      <w:r>
        <w:rPr>
          <w:rFonts w:ascii="宋体" w:hAnsi="宋体"/>
          <w:color w:val="auto"/>
          <w:sz w:val="24"/>
          <w:highlight w:val="none"/>
          <w:u w:val="single"/>
        </w:rPr>
        <w:t>020-288662</w:t>
      </w:r>
      <w:r>
        <w:rPr>
          <w:rFonts w:hint="eastAsia" w:ascii="宋体" w:hAnsi="宋体"/>
          <w:color w:val="auto"/>
          <w:sz w:val="24"/>
          <w:highlight w:val="none"/>
          <w:u w:val="single"/>
        </w:rPr>
        <w:t>13</w:t>
      </w:r>
    </w:p>
    <w:p>
      <w:pPr>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联系地址：</w:t>
      </w:r>
      <w:r>
        <w:rPr>
          <w:rFonts w:hint="eastAsia" w:ascii="宋体" w:hAnsi="宋体"/>
          <w:color w:val="auto"/>
          <w:sz w:val="24"/>
          <w:highlight w:val="none"/>
          <w:u w:val="single"/>
        </w:rPr>
        <w:t>广州市天河区天润路333号3楼</w:t>
      </w:r>
    </w:p>
    <w:p>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三、建设地点：</w:t>
      </w:r>
      <w:r>
        <w:rPr>
          <w:rFonts w:hint="eastAsia" w:ascii="宋体" w:hAnsi="宋体"/>
          <w:color w:val="auto"/>
          <w:sz w:val="24"/>
          <w:highlight w:val="none"/>
          <w:u w:val="single"/>
        </w:rPr>
        <w:t>广州市增城区。</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四、项目概况：</w:t>
      </w:r>
    </w:p>
    <w:p>
      <w:pPr>
        <w:pStyle w:val="32"/>
        <w:widowControl w:val="0"/>
        <w:kinsoku w:val="0"/>
        <w:wordWrap w:val="0"/>
        <w:overflowPunct w:val="0"/>
        <w:ind w:firstLine="992" w:firstLineChars="400"/>
        <w:jc w:val="both"/>
        <w:rPr>
          <w:rFonts w:hint="default" w:ascii="宋体" w:hAnsi="宋体" w:eastAsia="宋体" w:cs="宋体"/>
          <w:color w:val="auto"/>
          <w:sz w:val="24"/>
          <w:highlight w:val="none"/>
          <w:u w:val="single"/>
          <w:lang w:eastAsia="zh-CN"/>
        </w:rPr>
      </w:pPr>
      <w:r>
        <w:rPr>
          <w:rFonts w:hint="eastAsia" w:ascii="宋体" w:hAnsi="宋体"/>
          <w:color w:val="auto"/>
          <w:sz w:val="24"/>
          <w:highlight w:val="none"/>
          <w:u w:val="single"/>
          <w:lang w:eastAsia="zh-CN"/>
        </w:rPr>
        <w:t>广州市残疾人托养中心（星安居）10kV供配电工程施工专业承包</w:t>
      </w:r>
      <w:r>
        <w:rPr>
          <w:rFonts w:hint="default" w:ascii="宋体" w:hAnsi="宋体" w:eastAsia="宋体" w:cs="宋体"/>
          <w:color w:val="auto"/>
          <w:sz w:val="24"/>
          <w:highlight w:val="none"/>
          <w:u w:val="single"/>
          <w:lang w:eastAsia="zh-CN"/>
        </w:rPr>
        <w:t>概况如下：</w:t>
      </w:r>
    </w:p>
    <w:p>
      <w:pPr>
        <w:pStyle w:val="32"/>
        <w:widowControl w:val="0"/>
        <w:kinsoku w:val="0"/>
        <w:wordWrap w:val="0"/>
        <w:overflowPunct w:val="0"/>
        <w:ind w:firstLine="496"/>
        <w:jc w:val="both"/>
        <w:rPr>
          <w:rFonts w:hint="default"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lang w:val="en-US" w:eastAsia="zh-CN"/>
        </w:rPr>
        <w:t>1、</w:t>
      </w:r>
      <w:r>
        <w:rPr>
          <w:rFonts w:hint="default" w:ascii="宋体" w:hAnsi="宋体" w:eastAsia="宋体" w:cs="宋体"/>
          <w:color w:val="auto"/>
          <w:sz w:val="24"/>
          <w:highlight w:val="none"/>
          <w:u w:val="single"/>
          <w:lang w:eastAsia="zh-CN"/>
        </w:rPr>
        <w:t>总装机容量（变压器）为5130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A，变压器配置新装专变为2×1250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A+2×1000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A+1×630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A。</w:t>
      </w:r>
    </w:p>
    <w:p>
      <w:pPr>
        <w:pStyle w:val="32"/>
        <w:widowControl w:val="0"/>
        <w:kinsoku w:val="0"/>
        <w:wordWrap w:val="0"/>
        <w:overflowPunct w:val="0"/>
        <w:ind w:firstLine="496"/>
        <w:jc w:val="both"/>
        <w:rPr>
          <w:rFonts w:hint="default" w:ascii="宋体" w:hAnsi="宋体" w:eastAsia="宋体" w:cs="宋体"/>
          <w:color w:val="auto"/>
          <w:sz w:val="24"/>
          <w:highlight w:val="none"/>
          <w:u w:val="single"/>
          <w:lang w:eastAsia="zh-CN"/>
        </w:rPr>
      </w:pPr>
      <w:r>
        <w:rPr>
          <w:rFonts w:hint="default" w:ascii="宋体" w:hAnsi="宋体" w:eastAsia="宋体" w:cs="宋体"/>
          <w:color w:val="auto"/>
          <w:sz w:val="24"/>
          <w:highlight w:val="none"/>
          <w:u w:val="single"/>
          <w:lang w:eastAsia="zh-CN"/>
        </w:rPr>
        <w:t>2、供电等级采用10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单回路电源供电。</w:t>
      </w:r>
    </w:p>
    <w:p>
      <w:pPr>
        <w:pStyle w:val="32"/>
        <w:widowControl w:val="0"/>
        <w:kinsoku w:val="0"/>
        <w:wordWrap w:val="0"/>
        <w:overflowPunct w:val="0"/>
        <w:ind w:firstLine="496"/>
        <w:jc w:val="both"/>
        <w:rPr>
          <w:rFonts w:hint="default" w:ascii="宋体" w:hAnsi="宋体" w:eastAsia="宋体" w:cs="宋体"/>
          <w:color w:val="auto"/>
          <w:sz w:val="24"/>
          <w:highlight w:val="none"/>
          <w:u w:val="single"/>
          <w:lang w:eastAsia="zh-CN"/>
        </w:rPr>
      </w:pPr>
      <w:r>
        <w:rPr>
          <w:rFonts w:hint="default" w:ascii="宋体" w:hAnsi="宋体" w:eastAsia="宋体" w:cs="宋体"/>
          <w:color w:val="auto"/>
          <w:sz w:val="24"/>
          <w:highlight w:val="none"/>
          <w:u w:val="single"/>
          <w:lang w:eastAsia="zh-CN"/>
        </w:rPr>
        <w:t>3、电源接入方式：</w:t>
      </w:r>
    </w:p>
    <w:p>
      <w:pPr>
        <w:pStyle w:val="32"/>
        <w:widowControl w:val="0"/>
        <w:kinsoku w:val="0"/>
        <w:wordWrap w:val="0"/>
        <w:overflowPunct w:val="0"/>
        <w:ind w:firstLine="496"/>
        <w:jc w:val="both"/>
        <w:rPr>
          <w:rFonts w:hint="default" w:ascii="宋体" w:hAnsi="宋体" w:eastAsia="宋体" w:cs="宋体"/>
          <w:color w:val="auto"/>
          <w:sz w:val="24"/>
          <w:highlight w:val="none"/>
          <w:u w:val="single"/>
          <w:lang w:eastAsia="zh-CN"/>
        </w:rPr>
      </w:pPr>
      <w:r>
        <w:rPr>
          <w:rFonts w:hint="default" w:ascii="宋体" w:hAnsi="宋体" w:eastAsia="宋体" w:cs="宋体"/>
          <w:color w:val="auto"/>
          <w:sz w:val="24"/>
          <w:highlight w:val="none"/>
          <w:u w:val="single"/>
          <w:lang w:eastAsia="zh-CN"/>
        </w:rPr>
        <w:t>在公用开关房接取电源。由公用开关房新敷 10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 xml:space="preserve"> 电缆依次至#1 高压室（2×1250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A+2×1000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A）、至#2 高压室（1×630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A），再由以上高压室分别新敷 10</w:t>
      </w:r>
      <w:r>
        <w:rPr>
          <w:rFonts w:hint="eastAsia" w:ascii="宋体" w:hAnsi="宋体" w:eastAsia="宋体" w:cs="宋体"/>
          <w:color w:val="auto"/>
          <w:sz w:val="24"/>
          <w:highlight w:val="none"/>
          <w:u w:val="single"/>
          <w:lang w:eastAsia="zh-CN"/>
        </w:rPr>
        <w:t>kV</w:t>
      </w:r>
      <w:r>
        <w:rPr>
          <w:rFonts w:hint="default" w:ascii="宋体" w:hAnsi="宋体" w:eastAsia="宋体" w:cs="宋体"/>
          <w:color w:val="auto"/>
          <w:sz w:val="24"/>
          <w:highlight w:val="none"/>
          <w:u w:val="single"/>
          <w:lang w:eastAsia="zh-CN"/>
        </w:rPr>
        <w:t xml:space="preserve"> 电缆至各专变房。</w:t>
      </w:r>
    </w:p>
    <w:p>
      <w:pPr>
        <w:pStyle w:val="32"/>
        <w:widowControl w:val="0"/>
        <w:kinsoku w:val="0"/>
        <w:wordWrap w:val="0"/>
        <w:overflowPunct w:val="0"/>
        <w:ind w:firstLine="496"/>
        <w:jc w:val="both"/>
        <w:rPr>
          <w:rFonts w:ascii="宋体" w:hAnsi="宋体" w:eastAsia="宋体" w:cs="宋体"/>
          <w:color w:val="auto"/>
          <w:highlight w:val="none"/>
          <w:u w:val="single"/>
        </w:rPr>
      </w:pPr>
      <w:r>
        <w:rPr>
          <w:rFonts w:hint="eastAsia" w:ascii="宋体" w:hAnsi="宋体" w:eastAsia="宋体" w:cs="宋体"/>
          <w:color w:val="auto"/>
          <w:sz w:val="24"/>
          <w:highlight w:val="none"/>
          <w:u w:val="single"/>
          <w:lang w:val="en-US" w:eastAsia="zh-CN"/>
        </w:rPr>
        <w:t>4</w:t>
      </w:r>
      <w:r>
        <w:rPr>
          <w:rFonts w:hint="default" w:ascii="宋体" w:hAnsi="宋体" w:eastAsia="宋体" w:cs="宋体"/>
          <w:color w:val="auto"/>
          <w:sz w:val="24"/>
          <w:highlight w:val="none"/>
          <w:u w:val="single"/>
          <w:lang w:eastAsia="zh-CN"/>
        </w:rPr>
        <w:t>、其他内容详见用电咨询服务答复书。</w:t>
      </w:r>
    </w:p>
    <w:p>
      <w:pPr>
        <w:pStyle w:val="32"/>
        <w:kinsoku w:val="0"/>
        <w:wordWrap w:val="0"/>
        <w:overflowPunct w:val="0"/>
        <w:ind w:firstLine="496"/>
        <w:rPr>
          <w:rFonts w:ascii="宋体" w:hAnsi="宋体"/>
          <w:color w:val="auto"/>
          <w:highlight w:val="none"/>
        </w:rPr>
      </w:pPr>
      <w:r>
        <w:rPr>
          <w:rFonts w:hint="eastAsia" w:ascii="宋体" w:hAnsi="宋体"/>
          <w:color w:val="auto"/>
          <w:highlight w:val="none"/>
        </w:rPr>
        <w:t>五、标段划分及各标段招标内容、规模和最高投标限价：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1、本工程划分为</w:t>
      </w:r>
      <w:r>
        <w:rPr>
          <w:rFonts w:hint="eastAsia" w:ascii="宋体" w:hAnsi="宋体"/>
          <w:color w:val="auto"/>
          <w:sz w:val="24"/>
          <w:szCs w:val="24"/>
          <w:highlight w:val="none"/>
          <w:u w:val="single"/>
        </w:rPr>
        <w:t xml:space="preserve"> 1 </w:t>
      </w:r>
      <w:r>
        <w:rPr>
          <w:rFonts w:hint="eastAsia" w:ascii="宋体" w:hAnsi="宋体"/>
          <w:color w:val="auto"/>
          <w:sz w:val="24"/>
          <w:szCs w:val="24"/>
          <w:highlight w:val="none"/>
        </w:rPr>
        <w:t>个标段。</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highlight w:val="none"/>
        </w:rPr>
        <w:t>2</w:t>
      </w:r>
      <w:r>
        <w:rPr>
          <w:rFonts w:hint="eastAsia" w:ascii="宋体" w:hAnsi="宋体" w:cs="宋体"/>
          <w:color w:val="auto"/>
          <w:sz w:val="24"/>
          <w:highlight w:val="none"/>
        </w:rPr>
        <w:t>、招标内容：本次招标内容为</w:t>
      </w:r>
      <w:r>
        <w:rPr>
          <w:rFonts w:hint="eastAsia" w:ascii="宋体" w:hAnsi="宋体" w:cs="宋体"/>
          <w:color w:val="auto"/>
          <w:sz w:val="24"/>
          <w:highlight w:val="none"/>
          <w:u w:val="single"/>
          <w:lang w:eastAsia="zh-CN"/>
        </w:rPr>
        <w:t>广州市残疾人托养中心（星安居）10kV供配电工程施工专业承包</w:t>
      </w:r>
      <w:r>
        <w:rPr>
          <w:rFonts w:hint="eastAsia" w:ascii="宋体" w:hAnsi="宋体" w:cs="宋体"/>
          <w:color w:val="auto"/>
          <w:sz w:val="24"/>
          <w:highlight w:val="none"/>
        </w:rPr>
        <w:t>，主要内容</w:t>
      </w:r>
      <w:r>
        <w:rPr>
          <w:rFonts w:hint="eastAsia" w:ascii="宋体" w:hAnsi="宋体" w:cs="宋体"/>
          <w:color w:val="auto"/>
          <w:sz w:val="24"/>
          <w:szCs w:val="24"/>
          <w:highlight w:val="none"/>
        </w:rPr>
        <w:t>如下（包括但不限于）：</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（1）外电接入工程：电源接入采用10</w:t>
      </w:r>
      <w:r>
        <w:rPr>
          <w:rFonts w:hint="eastAsia" w:ascii="宋体" w:hAnsi="宋体" w:cs="宋体"/>
          <w:color w:val="auto"/>
          <w:sz w:val="24"/>
          <w:highlight w:val="none"/>
          <w:u w:val="single"/>
          <w:lang w:eastAsia="zh-CN"/>
        </w:rPr>
        <w:t>kV</w:t>
      </w:r>
      <w:r>
        <w:rPr>
          <w:rFonts w:hint="eastAsia" w:ascii="宋体" w:hAnsi="宋体" w:cs="宋体"/>
          <w:color w:val="auto"/>
          <w:sz w:val="24"/>
          <w:highlight w:val="none"/>
          <w:u w:val="single"/>
        </w:rPr>
        <w:t>单回路电源供电的供电方式，负责外电接入工程（含室外10</w:t>
      </w:r>
      <w:r>
        <w:rPr>
          <w:rFonts w:hint="eastAsia" w:ascii="宋体" w:hAnsi="宋体" w:cs="宋体"/>
          <w:color w:val="auto"/>
          <w:sz w:val="24"/>
          <w:highlight w:val="none"/>
          <w:u w:val="single"/>
          <w:lang w:eastAsia="zh-CN"/>
        </w:rPr>
        <w:t>kV</w:t>
      </w:r>
      <w:r>
        <w:rPr>
          <w:rFonts w:hint="eastAsia" w:ascii="宋体" w:hAnsi="宋体" w:cs="宋体"/>
          <w:color w:val="auto"/>
          <w:sz w:val="24"/>
          <w:highlight w:val="none"/>
          <w:u w:val="single"/>
        </w:rPr>
        <w:t>电缆、管道、接线井等）。</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highlight w:val="none"/>
          <w:u w:val="single"/>
        </w:rPr>
        <w:t>（2）</w:t>
      </w:r>
      <w:r>
        <w:rPr>
          <w:rFonts w:hint="eastAsia" w:ascii="宋体" w:hAnsi="宋体" w:cs="宋体"/>
          <w:color w:val="auto"/>
          <w:sz w:val="24"/>
          <w:szCs w:val="24"/>
          <w:highlight w:val="none"/>
          <w:u w:val="single"/>
        </w:rPr>
        <w:t>高、低压供配电工程：</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w:t>
      </w:r>
      <w:r>
        <w:rPr>
          <w:rFonts w:hint="eastAsia" w:ascii="宋体" w:hAnsi="宋体" w:cs="宋体"/>
          <w:color w:val="auto"/>
          <w:sz w:val="24"/>
          <w:highlight w:val="none"/>
          <w:u w:val="single"/>
        </w:rPr>
        <w:t>以低压配电柜出线端头为界，开关房电源进线至低压配电柜（含低压配电柜）属于10</w:t>
      </w:r>
      <w:r>
        <w:rPr>
          <w:rFonts w:hint="eastAsia" w:ascii="宋体" w:hAnsi="宋体" w:cs="宋体"/>
          <w:color w:val="auto"/>
          <w:sz w:val="24"/>
          <w:highlight w:val="none"/>
          <w:u w:val="single"/>
          <w:lang w:eastAsia="zh-CN"/>
        </w:rPr>
        <w:t>kV</w:t>
      </w:r>
      <w:r>
        <w:rPr>
          <w:rFonts w:hint="eastAsia" w:ascii="宋体" w:hAnsi="宋体" w:cs="宋体"/>
          <w:color w:val="auto"/>
          <w:sz w:val="24"/>
          <w:highlight w:val="none"/>
          <w:u w:val="single"/>
        </w:rPr>
        <w:t>供配电单位实施范围；</w:t>
      </w:r>
    </w:p>
    <w:p>
      <w:pPr>
        <w:spacing w:line="360" w:lineRule="auto"/>
        <w:ind w:firstLine="480" w:firstLineChars="200"/>
        <w:rPr>
          <w:rFonts w:ascii="宋体" w:hAnsi="宋体" w:cs="宋体"/>
          <w:color w:val="auto"/>
          <w:sz w:val="24"/>
          <w:szCs w:val="24"/>
          <w:highlight w:val="none"/>
          <w:u w:val="single"/>
          <w:lang w:bidi="ar"/>
        </w:rPr>
      </w:pPr>
      <w:r>
        <w:rPr>
          <w:rFonts w:hint="eastAsia" w:ascii="宋体" w:hAnsi="宋体" w:cs="宋体"/>
          <w:color w:val="auto"/>
          <w:sz w:val="24"/>
          <w:szCs w:val="24"/>
          <w:highlight w:val="none"/>
          <w:u w:val="single"/>
        </w:rPr>
        <w:t>2）</w:t>
      </w:r>
      <w:r>
        <w:rPr>
          <w:rFonts w:hint="eastAsia" w:ascii="宋体" w:hAnsi="宋体" w:cs="宋体"/>
          <w:color w:val="auto"/>
          <w:sz w:val="24"/>
          <w:highlight w:val="none"/>
          <w:u w:val="single"/>
        </w:rPr>
        <w:t>供配电房（开关房、高压室、专变房、低压房）的相关配套工程，开关房、高压室、专变房、低压房之间的设备、管线、弱电系统及其他配套工程的深化设计及施工属于10</w:t>
      </w:r>
      <w:r>
        <w:rPr>
          <w:rFonts w:hint="eastAsia" w:ascii="宋体" w:hAnsi="宋体" w:cs="宋体"/>
          <w:color w:val="auto"/>
          <w:sz w:val="24"/>
          <w:highlight w:val="none"/>
          <w:u w:val="single"/>
          <w:lang w:eastAsia="zh-CN"/>
        </w:rPr>
        <w:t>kV</w:t>
      </w:r>
      <w:r>
        <w:rPr>
          <w:rFonts w:hint="eastAsia" w:ascii="宋体" w:hAnsi="宋体" w:cs="宋体"/>
          <w:color w:val="auto"/>
          <w:sz w:val="24"/>
          <w:highlight w:val="none"/>
          <w:u w:val="single"/>
        </w:rPr>
        <w:t>供配电单位实施范围；</w:t>
      </w:r>
    </w:p>
    <w:p>
      <w:pPr>
        <w:spacing w:line="360" w:lineRule="auto"/>
        <w:ind w:firstLine="480" w:firstLineChars="200"/>
        <w:rPr>
          <w:rFonts w:hint="eastAsia" w:ascii="宋体" w:hAnsi="宋体" w:cs="宋体"/>
          <w:color w:val="auto"/>
          <w:sz w:val="24"/>
          <w:szCs w:val="24"/>
          <w:highlight w:val="none"/>
          <w:u w:val="single"/>
          <w:lang w:bidi="ar"/>
        </w:rPr>
      </w:pPr>
      <w:r>
        <w:rPr>
          <w:rFonts w:hint="eastAsia" w:ascii="宋体" w:hAnsi="宋体" w:cs="宋体"/>
          <w:color w:val="auto"/>
          <w:sz w:val="24"/>
          <w:szCs w:val="24"/>
          <w:highlight w:val="none"/>
          <w:u w:val="single"/>
        </w:rPr>
        <w:t>3）</w:t>
      </w:r>
      <w:r>
        <w:rPr>
          <w:rFonts w:hint="eastAsia" w:ascii="宋体" w:hAnsi="宋体" w:cs="宋体"/>
          <w:color w:val="auto"/>
          <w:sz w:val="24"/>
          <w:highlight w:val="none"/>
          <w:u w:val="single"/>
        </w:rPr>
        <w:t>供配电房内装修工程和照明【包括门、窗、排气扇以及电房辅助设施（如线路模拟板牌、标牌、驱鼠器、环境控制箱、绝缘地板胶、绝缘安全操作工具、安全隔网、防鼠防潮防水洞口处理等）】属于10</w:t>
      </w:r>
      <w:r>
        <w:rPr>
          <w:rFonts w:hint="eastAsia" w:ascii="宋体" w:hAnsi="宋体" w:cs="宋体"/>
          <w:color w:val="auto"/>
          <w:sz w:val="24"/>
          <w:highlight w:val="none"/>
          <w:u w:val="single"/>
          <w:lang w:eastAsia="zh-CN"/>
        </w:rPr>
        <w:t>kV</w:t>
      </w:r>
      <w:r>
        <w:rPr>
          <w:rFonts w:hint="eastAsia" w:ascii="宋体" w:hAnsi="宋体" w:cs="宋体"/>
          <w:color w:val="auto"/>
          <w:sz w:val="24"/>
          <w:highlight w:val="none"/>
          <w:u w:val="single"/>
        </w:rPr>
        <w:t>供配电工程范围；土建（批荡、找平）、防雷（防雷接地引出点之后电房内的防雷接地）、消防（除消防通风设施外的其他消防工程）、弱电智能化等其他相关配套工程的实施属于10</w:t>
      </w:r>
      <w:r>
        <w:rPr>
          <w:rFonts w:hint="eastAsia" w:ascii="宋体" w:hAnsi="宋体" w:cs="宋体"/>
          <w:color w:val="auto"/>
          <w:sz w:val="24"/>
          <w:highlight w:val="none"/>
          <w:u w:val="single"/>
          <w:lang w:eastAsia="zh-CN"/>
        </w:rPr>
        <w:t>kV</w:t>
      </w:r>
      <w:r>
        <w:rPr>
          <w:rFonts w:hint="eastAsia" w:ascii="宋体" w:hAnsi="宋体" w:cs="宋体"/>
          <w:color w:val="auto"/>
          <w:sz w:val="24"/>
          <w:highlight w:val="none"/>
          <w:u w:val="single"/>
        </w:rPr>
        <w:t>供配电工程范围 。</w:t>
      </w:r>
    </w:p>
    <w:p>
      <w:pPr>
        <w:widowControl/>
        <w:spacing w:line="360" w:lineRule="auto"/>
        <w:ind w:left="0" w:leftChars="0" w:firstLine="480" w:firstLineChars="200"/>
        <w:jc w:val="left"/>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u w:val="single"/>
          <w:lang w:val="en-US" w:eastAsia="zh-CN" w:bidi="ar"/>
        </w:rPr>
        <w:t>（3）在供配电工程实施前期准备阶段、实施阶段、正式送电阶段，负责办理过程中涉及各相关主管部门的报批、报建、报验、专项检测、调试和联合试运转、送电方案报审手续及沟通协调工作，并承担相关费用；</w:t>
      </w:r>
    </w:p>
    <w:p>
      <w:pPr>
        <w:widowControl/>
        <w:spacing w:line="360" w:lineRule="auto"/>
        <w:ind w:left="0" w:leftChars="0" w:firstLine="480" w:firstLineChars="200"/>
        <w:jc w:val="left"/>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u w:val="single"/>
          <w:lang w:val="en-US" w:eastAsia="zh-CN" w:bidi="ar"/>
        </w:rPr>
        <w:t>（4）确保供配电工程实施过程的安全文明施工；确保按时、按质、按量完成建设；确保按供电部门要求通过竣工验收，并达到送电要求；</w:t>
      </w:r>
    </w:p>
    <w:p>
      <w:pPr>
        <w:widowControl/>
        <w:spacing w:line="360" w:lineRule="auto"/>
        <w:ind w:left="479" w:leftChars="228" w:firstLine="0" w:firstLineChars="0"/>
        <w:jc w:val="left"/>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u w:val="single"/>
          <w:lang w:val="en-US" w:eastAsia="zh-CN" w:bidi="ar"/>
        </w:rPr>
        <w:t>（5）及时按要求组织项目建设结算及资料整理；</w:t>
      </w:r>
    </w:p>
    <w:p>
      <w:pPr>
        <w:widowControl/>
        <w:spacing w:line="360" w:lineRule="auto"/>
        <w:ind w:left="479" w:leftChars="228" w:firstLine="0" w:firstLineChars="0"/>
        <w:jc w:val="left"/>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kern w:val="2"/>
          <w:sz w:val="24"/>
          <w:szCs w:val="24"/>
          <w:highlight w:val="none"/>
          <w:u w:val="single"/>
          <w:lang w:val="en-US" w:eastAsia="zh-CN" w:bidi="ar"/>
        </w:rPr>
        <w:t>（6）运行维护管理；</w:t>
      </w:r>
    </w:p>
    <w:p>
      <w:pPr>
        <w:widowControl/>
        <w:spacing w:line="360" w:lineRule="auto"/>
        <w:ind w:left="479" w:leftChars="228" w:firstLine="0" w:firstLineChars="0"/>
        <w:jc w:val="left"/>
        <w:rPr>
          <w:rFonts w:hint="eastAsia" w:ascii="宋体" w:hAnsi="宋体" w:eastAsia="宋体" w:cs="宋体"/>
          <w:color w:val="auto"/>
          <w:sz w:val="24"/>
          <w:szCs w:val="24"/>
          <w:highlight w:val="none"/>
          <w:u w:val="single"/>
          <w:lang w:eastAsia="zh-CN" w:bidi="ar"/>
        </w:rPr>
      </w:pPr>
      <w:r>
        <w:rPr>
          <w:rFonts w:hint="eastAsia" w:ascii="宋体" w:hAnsi="宋体" w:eastAsia="宋体" w:cs="宋体"/>
          <w:color w:val="auto"/>
          <w:kern w:val="2"/>
          <w:sz w:val="24"/>
          <w:szCs w:val="24"/>
          <w:highlight w:val="none"/>
          <w:u w:val="single"/>
          <w:lang w:val="en-US" w:eastAsia="zh-CN" w:bidi="ar"/>
        </w:rPr>
        <w:t>（7）质保期售后服务。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具体以招标文件、招标图纸、工程量清单、用电咨询服务答复书及相关资料说明为准。</w:t>
      </w:r>
    </w:p>
    <w:p>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cs="宋体"/>
          <w:color w:val="auto"/>
          <w:sz w:val="24"/>
          <w:highlight w:val="none"/>
        </w:rPr>
      </w:pPr>
      <w:r>
        <w:rPr>
          <w:rFonts w:hint="eastAsia" w:ascii="宋体" w:hAnsi="宋体" w:eastAsia="宋体" w:cs="宋体"/>
          <w:color w:val="auto"/>
          <w:kern w:val="2"/>
          <w:sz w:val="24"/>
          <w:szCs w:val="24"/>
          <w:highlight w:val="none"/>
          <w:u w:val="single"/>
          <w:lang w:val="en-US" w:eastAsia="zh-CN" w:bidi="ar"/>
        </w:rPr>
        <w:t>承包方式：</w:t>
      </w:r>
      <w:r>
        <w:rPr>
          <w:rFonts w:hint="eastAsia" w:ascii="宋体" w:hAnsi="宋体" w:cs="宋体"/>
          <w:color w:val="auto"/>
          <w:sz w:val="24"/>
          <w:szCs w:val="24"/>
          <w:highlight w:val="none"/>
          <w:u w:val="single"/>
          <w:lang w:bidi="ar"/>
        </w:rPr>
        <w:t>投标人根据招标文件、招标图纸、有关资料及说明，按招标文件工程量清单进行报价，包深化设计服务、包各种协调服务，包送电方案，包向供电部门报装报建工作、配合供电部门的审图及报供电部门的其他审批手续及其费用，包向公安、市政、规划等各部门办理相应的电缆沟、市政路面开挖的报批等相关手续，包路面修复、路面下穿管施工，包工、包材料、包工期、包质量、包安全生产、包文明施工、包调试和联合调试、包运行维护管理，包招标范围内工程竣工验收、包供电局送电前专项检测验收并送电、包移交、包结算的组织和资料整理、包服从施工总承包管理单位的施工总承包管理、包承包人应当购买的保险、包竣工图编制（须满足规划等各专项验收要求）等。合同价款根据招标文件施工合同约定的计价方式进行计价和结算。</w:t>
      </w:r>
    </w:p>
    <w:p>
      <w:pPr>
        <w:keepNext w:val="0"/>
        <w:keepLines w:val="0"/>
        <w:widowControl w:val="0"/>
        <w:suppressLineNumbers w:val="0"/>
        <w:spacing w:before="0" w:beforeAutospacing="0" w:after="0" w:afterAutospacing="0" w:line="360" w:lineRule="auto"/>
        <w:ind w:left="0" w:right="0" w:firstLine="480" w:firstLineChars="200"/>
        <w:jc w:val="both"/>
        <w:rPr>
          <w:rFonts w:ascii="宋体" w:hAnsi="宋体" w:cs="宋体"/>
          <w:color w:val="auto"/>
          <w:sz w:val="24"/>
          <w:highlight w:val="none"/>
          <w:u w:val="single"/>
        </w:rPr>
      </w:pPr>
      <w:r>
        <w:rPr>
          <w:rFonts w:ascii="宋体" w:hAnsi="宋体" w:cs="宋体"/>
          <w:color w:val="auto"/>
          <w:sz w:val="24"/>
          <w:highlight w:val="none"/>
        </w:rPr>
        <w:t>3</w:t>
      </w:r>
      <w:r>
        <w:rPr>
          <w:rFonts w:hint="eastAsia" w:ascii="宋体" w:hAnsi="宋体" w:cs="宋体"/>
          <w:color w:val="auto"/>
          <w:sz w:val="24"/>
          <w:highlight w:val="none"/>
        </w:rPr>
        <w:t>、最高投标限价：</w:t>
      </w:r>
      <w:r>
        <w:rPr>
          <w:rFonts w:hint="eastAsia" w:ascii="宋体" w:hAnsi="宋体" w:cs="宋体"/>
          <w:color w:val="auto"/>
          <w:kern w:val="2"/>
          <w:sz w:val="24"/>
          <w:szCs w:val="24"/>
          <w:highlight w:val="none"/>
          <w:u w:val="single"/>
          <w:lang w:val="en-US" w:eastAsia="zh-CN" w:bidi="ar"/>
        </w:rPr>
        <w:t xml:space="preserve"> 5634492.78 </w:t>
      </w:r>
      <w:r>
        <w:rPr>
          <w:rFonts w:hint="eastAsia" w:ascii="宋体" w:hAnsi="宋体" w:cs="宋体"/>
          <w:color w:val="auto"/>
          <w:sz w:val="24"/>
          <w:highlight w:val="none"/>
          <w:u w:val="single"/>
        </w:rPr>
        <w:t>元。</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六、资金来源：</w:t>
      </w:r>
      <w:r>
        <w:rPr>
          <w:rFonts w:hint="eastAsia" w:ascii="宋体" w:hAnsi="宋体"/>
          <w:color w:val="auto"/>
          <w:sz w:val="24"/>
          <w:highlight w:val="none"/>
          <w:u w:val="single"/>
        </w:rPr>
        <w:t>市财政</w:t>
      </w:r>
      <w:r>
        <w:rPr>
          <w:rFonts w:hint="eastAsia" w:ascii="宋体" w:hAnsi="宋体" w:cs="宋体"/>
          <w:color w:val="auto"/>
          <w:kern w:val="0"/>
          <w:sz w:val="24"/>
          <w:highlight w:val="none"/>
          <w:u w:val="single"/>
        </w:rPr>
        <w:t>资金</w:t>
      </w:r>
      <w:r>
        <w:rPr>
          <w:rFonts w:hint="eastAsia" w:ascii="宋体" w:hAnsi="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注：政府投资项目一律不得以建筑业企业带资承包的方式进行建设。</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olor w:val="auto"/>
          <w:sz w:val="24"/>
          <w:highlight w:val="none"/>
        </w:rPr>
        <w:t>公告发布日期、</w:t>
      </w:r>
      <w:r>
        <w:rPr>
          <w:rFonts w:hint="eastAsia" w:ascii="宋体" w:hAnsi="宋体" w:cs="宋体"/>
          <w:color w:val="auto"/>
          <w:sz w:val="24"/>
          <w:szCs w:val="24"/>
          <w:highlight w:val="none"/>
        </w:rPr>
        <w:t>递交投标文件时间与开标时间：</w:t>
      </w:r>
    </w:p>
    <w:p>
      <w:pPr>
        <w:snapToGrid w:val="0"/>
        <w:spacing w:line="360" w:lineRule="auto"/>
        <w:ind w:firstLine="480" w:firstLineChars="200"/>
        <w:rPr>
          <w:rFonts w:ascii="宋体" w:hAnsi="宋体"/>
          <w:color w:val="auto"/>
          <w:sz w:val="24"/>
          <w:highlight w:val="none"/>
        </w:rPr>
      </w:pPr>
      <w:r>
        <w:rPr>
          <w:rFonts w:hint="eastAsia" w:ascii="宋体" w:hAnsi="宋体" w:cs="宋体"/>
          <w:color w:val="auto"/>
          <w:sz w:val="24"/>
          <w:szCs w:val="24"/>
          <w:highlight w:val="none"/>
        </w:rPr>
        <w:t>1、</w:t>
      </w:r>
      <w:r>
        <w:rPr>
          <w:rFonts w:hint="eastAsia" w:ascii="宋体" w:hAnsi="宋体"/>
          <w:color w:val="auto"/>
          <w:sz w:val="24"/>
          <w:highlight w:val="none"/>
        </w:rPr>
        <w:t>公告发布日期（含本日）：</w:t>
      </w:r>
      <w:r>
        <w:rPr>
          <w:rFonts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highlight w:val="none"/>
          <w:u w:val="single"/>
        </w:rPr>
        <w:t xml:space="preserve">  </w:t>
      </w:r>
      <w:r>
        <w:rPr>
          <w:rFonts w:hint="eastAsia" w:ascii="宋体" w:hAnsi="宋体"/>
          <w:color w:val="auto"/>
          <w:sz w:val="24"/>
          <w:szCs w:val="24"/>
          <w:highlight w:val="none"/>
        </w:rPr>
        <w:t>分</w:t>
      </w:r>
      <w:r>
        <w:rPr>
          <w:rFonts w:hint="eastAsia" w:ascii="宋体" w:hAnsi="宋体"/>
          <w:color w:val="auto"/>
          <w:sz w:val="24"/>
          <w:highlight w:val="none"/>
        </w:rPr>
        <w:t>至</w:t>
      </w:r>
      <w:r>
        <w:rPr>
          <w:rFonts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highlight w:val="none"/>
          <w:u w:val="single"/>
        </w:rPr>
        <w:t xml:space="preserve">  </w:t>
      </w:r>
      <w:r>
        <w:rPr>
          <w:rFonts w:hint="eastAsia" w:ascii="宋体" w:hAnsi="宋体"/>
          <w:color w:val="auto"/>
          <w:sz w:val="24"/>
          <w:szCs w:val="24"/>
          <w:highlight w:val="none"/>
        </w:rPr>
        <w:t>分</w:t>
      </w:r>
    </w:p>
    <w:p>
      <w:pPr>
        <w:snapToGrid w:val="0"/>
        <w:spacing w:line="360" w:lineRule="auto"/>
        <w:ind w:firstLine="480" w:firstLineChars="200"/>
        <w:rPr>
          <w:rFonts w:ascii="宋体" w:cs="宋体"/>
          <w:color w:val="auto"/>
          <w:kern w:val="0"/>
          <w:sz w:val="24"/>
          <w:szCs w:val="24"/>
          <w:highlight w:val="none"/>
        </w:rPr>
      </w:pPr>
      <w:r>
        <w:rPr>
          <w:rFonts w:hint="eastAsia" w:ascii="宋体" w:hAnsi="宋体"/>
          <w:color w:val="auto"/>
          <w:sz w:val="24"/>
          <w:highlight w:val="none"/>
        </w:rPr>
        <w:t>凡有意参加投标者，请登录</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网站下载电子招标文件。</w:t>
      </w:r>
    </w:p>
    <w:p>
      <w:pPr>
        <w:widowControl/>
        <w:shd w:val="clear" w:color="auto" w:fill="FFFFFF"/>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注：发布招标公告的时间为招标公告发出之日起至投标截止时间止。</w:t>
      </w:r>
    </w:p>
    <w:p>
      <w:pPr>
        <w:widowControl/>
        <w:shd w:val="clear" w:color="auto" w:fill="FFFFFF"/>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2、递交投标文件起始时间：</w:t>
      </w:r>
      <w:r>
        <w:rPr>
          <w:rFonts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360" w:lineRule="auto"/>
        <w:ind w:left="764" w:leftChars="364"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360" w:lineRule="auto"/>
        <w:ind w:firstLine="480" w:firstLineChars="200"/>
        <w:jc w:val="left"/>
        <w:rPr>
          <w:rFonts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rPr>
        <w:t>、开标开始时间：</w:t>
      </w:r>
      <w:r>
        <w:rPr>
          <w:rFonts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360" w:lineRule="auto"/>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80" w:firstLineChars="200"/>
        <w:rPr>
          <w:rFonts w:ascii="宋体" w:hAnsi="宋体"/>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bCs/>
          <w:color w:val="auto"/>
          <w:sz w:val="24"/>
          <w:highlight w:val="none"/>
        </w:rPr>
        <w:t>投标人通过</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网站办理网上投标登记手续。按照交易平台关于全流程电子化项目的相关指南进行操作。详见：</w:t>
      </w:r>
      <w:r>
        <w:rPr>
          <w:rFonts w:hint="eastAsia" w:ascii="宋体" w:hAnsi="宋体" w:cs="仿宋_GB2312"/>
          <w:color w:val="auto"/>
          <w:sz w:val="24"/>
          <w:szCs w:val="24"/>
          <w:highlight w:val="none"/>
          <w:u w:val="single"/>
        </w:rPr>
        <w:t>广州公共资源交易中心网站</w:t>
      </w:r>
      <w:r>
        <w:rPr>
          <w:rFonts w:hint="eastAsia" w:ascii="宋体" w:hAnsi="宋体" w:cs="仿宋_GB2312"/>
          <w:color w:val="auto"/>
          <w:sz w:val="24"/>
          <w:szCs w:val="24"/>
          <w:highlight w:val="none"/>
          <w:u w:val="single"/>
          <w:lang w:eastAsia="zh-CN"/>
        </w:rPr>
        <w:t>（</w:t>
      </w:r>
      <w:r>
        <w:rPr>
          <w:rFonts w:hint="eastAsia" w:ascii="宋体" w:hAnsi="宋体" w:cs="仿宋_GB2312"/>
          <w:color w:val="auto"/>
          <w:sz w:val="24"/>
          <w:szCs w:val="24"/>
          <w:highlight w:val="none"/>
          <w:u w:val="single"/>
        </w:rPr>
        <w:t>http://</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www.gzggzy.cn</w:t>
      </w:r>
      <w:r>
        <w:rPr>
          <w:rFonts w:hint="eastAsia" w:ascii="宋体" w:hAnsi="宋体" w:cs="仿宋_GB2312"/>
          <w:color w:val="auto"/>
          <w:sz w:val="24"/>
          <w:szCs w:val="24"/>
          <w:highlight w:val="none"/>
          <w:u w:val="single"/>
          <w:lang w:eastAsia="zh-CN"/>
        </w:rPr>
        <w:t>）</w:t>
      </w:r>
      <w:r>
        <w:rPr>
          <w:rFonts w:hint="eastAsia" w:ascii="宋体" w:hAnsi="宋体" w:cs="仿宋_GB2312"/>
          <w:color w:val="auto"/>
          <w:sz w:val="24"/>
          <w:szCs w:val="24"/>
          <w:highlight w:val="none"/>
          <w:u w:val="single"/>
        </w:rPr>
        <w:t>。</w:t>
      </w:r>
      <w:r>
        <w:rPr>
          <w:rFonts w:hint="eastAsia" w:ascii="宋体" w:hAnsi="宋体" w:cs="仿宋_GB2312"/>
          <w:color w:val="auto"/>
          <w:sz w:val="24"/>
          <w:szCs w:val="24"/>
          <w:highlight w:val="none"/>
        </w:rPr>
        <w:t xml:space="preserve"> </w:t>
      </w:r>
    </w:p>
    <w:p>
      <w:pPr>
        <w:widowControl/>
        <w:shd w:val="clear" w:color="auto" w:fill="FFFFFF"/>
        <w:snapToGrid w:val="0"/>
        <w:spacing w:line="360" w:lineRule="auto"/>
        <w:ind w:firstLine="480" w:firstLineChars="200"/>
        <w:jc w:val="left"/>
        <w:rPr>
          <w:rFonts w:ascii="宋体" w:hAnsi="宋体" w:cs="宋体"/>
          <w:color w:val="auto"/>
          <w:sz w:val="24"/>
          <w:szCs w:val="24"/>
          <w:highlight w:val="none"/>
          <w:u w:val="single"/>
        </w:rPr>
      </w:pPr>
      <w:r>
        <w:rPr>
          <w:rFonts w:ascii="宋体" w:hAnsi="宋体" w:cs="宋体"/>
          <w:color w:val="auto"/>
          <w:sz w:val="24"/>
          <w:szCs w:val="24"/>
          <w:highlight w:val="none"/>
          <w:u w:val="single"/>
        </w:rPr>
        <w:t>6</w:t>
      </w:r>
      <w:r>
        <w:rPr>
          <w:rFonts w:hint="eastAsia" w:ascii="宋体" w:hAnsi="宋体" w:cs="宋体"/>
          <w:color w:val="auto"/>
          <w:sz w:val="24"/>
          <w:szCs w:val="24"/>
          <w:highlight w:val="none"/>
          <w:u w:val="single"/>
        </w:rPr>
        <w:t>、在投标登记时，投标人应按要求在交易系统中填写《施工项目管理团队人员信息表》（详见附件三），表中的项目管理团队人员信息作为投标文件的一部分，将由交易系统提取后供各相关单位在中标人履约时进行比对、查核。</w:t>
      </w:r>
    </w:p>
    <w:p>
      <w:pPr>
        <w:widowControl/>
        <w:shd w:val="clear" w:color="auto" w:fill="FFFFFF"/>
        <w:snapToGrid w:val="0"/>
        <w:spacing w:line="360" w:lineRule="auto"/>
        <w:ind w:firstLine="480"/>
        <w:jc w:val="left"/>
        <w:rPr>
          <w:rFonts w:ascii="宋体" w:cs="宋体"/>
          <w:color w:val="auto"/>
          <w:kern w:val="0"/>
          <w:sz w:val="24"/>
          <w:szCs w:val="24"/>
          <w:highlight w:val="none"/>
        </w:rPr>
      </w:pPr>
      <w:r>
        <w:rPr>
          <w:rFonts w:hint="eastAsia" w:ascii="宋体" w:hAnsi="宋体" w:cs="宋体"/>
          <w:color w:val="auto"/>
          <w:kern w:val="0"/>
          <w:sz w:val="24"/>
          <w:szCs w:val="24"/>
          <w:highlight w:val="none"/>
        </w:rPr>
        <w:t>八、招标文件获取方式：</w:t>
      </w:r>
    </w:p>
    <w:p>
      <w:pPr>
        <w:widowControl/>
        <w:shd w:val="clear" w:color="auto" w:fill="FFFFFF"/>
        <w:snapToGrid w:val="0"/>
        <w:spacing w:line="36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网站发布。招标文件</w:t>
      </w:r>
      <w:r>
        <w:rPr>
          <w:rFonts w:hint="eastAsia" w:ascii="宋体" w:hAnsi="宋体" w:cs="宋体"/>
          <w:color w:val="auto"/>
          <w:kern w:val="0"/>
          <w:sz w:val="24"/>
          <w:szCs w:val="24"/>
          <w:highlight w:val="none"/>
        </w:rPr>
        <w:t>一经在</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九、投标人合格条件：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、投标人参加投标的意思表达清楚，投标人代表被授权有效。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2、投标人均具有独立法人资格，按国家法律经营。</w:t>
      </w:r>
    </w:p>
    <w:p>
      <w:pPr>
        <w:spacing w:line="360" w:lineRule="auto"/>
        <w:ind w:firstLine="480" w:firstLineChars="200"/>
        <w:rPr>
          <w:rFonts w:ascii="宋体"/>
          <w:color w:val="auto"/>
          <w:sz w:val="24"/>
          <w:highlight w:val="none"/>
        </w:rPr>
      </w:pPr>
      <w:r>
        <w:rPr>
          <w:rFonts w:hint="eastAsia" w:ascii="宋体"/>
          <w:color w:val="auto"/>
          <w:sz w:val="24"/>
          <w:highlight w:val="none"/>
        </w:rPr>
        <w:t>3、投标人均持有建设行政主管部门颁发的</w:t>
      </w:r>
      <w:r>
        <w:rPr>
          <w:rFonts w:hint="eastAsia" w:ascii="宋体"/>
          <w:color w:val="auto"/>
          <w:sz w:val="24"/>
          <w:highlight w:val="none"/>
          <w:lang w:val="en-US" w:eastAsia="zh-CN"/>
        </w:rPr>
        <w:t>有效期内的</w:t>
      </w:r>
      <w:r>
        <w:rPr>
          <w:rFonts w:hint="eastAsia" w:ascii="宋体"/>
          <w:color w:val="auto"/>
          <w:sz w:val="24"/>
          <w:highlight w:val="none"/>
        </w:rPr>
        <w:t>企业资质证书及安全生产许可证；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4、投标人应具备以下资质：</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投标人具有承接本工程所需的电力工程施工总承包三级或以上或输变电工程（送变电工程）专业承包三级或以上或建筑机电安装工程专业承包二级或以上资质，和《承装(修、试)电力设施许可证》承装类五级或以上。</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szCs w:val="24"/>
          <w:highlight w:val="none"/>
        </w:rPr>
        <w:t>投标人拟担任本工程项目负责人的人员为：</w:t>
      </w:r>
      <w:r>
        <w:rPr>
          <w:rFonts w:hint="eastAsia" w:ascii="宋体" w:hAnsi="宋体" w:cs="宋体"/>
          <w:color w:val="auto"/>
          <w:sz w:val="24"/>
          <w:szCs w:val="24"/>
          <w:highlight w:val="none"/>
          <w:u w:val="none"/>
        </w:rPr>
        <w:t>投标人以电力工程施工总承包资质或输变电工程专业承包资质投标的，投标人拟担任本工程项目负责人的人员为</w:t>
      </w:r>
      <w:r>
        <w:rPr>
          <w:rFonts w:hint="eastAsia" w:ascii="宋体" w:hAnsi="宋体" w:cs="宋体"/>
          <w:color w:val="auto"/>
          <w:sz w:val="24"/>
          <w:szCs w:val="24"/>
          <w:highlight w:val="none"/>
          <w:u w:val="single"/>
        </w:rPr>
        <w:t>机电工程</w:t>
      </w:r>
      <w:r>
        <w:rPr>
          <w:rFonts w:hint="eastAsia" w:ascii="宋体" w:hAnsi="宋体" w:cs="宋体"/>
          <w:color w:val="auto"/>
          <w:sz w:val="24"/>
          <w:szCs w:val="24"/>
          <w:highlight w:val="none"/>
          <w:u w:val="none"/>
        </w:rPr>
        <w:t>专业</w:t>
      </w:r>
      <w:r>
        <w:rPr>
          <w:rFonts w:hint="eastAsia" w:ascii="宋体" w:hAnsi="宋体" w:cs="宋体"/>
          <w:color w:val="auto"/>
          <w:sz w:val="24"/>
          <w:szCs w:val="24"/>
          <w:highlight w:val="none"/>
          <w:u w:val="single"/>
        </w:rPr>
        <w:t>二级或以上</w:t>
      </w:r>
      <w:r>
        <w:rPr>
          <w:rFonts w:hint="eastAsia" w:ascii="宋体" w:hAnsi="宋体" w:cs="宋体"/>
          <w:color w:val="auto"/>
          <w:sz w:val="24"/>
          <w:szCs w:val="24"/>
          <w:highlight w:val="none"/>
          <w:u w:val="none"/>
        </w:rPr>
        <w:t>级别的注册建造师；投标人以建筑机电安装工程专业承包资质投标的，投标人拟担任本工程项目负责人的人员为</w:t>
      </w:r>
      <w:r>
        <w:rPr>
          <w:rFonts w:hint="eastAsia" w:ascii="宋体" w:hAnsi="宋体" w:cs="宋体"/>
          <w:color w:val="auto"/>
          <w:sz w:val="24"/>
          <w:szCs w:val="24"/>
          <w:highlight w:val="none"/>
          <w:u w:val="single"/>
        </w:rPr>
        <w:t>机电工程</w:t>
      </w:r>
      <w:r>
        <w:rPr>
          <w:rFonts w:hint="eastAsia" w:ascii="宋体" w:hAnsi="宋体" w:cs="宋体"/>
          <w:color w:val="auto"/>
          <w:sz w:val="24"/>
          <w:szCs w:val="24"/>
          <w:highlight w:val="none"/>
          <w:u w:val="none"/>
        </w:rPr>
        <w:t>专业</w:t>
      </w:r>
      <w:r>
        <w:rPr>
          <w:rFonts w:hint="eastAsia" w:ascii="宋体" w:hAnsi="宋体" w:cs="宋体"/>
          <w:color w:val="auto"/>
          <w:sz w:val="24"/>
          <w:szCs w:val="24"/>
          <w:highlight w:val="none"/>
          <w:u w:val="single"/>
        </w:rPr>
        <w:t>一级</w:t>
      </w:r>
      <w:r>
        <w:rPr>
          <w:rFonts w:hint="eastAsia" w:ascii="宋体" w:hAnsi="宋体" w:cs="宋体"/>
          <w:color w:val="auto"/>
          <w:sz w:val="24"/>
          <w:szCs w:val="24"/>
          <w:highlight w:val="none"/>
          <w:u w:val="none"/>
        </w:rPr>
        <w:t>注册建造师。</w:t>
      </w:r>
    </w:p>
    <w:p>
      <w:pPr>
        <w:autoSpaceDE w:val="0"/>
        <w:spacing w:line="360" w:lineRule="auto"/>
        <w:ind w:firstLine="480" w:firstLineChars="200"/>
        <w:rPr>
          <w:rFonts w:hint="eastAsia" w:ascii="宋体" w:hAnsi="宋体" w:cs="宋体"/>
          <w:color w:val="auto"/>
          <w:sz w:val="24"/>
          <w:szCs w:val="24"/>
          <w:highlight w:val="none"/>
          <w:lang w:bidi="ar"/>
        </w:rPr>
      </w:pPr>
      <w:r>
        <w:rPr>
          <w:rFonts w:hint="eastAsia" w:ascii="宋体" w:hAnsi="宋体"/>
          <w:color w:val="auto"/>
          <w:sz w:val="24"/>
          <w:szCs w:val="24"/>
          <w:highlight w:val="none"/>
        </w:rPr>
        <w:t>注：</w:t>
      </w:r>
      <w:r>
        <w:rPr>
          <w:rFonts w:hint="eastAsia" w:ascii="宋体" w:hAnsi="宋体" w:cs="宋体"/>
          <w:color w:val="auto"/>
          <w:sz w:val="24"/>
          <w:szCs w:val="24"/>
          <w:highlight w:val="none"/>
          <w:lang w:bidi="ar"/>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autoSpaceDE w:val="0"/>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等相关规定。根据上述文件的要求，投标人需办理企业资质有效期延续的，应当按照相关规定及时办理。</w:t>
      </w:r>
    </w:p>
    <w:p>
      <w:pPr>
        <w:autoSpaceDE w:val="0"/>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autoSpaceDE w:val="0"/>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lang w:bidi="ar"/>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5、项目负责人持有安全</w:t>
      </w:r>
      <w:r>
        <w:rPr>
          <w:rFonts w:ascii="宋体" w:hAnsi="宋体"/>
          <w:color w:val="auto"/>
          <w:kern w:val="0"/>
          <w:sz w:val="24"/>
          <w:szCs w:val="24"/>
          <w:highlight w:val="none"/>
        </w:rPr>
        <w:t>生产</w:t>
      </w:r>
      <w:r>
        <w:rPr>
          <w:rFonts w:hint="eastAsia" w:ascii="宋体" w:hAnsi="宋体"/>
          <w:color w:val="auto"/>
          <w:kern w:val="0"/>
          <w:sz w:val="24"/>
          <w:szCs w:val="24"/>
          <w:highlight w:val="none"/>
        </w:rPr>
        <w:t>考核合格证（</w:t>
      </w:r>
      <w:r>
        <w:rPr>
          <w:rFonts w:ascii="宋体" w:hAnsi="宋体"/>
          <w:color w:val="auto"/>
          <w:kern w:val="0"/>
          <w:sz w:val="24"/>
          <w:szCs w:val="24"/>
          <w:highlight w:val="none"/>
        </w:rPr>
        <w:t>B</w:t>
      </w:r>
      <w:r>
        <w:rPr>
          <w:rFonts w:hint="eastAsia" w:ascii="宋体" w:hAnsi="宋体"/>
          <w:color w:val="auto"/>
          <w:kern w:val="0"/>
          <w:sz w:val="24"/>
          <w:szCs w:val="24"/>
          <w:highlight w:val="none"/>
        </w:rPr>
        <w:t>类）或建筑施工企业项目负责人安全生产考核合格证书；</w:t>
      </w:r>
    </w:p>
    <w:p>
      <w:pPr>
        <w:spacing w:line="360" w:lineRule="auto"/>
        <w:ind w:firstLine="480" w:firstLineChars="200"/>
        <w:rPr>
          <w:rFonts w:ascii="宋体" w:hAnsi="宋体"/>
          <w:color w:val="auto"/>
          <w:sz w:val="24"/>
          <w:szCs w:val="24"/>
          <w:highlight w:val="none"/>
        </w:rPr>
      </w:pPr>
      <w:r>
        <w:rPr>
          <w:rFonts w:hint="eastAsia" w:ascii="宋体" w:hAnsi="宋体"/>
          <w:color w:val="auto"/>
          <w:kern w:val="0"/>
          <w:sz w:val="24"/>
          <w:szCs w:val="24"/>
          <w:highlight w:val="none"/>
        </w:rPr>
        <w:t>6、投标人拟担任本工程技术负责人的资格要求为：</w:t>
      </w:r>
      <w:r>
        <w:rPr>
          <w:rFonts w:hint="eastAsia" w:ascii="宋体" w:hAnsi="宋体"/>
          <w:color w:val="auto"/>
          <w:kern w:val="0"/>
          <w:sz w:val="24"/>
          <w:szCs w:val="24"/>
          <w:highlight w:val="none"/>
          <w:u w:val="single"/>
        </w:rPr>
        <w:t>具有机电类或电气类相关专业中级工程师或以上技术职称，附相关证明。</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注：1、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pPr>
        <w:ind w:firstLine="720" w:firstLineChars="300"/>
        <w:rPr>
          <w:rFonts w:ascii="宋体" w:hAnsi="宋体"/>
          <w:color w:val="auto"/>
          <w:sz w:val="24"/>
          <w:szCs w:val="24"/>
          <w:highlight w:val="none"/>
        </w:rPr>
      </w:pPr>
      <w:r>
        <w:rPr>
          <w:rFonts w:hint="eastAsia" w:ascii="宋体" w:hAnsi="宋体"/>
          <w:color w:val="auto"/>
          <w:kern w:val="0"/>
          <w:sz w:val="24"/>
          <w:szCs w:val="24"/>
          <w:highlight w:val="none"/>
        </w:rPr>
        <w:t>2、采用其他资质的项目，宜要求技术负责人具备项目相适应专业的中级或以上职称。</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7、专职安全员须具有安全生产考核合格证（C类）或建筑施工企业专职安全生产管理人员安全生产考核合格证书（C3）。</w:t>
      </w:r>
    </w:p>
    <w:p>
      <w:pPr>
        <w:spacing w:line="360" w:lineRule="auto"/>
        <w:ind w:firstLine="480" w:firstLineChars="200"/>
        <w:rPr>
          <w:rFonts w:hint="default" w:ascii="宋体" w:hAnsi="宋体"/>
          <w:color w:val="auto"/>
          <w:kern w:val="0"/>
          <w:sz w:val="24"/>
          <w:highlight w:val="none"/>
        </w:rPr>
      </w:pPr>
      <w:r>
        <w:rPr>
          <w:rFonts w:hint="eastAsia" w:ascii="宋体" w:hAnsi="宋体"/>
          <w:color w:val="auto"/>
          <w:kern w:val="0"/>
          <w:sz w:val="24"/>
          <w:highlight w:val="none"/>
        </w:rPr>
        <w:t>8、</w:t>
      </w:r>
      <w:r>
        <w:rPr>
          <w:rFonts w:hint="eastAsia" w:ascii="宋体" w:hAnsi="宋体"/>
          <w:b w:val="0"/>
          <w:bCs w:val="0"/>
          <w:color w:val="auto"/>
          <w:kern w:val="0"/>
          <w:sz w:val="24"/>
          <w:highlight w:val="none"/>
        </w:rPr>
        <w:t>投标人自</w:t>
      </w:r>
      <w:r>
        <w:rPr>
          <w:rFonts w:hint="eastAsia" w:ascii="宋体" w:hAnsi="宋体"/>
          <w:b w:val="0"/>
          <w:bCs w:val="0"/>
          <w:color w:val="auto"/>
          <w:kern w:val="0"/>
          <w:sz w:val="24"/>
          <w:highlight w:val="none"/>
          <w:u w:val="single"/>
          <w:lang w:eastAsia="zh-CN"/>
        </w:rPr>
        <w:t>2019</w:t>
      </w:r>
      <w:r>
        <w:rPr>
          <w:rFonts w:hint="eastAsia" w:ascii="宋体" w:hAnsi="宋体"/>
          <w:b w:val="0"/>
          <w:bCs w:val="0"/>
          <w:color w:val="auto"/>
          <w:kern w:val="0"/>
          <w:sz w:val="24"/>
          <w:highlight w:val="none"/>
          <w:u w:val="single"/>
        </w:rPr>
        <w:t>年1月1日</w:t>
      </w:r>
      <w:r>
        <w:rPr>
          <w:rFonts w:hint="eastAsia" w:ascii="宋体" w:hAnsi="宋体"/>
          <w:b w:val="0"/>
          <w:bCs w:val="0"/>
          <w:color w:val="auto"/>
          <w:kern w:val="0"/>
          <w:sz w:val="24"/>
          <w:highlight w:val="none"/>
        </w:rPr>
        <w:t>至今完成过质量合格的类似工程业绩</w:t>
      </w:r>
      <w:r>
        <w:rPr>
          <w:rFonts w:hint="eastAsia" w:ascii="宋体" w:hAnsi="宋体"/>
          <w:b w:val="0"/>
          <w:bCs w:val="0"/>
          <w:color w:val="auto"/>
          <w:kern w:val="0"/>
          <w:sz w:val="24"/>
          <w:highlight w:val="none"/>
          <w:u w:val="single"/>
        </w:rPr>
        <w:t>（类似工程是指中标金额大于或等于</w:t>
      </w:r>
      <w:r>
        <w:rPr>
          <w:rFonts w:hint="eastAsia" w:ascii="宋体" w:hAnsi="宋体"/>
          <w:b w:val="0"/>
          <w:bCs w:val="0"/>
          <w:color w:val="auto"/>
          <w:kern w:val="0"/>
          <w:sz w:val="24"/>
          <w:highlight w:val="none"/>
          <w:u w:val="single"/>
          <w:lang w:val="en-US" w:eastAsia="zh-CN"/>
        </w:rPr>
        <w:t>300</w:t>
      </w:r>
      <w:r>
        <w:rPr>
          <w:rFonts w:hint="eastAsia" w:ascii="宋体" w:hAnsi="宋体"/>
          <w:b w:val="0"/>
          <w:bCs w:val="0"/>
          <w:color w:val="auto"/>
          <w:kern w:val="0"/>
          <w:sz w:val="24"/>
          <w:highlight w:val="none"/>
          <w:u w:val="single"/>
        </w:rPr>
        <w:t>万元的10</w:t>
      </w:r>
      <w:r>
        <w:rPr>
          <w:rFonts w:hint="eastAsia" w:ascii="宋体" w:hAnsi="宋体"/>
          <w:b w:val="0"/>
          <w:bCs w:val="0"/>
          <w:color w:val="auto"/>
          <w:kern w:val="0"/>
          <w:sz w:val="24"/>
          <w:highlight w:val="none"/>
          <w:u w:val="single"/>
          <w:lang w:eastAsia="zh-CN"/>
        </w:rPr>
        <w:t>kV</w:t>
      </w:r>
      <w:r>
        <w:rPr>
          <w:rFonts w:hint="eastAsia" w:ascii="宋体" w:hAnsi="宋体"/>
          <w:b w:val="0"/>
          <w:bCs w:val="0"/>
          <w:color w:val="auto"/>
          <w:kern w:val="0"/>
          <w:sz w:val="24"/>
          <w:highlight w:val="none"/>
          <w:u w:val="single"/>
        </w:rPr>
        <w:t>供配电业绩）</w:t>
      </w:r>
      <w:r>
        <w:rPr>
          <w:rFonts w:hint="eastAsia" w:ascii="宋体" w:hAnsi="宋体"/>
          <w:b w:val="0"/>
          <w:bCs w:val="0"/>
          <w:color w:val="auto"/>
          <w:kern w:val="0"/>
          <w:sz w:val="24"/>
          <w:highlight w:val="none"/>
        </w:rPr>
        <w:t>。</w:t>
      </w:r>
    </w:p>
    <w:p>
      <w:pPr>
        <w:spacing w:line="360" w:lineRule="auto"/>
        <w:ind w:firstLine="537" w:firstLineChars="224"/>
        <w:rPr>
          <w:rFonts w:hint="eastAsia" w:ascii="宋体" w:hAnsi="宋体"/>
          <w:color w:val="auto"/>
          <w:sz w:val="24"/>
          <w:szCs w:val="22"/>
          <w:highlight w:val="none"/>
        </w:rPr>
      </w:pPr>
      <w:r>
        <w:rPr>
          <w:rFonts w:hint="eastAsia" w:ascii="宋体" w:hAnsi="宋体"/>
          <w:color w:val="auto"/>
          <w:sz w:val="24"/>
          <w:szCs w:val="22"/>
          <w:highlight w:val="none"/>
        </w:rPr>
        <w:t>注：单独发包的电力工程业绩，需同时提供中标通知书或免招标的相关证明、施工合同、竣工验收报告或竣工验收证明（至少具有建设单位、设计、施工和监理单位盖章）扫描件。由总承包单位依法分包的电力工程业绩，需同时提供经业主和总承包单位确认的分包合同、竣工验收报告或竣工验收证明（至少具有建设单位、</w:t>
      </w:r>
      <w:r>
        <w:rPr>
          <w:rFonts w:hint="eastAsia" w:ascii="宋体" w:hAnsi="宋体"/>
          <w:color w:val="auto"/>
          <w:sz w:val="24"/>
          <w:szCs w:val="22"/>
          <w:highlight w:val="none"/>
          <w:lang w:val="en-US" w:eastAsia="zh-CN"/>
        </w:rPr>
        <w:t>总包单位、</w:t>
      </w:r>
      <w:r>
        <w:rPr>
          <w:rFonts w:hint="eastAsia" w:ascii="宋体" w:hAnsi="宋体"/>
          <w:color w:val="auto"/>
          <w:sz w:val="24"/>
          <w:szCs w:val="22"/>
          <w:highlight w:val="none"/>
        </w:rPr>
        <w:t>设计、施工和监理单位盖章）扫描件。如以上资料不能证明业绩规模的技术指标（指电压等级、金额等）的，须另提供可证明业绩技术指标的其他资料；完成时间以竣工验收时间为准；业绩金额按以下方式认定：</w:t>
      </w:r>
    </w:p>
    <w:p>
      <w:pPr>
        <w:spacing w:line="360" w:lineRule="auto"/>
        <w:ind w:firstLine="537" w:firstLineChars="224"/>
        <w:rPr>
          <w:rFonts w:hint="eastAsia" w:ascii="宋体" w:hAnsi="宋体"/>
          <w:color w:val="auto"/>
          <w:sz w:val="24"/>
          <w:szCs w:val="22"/>
          <w:highlight w:val="none"/>
          <w:lang w:val="en-US" w:eastAsia="zh-CN"/>
        </w:rPr>
      </w:pPr>
      <w:r>
        <w:rPr>
          <w:rFonts w:hint="eastAsia" w:ascii="宋体" w:hAnsi="宋体"/>
          <w:color w:val="auto"/>
          <w:sz w:val="24"/>
          <w:szCs w:val="22"/>
          <w:highlight w:val="none"/>
        </w:rPr>
        <w:t>a、单独发包的电力工程的业绩金额以中标通知书为准，中标通知书上没有金额或免招标的，以施工合同（不含补充合同）为准。如中标通知书未能体现对应的电力工程金额，则以施工合同载明的对应的电力工程金额为准，如中标通知书与施工合同均不能单独体现对应的电力工程金额，则以建设单位提供的证明资料中载明的对应电力工程金额为准。由总承包单位依法分包的电力工程业绩其金额以分包合同中约定的合同金额为准。</w:t>
      </w:r>
    </w:p>
    <w:p>
      <w:pPr>
        <w:spacing w:line="360" w:lineRule="auto"/>
        <w:ind w:firstLine="537" w:firstLineChars="224"/>
        <w:rPr>
          <w:rFonts w:hint="eastAsia" w:ascii="宋体" w:hAnsi="宋体"/>
          <w:color w:val="auto"/>
          <w:sz w:val="24"/>
          <w:szCs w:val="22"/>
          <w:highlight w:val="none"/>
        </w:rPr>
      </w:pPr>
      <w:r>
        <w:rPr>
          <w:rFonts w:hint="eastAsia" w:ascii="宋体" w:hAnsi="宋体"/>
          <w:color w:val="auto"/>
          <w:sz w:val="24"/>
          <w:szCs w:val="22"/>
          <w:highlight w:val="none"/>
        </w:rPr>
        <w:t>b、投标单位提供的施工合同（分包合同）扫描件证明材料。（可提供合同关键页，但应至少包括合同封面、合同指标金额规模页、合同盖章页）</w:t>
      </w:r>
      <w:r>
        <w:rPr>
          <w:rFonts w:hint="eastAsia" w:ascii="宋体" w:hAnsi="宋体"/>
          <w:color w:val="auto"/>
          <w:sz w:val="24"/>
          <w:szCs w:val="22"/>
          <w:highlight w:val="none"/>
          <w:lang w:eastAsia="zh-CN"/>
        </w:rPr>
        <w:t>。</w:t>
      </w:r>
    </w:p>
    <w:p>
      <w:pPr>
        <w:spacing w:line="360" w:lineRule="auto"/>
        <w:ind w:firstLine="480" w:firstLineChars="200"/>
        <w:rPr>
          <w:rFonts w:asci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、投标人已按照附件一的内容签署盖章的投标人声明。</w:t>
      </w:r>
    </w:p>
    <w:p>
      <w:pPr>
        <w:spacing w:line="360" w:lineRule="auto"/>
        <w:ind w:firstLine="480" w:firstLineChars="200"/>
        <w:rPr>
          <w:rFonts w:ascii="宋体"/>
          <w:color w:val="auto"/>
          <w:sz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、关于联合体投标：</w:t>
      </w:r>
      <w:r>
        <w:rPr>
          <w:rFonts w:hint="eastAsia" w:ascii="宋体" w:hAnsi="宋体" w:cs="宋体"/>
          <w:b/>
          <w:color w:val="auto"/>
          <w:kern w:val="0"/>
          <w:sz w:val="24"/>
          <w:szCs w:val="24"/>
          <w:highlight w:val="none"/>
          <w:u w:val="single"/>
        </w:rPr>
        <w:t>本项目不接受联合体投标。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11</w:t>
      </w:r>
      <w:r>
        <w:rPr>
          <w:rFonts w:hint="eastAsia" w:ascii="宋体" w:hAnsi="宋体"/>
          <w:color w:val="auto"/>
          <w:sz w:val="24"/>
          <w:highlight w:val="none"/>
        </w:rPr>
        <w:t>、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 》</w:t>
      </w:r>
    </w:p>
    <w:p>
      <w:pPr>
        <w:spacing w:line="360" w:lineRule="auto"/>
        <w:ind w:firstLine="420" w:firstLineChars="200"/>
        <w:rPr>
          <w:rFonts w:ascii="宋体" w:hAnsi="宋体"/>
          <w:color w:val="auto"/>
          <w:sz w:val="24"/>
          <w:highlight w:val="none"/>
        </w:rPr>
      </w:pPr>
      <w:r>
        <w:rPr>
          <w:color w:val="auto"/>
          <w:highlight w:val="none"/>
        </w:rPr>
        <w:fldChar w:fldCharType="begin"/>
      </w:r>
      <w:r>
        <w:rPr>
          <w:color w:val="auto"/>
          <w:highlight w:val="none"/>
        </w:rPr>
        <w:instrText xml:space="preserve"> HYPERLINK "http://zfcj.gz.gov.cn/zwgk/zsdwxxgkzl/gzsjzyglfwzx/bszy/content/post_8484886.html）" </w:instrText>
      </w:r>
      <w:r>
        <w:rPr>
          <w:color w:val="auto"/>
          <w:highlight w:val="none"/>
        </w:rPr>
        <w:fldChar w:fldCharType="separate"/>
      </w:r>
      <w:r>
        <w:rPr>
          <w:rStyle w:val="29"/>
          <w:rFonts w:hint="eastAsia" w:ascii="仿宋" w:hAnsi="仿宋" w:eastAsia="仿宋" w:cs="宋体"/>
          <w:b/>
          <w:color w:val="auto"/>
          <w:kern w:val="0"/>
          <w:sz w:val="22"/>
          <w:highlight w:val="none"/>
          <w:lang w:bidi="ar"/>
        </w:rPr>
        <w:t>http://zfcj.gz.gov.cn/zwgk/zsdwxxgkzl/gzsjzyglfwzx/bszy/content/post_8484886.html）</w:t>
      </w:r>
      <w:r>
        <w:rPr>
          <w:rStyle w:val="29"/>
          <w:rFonts w:hint="eastAsia" w:ascii="仿宋" w:hAnsi="仿宋" w:eastAsia="仿宋" w:cs="宋体"/>
          <w:b/>
          <w:color w:val="auto"/>
          <w:kern w:val="0"/>
          <w:sz w:val="22"/>
          <w:highlight w:val="none"/>
          <w:lang w:bidi="ar"/>
        </w:rPr>
        <w:fldChar w:fldCharType="end"/>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cs="宋体"/>
          <w:color w:val="auto"/>
          <w:sz w:val="24"/>
          <w:szCs w:val="24"/>
          <w:highlight w:val="none"/>
          <w:u w:val="single"/>
        </w:rPr>
        <w:t>未在以往工程中</w:t>
      </w:r>
      <w:bookmarkStart w:id="0" w:name="OLE_LINK1"/>
      <w:r>
        <w:rPr>
          <w:rFonts w:hint="eastAsia" w:cs="宋体"/>
          <w:color w:val="auto"/>
          <w:sz w:val="24"/>
          <w:szCs w:val="24"/>
          <w:highlight w:val="none"/>
          <w:u w:val="single"/>
        </w:rPr>
        <w:t>因不充分</w:t>
      </w:r>
      <w:bookmarkEnd w:id="0"/>
      <w:r>
        <w:rPr>
          <w:rFonts w:hint="eastAsia" w:cs="宋体"/>
          <w:color w:val="auto"/>
          <w:sz w:val="24"/>
          <w:szCs w:val="24"/>
          <w:highlight w:val="none"/>
          <w:u w:val="single"/>
        </w:rPr>
        <w:t>履约行为被本项目招标人书面拒绝投标的（详见附件二《被招标人拒绝投标的企业名单》）。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auto"/>
          <w:sz w:val="24"/>
          <w:szCs w:val="24"/>
          <w:highlight w:val="none"/>
          <w:u w:val="single"/>
        </w:rPr>
        <w:t>相关投标均无效</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、未被列入拖欠农民工工资失信联合惩戒对象名单。</w:t>
      </w:r>
    </w:p>
    <w:p>
      <w:pPr>
        <w:tabs>
          <w:tab w:val="left" w:pos="7380"/>
        </w:tabs>
        <w:spacing w:line="360" w:lineRule="auto"/>
        <w:ind w:firstLine="480" w:firstLineChars="200"/>
        <w:rPr>
          <w:rFonts w:ascii="宋体"/>
          <w:color w:val="auto"/>
          <w:sz w:val="24"/>
          <w:szCs w:val="20"/>
          <w:highlight w:val="none"/>
        </w:rPr>
      </w:pPr>
      <w:r>
        <w:rPr>
          <w:rFonts w:hint="eastAsia" w:ascii="宋体" w:hAnsi="宋体"/>
          <w:color w:val="auto"/>
          <w:sz w:val="24"/>
          <w:szCs w:val="20"/>
          <w:highlight w:val="none"/>
        </w:rPr>
        <w:t>注：未在招标公告第九条单列的资审合格条件，不作为资审不合格的依据。</w:t>
      </w:r>
    </w:p>
    <w:p>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十、资格审查方式：</w:t>
      </w:r>
    </w:p>
    <w:p>
      <w:pPr>
        <w:widowControl/>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十一、资格审查结果将在</w:t>
      </w:r>
      <w:r>
        <w:rPr>
          <w:rFonts w:hint="eastAsia" w:ascii="宋体" w:hAnsi="宋体" w:cs="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和广东省招标投标监管网公示，</w:t>
      </w:r>
      <w:r>
        <w:rPr>
          <w:rFonts w:hint="eastAsia" w:ascii="宋体" w:hAnsi="宋体"/>
          <w:bCs/>
          <w:color w:val="auto"/>
          <w:sz w:val="24"/>
          <w:highlight w:val="none"/>
        </w:rPr>
        <w:t>公示时间不得少于3日。</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十二、满足资格审查合格条件的投标人不足</w:t>
      </w:r>
      <w:r>
        <w:rPr>
          <w:rFonts w:hint="eastAsia" w:ascii="宋体" w:hAnsi="宋体"/>
          <w:color w:val="auto"/>
          <w:sz w:val="24"/>
          <w:highlight w:val="none"/>
          <w:u w:val="single"/>
          <w:lang w:eastAsia="zh-CN"/>
        </w:rPr>
        <w:t>3</w:t>
      </w:r>
      <w:r>
        <w:rPr>
          <w:rFonts w:hint="eastAsia" w:ascii="宋体" w:hAnsi="宋体"/>
          <w:color w:val="auto"/>
          <w:sz w:val="24"/>
          <w:highlight w:val="none"/>
        </w:rPr>
        <w:t>名或通过有效性审查的投标人不足</w:t>
      </w:r>
      <w:r>
        <w:rPr>
          <w:rFonts w:hint="eastAsia" w:ascii="宋体" w:hAnsi="宋体"/>
          <w:color w:val="auto"/>
          <w:sz w:val="24"/>
          <w:highlight w:val="none"/>
          <w:u w:val="single"/>
          <w:lang w:val="en-US" w:eastAsia="zh-CN"/>
        </w:rPr>
        <w:t>3</w:t>
      </w:r>
      <w:r>
        <w:rPr>
          <w:rFonts w:hint="eastAsia" w:ascii="宋体" w:hAnsi="宋体"/>
          <w:color w:val="auto"/>
          <w:sz w:val="24"/>
          <w:highlight w:val="none"/>
        </w:rPr>
        <w:t>名时为招标失败。招标人分析招标失败原因，修正招标方案，报有关管理部门核准后，重新组织招标。</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rPr>
          <w:rFonts w:ascii="宋体"/>
          <w:color w:val="auto"/>
          <w:sz w:val="24"/>
          <w:szCs w:val="24"/>
          <w:highlight w:val="none"/>
        </w:rPr>
      </w:pPr>
      <w:r>
        <w:rPr>
          <w:rFonts w:hint="eastAsia" w:ascii="宋体" w:hAnsi="宋体"/>
          <w:color w:val="auto"/>
          <w:sz w:val="24"/>
          <w:highlight w:val="none"/>
        </w:rPr>
        <w:t>十四、</w:t>
      </w:r>
      <w:r>
        <w:rPr>
          <w:rFonts w:ascii="宋体" w:hAnsi="宋体"/>
          <w:color w:val="auto"/>
          <w:sz w:val="24"/>
          <w:highlight w:val="non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 时点也相应延长。投标人应及时维护其在广州市住建行业信用管理平台登记的信息及上传件，确保各项信息及上传件在有效期内</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十五、潜在投标人或利害关系人对本招标公告及招标文件有异议的，</w:t>
      </w:r>
      <w:r>
        <w:rPr>
          <w:rFonts w:ascii="宋体" w:hAnsi="宋体"/>
          <w:color w:val="auto"/>
          <w:sz w:val="24"/>
          <w:highlight w:val="none"/>
        </w:rPr>
        <w:t>应在投标截止时间10日前</w:t>
      </w:r>
      <w:r>
        <w:rPr>
          <w:rFonts w:hint="eastAsia" w:ascii="宋体" w:hAnsi="宋体"/>
          <w:color w:val="auto"/>
          <w:sz w:val="24"/>
          <w:highlight w:val="none"/>
        </w:rPr>
        <w:t>向招标人书面提出。</w:t>
      </w:r>
    </w:p>
    <w:p>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异议受理部门：</w:t>
      </w:r>
      <w:r>
        <w:rPr>
          <w:rFonts w:hint="eastAsia" w:ascii="宋体" w:hAnsi="宋体"/>
          <w:color w:val="auto"/>
          <w:sz w:val="24"/>
          <w:highlight w:val="none"/>
          <w:u w:val="single"/>
        </w:rPr>
        <w:t>广州市重点公共建设项目管理中心</w:t>
      </w:r>
    </w:p>
    <w:p>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异议受理电话：</w:t>
      </w:r>
      <w:r>
        <w:rPr>
          <w:rFonts w:ascii="宋体" w:hAnsi="宋体"/>
          <w:color w:val="auto"/>
          <w:sz w:val="24"/>
          <w:highlight w:val="none"/>
        </w:rPr>
        <w:t xml:space="preserve"> </w:t>
      </w:r>
      <w:r>
        <w:rPr>
          <w:rFonts w:hint="eastAsia" w:ascii="宋体" w:hAnsi="宋体"/>
          <w:color w:val="auto"/>
          <w:sz w:val="24"/>
          <w:highlight w:val="none"/>
          <w:u w:val="single"/>
        </w:rPr>
        <w:t>020-22905689</w:t>
      </w:r>
    </w:p>
    <w:p>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广州市大学城内环东星运路1号</w:t>
      </w:r>
    </w:p>
    <w:p>
      <w:pPr>
        <w:spacing w:line="360" w:lineRule="auto"/>
        <w:ind w:firstLine="482" w:firstLineChars="200"/>
        <w:rPr>
          <w:rFonts w:ascii="宋体" w:hAnsi="宋体" w:cs="宋体"/>
          <w:b/>
          <w:color w:val="auto"/>
          <w:kern w:val="0"/>
          <w:sz w:val="24"/>
          <w:szCs w:val="24"/>
          <w:highlight w:val="none"/>
          <w:lang w:bidi="ar"/>
        </w:rPr>
      </w:pPr>
      <w:r>
        <w:rPr>
          <w:rFonts w:hint="eastAsia" w:ascii="宋体" w:hAnsi="宋体" w:cs="宋体"/>
          <w:b/>
          <w:color w:val="auto"/>
          <w:kern w:val="0"/>
          <w:sz w:val="24"/>
          <w:szCs w:val="24"/>
          <w:highlight w:val="none"/>
          <w:lang w:bidi="ar"/>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十六、本公告在广州公共资源交易网（网址：http://www.gzggzy.cn）、广东省招标投标监管网</w:t>
      </w:r>
      <w:r>
        <w:rPr>
          <w:rFonts w:hint="eastAsia" w:ascii="宋体" w:hAnsi="宋体"/>
          <w:color w:val="auto"/>
          <w:sz w:val="24"/>
          <w:highlight w:val="none"/>
          <w:u w:val="none"/>
        </w:rPr>
        <w:t>（网址：http://zbtb.gd.gov.cn）</w:t>
      </w:r>
      <w:r>
        <w:rPr>
          <w:rFonts w:hint="eastAsia" w:ascii="宋体" w:hAnsi="宋体"/>
          <w:color w:val="auto"/>
          <w:sz w:val="24"/>
          <w:highlight w:val="none"/>
        </w:rPr>
        <w:t>和中国招标投标公共服务平台（网址：http://www.cebpubservice.com/）发布，本公告的修改、补充，在广州公共资源交易网发布。</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360" w:lineRule="auto"/>
        <w:ind w:firstLine="480" w:firstLineChars="200"/>
        <w:rPr>
          <w:rFonts w:ascii="宋体"/>
          <w:color w:val="auto"/>
          <w:sz w:val="24"/>
          <w:highlight w:val="none"/>
        </w:rPr>
      </w:pPr>
      <w:r>
        <w:rPr>
          <w:rFonts w:hint="eastAsia" w:ascii="宋体"/>
          <w:color w:val="auto"/>
          <w:sz w:val="24"/>
          <w:highlight w:val="none"/>
        </w:rPr>
        <w:t>十九、《投诉处理决定书》和《行政处理决定书》在</w:t>
      </w:r>
      <w:r>
        <w:rPr>
          <w:rFonts w:hint="eastAsia" w:ascii="宋体" w:hAnsi="宋体"/>
          <w:color w:val="auto"/>
          <w:sz w:val="24"/>
          <w:highlight w:val="none"/>
        </w:rPr>
        <w:t>广州市住房和城乡建设局</w:t>
      </w:r>
      <w:r>
        <w:rPr>
          <w:rFonts w:hint="eastAsia" w:ascii="宋体"/>
          <w:color w:val="auto"/>
          <w:sz w:val="24"/>
          <w:highlight w:val="none"/>
        </w:rPr>
        <w:t>网站上公布的，视为送达其他与决定书有关的当事人。</w:t>
      </w:r>
    </w:p>
    <w:p>
      <w:pPr>
        <w:spacing w:line="360" w:lineRule="auto"/>
        <w:ind w:firstLine="480" w:firstLineChars="200"/>
        <w:rPr>
          <w:rFonts w:ascii="宋体"/>
          <w:color w:val="auto"/>
          <w:sz w:val="24"/>
          <w:highlight w:val="none"/>
        </w:rPr>
      </w:pPr>
      <w:r>
        <w:rPr>
          <w:rFonts w:hint="eastAsia" w:ascii="宋体"/>
          <w:color w:val="auto"/>
          <w:sz w:val="24"/>
          <w:highlight w:val="none"/>
        </w:rPr>
        <w:t>特别提示：投标人在本项目招标人的工程项目中存在下列行为的，将被拒绝一年内参与招标人后续工程投标。（注：拒绝投标时限由招标人视严重程度确定，最低三个月起，自招标人发出通知之日起计）：</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1.将中标工程转包或者违法分包的；</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2.在中标工程中不执行质量、安全生产相关规定的，造成质量或安全事故的；</w:t>
      </w:r>
    </w:p>
    <w:p>
      <w:pPr>
        <w:widowControl/>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3.存在围标或串标情形的；</w:t>
      </w:r>
    </w:p>
    <w:p>
      <w:pPr>
        <w:widowControl/>
        <w:spacing w:line="360" w:lineRule="auto"/>
        <w:ind w:firstLine="480" w:firstLineChars="200"/>
        <w:jc w:val="left"/>
        <w:rPr>
          <w:rFonts w:ascii="宋体" w:hAnsi="宋体" w:cs="宋体"/>
          <w:color w:val="auto"/>
          <w:sz w:val="24"/>
          <w:highlight w:val="none"/>
          <w:lang w:bidi="ar"/>
        </w:rPr>
      </w:pPr>
      <w:r>
        <w:rPr>
          <w:rFonts w:hint="eastAsia" w:ascii="宋体" w:hAnsi="宋体" w:cs="宋体"/>
          <w:color w:val="auto"/>
          <w:sz w:val="24"/>
          <w:highlight w:val="none"/>
          <w:lang w:bidi="ar"/>
        </w:rPr>
        <w:t>4.在投标文件中提供虚假材料的；</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5.存在行贿情形的；</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6.拖欠农民工工资的；</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7.未按照国家、省、市有关建筑施工实名制管理和工人工资支付分账管理的规定执行，被行政监管部门处罚的；</w:t>
      </w:r>
    </w:p>
    <w:p>
      <w:pPr>
        <w:spacing w:line="360" w:lineRule="auto"/>
        <w:ind w:firstLine="480" w:firstLineChars="200"/>
        <w:rPr>
          <w:rFonts w:ascii="宋体"/>
          <w:color w:val="auto"/>
          <w:sz w:val="24"/>
          <w:highlight w:val="none"/>
          <w:u w:val="none"/>
        </w:rPr>
      </w:pPr>
      <w:r>
        <w:rPr>
          <w:rFonts w:hint="eastAsia" w:ascii="宋体"/>
          <w:color w:val="auto"/>
          <w:sz w:val="24"/>
          <w:highlight w:val="none"/>
          <w:u w:val="none"/>
        </w:rPr>
        <w:t>8.存在因过错行为被生效法律文书认定承担违约或侵权责任的。</w:t>
      </w:r>
    </w:p>
    <w:p>
      <w:pPr>
        <w:spacing w:line="360" w:lineRule="auto"/>
        <w:ind w:right="1348" w:rightChars="642" w:firstLine="5760" w:firstLineChars="2400"/>
        <w:rPr>
          <w:rFonts w:ascii="宋体" w:hAnsi="宋体"/>
          <w:color w:val="auto"/>
          <w:sz w:val="24"/>
          <w:highlight w:val="none"/>
        </w:rPr>
      </w:pPr>
    </w:p>
    <w:p>
      <w:pPr>
        <w:spacing w:line="360" w:lineRule="auto"/>
        <w:ind w:firstLine="2880" w:firstLineChars="1200"/>
        <w:jc w:val="right"/>
        <w:rPr>
          <w:rFonts w:ascii="宋体" w:hAnsi="宋体"/>
          <w:color w:val="auto"/>
          <w:sz w:val="24"/>
          <w:szCs w:val="24"/>
          <w:highlight w:val="none"/>
        </w:rPr>
      </w:pPr>
      <w:r>
        <w:rPr>
          <w:rFonts w:hint="eastAsia" w:ascii="宋体" w:hAnsi="宋体" w:cs="宋体"/>
          <w:color w:val="auto"/>
          <w:kern w:val="0"/>
          <w:sz w:val="24"/>
          <w:szCs w:val="24"/>
          <w:highlight w:val="none"/>
        </w:rPr>
        <w:t>招标人:</w:t>
      </w:r>
      <w:r>
        <w:rPr>
          <w:rFonts w:hint="eastAsia" w:ascii="宋体" w:hAnsi="宋体"/>
          <w:color w:val="auto"/>
          <w:sz w:val="24"/>
          <w:highlight w:val="none"/>
        </w:rPr>
        <w:t xml:space="preserve"> </w:t>
      </w:r>
      <w:r>
        <w:rPr>
          <w:rFonts w:hint="eastAsia" w:ascii="宋体" w:hAnsi="宋体" w:cs="宋体"/>
          <w:color w:val="auto"/>
          <w:sz w:val="24"/>
          <w:szCs w:val="24"/>
          <w:highlight w:val="none"/>
        </w:rPr>
        <w:t>广州市重点公共建设项目管理中心</w:t>
      </w:r>
    </w:p>
    <w:p>
      <w:pPr>
        <w:spacing w:line="360" w:lineRule="auto"/>
        <w:ind w:firstLine="2880" w:firstLineChars="1200"/>
        <w:jc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rPr>
        <w:t xml:space="preserve">        招标代理:</w:t>
      </w:r>
      <w:r>
        <w:rPr>
          <w:rFonts w:hint="eastAsia" w:ascii="宋体" w:hAnsi="宋体" w:cs="宋体"/>
          <w:color w:val="auto"/>
          <w:sz w:val="24"/>
          <w:szCs w:val="24"/>
          <w:highlight w:val="none"/>
          <w:lang w:eastAsia="zh-CN"/>
        </w:rPr>
        <w:t>广东省机电设备招标有限公司</w:t>
      </w:r>
    </w:p>
    <w:p>
      <w:pPr>
        <w:spacing w:line="360" w:lineRule="auto"/>
        <w:ind w:firstLine="4320" w:firstLineChars="1800"/>
        <w:jc w:val="right"/>
        <w:rPr>
          <w:rFonts w:ascii="宋体" w:hAnsi="宋体" w:cs="宋体"/>
          <w:color w:val="auto"/>
          <w:sz w:val="24"/>
          <w:szCs w:val="24"/>
          <w:highlight w:val="none"/>
        </w:rPr>
      </w:pP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ascii="宋体" w:hAnsi="宋体"/>
          <w:color w:val="auto"/>
          <w:sz w:val="24"/>
          <w:highlight w:val="none"/>
        </w:rPr>
      </w:pPr>
      <w:r>
        <w:rPr>
          <w:color w:val="auto"/>
          <w:highlight w:val="none"/>
        </w:rPr>
        <w:br w:type="page"/>
      </w:r>
      <w:r>
        <w:rPr>
          <w:rFonts w:hint="eastAsia" w:ascii="宋体" w:hAnsi="宋体"/>
          <w:color w:val="auto"/>
          <w:sz w:val="24"/>
          <w:highlight w:val="none"/>
        </w:rPr>
        <w:t>附件一：</w:t>
      </w:r>
    </w:p>
    <w:p>
      <w:pPr>
        <w:spacing w:line="360" w:lineRule="auto"/>
        <w:jc w:val="center"/>
        <w:rPr>
          <w:b/>
          <w:color w:val="auto"/>
          <w:sz w:val="40"/>
          <w:szCs w:val="44"/>
          <w:highlight w:val="none"/>
        </w:rPr>
      </w:pPr>
      <w:r>
        <w:rPr>
          <w:rFonts w:hint="eastAsia"/>
          <w:b/>
          <w:color w:val="auto"/>
          <w:kern w:val="0"/>
          <w:sz w:val="40"/>
          <w:szCs w:val="44"/>
          <w:highlight w:val="none"/>
        </w:rPr>
        <w:t>投标人</w:t>
      </w:r>
      <w:r>
        <w:rPr>
          <w:rFonts w:hint="eastAsia"/>
          <w:b/>
          <w:color w:val="auto"/>
          <w:sz w:val="40"/>
          <w:szCs w:val="44"/>
          <w:highlight w:val="none"/>
        </w:rPr>
        <w:t>声明</w:t>
      </w:r>
    </w:p>
    <w:p>
      <w:pPr>
        <w:pStyle w:val="7"/>
        <w:rPr>
          <w:color w:val="auto"/>
          <w:highlight w:val="none"/>
        </w:rPr>
      </w:pPr>
    </w:p>
    <w:p>
      <w:pPr>
        <w:spacing w:line="360" w:lineRule="auto"/>
        <w:rPr>
          <w:rFonts w:ascii="宋体" w:hAnsi="宋体"/>
          <w:color w:val="auto"/>
          <w:kern w:val="0"/>
          <w:szCs w:val="21"/>
          <w:highlight w:val="none"/>
        </w:rPr>
      </w:pPr>
      <w:r>
        <w:rPr>
          <w:rFonts w:hint="eastAsia" w:ascii="宋体" w:hAnsi="宋体"/>
          <w:color w:val="auto"/>
          <w:kern w:val="0"/>
          <w:szCs w:val="21"/>
          <w:highlight w:val="none"/>
        </w:rPr>
        <w:t>广州市住房和城乡建设局、本招标项目招标人及招标监管机构：</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本公司就参加</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（项目名称） </w:t>
      </w:r>
      <w:r>
        <w:rPr>
          <w:rFonts w:ascii="宋体" w:hAnsi="宋体"/>
          <w:color w:val="auto"/>
          <w:kern w:val="0"/>
          <w:szCs w:val="21"/>
          <w:highlight w:val="none"/>
          <w:u w:val="single"/>
        </w:rPr>
        <w:t xml:space="preserve">          </w:t>
      </w:r>
      <w:r>
        <w:rPr>
          <w:rFonts w:hint="eastAsia" w:ascii="宋体" w:hAnsi="宋体"/>
          <w:color w:val="auto"/>
          <w:kern w:val="0"/>
          <w:szCs w:val="21"/>
          <w:highlight w:val="none"/>
        </w:rPr>
        <w:t>投标工作，作出郑重声明：</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一、本公司保证投标文件及其后提供的一切材料都是真实的。如我司成为本项目中标候选人，我司同意并授权招标人将我司投标文件商务部分的人员、业绩、奖项等资料进行公开。</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二、本公司保证在本项目投标中不与其他单位围标、串标，不出让投标资格，不向招标人或评标委员会成员行贿。</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三、本公司不存在下列情形之一：</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bidi="ar"/>
        </w:rPr>
        <w:t>（一）为招标人不具有独立法人资格的附属机构（单位）；</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bidi="ar"/>
        </w:rPr>
        <w:t>（二）为本标段前期准备提供设计或咨询服务或者与本项目设计人或提供咨询服务的机构存在附属关系的；</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bidi="ar"/>
        </w:rPr>
        <w:t>（三）为本标段监理人或者与本标段监理人存在隶属关系或者其他利害关系；</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bidi="ar"/>
        </w:rPr>
        <w:t>（四）为本标段的代建人；</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bidi="ar"/>
        </w:rPr>
        <w:t>（五）为本标段提供招标代理服务的；</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bidi="ar"/>
        </w:rPr>
        <w:t>（六）与本标段的监理人或代建人或招标代理机构同为一个法定代表人的；</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bidi="ar"/>
        </w:rPr>
        <w:t>（七）与本标段的监理人或代建人或招标代理机构互相控股或参股的；</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bidi="ar"/>
        </w:rPr>
        <w:t>（八）与本标段的监理人或代建人或招标代理机构相互任职或工作的；</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bidi="ar"/>
        </w:rPr>
        <w:t>（九）与本标段的检测机构有隶属关系或者其他利害关系；</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bidi="ar"/>
        </w:rPr>
        <w:t xml:space="preserve">（十）与招标人存在利害关系且可能影响招标公正性； </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bidi="ar"/>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bidi="ar"/>
        </w:rPr>
        <w:t>（十二）被责令停产停业、暂扣或者吊销许可证、暂扣或者吊销执照的（本项事实应当以根据《中华人民共和国行政处罚法》依法作出并已经生效的行政处罚决定为认定依据。）；</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bidi="ar"/>
        </w:rPr>
        <w:t>（十三）进入清算程序，或被宣布破产，或其他丧失履约能力的情形；</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bidi="ar"/>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bidi="ar"/>
        </w:rPr>
        <w:t>（十五）法律法规规定的其他情形。</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四、本公司保证：本项目拟派的项目负责人没有在其他在建项目中任施工单位项目负责人，本项目拟派的专职安全员没有在其他在建项目中任职。</w:t>
      </w:r>
    </w:p>
    <w:p>
      <w:pPr>
        <w:spacing w:line="360" w:lineRule="auto"/>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w:t>
      </w:r>
    </w:p>
    <w:p>
      <w:pPr>
        <w:spacing w:line="360" w:lineRule="auto"/>
        <w:ind w:firstLine="422" w:firstLineChars="200"/>
        <w:rPr>
          <w:rFonts w:ascii="宋体" w:hAnsi="宋体"/>
          <w:b/>
          <w:color w:val="auto"/>
          <w:kern w:val="0"/>
          <w:szCs w:val="21"/>
          <w:highlight w:val="none"/>
        </w:rPr>
      </w:pPr>
      <w:r>
        <w:rPr>
          <w:rFonts w:hint="eastAsia" w:ascii="宋体" w:hAnsi="宋体"/>
          <w:b/>
          <w:color w:val="auto"/>
          <w:kern w:val="0"/>
          <w:szCs w:val="21"/>
          <w:highlight w:val="none"/>
        </w:rPr>
        <w:t>八、与本公司单位负责人为同一人或者与本公司存在控股、管理关系的其他单位包括：</w:t>
      </w:r>
      <w:r>
        <w:rPr>
          <w:rFonts w:hint="eastAsia" w:ascii="宋体" w:hAnsi="宋体"/>
          <w:b/>
          <w:color w:val="auto"/>
          <w:kern w:val="0"/>
          <w:szCs w:val="21"/>
          <w:highlight w:val="none"/>
          <w:u w:val="single"/>
        </w:rPr>
        <w:t xml:space="preserve">                        </w:t>
      </w:r>
      <w:r>
        <w:rPr>
          <w:rFonts w:hint="eastAsia" w:ascii="宋体" w:hAnsi="宋体"/>
          <w:b/>
          <w:color w:val="auto"/>
          <w:kern w:val="0"/>
          <w:szCs w:val="21"/>
          <w:highlight w:val="none"/>
        </w:rPr>
        <w:t>。（注：本条由投标人如实填写，如有，应列出全部满足招标公告资质要求的相关单位的名称；如无，则填写“无”。）</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特此声明</w:t>
      </w:r>
    </w:p>
    <w:p>
      <w:pPr>
        <w:spacing w:line="360" w:lineRule="auto"/>
        <w:ind w:left="629" w:right="1449"/>
        <w:rPr>
          <w:rFonts w:ascii="宋体" w:hAnsi="宋体"/>
          <w:color w:val="auto"/>
          <w:kern w:val="0"/>
          <w:szCs w:val="21"/>
          <w:highlight w:val="none"/>
        </w:rPr>
      </w:pP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声明企业：</w:t>
      </w:r>
    </w:p>
    <w:p>
      <w:pPr>
        <w:spacing w:line="360" w:lineRule="auto"/>
        <w:ind w:right="1179"/>
        <w:rPr>
          <w:rFonts w:ascii="宋体" w:hAnsi="宋体"/>
          <w:color w:val="auto"/>
          <w:kern w:val="0"/>
          <w:szCs w:val="21"/>
          <w:highlight w:val="none"/>
        </w:rPr>
      </w:pPr>
      <w:r>
        <w:rPr>
          <w:rFonts w:hint="eastAsia" w:ascii="宋体" w:hAnsi="宋体"/>
          <w:color w:val="auto"/>
          <w:kern w:val="0"/>
          <w:szCs w:val="21"/>
          <w:highlight w:val="none"/>
        </w:rPr>
        <w:t xml:space="preserve">                             法定代表人签字：</w:t>
      </w:r>
    </w:p>
    <w:p>
      <w:pPr>
        <w:spacing w:line="360" w:lineRule="auto"/>
        <w:ind w:right="1179"/>
        <w:rPr>
          <w:rFonts w:ascii="宋体" w:hAnsi="宋体"/>
          <w:color w:val="auto"/>
          <w:kern w:val="0"/>
          <w:szCs w:val="21"/>
          <w:highlight w:val="none"/>
        </w:rPr>
      </w:pPr>
      <w:r>
        <w:rPr>
          <w:rFonts w:hint="eastAsia" w:ascii="宋体" w:hAnsi="宋体"/>
          <w:color w:val="auto"/>
          <w:kern w:val="0"/>
          <w:szCs w:val="21"/>
          <w:highlight w:val="none"/>
        </w:rPr>
        <w:t xml:space="preserve">                             项目负责人签字:</w:t>
      </w:r>
    </w:p>
    <w:p>
      <w:pPr>
        <w:spacing w:line="360" w:lineRule="auto"/>
        <w:ind w:right="879" w:firstLine="1890" w:firstLineChars="900"/>
        <w:jc w:val="left"/>
        <w:rPr>
          <w:rFonts w:ascii="宋体" w:hAnsi="宋体"/>
          <w:color w:val="auto"/>
          <w:kern w:val="0"/>
          <w:szCs w:val="21"/>
          <w:highlight w:val="none"/>
        </w:rPr>
      </w:pPr>
      <w:r>
        <w:rPr>
          <w:rFonts w:hint="eastAsia" w:ascii="宋体" w:hAnsi="宋体"/>
          <w:color w:val="auto"/>
          <w:kern w:val="0"/>
          <w:szCs w:val="21"/>
          <w:highlight w:val="none"/>
        </w:rPr>
        <w:t xml:space="preserve">           技术负责人签字：</w:t>
      </w:r>
    </w:p>
    <w:p>
      <w:pPr>
        <w:spacing w:line="360" w:lineRule="auto"/>
        <w:ind w:right="1089" w:firstLine="1890" w:firstLineChars="900"/>
        <w:jc w:val="right"/>
        <w:rPr>
          <w:rFonts w:ascii="宋体" w:hAnsi="宋体"/>
          <w:color w:val="auto"/>
          <w:kern w:val="0"/>
          <w:szCs w:val="21"/>
          <w:highlight w:val="none"/>
        </w:rPr>
      </w:pPr>
      <w:r>
        <w:rPr>
          <w:rFonts w:hint="eastAsia" w:ascii="宋体" w:hAnsi="宋体"/>
          <w:color w:val="auto"/>
          <w:kern w:val="0"/>
          <w:szCs w:val="21"/>
          <w:highlight w:val="none"/>
        </w:rPr>
        <w:t>年</w:t>
      </w:r>
      <w:r>
        <w:rPr>
          <w:rFonts w:ascii="宋体" w:hAnsi="宋体"/>
          <w:color w:val="auto"/>
          <w:kern w:val="0"/>
          <w:szCs w:val="21"/>
          <w:highlight w:val="none"/>
        </w:rPr>
        <w:t xml:space="preserve">   </w:t>
      </w:r>
      <w:r>
        <w:rPr>
          <w:rFonts w:hint="eastAsia" w:ascii="宋体" w:hAnsi="宋体"/>
          <w:color w:val="auto"/>
          <w:kern w:val="0"/>
          <w:szCs w:val="21"/>
          <w:highlight w:val="none"/>
        </w:rPr>
        <w:t>月</w:t>
      </w:r>
      <w:r>
        <w:rPr>
          <w:rFonts w:ascii="宋体" w:hAnsi="宋体"/>
          <w:color w:val="auto"/>
          <w:kern w:val="0"/>
          <w:szCs w:val="21"/>
          <w:highlight w:val="none"/>
        </w:rPr>
        <w:t xml:space="preserve">   </w:t>
      </w:r>
      <w:r>
        <w:rPr>
          <w:rFonts w:hint="eastAsia" w:ascii="宋体" w:hAnsi="宋体"/>
          <w:color w:val="auto"/>
          <w:kern w:val="0"/>
          <w:szCs w:val="21"/>
          <w:highlight w:val="none"/>
        </w:rPr>
        <w:t>日</w:t>
      </w:r>
    </w:p>
    <w:p>
      <w:pPr>
        <w:spacing w:line="360" w:lineRule="auto"/>
        <w:ind w:right="840"/>
        <w:jc w:val="center"/>
        <w:rPr>
          <w:rFonts w:ascii="宋体" w:hAnsi="宋体"/>
          <w:color w:val="auto"/>
          <w:kern w:val="0"/>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（企业公章）</w:t>
      </w:r>
    </w:p>
    <w:p>
      <w:pPr>
        <w:rPr>
          <w:color w:val="auto"/>
          <w:highlight w:val="none"/>
        </w:rPr>
      </w:pPr>
      <w:r>
        <w:rPr>
          <w:rFonts w:hint="eastAsia"/>
          <w:color w:val="auto"/>
          <w:highlight w:val="none"/>
        </w:rPr>
        <w:t>注：招标人应当要求投标人的项目负责人和技术负责人签字。</w:t>
      </w:r>
    </w:p>
    <w:p>
      <w:pPr>
        <w:spacing w:line="360" w:lineRule="auto"/>
        <w:rPr>
          <w:b/>
          <w:color w:val="auto"/>
          <w:sz w:val="44"/>
          <w:highlight w:val="none"/>
        </w:rPr>
      </w:pPr>
      <w:r>
        <w:rPr>
          <w:rFonts w:ascii="宋体" w:hAnsi="宋体"/>
          <w:color w:val="auto"/>
          <w:sz w:val="24"/>
          <w:highlight w:val="none"/>
        </w:rPr>
        <w:br w:type="page"/>
      </w:r>
      <w:r>
        <w:rPr>
          <w:rFonts w:hint="eastAsia" w:ascii="宋体" w:hAnsi="宋体"/>
          <w:color w:val="auto"/>
          <w:sz w:val="24"/>
          <w:highlight w:val="none"/>
        </w:rPr>
        <w:t>附件二：</w:t>
      </w:r>
    </w:p>
    <w:p>
      <w:pPr>
        <w:widowControl/>
        <w:spacing w:line="360" w:lineRule="auto"/>
        <w:jc w:val="left"/>
        <w:rPr>
          <w:rFonts w:ascii="宋体" w:hAnsi="宋体" w:cs="宋体"/>
          <w:color w:val="auto"/>
          <w:sz w:val="24"/>
          <w:szCs w:val="24"/>
          <w:highlight w:val="none"/>
        </w:rPr>
      </w:pPr>
    </w:p>
    <w:p>
      <w:pPr>
        <w:widowControl/>
        <w:shd w:val="clear" w:color="auto" w:fill="FFFFFF"/>
        <w:snapToGrid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被招标人拒绝投标的企业名单</w:t>
      </w:r>
    </w:p>
    <w:tbl>
      <w:tblPr>
        <w:tblStyle w:val="24"/>
        <w:tblW w:w="6965" w:type="dxa"/>
        <w:jc w:val="center"/>
        <w:tblLayout w:type="fixed"/>
        <w:tblCellMar>
          <w:top w:w="0" w:type="dxa"/>
          <w:left w:w="108" w:type="dxa"/>
          <w:bottom w:w="0" w:type="dxa"/>
          <w:right w:w="108" w:type="dxa"/>
        </w:tblCellMar>
      </w:tblPr>
      <w:tblGrid>
        <w:gridCol w:w="1149"/>
        <w:gridCol w:w="5816"/>
      </w:tblGrid>
      <w:tr>
        <w:tblPrEx>
          <w:tblCellMar>
            <w:top w:w="0" w:type="dxa"/>
            <w:left w:w="108" w:type="dxa"/>
            <w:bottom w:w="0" w:type="dxa"/>
            <w:right w:w="108" w:type="dxa"/>
          </w:tblCellMar>
        </w:tblPrEx>
        <w:trPr>
          <w:trHeight w:val="602" w:hRule="atLeast"/>
          <w:jc w:val="center"/>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b/>
                <w:color w:val="auto"/>
                <w:szCs w:val="21"/>
                <w:highlight w:val="none"/>
              </w:rPr>
            </w:pPr>
            <w:r>
              <w:rPr>
                <w:rFonts w:hint="eastAsia" w:ascii="宋体" w:hAnsi="宋体" w:cs="宋体"/>
                <w:b/>
                <w:color w:val="auto"/>
                <w:szCs w:val="21"/>
                <w:highlight w:val="none"/>
                <w:lang w:bidi="ar"/>
              </w:rPr>
              <w:t>序号</w:t>
            </w:r>
          </w:p>
        </w:tc>
        <w:tc>
          <w:tcPr>
            <w:tcW w:w="581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b/>
                <w:color w:val="auto"/>
                <w:szCs w:val="21"/>
                <w:highlight w:val="none"/>
              </w:rPr>
            </w:pPr>
            <w:r>
              <w:rPr>
                <w:rFonts w:hint="eastAsia" w:ascii="宋体" w:hAnsi="宋体" w:cs="宋体"/>
                <w:b/>
                <w:color w:val="auto"/>
                <w:szCs w:val="21"/>
                <w:highlight w:val="none"/>
                <w:lang w:bidi="ar"/>
              </w:rPr>
              <w:t>企业名称</w:t>
            </w:r>
          </w:p>
        </w:tc>
      </w:tr>
      <w:tr>
        <w:tblPrEx>
          <w:tblCellMar>
            <w:top w:w="0" w:type="dxa"/>
            <w:left w:w="108" w:type="dxa"/>
            <w:bottom w:w="0" w:type="dxa"/>
            <w:right w:w="108" w:type="dxa"/>
          </w:tblCellMar>
        </w:tblPrEx>
        <w:trPr>
          <w:trHeight w:val="627" w:hRule="atLeast"/>
          <w:jc w:val="center"/>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581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广东电白二建集团有限公司</w:t>
            </w:r>
          </w:p>
        </w:tc>
      </w:tr>
      <w:tr>
        <w:tblPrEx>
          <w:tblCellMar>
            <w:top w:w="0" w:type="dxa"/>
            <w:left w:w="108" w:type="dxa"/>
            <w:bottom w:w="0" w:type="dxa"/>
            <w:right w:w="108" w:type="dxa"/>
          </w:tblCellMar>
        </w:tblPrEx>
        <w:trPr>
          <w:trHeight w:val="627" w:hRule="atLeast"/>
          <w:jc w:val="center"/>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581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广州金辉建设集团有限公司</w:t>
            </w:r>
          </w:p>
        </w:tc>
      </w:tr>
      <w:tr>
        <w:tblPrEx>
          <w:tblCellMar>
            <w:top w:w="0" w:type="dxa"/>
            <w:left w:w="108" w:type="dxa"/>
            <w:bottom w:w="0" w:type="dxa"/>
            <w:right w:w="108" w:type="dxa"/>
          </w:tblCellMar>
        </w:tblPrEx>
        <w:trPr>
          <w:trHeight w:val="627" w:hRule="atLeast"/>
          <w:jc w:val="center"/>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3</w:t>
            </w:r>
          </w:p>
        </w:tc>
        <w:tc>
          <w:tcPr>
            <w:tcW w:w="581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广州市裕建工程有限公司</w:t>
            </w:r>
          </w:p>
        </w:tc>
      </w:tr>
      <w:tr>
        <w:tblPrEx>
          <w:tblCellMar>
            <w:top w:w="0" w:type="dxa"/>
            <w:left w:w="108" w:type="dxa"/>
            <w:bottom w:w="0" w:type="dxa"/>
            <w:right w:w="108" w:type="dxa"/>
          </w:tblCellMar>
        </w:tblPrEx>
        <w:trPr>
          <w:trHeight w:val="627" w:hRule="atLeast"/>
          <w:jc w:val="center"/>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4</w:t>
            </w:r>
          </w:p>
        </w:tc>
        <w:tc>
          <w:tcPr>
            <w:tcW w:w="581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广州市水电建设工程有限公司</w:t>
            </w:r>
          </w:p>
        </w:tc>
      </w:tr>
      <w:tr>
        <w:tblPrEx>
          <w:tblCellMar>
            <w:top w:w="0" w:type="dxa"/>
            <w:left w:w="108" w:type="dxa"/>
            <w:bottom w:w="0" w:type="dxa"/>
            <w:right w:w="108" w:type="dxa"/>
          </w:tblCellMar>
        </w:tblPrEx>
        <w:trPr>
          <w:trHeight w:val="627" w:hRule="atLeast"/>
          <w:jc w:val="center"/>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w:t>
            </w:r>
          </w:p>
        </w:tc>
        <w:tc>
          <w:tcPr>
            <w:tcW w:w="581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广州城北电力工程有限公司</w:t>
            </w:r>
          </w:p>
        </w:tc>
      </w:tr>
      <w:tr>
        <w:tblPrEx>
          <w:tblCellMar>
            <w:top w:w="0" w:type="dxa"/>
            <w:left w:w="108" w:type="dxa"/>
            <w:bottom w:w="0" w:type="dxa"/>
            <w:right w:w="108" w:type="dxa"/>
          </w:tblCellMar>
        </w:tblPrEx>
        <w:trPr>
          <w:trHeight w:val="627" w:hRule="atLeast"/>
          <w:jc w:val="center"/>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6</w:t>
            </w:r>
          </w:p>
        </w:tc>
        <w:tc>
          <w:tcPr>
            <w:tcW w:w="581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广州增电电力建设投资集团有限公司</w:t>
            </w:r>
          </w:p>
        </w:tc>
      </w:tr>
      <w:tr>
        <w:tblPrEx>
          <w:tblCellMar>
            <w:top w:w="0" w:type="dxa"/>
            <w:left w:w="108" w:type="dxa"/>
            <w:bottom w:w="0" w:type="dxa"/>
            <w:right w:w="108" w:type="dxa"/>
          </w:tblCellMar>
        </w:tblPrEx>
        <w:trPr>
          <w:trHeight w:val="627" w:hRule="atLeast"/>
          <w:jc w:val="center"/>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7</w:t>
            </w:r>
          </w:p>
        </w:tc>
        <w:tc>
          <w:tcPr>
            <w:tcW w:w="581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广州泰捷建设有限公司</w:t>
            </w:r>
          </w:p>
        </w:tc>
      </w:tr>
      <w:tr>
        <w:tblPrEx>
          <w:tblCellMar>
            <w:top w:w="0" w:type="dxa"/>
            <w:left w:w="108" w:type="dxa"/>
            <w:bottom w:w="0" w:type="dxa"/>
            <w:right w:w="108" w:type="dxa"/>
          </w:tblCellMar>
        </w:tblPrEx>
        <w:trPr>
          <w:trHeight w:val="627" w:hRule="atLeast"/>
          <w:jc w:val="center"/>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8</w:t>
            </w:r>
          </w:p>
        </w:tc>
        <w:tc>
          <w:tcPr>
            <w:tcW w:w="5816"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1" w:after="0" w:afterAutospacing="0" w:line="360" w:lineRule="auto"/>
              <w:ind w:left="0" w:right="0"/>
              <w:jc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广州南方电力技术工程有限公司,</w:t>
            </w:r>
          </w:p>
        </w:tc>
      </w:tr>
    </w:tbl>
    <w:p>
      <w:pPr>
        <w:rPr>
          <w:color w:val="auto"/>
          <w:highlight w:val="none"/>
        </w:rPr>
      </w:pPr>
    </w:p>
    <w:p>
      <w:pPr>
        <w:spacing w:line="360" w:lineRule="auto"/>
        <w:rPr>
          <w:b/>
          <w:color w:val="auto"/>
          <w:sz w:val="44"/>
          <w:highlight w:val="none"/>
        </w:rPr>
      </w:pPr>
      <w:r>
        <w:rPr>
          <w:color w:val="auto"/>
          <w:highlight w:val="none"/>
        </w:rPr>
        <w:br w:type="page"/>
      </w:r>
      <w:r>
        <w:rPr>
          <w:rFonts w:hint="eastAsia" w:ascii="宋体" w:hAnsi="宋体"/>
          <w:color w:val="auto"/>
          <w:sz w:val="24"/>
          <w:highlight w:val="none"/>
        </w:rPr>
        <w:t>附件三：</w:t>
      </w:r>
    </w:p>
    <w:tbl>
      <w:tblPr>
        <w:tblStyle w:val="24"/>
        <w:tblW w:w="8660" w:type="dxa"/>
        <w:jc w:val="center"/>
        <w:tblLayout w:type="fixed"/>
        <w:tblCellMar>
          <w:top w:w="0" w:type="dxa"/>
          <w:left w:w="0" w:type="dxa"/>
          <w:bottom w:w="0" w:type="dxa"/>
          <w:right w:w="0" w:type="dxa"/>
        </w:tblCellMar>
      </w:tblPr>
      <w:tblGrid>
        <w:gridCol w:w="681"/>
        <w:gridCol w:w="1528"/>
        <w:gridCol w:w="2059"/>
        <w:gridCol w:w="1783"/>
        <w:gridCol w:w="2609"/>
      </w:tblGrid>
      <w:tr>
        <w:tblPrEx>
          <w:tblCellMar>
            <w:top w:w="0" w:type="dxa"/>
            <w:left w:w="0" w:type="dxa"/>
            <w:bottom w:w="0" w:type="dxa"/>
            <w:right w:w="0" w:type="dxa"/>
          </w:tblCellMar>
        </w:tblPrEx>
        <w:trPr>
          <w:trHeight w:val="23" w:hRule="atLeast"/>
          <w:jc w:val="center"/>
        </w:trPr>
        <w:tc>
          <w:tcPr>
            <w:tcW w:w="8660" w:type="dxa"/>
            <w:gridSpan w:val="5"/>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color w:val="auto"/>
                <w:sz w:val="32"/>
                <w:szCs w:val="32"/>
                <w:highlight w:val="none"/>
              </w:rPr>
            </w:pPr>
            <w:r>
              <w:rPr>
                <w:rFonts w:hint="eastAsia" w:ascii="宋体" w:hAnsi="宋体" w:cs="宋体"/>
                <w:b/>
                <w:color w:val="auto"/>
                <w:kern w:val="0"/>
                <w:sz w:val="32"/>
                <w:szCs w:val="32"/>
                <w:highlight w:val="none"/>
              </w:rPr>
              <w:t>施工项目管理团队人员信息表</w:t>
            </w:r>
          </w:p>
        </w:tc>
      </w:tr>
      <w:tr>
        <w:tblPrEx>
          <w:tblCellMar>
            <w:top w:w="0" w:type="dxa"/>
            <w:left w:w="0" w:type="dxa"/>
            <w:bottom w:w="0" w:type="dxa"/>
            <w:right w:w="0" w:type="dxa"/>
          </w:tblCellMar>
        </w:tblPrEx>
        <w:trPr>
          <w:trHeight w:val="23" w:hRule="atLeast"/>
          <w:jc w:val="center"/>
        </w:trPr>
        <w:tc>
          <w:tcPr>
            <w:tcW w:w="6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Cs w:val="21"/>
                <w:highlight w:val="none"/>
              </w:rPr>
            </w:pPr>
            <w:r>
              <w:rPr>
                <w:rFonts w:hint="eastAsia" w:ascii="宋体" w:hAnsi="宋体" w:cs="宋体"/>
                <w:b/>
                <w:color w:val="auto"/>
                <w:kern w:val="0"/>
                <w:szCs w:val="21"/>
                <w:highlight w:val="none"/>
              </w:rPr>
              <w:t>序号</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Cs w:val="21"/>
                <w:highlight w:val="none"/>
              </w:rPr>
            </w:pPr>
            <w:r>
              <w:rPr>
                <w:rFonts w:hint="eastAsia" w:ascii="宋体" w:hAnsi="宋体" w:cs="宋体"/>
                <w:b/>
                <w:color w:val="auto"/>
                <w:kern w:val="0"/>
                <w:szCs w:val="21"/>
                <w:highlight w:val="none"/>
              </w:rPr>
              <w:t>姓名</w:t>
            </w:r>
          </w:p>
        </w:tc>
        <w:tc>
          <w:tcPr>
            <w:tcW w:w="2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Cs w:val="21"/>
                <w:highlight w:val="none"/>
              </w:rPr>
            </w:pPr>
            <w:r>
              <w:rPr>
                <w:rFonts w:hint="eastAsia" w:ascii="宋体" w:hAnsi="宋体" w:cs="宋体"/>
                <w:b/>
                <w:color w:val="auto"/>
                <w:kern w:val="0"/>
                <w:szCs w:val="21"/>
                <w:highlight w:val="none"/>
              </w:rPr>
              <w:t>岗位</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Cs w:val="21"/>
                <w:highlight w:val="none"/>
              </w:rPr>
            </w:pPr>
            <w:r>
              <w:rPr>
                <w:rFonts w:hint="eastAsia" w:ascii="宋体" w:hAnsi="宋体" w:cs="宋体"/>
                <w:b/>
                <w:color w:val="auto"/>
                <w:kern w:val="0"/>
                <w:szCs w:val="21"/>
                <w:highlight w:val="none"/>
              </w:rPr>
              <w:t>职称</w:t>
            </w:r>
          </w:p>
        </w:tc>
        <w:tc>
          <w:tcPr>
            <w:tcW w:w="26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Cs w:val="21"/>
                <w:highlight w:val="none"/>
              </w:rPr>
            </w:pPr>
            <w:r>
              <w:rPr>
                <w:rFonts w:hint="eastAsia" w:ascii="宋体" w:hAnsi="宋体" w:cs="宋体"/>
                <w:b/>
                <w:color w:val="auto"/>
                <w:kern w:val="0"/>
                <w:szCs w:val="21"/>
                <w:highlight w:val="none"/>
              </w:rPr>
              <w:t>职称证书或资格证书编号</w:t>
            </w:r>
          </w:p>
        </w:tc>
      </w:tr>
      <w:tr>
        <w:tblPrEx>
          <w:tblCellMar>
            <w:top w:w="0" w:type="dxa"/>
            <w:left w:w="0" w:type="dxa"/>
            <w:bottom w:w="0" w:type="dxa"/>
            <w:right w:w="0" w:type="dxa"/>
          </w:tblCellMar>
        </w:tblPrEx>
        <w:trPr>
          <w:trHeight w:val="23" w:hRule="atLeast"/>
          <w:jc w:val="center"/>
        </w:trPr>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技术负责人</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CellMar>
            <w:top w:w="0" w:type="dxa"/>
            <w:left w:w="0" w:type="dxa"/>
            <w:bottom w:w="0" w:type="dxa"/>
            <w:right w:w="0" w:type="dxa"/>
          </w:tblCellMar>
        </w:tblPrEx>
        <w:trPr>
          <w:trHeight w:val="23" w:hRule="atLeast"/>
          <w:jc w:val="center"/>
        </w:trPr>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rPr>
              <w:t>2</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rPr>
              <w:t>质量负责人</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CellMar>
            <w:top w:w="0" w:type="dxa"/>
            <w:left w:w="0" w:type="dxa"/>
            <w:bottom w:w="0" w:type="dxa"/>
            <w:right w:w="0" w:type="dxa"/>
          </w:tblCellMar>
        </w:tblPrEx>
        <w:trPr>
          <w:trHeight w:val="23" w:hRule="atLeast"/>
          <w:jc w:val="center"/>
        </w:trPr>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rPr>
              <w:t>3</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rPr>
              <w:t>造价负责人</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CellMar>
            <w:top w:w="0" w:type="dxa"/>
            <w:left w:w="0" w:type="dxa"/>
            <w:bottom w:w="0" w:type="dxa"/>
            <w:right w:w="0" w:type="dxa"/>
          </w:tblCellMar>
        </w:tblPrEx>
        <w:trPr>
          <w:trHeight w:val="23" w:hRule="atLeast"/>
          <w:jc w:val="center"/>
        </w:trPr>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rPr>
              <w:t>4</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rPr>
              <w:t>工作负责人</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CellMar>
            <w:top w:w="0" w:type="dxa"/>
            <w:left w:w="0" w:type="dxa"/>
            <w:bottom w:w="0" w:type="dxa"/>
            <w:right w:w="0" w:type="dxa"/>
          </w:tblCellMar>
        </w:tblPrEx>
        <w:trPr>
          <w:trHeight w:val="23" w:hRule="atLeast"/>
          <w:jc w:val="center"/>
        </w:trPr>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rPr>
              <w:t>5</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rPr>
              <w:t>工作票签发人</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CellMar>
            <w:top w:w="0" w:type="dxa"/>
            <w:left w:w="0" w:type="dxa"/>
            <w:bottom w:w="0" w:type="dxa"/>
            <w:right w:w="0" w:type="dxa"/>
          </w:tblCellMar>
        </w:tblPrEx>
        <w:trPr>
          <w:trHeight w:val="23" w:hRule="atLeast"/>
          <w:jc w:val="center"/>
        </w:trPr>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rPr>
              <w:t>6</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rPr>
              <w:t>深化设计工程师</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CellMar>
            <w:top w:w="0" w:type="dxa"/>
            <w:left w:w="0" w:type="dxa"/>
            <w:bottom w:w="0" w:type="dxa"/>
            <w:right w:w="0" w:type="dxa"/>
          </w:tblCellMar>
        </w:tblPrEx>
        <w:trPr>
          <w:trHeight w:val="23" w:hRule="atLeast"/>
          <w:jc w:val="center"/>
        </w:trPr>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7</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资料员</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CellMar>
            <w:top w:w="0" w:type="dxa"/>
            <w:left w:w="0" w:type="dxa"/>
            <w:bottom w:w="0" w:type="dxa"/>
            <w:right w:w="0" w:type="dxa"/>
          </w:tblCellMar>
        </w:tblPrEx>
        <w:trPr>
          <w:trHeight w:val="23" w:hRule="atLeast"/>
          <w:jc w:val="center"/>
        </w:trPr>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8</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施工员</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CellMar>
            <w:top w:w="0" w:type="dxa"/>
            <w:left w:w="0" w:type="dxa"/>
            <w:bottom w:w="0" w:type="dxa"/>
            <w:right w:w="0" w:type="dxa"/>
          </w:tblCellMar>
        </w:tblPrEx>
        <w:trPr>
          <w:trHeight w:val="23" w:hRule="atLeast"/>
          <w:jc w:val="center"/>
        </w:trPr>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rPr>
              <w:t>造价员</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CellMar>
            <w:top w:w="0" w:type="dxa"/>
            <w:left w:w="0" w:type="dxa"/>
            <w:bottom w:w="0" w:type="dxa"/>
            <w:right w:w="0" w:type="dxa"/>
          </w:tblCellMar>
        </w:tblPrEx>
        <w:trPr>
          <w:trHeight w:val="23" w:hRule="atLeast"/>
          <w:jc w:val="center"/>
        </w:trPr>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10</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rPr>
              <w:t>质量员</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CellMar>
            <w:top w:w="0" w:type="dxa"/>
            <w:left w:w="0" w:type="dxa"/>
            <w:bottom w:w="0" w:type="dxa"/>
            <w:right w:w="0" w:type="dxa"/>
          </w:tblCellMar>
        </w:tblPrEx>
        <w:trPr>
          <w:trHeight w:val="23" w:hRule="atLeast"/>
          <w:jc w:val="center"/>
        </w:trPr>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11</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rPr>
              <w:t>材料员</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cs="宋体"/>
                <w:color w:val="auto"/>
                <w:szCs w:val="21"/>
                <w:highlight w:val="none"/>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CellMar>
            <w:top w:w="0" w:type="dxa"/>
            <w:left w:w="0" w:type="dxa"/>
            <w:bottom w:w="0" w:type="dxa"/>
            <w:right w:w="0" w:type="dxa"/>
          </w:tblCellMar>
        </w:tblPrEx>
        <w:trPr>
          <w:trHeight w:val="23" w:hRule="atLeast"/>
          <w:jc w:val="center"/>
        </w:trPr>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12</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rPr>
              <w:t>机械员</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cs="宋体"/>
                <w:color w:val="auto"/>
                <w:szCs w:val="21"/>
                <w:highlight w:val="none"/>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CellMar>
            <w:top w:w="0" w:type="dxa"/>
            <w:left w:w="0" w:type="dxa"/>
            <w:bottom w:w="0" w:type="dxa"/>
            <w:right w:w="0" w:type="dxa"/>
          </w:tblCellMar>
        </w:tblPrEx>
        <w:trPr>
          <w:trHeight w:val="23" w:hRule="atLeast"/>
          <w:jc w:val="center"/>
        </w:trPr>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rPr>
              <w:t>劳务员</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cs="宋体"/>
                <w:color w:val="auto"/>
                <w:szCs w:val="21"/>
                <w:highlight w:val="none"/>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CellMar>
            <w:top w:w="0" w:type="dxa"/>
            <w:left w:w="0" w:type="dxa"/>
            <w:bottom w:w="0" w:type="dxa"/>
            <w:right w:w="0" w:type="dxa"/>
          </w:tblCellMar>
        </w:tblPrEx>
        <w:trPr>
          <w:trHeight w:val="23" w:hRule="atLeast"/>
          <w:jc w:val="center"/>
        </w:trPr>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标准员</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adjustRightInd w:val="0"/>
              <w:snapToGrid w:val="0"/>
              <w:spacing w:before="0" w:beforeAutospacing="0" w:after="0" w:afterAutospacing="0" w:line="240" w:lineRule="exact"/>
              <w:ind w:left="0" w:right="0"/>
              <w:jc w:val="center"/>
              <w:rPr>
                <w:rFonts w:hint="eastAsia" w:ascii="宋体" w:hAnsi="宋体" w:cs="宋体"/>
                <w:color w:val="auto"/>
                <w:szCs w:val="21"/>
                <w:highlight w:val="none"/>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CellMar>
            <w:top w:w="0" w:type="dxa"/>
            <w:left w:w="0" w:type="dxa"/>
            <w:bottom w:w="0" w:type="dxa"/>
            <w:right w:w="0" w:type="dxa"/>
          </w:tblCellMar>
        </w:tblPrEx>
        <w:trPr>
          <w:trHeight w:val="23" w:hRule="atLeast"/>
          <w:jc w:val="center"/>
        </w:trPr>
        <w:tc>
          <w:tcPr>
            <w:tcW w:w="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Cs w:val="21"/>
                <w:highlight w:val="none"/>
              </w:rPr>
            </w:pPr>
          </w:p>
        </w:tc>
        <w:tc>
          <w:tcPr>
            <w:tcW w:w="1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0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tabs>
                <w:tab w:val="left" w:pos="2520"/>
              </w:tabs>
              <w:spacing w:before="0" w:beforeAutospacing="0" w:after="0" w:afterAutospacing="0" w:line="36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w:t>
            </w:r>
          </w:p>
        </w:tc>
        <w:tc>
          <w:tcPr>
            <w:tcW w:w="1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r>
      <w:tr>
        <w:tblPrEx>
          <w:tblCellMar>
            <w:top w:w="0" w:type="dxa"/>
            <w:left w:w="0" w:type="dxa"/>
            <w:bottom w:w="0" w:type="dxa"/>
            <w:right w:w="0" w:type="dxa"/>
          </w:tblCellMar>
        </w:tblPrEx>
        <w:trPr>
          <w:trHeight w:val="23" w:hRule="atLeast"/>
          <w:jc w:val="center"/>
        </w:trPr>
        <w:tc>
          <w:tcPr>
            <w:tcW w:w="866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color w:val="auto"/>
                <w:sz w:val="24"/>
                <w:szCs w:val="24"/>
                <w:highlight w:val="none"/>
              </w:rPr>
            </w:pPr>
            <w:r>
              <w:rPr>
                <w:rFonts w:hint="eastAsia" w:ascii="宋体" w:hAnsi="宋体" w:cs="宋体"/>
                <w:b/>
                <w:color w:val="auto"/>
                <w:sz w:val="24"/>
                <w:szCs w:val="24"/>
                <w:highlight w:val="none"/>
              </w:rPr>
              <w:t>备注：</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highlight w:val="none"/>
              </w:rPr>
            </w:pPr>
            <w:r>
              <w:rPr>
                <w:rFonts w:hint="eastAsia" w:ascii="宋体" w:hAnsi="宋体" w:cs="宋体"/>
                <w:color w:val="auto"/>
                <w:sz w:val="24"/>
                <w:szCs w:val="24"/>
                <w:highlight w:val="none"/>
              </w:rPr>
              <w:t>1、“岗位”要求</w:t>
            </w:r>
            <w:r>
              <w:rPr>
                <w:rFonts w:hint="eastAsia" w:ascii="宋体" w:hAnsi="宋体" w:cs="宋体"/>
                <w:b/>
                <w:color w:val="auto"/>
                <w:sz w:val="24"/>
                <w:szCs w:val="24"/>
                <w:highlight w:val="none"/>
              </w:rPr>
              <w:t>（除项目负责人和专职安全员外）</w:t>
            </w:r>
            <w:r>
              <w:rPr>
                <w:rFonts w:hint="eastAsia" w:ascii="宋体" w:hAnsi="宋体" w:cs="宋体"/>
                <w:color w:val="auto"/>
                <w:sz w:val="24"/>
                <w:szCs w:val="24"/>
                <w:highlight w:val="none"/>
              </w:rPr>
              <w:t>由招标人根据项目管理需要在本表备注中明确提出，如：拟派驻施工现场</w:t>
            </w:r>
            <w:bookmarkStart w:id="1" w:name="_GoBack"/>
            <w:bookmarkEnd w:id="1"/>
            <w:r>
              <w:rPr>
                <w:rFonts w:hint="eastAsia" w:ascii="宋体" w:hAnsi="宋体" w:cs="宋体"/>
                <w:color w:val="auto"/>
                <w:sz w:val="24"/>
                <w:szCs w:val="24"/>
                <w:highlight w:val="none"/>
              </w:rPr>
              <w:t>的技术负责人、质量负责人、造价负责人、工作负责人、工作票签发人、深化设计工程师、资料员、施工员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造价员、质量员、材料员、机械员、劳务员、标准员</w:t>
            </w:r>
            <w:r>
              <w:rPr>
                <w:rFonts w:hint="eastAsia" w:ascii="宋体" w:hAnsi="宋体" w:cs="宋体"/>
                <w:color w:val="auto"/>
                <w:sz w:val="24"/>
                <w:szCs w:val="24"/>
                <w:highlight w:val="none"/>
              </w:rPr>
              <w:t>等。以上项目管理团队人员信息将由交易系统提取后供各相关单位在履约时比对、查核。</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szCs w:val="24"/>
                <w:highlight w:val="none"/>
              </w:rPr>
            </w:pPr>
            <w:r>
              <w:rPr>
                <w:rFonts w:hint="eastAsia" w:ascii="宋体" w:hAnsi="宋体" w:cs="宋体"/>
                <w:color w:val="auto"/>
                <w:sz w:val="24"/>
                <w:szCs w:val="24"/>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Cs w:val="21"/>
                <w:highlight w:val="none"/>
              </w:rPr>
            </w:pPr>
            <w:r>
              <w:rPr>
                <w:rFonts w:hint="eastAsia" w:ascii="宋体" w:hAnsi="宋体" w:cs="宋体"/>
                <w:color w:val="auto"/>
                <w:sz w:val="24"/>
                <w:szCs w:val="24"/>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rPr>
          <w:rFonts w:hint="eastAsia" w:eastAsia="宋体"/>
          <w:color w:val="auto"/>
          <w:highlight w:val="none"/>
          <w:lang w:eastAsia="zh-CN"/>
        </w:rPr>
      </w:pPr>
    </w:p>
    <w:p>
      <w:pPr>
        <w:widowControl/>
        <w:jc w:val="left"/>
        <w:rPr>
          <w:color w:val="auto"/>
          <w:highlight w:val="none"/>
        </w:rPr>
      </w:pPr>
    </w:p>
    <w:p>
      <w:pPr>
        <w:spacing w:line="240" w:lineRule="auto"/>
        <w:jc w:val="left"/>
        <w:rPr>
          <w:color w:val="auto"/>
          <w:highlight w:val="none"/>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EuroRoman">
    <w:altName w:val="Segoe Print"/>
    <w:panose1 w:val="00000000000000000000"/>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rPr>
        <w:rStyle w:val="28"/>
      </w:rPr>
      <w:instrText xml:space="preserve"> PAGE </w:instrText>
    </w:r>
    <w:r>
      <w:fldChar w:fldCharType="separate"/>
    </w:r>
    <w:r>
      <w:rPr>
        <w:rStyle w:val="28"/>
      </w:rPr>
      <w:t>78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140" w:firstLineChars="2300"/>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ind w:firstLine="4140" w:firstLineChars="2300"/>
                          </w:pPr>
                          <w:r>
                            <w:fldChar w:fldCharType="begin"/>
                          </w:r>
                          <w:r>
                            <w:instrText xml:space="preserve"> PAGE   \* MERGEFORMAT </w:instrText>
                          </w:r>
                          <w:r>
                            <w:fldChar w:fldCharType="separate"/>
                          </w:r>
                          <w:r>
                            <w:rPr>
                              <w:lang w:val="zh-CN"/>
                            </w:rPr>
                            <w:t>185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pPr>
                      <w:pStyle w:val="16"/>
                      <w:ind w:firstLine="4140" w:firstLineChars="2300"/>
                    </w:pPr>
                    <w:r>
                      <w:fldChar w:fldCharType="begin"/>
                    </w:r>
                    <w:r>
                      <w:instrText xml:space="preserve"> PAGE   \* MERGEFORMAT </w:instrText>
                    </w:r>
                    <w:r>
                      <w:fldChar w:fldCharType="separate"/>
                    </w:r>
                    <w:r>
                      <w:rPr>
                        <w:lang w:val="zh-CN"/>
                      </w:rPr>
                      <w:t>185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64"/>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YjU4M2MwMzE1OGQ0MDc2MzNlNmIyNjRhZWU2MDYifQ=="/>
    <w:docVar w:name="KSO_WPS_MARK_KEY" w:val="d30aa6f9-5d61-474b-a97c-34115113e38b"/>
  </w:docVars>
  <w:rsids>
    <w:rsidRoot w:val="142B1BC6"/>
    <w:rsid w:val="000A3888"/>
    <w:rsid w:val="000A3A39"/>
    <w:rsid w:val="001460B8"/>
    <w:rsid w:val="001A04E9"/>
    <w:rsid w:val="001A3F13"/>
    <w:rsid w:val="001A5D27"/>
    <w:rsid w:val="00256D3D"/>
    <w:rsid w:val="002A1F57"/>
    <w:rsid w:val="0035402B"/>
    <w:rsid w:val="003B4216"/>
    <w:rsid w:val="003F2235"/>
    <w:rsid w:val="00401044"/>
    <w:rsid w:val="00406E6A"/>
    <w:rsid w:val="00445A94"/>
    <w:rsid w:val="004B0827"/>
    <w:rsid w:val="00542C4E"/>
    <w:rsid w:val="00556863"/>
    <w:rsid w:val="005601BE"/>
    <w:rsid w:val="00572168"/>
    <w:rsid w:val="00583B91"/>
    <w:rsid w:val="005C78D1"/>
    <w:rsid w:val="005E1593"/>
    <w:rsid w:val="00663196"/>
    <w:rsid w:val="00690CE3"/>
    <w:rsid w:val="006E6C3C"/>
    <w:rsid w:val="007979D1"/>
    <w:rsid w:val="00803BB3"/>
    <w:rsid w:val="0095574A"/>
    <w:rsid w:val="00966202"/>
    <w:rsid w:val="009A474C"/>
    <w:rsid w:val="009C3BBB"/>
    <w:rsid w:val="009F1FB0"/>
    <w:rsid w:val="00A67117"/>
    <w:rsid w:val="00A75B51"/>
    <w:rsid w:val="00B3610B"/>
    <w:rsid w:val="00B373CE"/>
    <w:rsid w:val="00B47BDE"/>
    <w:rsid w:val="00B649EE"/>
    <w:rsid w:val="00C34A00"/>
    <w:rsid w:val="00C66064"/>
    <w:rsid w:val="00CC2A4D"/>
    <w:rsid w:val="00CE0CF3"/>
    <w:rsid w:val="00CF7B74"/>
    <w:rsid w:val="00D06BAD"/>
    <w:rsid w:val="00D1407A"/>
    <w:rsid w:val="00D1479A"/>
    <w:rsid w:val="00D22EBB"/>
    <w:rsid w:val="00D37BEF"/>
    <w:rsid w:val="00DD3FA5"/>
    <w:rsid w:val="00E72558"/>
    <w:rsid w:val="00F911CC"/>
    <w:rsid w:val="01474EA6"/>
    <w:rsid w:val="02646330"/>
    <w:rsid w:val="033B5315"/>
    <w:rsid w:val="05D830A9"/>
    <w:rsid w:val="05F00D7F"/>
    <w:rsid w:val="066E369D"/>
    <w:rsid w:val="06F4623B"/>
    <w:rsid w:val="07302A71"/>
    <w:rsid w:val="09622C8A"/>
    <w:rsid w:val="09BC18F4"/>
    <w:rsid w:val="0B29281C"/>
    <w:rsid w:val="0B5A76CD"/>
    <w:rsid w:val="0C322DE7"/>
    <w:rsid w:val="0D976E5A"/>
    <w:rsid w:val="0E100F06"/>
    <w:rsid w:val="0E8337BB"/>
    <w:rsid w:val="0F0861A4"/>
    <w:rsid w:val="10001C84"/>
    <w:rsid w:val="10877B94"/>
    <w:rsid w:val="142B1BC6"/>
    <w:rsid w:val="17BE6ABA"/>
    <w:rsid w:val="1A053807"/>
    <w:rsid w:val="1AE130F7"/>
    <w:rsid w:val="1C6B012B"/>
    <w:rsid w:val="1D034C1E"/>
    <w:rsid w:val="1EAC6648"/>
    <w:rsid w:val="1F6F63E5"/>
    <w:rsid w:val="1FBF0E4C"/>
    <w:rsid w:val="1FE8583F"/>
    <w:rsid w:val="20623E68"/>
    <w:rsid w:val="206670F5"/>
    <w:rsid w:val="20DD28A7"/>
    <w:rsid w:val="20E81469"/>
    <w:rsid w:val="21F95081"/>
    <w:rsid w:val="23A323EE"/>
    <w:rsid w:val="24363C6A"/>
    <w:rsid w:val="24797116"/>
    <w:rsid w:val="24B93C4E"/>
    <w:rsid w:val="253177CC"/>
    <w:rsid w:val="257E4457"/>
    <w:rsid w:val="25C81B45"/>
    <w:rsid w:val="25C90728"/>
    <w:rsid w:val="288822B5"/>
    <w:rsid w:val="293F5C8D"/>
    <w:rsid w:val="2B3E372E"/>
    <w:rsid w:val="2BC071BE"/>
    <w:rsid w:val="2BCE566B"/>
    <w:rsid w:val="2C9A3D89"/>
    <w:rsid w:val="2D1465C9"/>
    <w:rsid w:val="2D6D3123"/>
    <w:rsid w:val="2DCD878D"/>
    <w:rsid w:val="2E9848D4"/>
    <w:rsid w:val="2F6E3672"/>
    <w:rsid w:val="2F747F19"/>
    <w:rsid w:val="2FF13484"/>
    <w:rsid w:val="30830BEB"/>
    <w:rsid w:val="32800DDF"/>
    <w:rsid w:val="355FD4B6"/>
    <w:rsid w:val="35C96C7E"/>
    <w:rsid w:val="35E33273"/>
    <w:rsid w:val="366A3757"/>
    <w:rsid w:val="366F0610"/>
    <w:rsid w:val="37201A7A"/>
    <w:rsid w:val="37757EA8"/>
    <w:rsid w:val="37BF76D2"/>
    <w:rsid w:val="395F1C11"/>
    <w:rsid w:val="39F01A68"/>
    <w:rsid w:val="39FF58B5"/>
    <w:rsid w:val="3A7D6A3C"/>
    <w:rsid w:val="3ABBF4D5"/>
    <w:rsid w:val="3AD042A0"/>
    <w:rsid w:val="3B7D5617"/>
    <w:rsid w:val="3D1BF986"/>
    <w:rsid w:val="3DBF9151"/>
    <w:rsid w:val="3DF23F5D"/>
    <w:rsid w:val="3EE2CFE6"/>
    <w:rsid w:val="3F3D0829"/>
    <w:rsid w:val="3FAA4051"/>
    <w:rsid w:val="3FB3C3D4"/>
    <w:rsid w:val="3FED78E4"/>
    <w:rsid w:val="3FF58DE7"/>
    <w:rsid w:val="40683756"/>
    <w:rsid w:val="412C782A"/>
    <w:rsid w:val="421A58D4"/>
    <w:rsid w:val="42F64163"/>
    <w:rsid w:val="4438469C"/>
    <w:rsid w:val="458450C0"/>
    <w:rsid w:val="46FA3F26"/>
    <w:rsid w:val="471A1059"/>
    <w:rsid w:val="472E1A29"/>
    <w:rsid w:val="48082673"/>
    <w:rsid w:val="489839F7"/>
    <w:rsid w:val="48A759E8"/>
    <w:rsid w:val="48E34DF9"/>
    <w:rsid w:val="499F74D9"/>
    <w:rsid w:val="49D97E23"/>
    <w:rsid w:val="4A0550BC"/>
    <w:rsid w:val="4AF6726F"/>
    <w:rsid w:val="4B6F1204"/>
    <w:rsid w:val="4BF7CE97"/>
    <w:rsid w:val="4CEF0A6D"/>
    <w:rsid w:val="4CF23581"/>
    <w:rsid w:val="4D9CF01B"/>
    <w:rsid w:val="4E6423A8"/>
    <w:rsid w:val="4E7FFBDD"/>
    <w:rsid w:val="4F66081F"/>
    <w:rsid w:val="50032EC5"/>
    <w:rsid w:val="50B23B3E"/>
    <w:rsid w:val="519669E8"/>
    <w:rsid w:val="53E774F6"/>
    <w:rsid w:val="53FA6118"/>
    <w:rsid w:val="55FE818E"/>
    <w:rsid w:val="576BDFDE"/>
    <w:rsid w:val="57F901B7"/>
    <w:rsid w:val="58321596"/>
    <w:rsid w:val="59D76A81"/>
    <w:rsid w:val="5A7264C8"/>
    <w:rsid w:val="5BFF4C41"/>
    <w:rsid w:val="5D6FD3D5"/>
    <w:rsid w:val="5D741621"/>
    <w:rsid w:val="5DB37CC1"/>
    <w:rsid w:val="5DDF413C"/>
    <w:rsid w:val="5EFFBDBA"/>
    <w:rsid w:val="5F156E8F"/>
    <w:rsid w:val="5F3FAD93"/>
    <w:rsid w:val="5F6E0A42"/>
    <w:rsid w:val="5F7A2454"/>
    <w:rsid w:val="5FE57944"/>
    <w:rsid w:val="5FECB87D"/>
    <w:rsid w:val="5FFE6BEB"/>
    <w:rsid w:val="61E41603"/>
    <w:rsid w:val="62F2712F"/>
    <w:rsid w:val="63617DB9"/>
    <w:rsid w:val="640632E1"/>
    <w:rsid w:val="64B04E9B"/>
    <w:rsid w:val="66993B3D"/>
    <w:rsid w:val="66A5312E"/>
    <w:rsid w:val="672A7AB8"/>
    <w:rsid w:val="67364DA6"/>
    <w:rsid w:val="687F9075"/>
    <w:rsid w:val="68A82244"/>
    <w:rsid w:val="693721CA"/>
    <w:rsid w:val="69791D4E"/>
    <w:rsid w:val="69B01D77"/>
    <w:rsid w:val="69E9AECA"/>
    <w:rsid w:val="6AF724FF"/>
    <w:rsid w:val="6B6DF573"/>
    <w:rsid w:val="6B6FE87C"/>
    <w:rsid w:val="6CAF0FAE"/>
    <w:rsid w:val="6DAD2B9A"/>
    <w:rsid w:val="6DF5F1DA"/>
    <w:rsid w:val="6DF76C73"/>
    <w:rsid w:val="6E5017A9"/>
    <w:rsid w:val="6EDF62B8"/>
    <w:rsid w:val="6F5E5BC2"/>
    <w:rsid w:val="6F9D4995"/>
    <w:rsid w:val="6FAF54C3"/>
    <w:rsid w:val="6FB97839"/>
    <w:rsid w:val="6FED343B"/>
    <w:rsid w:val="71C10361"/>
    <w:rsid w:val="73DD2AC2"/>
    <w:rsid w:val="74717568"/>
    <w:rsid w:val="747F9DBE"/>
    <w:rsid w:val="74F568FE"/>
    <w:rsid w:val="75ECFC9C"/>
    <w:rsid w:val="76C9543C"/>
    <w:rsid w:val="771FACBA"/>
    <w:rsid w:val="777F77DF"/>
    <w:rsid w:val="77DBE019"/>
    <w:rsid w:val="77DF85E6"/>
    <w:rsid w:val="77FF8DAF"/>
    <w:rsid w:val="78345538"/>
    <w:rsid w:val="783A38D3"/>
    <w:rsid w:val="78DDB063"/>
    <w:rsid w:val="78E93935"/>
    <w:rsid w:val="78F357D4"/>
    <w:rsid w:val="792902B8"/>
    <w:rsid w:val="797F4D73"/>
    <w:rsid w:val="79D786D1"/>
    <w:rsid w:val="7AAE78F4"/>
    <w:rsid w:val="7BDF7F1B"/>
    <w:rsid w:val="7CB3D673"/>
    <w:rsid w:val="7CCA3A64"/>
    <w:rsid w:val="7CE91EA0"/>
    <w:rsid w:val="7CF947E0"/>
    <w:rsid w:val="7D16490F"/>
    <w:rsid w:val="7D3D2B21"/>
    <w:rsid w:val="7D6B56FD"/>
    <w:rsid w:val="7D9F4AC8"/>
    <w:rsid w:val="7DB7DEEC"/>
    <w:rsid w:val="7DBE69C6"/>
    <w:rsid w:val="7DFD5C2B"/>
    <w:rsid w:val="7E45C2A9"/>
    <w:rsid w:val="7ED70D8A"/>
    <w:rsid w:val="7EEF14A6"/>
    <w:rsid w:val="7EF6091F"/>
    <w:rsid w:val="7EFFAF34"/>
    <w:rsid w:val="7F67FE07"/>
    <w:rsid w:val="7F7EB943"/>
    <w:rsid w:val="7F7F0718"/>
    <w:rsid w:val="7F7F6BC2"/>
    <w:rsid w:val="7F9EED94"/>
    <w:rsid w:val="7FB9D497"/>
    <w:rsid w:val="7FBF794C"/>
    <w:rsid w:val="7FBFFFBE"/>
    <w:rsid w:val="7FDFA112"/>
    <w:rsid w:val="7FF3D604"/>
    <w:rsid w:val="7FF6D8D8"/>
    <w:rsid w:val="7FF9E526"/>
    <w:rsid w:val="7FFB1CAD"/>
    <w:rsid w:val="7FFED94D"/>
    <w:rsid w:val="7FFF6302"/>
    <w:rsid w:val="89FF459F"/>
    <w:rsid w:val="8F6F0FCB"/>
    <w:rsid w:val="8F7FBCAB"/>
    <w:rsid w:val="9ADF3FCB"/>
    <w:rsid w:val="9B67832B"/>
    <w:rsid w:val="9D7D17B2"/>
    <w:rsid w:val="9F7B9A0E"/>
    <w:rsid w:val="9F9EA170"/>
    <w:rsid w:val="9FEE1CAA"/>
    <w:rsid w:val="AF2B9846"/>
    <w:rsid w:val="AF37C190"/>
    <w:rsid w:val="AFCAE1C4"/>
    <w:rsid w:val="AFDFC430"/>
    <w:rsid w:val="B7BF1BF9"/>
    <w:rsid w:val="BBFF6E2C"/>
    <w:rsid w:val="BDDF861E"/>
    <w:rsid w:val="BDF81268"/>
    <w:rsid w:val="BDFB2AF2"/>
    <w:rsid w:val="BEE74784"/>
    <w:rsid w:val="BEFE0ECA"/>
    <w:rsid w:val="BFEDF7EA"/>
    <w:rsid w:val="BFEFC854"/>
    <w:rsid w:val="C3B6F267"/>
    <w:rsid w:val="CA634127"/>
    <w:rsid w:val="CAF9B90E"/>
    <w:rsid w:val="CD5FA6A1"/>
    <w:rsid w:val="CFD7E06A"/>
    <w:rsid w:val="CFD8E3A1"/>
    <w:rsid w:val="D5E7C2E5"/>
    <w:rsid w:val="D78F0329"/>
    <w:rsid w:val="D7C6A07D"/>
    <w:rsid w:val="DABE4483"/>
    <w:rsid w:val="DAFFE97B"/>
    <w:rsid w:val="DBECA5B7"/>
    <w:rsid w:val="DD767C56"/>
    <w:rsid w:val="DF5B9748"/>
    <w:rsid w:val="DF9B6720"/>
    <w:rsid w:val="DFF2A343"/>
    <w:rsid w:val="DFFC250A"/>
    <w:rsid w:val="DFFD1658"/>
    <w:rsid w:val="E0FF1DA2"/>
    <w:rsid w:val="E3BBF3B8"/>
    <w:rsid w:val="E7FB4F07"/>
    <w:rsid w:val="E7FBD204"/>
    <w:rsid w:val="EAEFCC76"/>
    <w:rsid w:val="EAF6E4DF"/>
    <w:rsid w:val="EAFF6BE4"/>
    <w:rsid w:val="EED763E6"/>
    <w:rsid w:val="EF2777F2"/>
    <w:rsid w:val="EFAF9390"/>
    <w:rsid w:val="EFCB55F1"/>
    <w:rsid w:val="EFF6A1E6"/>
    <w:rsid w:val="EFFD90AE"/>
    <w:rsid w:val="EFFF6FDF"/>
    <w:rsid w:val="F3FFC8D4"/>
    <w:rsid w:val="F5FFE6B4"/>
    <w:rsid w:val="F77D7DCA"/>
    <w:rsid w:val="F77FE7D1"/>
    <w:rsid w:val="F7CFA9E0"/>
    <w:rsid w:val="F7D53015"/>
    <w:rsid w:val="F7F5F3F1"/>
    <w:rsid w:val="F7FF10C5"/>
    <w:rsid w:val="F7FF1581"/>
    <w:rsid w:val="F7FF6F87"/>
    <w:rsid w:val="F8E548C7"/>
    <w:rsid w:val="F9BF18D1"/>
    <w:rsid w:val="FA5D215A"/>
    <w:rsid w:val="FA711F80"/>
    <w:rsid w:val="FB3629E0"/>
    <w:rsid w:val="FB5DF0F5"/>
    <w:rsid w:val="FBCE3061"/>
    <w:rsid w:val="FBFB649E"/>
    <w:rsid w:val="FBFDCA73"/>
    <w:rsid w:val="FCD1CA28"/>
    <w:rsid w:val="FCFF5727"/>
    <w:rsid w:val="FD5218BF"/>
    <w:rsid w:val="FDAFD4E3"/>
    <w:rsid w:val="FDBB370D"/>
    <w:rsid w:val="FDECDD2B"/>
    <w:rsid w:val="FDF951FE"/>
    <w:rsid w:val="FDFE0FEB"/>
    <w:rsid w:val="FE1E539B"/>
    <w:rsid w:val="FE57056E"/>
    <w:rsid w:val="FE734801"/>
    <w:rsid w:val="FEC39D25"/>
    <w:rsid w:val="FED70525"/>
    <w:rsid w:val="FEEF3FDB"/>
    <w:rsid w:val="FF3517D5"/>
    <w:rsid w:val="FF5AB529"/>
    <w:rsid w:val="FF77755B"/>
    <w:rsid w:val="FFAF4254"/>
    <w:rsid w:val="FFDA5C67"/>
    <w:rsid w:val="FFDDBDA7"/>
    <w:rsid w:val="FFDFD4BB"/>
    <w:rsid w:val="FFECD278"/>
    <w:rsid w:val="FFEF33CE"/>
    <w:rsid w:val="FFEF3A6E"/>
    <w:rsid w:val="FFF603EE"/>
    <w:rsid w:val="FFFACB69"/>
    <w:rsid w:val="FFFCE759"/>
    <w:rsid w:val="FFFD3E42"/>
    <w:rsid w:val="FFFD7957"/>
    <w:rsid w:val="FFFD9D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48"/>
    <w:qFormat/>
    <w:uiPriority w:val="9"/>
    <w:pPr>
      <w:keepNext/>
      <w:keepLines/>
      <w:tabs>
        <w:tab w:val="right" w:leader="dot" w:pos="9060"/>
      </w:tabs>
      <w:spacing w:beforeAutospacing="1" w:after="120"/>
      <w:outlineLvl w:val="0"/>
    </w:pPr>
    <w:rPr>
      <w:rFonts w:ascii="Arial" w:hAnsi="Arial"/>
      <w:b/>
      <w:caps w:val="0"/>
      <w:kern w:val="44"/>
      <w:sz w:val="28"/>
      <w:szCs w:val="28"/>
    </w:rPr>
  </w:style>
  <w:style w:type="paragraph" w:styleId="4">
    <w:name w:val="heading 2"/>
    <w:basedOn w:val="1"/>
    <w:next w:val="1"/>
    <w:link w:val="35"/>
    <w:qFormat/>
    <w:uiPriority w:val="9"/>
    <w:pPr>
      <w:keepNext/>
      <w:keepLines/>
      <w:spacing w:before="120" w:after="120" w:line="415" w:lineRule="auto"/>
      <w:jc w:val="center"/>
      <w:outlineLvl w:val="1"/>
    </w:pPr>
    <w:rPr>
      <w:rFonts w:ascii="Arial" w:hAnsi="Arial"/>
      <w:b/>
      <w:color w:val="000000"/>
      <w:sz w:val="28"/>
      <w:szCs w:val="24"/>
    </w:rPr>
  </w:style>
  <w:style w:type="paragraph" w:styleId="5">
    <w:name w:val="heading 3"/>
    <w:basedOn w:val="1"/>
    <w:next w:val="1"/>
    <w:link w:val="36"/>
    <w:autoRedefine/>
    <w:qFormat/>
    <w:uiPriority w:val="9"/>
    <w:pPr>
      <w:widowControl/>
      <w:spacing w:before="100" w:beforeAutospacing="1" w:after="100" w:afterAutospacing="1"/>
      <w:jc w:val="left"/>
      <w:outlineLvl w:val="2"/>
    </w:pPr>
    <w:rPr>
      <w:rFonts w:ascii="宋体" w:hAnsi="宋体"/>
      <w:kern w:val="0"/>
      <w:sz w:val="27"/>
      <w:szCs w:val="27"/>
    </w:rPr>
  </w:style>
  <w:style w:type="paragraph" w:styleId="6">
    <w:name w:val="heading 4"/>
    <w:basedOn w:val="1"/>
    <w:next w:val="1"/>
    <w:link w:val="77"/>
    <w:semiHidden/>
    <w:unhideWhenUsed/>
    <w:qFormat/>
    <w:uiPriority w:val="0"/>
    <w:pPr>
      <w:keepNext w:val="0"/>
      <w:keepLines w:val="0"/>
      <w:widowControl/>
      <w:suppressLineNumbers w:val="0"/>
      <w:spacing w:before="0" w:beforeAutospacing="1" w:after="0" w:afterAutospacing="1"/>
      <w:ind w:left="0" w:right="0"/>
      <w:jc w:val="left"/>
      <w:outlineLvl w:val="3"/>
    </w:pPr>
    <w:rPr>
      <w:rFonts w:hint="eastAsia" w:ascii="宋体" w:hAnsi="宋体" w:eastAsia="宋体" w:cs="宋体"/>
      <w:b/>
      <w:kern w:val="0"/>
      <w:sz w:val="24"/>
      <w:szCs w:val="24"/>
      <w:lang w:val="en-US" w:eastAsia="zh-CN" w:bidi="ar"/>
    </w:rPr>
  </w:style>
  <w:style w:type="character" w:default="1" w:styleId="26">
    <w:name w:val="Default Paragraph Font"/>
    <w:semiHidden/>
    <w:unhideWhenUsed/>
    <w:qFormat/>
    <w:uiPriority w:val="1"/>
  </w:style>
  <w:style w:type="table" w:default="1" w:styleId="2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3">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s="Calibri"/>
      <w:caps/>
      <w:kern w:val="0"/>
      <w:sz w:val="24"/>
      <w:szCs w:val="32"/>
    </w:rPr>
  </w:style>
  <w:style w:type="paragraph" w:styleId="7">
    <w:name w:val="Normal Indent"/>
    <w:basedOn w:val="1"/>
    <w:next w:val="1"/>
    <w:autoRedefine/>
    <w:qFormat/>
    <w:uiPriority w:val="99"/>
    <w:pPr>
      <w:ind w:firstLine="420"/>
    </w:pPr>
    <w:rPr>
      <w:kern w:val="0"/>
      <w:sz w:val="20"/>
      <w:szCs w:val="20"/>
    </w:rPr>
  </w:style>
  <w:style w:type="paragraph" w:styleId="8">
    <w:name w:val="annotation text"/>
    <w:basedOn w:val="1"/>
    <w:link w:val="49"/>
    <w:autoRedefine/>
    <w:qFormat/>
    <w:uiPriority w:val="0"/>
    <w:pPr>
      <w:jc w:val="left"/>
    </w:pPr>
  </w:style>
  <w:style w:type="paragraph" w:styleId="9">
    <w:name w:val="Body Text"/>
    <w:basedOn w:val="1"/>
    <w:link w:val="37"/>
    <w:autoRedefine/>
    <w:qFormat/>
    <w:uiPriority w:val="99"/>
    <w:pPr>
      <w:spacing w:after="120"/>
    </w:pPr>
  </w:style>
  <w:style w:type="paragraph" w:styleId="10">
    <w:name w:val="Body Text Indent"/>
    <w:basedOn w:val="1"/>
    <w:next w:val="11"/>
    <w:link w:val="38"/>
    <w:autoRedefine/>
    <w:qFormat/>
    <w:uiPriority w:val="0"/>
    <w:pPr>
      <w:ind w:firstLine="570"/>
    </w:pPr>
    <w:rPr>
      <w:kern w:val="0"/>
      <w:sz w:val="28"/>
      <w:szCs w:val="20"/>
    </w:rPr>
  </w:style>
  <w:style w:type="paragraph" w:styleId="11">
    <w:name w:val="envelope return"/>
    <w:basedOn w:val="1"/>
    <w:autoRedefine/>
    <w:qFormat/>
    <w:uiPriority w:val="0"/>
    <w:pPr>
      <w:snapToGrid w:val="0"/>
    </w:pPr>
    <w:rPr>
      <w:rFonts w:ascii="Arial" w:hAnsi="Arial"/>
      <w:szCs w:val="24"/>
    </w:rPr>
  </w:style>
  <w:style w:type="paragraph" w:styleId="12">
    <w:name w:val="index 4"/>
    <w:basedOn w:val="1"/>
    <w:next w:val="1"/>
    <w:autoRedefine/>
    <w:unhideWhenUsed/>
    <w:qFormat/>
    <w:uiPriority w:val="99"/>
    <w:pPr>
      <w:ind w:left="600" w:leftChars="600"/>
    </w:pPr>
    <w:rPr>
      <w:rFonts w:ascii="Calibri" w:hAnsi="Calibri"/>
      <w:szCs w:val="21"/>
    </w:rPr>
  </w:style>
  <w:style w:type="paragraph" w:styleId="13">
    <w:name w:val="Plain Text"/>
    <w:basedOn w:val="1"/>
    <w:next w:val="1"/>
    <w:link w:val="51"/>
    <w:autoRedefine/>
    <w:qFormat/>
    <w:uiPriority w:val="99"/>
    <w:rPr>
      <w:rFonts w:ascii="宋体" w:hAnsi="Courier New"/>
      <w:kern w:val="0"/>
      <w:sz w:val="20"/>
      <w:szCs w:val="20"/>
    </w:rPr>
  </w:style>
  <w:style w:type="paragraph" w:styleId="14">
    <w:name w:val="Date"/>
    <w:basedOn w:val="1"/>
    <w:next w:val="1"/>
    <w:link w:val="52"/>
    <w:autoRedefine/>
    <w:unhideWhenUsed/>
    <w:qFormat/>
    <w:uiPriority w:val="99"/>
    <w:rPr>
      <w:rFonts w:ascii="Calibri" w:hAnsi="Calibri" w:cs="Calibri"/>
      <w:kern w:val="0"/>
      <w:sz w:val="20"/>
      <w:szCs w:val="20"/>
    </w:rPr>
  </w:style>
  <w:style w:type="paragraph" w:styleId="15">
    <w:name w:val="Balloon Text"/>
    <w:basedOn w:val="1"/>
    <w:link w:val="34"/>
    <w:autoRedefine/>
    <w:qFormat/>
    <w:uiPriority w:val="99"/>
    <w:rPr>
      <w:sz w:val="18"/>
      <w:szCs w:val="18"/>
    </w:rPr>
  </w:style>
  <w:style w:type="paragraph" w:styleId="16">
    <w:name w:val="footer"/>
    <w:basedOn w:val="1"/>
    <w:link w:val="39"/>
    <w:unhideWhenUsed/>
    <w:qFormat/>
    <w:uiPriority w:val="99"/>
    <w:pPr>
      <w:tabs>
        <w:tab w:val="center" w:pos="4153"/>
        <w:tab w:val="right" w:pos="8306"/>
      </w:tabs>
      <w:snapToGrid w:val="0"/>
      <w:jc w:val="left"/>
    </w:pPr>
    <w:rPr>
      <w:kern w:val="0"/>
      <w:sz w:val="18"/>
      <w:szCs w:val="18"/>
    </w:rPr>
  </w:style>
  <w:style w:type="paragraph" w:styleId="17">
    <w:name w:val="header"/>
    <w:basedOn w:val="1"/>
    <w:link w:val="40"/>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2"/>
    <w:basedOn w:val="1"/>
    <w:next w:val="1"/>
    <w:qFormat/>
    <w:uiPriority w:val="39"/>
    <w:pPr>
      <w:tabs>
        <w:tab w:val="right" w:leader="dot" w:pos="9060"/>
      </w:tabs>
      <w:snapToGrid w:val="0"/>
      <w:spacing w:line="360" w:lineRule="auto"/>
      <w:ind w:left="420" w:leftChars="200"/>
      <w:jc w:val="left"/>
    </w:pPr>
    <w:rPr>
      <w:rFonts w:cs="Calibri"/>
      <w:sz w:val="24"/>
      <w:szCs w:val="24"/>
    </w:rPr>
  </w:style>
  <w:style w:type="paragraph" w:styleId="19">
    <w:name w:val="Body Text 2"/>
    <w:basedOn w:val="1"/>
    <w:link w:val="56"/>
    <w:autoRedefine/>
    <w:unhideWhenUsed/>
    <w:qFormat/>
    <w:uiPriority w:val="99"/>
    <w:rPr>
      <w:rFonts w:hint="eastAsia" w:ascii="宋体" w:hAnsi="宋体" w:cs="Calibri"/>
      <w:kern w:val="0"/>
      <w:sz w:val="20"/>
      <w:szCs w:val="20"/>
      <w:u w:val="single"/>
    </w:rPr>
  </w:style>
  <w:style w:type="paragraph" w:styleId="20">
    <w:name w:val="Normal (Web)"/>
    <w:basedOn w:val="1"/>
    <w:autoRedefine/>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2"/>
      <w:lang w:val="en-US" w:eastAsia="zh-CN" w:bidi="ar"/>
    </w:rPr>
  </w:style>
  <w:style w:type="paragraph" w:styleId="21">
    <w:name w:val="Title"/>
    <w:basedOn w:val="1"/>
    <w:next w:val="1"/>
    <w:link w:val="57"/>
    <w:autoRedefine/>
    <w:qFormat/>
    <w:uiPriority w:val="10"/>
    <w:pPr>
      <w:spacing w:before="240" w:after="60"/>
      <w:jc w:val="center"/>
      <w:outlineLvl w:val="0"/>
    </w:pPr>
    <w:rPr>
      <w:rFonts w:ascii="Cambria" w:hAnsi="Cambria" w:cs="Calibri"/>
      <w:b/>
      <w:bCs/>
      <w:sz w:val="32"/>
      <w:szCs w:val="32"/>
    </w:rPr>
  </w:style>
  <w:style w:type="paragraph" w:styleId="22">
    <w:name w:val="Body Text First Indent"/>
    <w:basedOn w:val="9"/>
    <w:link w:val="41"/>
    <w:autoRedefine/>
    <w:qFormat/>
    <w:uiPriority w:val="99"/>
    <w:pPr>
      <w:ind w:firstLine="420"/>
    </w:pPr>
    <w:rPr>
      <w:rFonts w:ascii="Calibri" w:hAnsi="Calibri"/>
    </w:rPr>
  </w:style>
  <w:style w:type="paragraph" w:styleId="23">
    <w:name w:val="Body Text First Indent 2"/>
    <w:basedOn w:val="10"/>
    <w:link w:val="42"/>
    <w:autoRedefine/>
    <w:qFormat/>
    <w:uiPriority w:val="99"/>
    <w:pPr>
      <w:spacing w:after="120"/>
      <w:ind w:left="200" w:leftChars="200" w:firstLine="200" w:firstLineChars="200"/>
    </w:pPr>
    <w:rPr>
      <w:rFonts w:ascii="Calibri" w:hAnsi="Calibri"/>
      <w:color w:val="0D0D0D"/>
      <w:kern w:val="2"/>
      <w:sz w:val="21"/>
      <w:szCs w:val="24"/>
      <w:lang w:eastAsia="en-US"/>
    </w:rPr>
  </w:style>
  <w:style w:type="table" w:styleId="25">
    <w:name w:val="Table Grid"/>
    <w:basedOn w:val="24"/>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page number"/>
    <w:autoRedefine/>
    <w:qFormat/>
    <w:uiPriority w:val="0"/>
    <w:rPr>
      <w:rFonts w:ascii="Calibri" w:hAnsi="Calibri" w:eastAsia="宋体" w:cs="Times New Roman"/>
    </w:rPr>
  </w:style>
  <w:style w:type="character" w:styleId="29">
    <w:name w:val="Hyperlink"/>
    <w:autoRedefine/>
    <w:qFormat/>
    <w:uiPriority w:val="99"/>
    <w:rPr>
      <w:rFonts w:ascii="Calibri" w:hAnsi="Calibri" w:eastAsia="宋体" w:cs="Times New Roman"/>
      <w:color w:val="0000FF"/>
      <w:u w:val="single"/>
    </w:rPr>
  </w:style>
  <w:style w:type="character" w:styleId="30">
    <w:name w:val="annotation reference"/>
    <w:autoRedefine/>
    <w:unhideWhenUsed/>
    <w:qFormat/>
    <w:uiPriority w:val="0"/>
    <w:rPr>
      <w:sz w:val="21"/>
      <w:szCs w:val="21"/>
    </w:rPr>
  </w:style>
  <w:style w:type="paragraph" w:customStyle="1" w:styleId="31">
    <w:name w:val="章节三"/>
    <w:basedOn w:val="32"/>
    <w:next w:val="32"/>
    <w:autoRedefine/>
    <w:qFormat/>
    <w:uiPriority w:val="99"/>
    <w:pPr>
      <w:widowControl w:val="0"/>
      <w:spacing w:beforeLines="50" w:line="240" w:lineRule="auto"/>
      <w:ind w:firstLine="0" w:firstLineChars="0"/>
      <w:outlineLvl w:val="2"/>
    </w:pPr>
    <w:rPr>
      <w:rFonts w:ascii="黑体" w:hAnsi="宋体" w:eastAsia="黑体"/>
      <w:b/>
    </w:rPr>
  </w:style>
  <w:style w:type="paragraph" w:customStyle="1" w:styleId="32">
    <w:name w:val="文一"/>
    <w:link w:val="47"/>
    <w:autoRedefine/>
    <w:qFormat/>
    <w:uiPriority w:val="0"/>
    <w:pPr>
      <w:topLinePunct/>
      <w:adjustRightInd w:val="0"/>
      <w:snapToGrid w:val="0"/>
      <w:spacing w:line="360" w:lineRule="auto"/>
      <w:ind w:firstLine="200" w:firstLineChars="200"/>
    </w:pPr>
    <w:rPr>
      <w:rFonts w:ascii="Times New Roman" w:hAnsi="Times New Roman" w:eastAsia="Times New Roman" w:cs="Times New Roman"/>
      <w:snapToGrid w:val="0"/>
      <w:spacing w:val="4"/>
      <w:kern w:val="2"/>
      <w:sz w:val="24"/>
      <w:szCs w:val="24"/>
      <w:lang w:val="en-US" w:eastAsia="zh-CN" w:bidi="ar-SA"/>
    </w:rPr>
  </w:style>
  <w:style w:type="paragraph" w:customStyle="1" w:styleId="33">
    <w:name w:val="正文1"/>
    <w:basedOn w:val="1"/>
    <w:autoRedefine/>
    <w:qFormat/>
    <w:uiPriority w:val="0"/>
    <w:pPr>
      <w:spacing w:line="360" w:lineRule="auto"/>
      <w:ind w:firstLine="200" w:firstLineChars="200"/>
      <w:jc w:val="left"/>
    </w:pPr>
    <w:rPr>
      <w:rFonts w:ascii="Calibri" w:hAnsi="Calibri"/>
      <w:sz w:val="24"/>
    </w:rPr>
  </w:style>
  <w:style w:type="character" w:customStyle="1" w:styleId="34">
    <w:name w:val="批注框文本 Char"/>
    <w:basedOn w:val="26"/>
    <w:link w:val="15"/>
    <w:autoRedefine/>
    <w:qFormat/>
    <w:uiPriority w:val="99"/>
    <w:rPr>
      <w:rFonts w:ascii="Times New Roman" w:hAnsi="Times New Roman" w:cs="Times New Roman"/>
      <w:kern w:val="2"/>
      <w:sz w:val="18"/>
      <w:szCs w:val="18"/>
    </w:rPr>
  </w:style>
  <w:style w:type="character" w:customStyle="1" w:styleId="35">
    <w:name w:val="标题 2 Char"/>
    <w:link w:val="4"/>
    <w:autoRedefine/>
    <w:qFormat/>
    <w:uiPriority w:val="0"/>
    <w:rPr>
      <w:rFonts w:ascii="Arial" w:hAnsi="Arial" w:cs="Times New Roman"/>
      <w:b/>
      <w:color w:val="000000"/>
      <w:kern w:val="2"/>
      <w:sz w:val="28"/>
      <w:szCs w:val="24"/>
    </w:rPr>
  </w:style>
  <w:style w:type="character" w:customStyle="1" w:styleId="36">
    <w:name w:val="标题 3 Char"/>
    <w:link w:val="5"/>
    <w:autoRedefine/>
    <w:qFormat/>
    <w:uiPriority w:val="0"/>
    <w:rPr>
      <w:rFonts w:ascii="宋体" w:hAnsi="宋体" w:cs="Times New Roman"/>
      <w:sz w:val="27"/>
      <w:szCs w:val="27"/>
    </w:rPr>
  </w:style>
  <w:style w:type="character" w:customStyle="1" w:styleId="37">
    <w:name w:val="正文文本 Char"/>
    <w:link w:val="9"/>
    <w:autoRedefine/>
    <w:qFormat/>
    <w:uiPriority w:val="0"/>
    <w:rPr>
      <w:rFonts w:ascii="Times New Roman" w:hAnsi="Times New Roman" w:cs="Times New Roman"/>
      <w:kern w:val="2"/>
      <w:sz w:val="21"/>
      <w:szCs w:val="22"/>
    </w:rPr>
  </w:style>
  <w:style w:type="character" w:customStyle="1" w:styleId="38">
    <w:name w:val="正文文本缩进 Char"/>
    <w:basedOn w:val="26"/>
    <w:link w:val="10"/>
    <w:autoRedefine/>
    <w:qFormat/>
    <w:uiPriority w:val="0"/>
    <w:rPr>
      <w:rFonts w:ascii="Times New Roman" w:hAnsi="Times New Roman" w:cs="Times New Roman"/>
      <w:sz w:val="28"/>
    </w:rPr>
  </w:style>
  <w:style w:type="character" w:customStyle="1" w:styleId="39">
    <w:name w:val="页脚 Char"/>
    <w:link w:val="16"/>
    <w:autoRedefine/>
    <w:qFormat/>
    <w:uiPriority w:val="99"/>
    <w:rPr>
      <w:rFonts w:ascii="Times New Roman" w:hAnsi="Times New Roman" w:cs="Times New Roman"/>
      <w:sz w:val="18"/>
      <w:szCs w:val="18"/>
    </w:rPr>
  </w:style>
  <w:style w:type="character" w:customStyle="1" w:styleId="40">
    <w:name w:val="页眉 Char"/>
    <w:link w:val="17"/>
    <w:autoRedefine/>
    <w:qFormat/>
    <w:uiPriority w:val="0"/>
    <w:rPr>
      <w:rFonts w:ascii="Times New Roman" w:hAnsi="Times New Roman" w:cs="Times New Roman"/>
      <w:sz w:val="18"/>
      <w:szCs w:val="18"/>
    </w:rPr>
  </w:style>
  <w:style w:type="character" w:customStyle="1" w:styleId="41">
    <w:name w:val="正文首行缩进 Char"/>
    <w:basedOn w:val="37"/>
    <w:link w:val="22"/>
    <w:autoRedefine/>
    <w:qFormat/>
    <w:uiPriority w:val="0"/>
    <w:rPr>
      <w:rFonts w:ascii="Times New Roman" w:hAnsi="Times New Roman" w:cs="Times New Roman"/>
      <w:kern w:val="2"/>
      <w:sz w:val="21"/>
      <w:szCs w:val="22"/>
    </w:rPr>
  </w:style>
  <w:style w:type="character" w:customStyle="1" w:styleId="42">
    <w:name w:val="正文首行缩进 2 Char"/>
    <w:basedOn w:val="38"/>
    <w:link w:val="23"/>
    <w:autoRedefine/>
    <w:qFormat/>
    <w:uiPriority w:val="0"/>
    <w:rPr>
      <w:rFonts w:ascii="Times New Roman" w:hAnsi="Times New Roman" w:cs="Times New Roman"/>
      <w:color w:val="0D0D0D"/>
      <w:kern w:val="2"/>
      <w:sz w:val="21"/>
      <w:szCs w:val="24"/>
      <w:lang w:eastAsia="en-US"/>
    </w:rPr>
  </w:style>
  <w:style w:type="character" w:customStyle="1" w:styleId="43">
    <w:name w:val="font11"/>
    <w:autoRedefine/>
    <w:qFormat/>
    <w:uiPriority w:val="0"/>
    <w:rPr>
      <w:rFonts w:hint="eastAsia" w:ascii="仿宋" w:hAnsi="仿宋" w:eastAsia="仿宋" w:cs="仿宋"/>
      <w:b/>
      <w:color w:val="000000"/>
      <w:sz w:val="28"/>
      <w:szCs w:val="28"/>
      <w:u w:val="none"/>
    </w:rPr>
  </w:style>
  <w:style w:type="character" w:customStyle="1" w:styleId="44">
    <w:name w:val="font21"/>
    <w:autoRedefine/>
    <w:qFormat/>
    <w:uiPriority w:val="0"/>
    <w:rPr>
      <w:rFonts w:hint="eastAsia" w:ascii="仿宋" w:hAnsi="仿宋" w:eastAsia="仿宋" w:cs="仿宋"/>
      <w:b/>
      <w:color w:val="000000"/>
      <w:sz w:val="28"/>
      <w:szCs w:val="28"/>
      <w:u w:val="none"/>
    </w:rPr>
  </w:style>
  <w:style w:type="paragraph" w:customStyle="1" w:styleId="45">
    <w:name w:val="正题"/>
    <w:basedOn w:val="32"/>
    <w:next w:val="32"/>
    <w:autoRedefine/>
    <w:qFormat/>
    <w:uiPriority w:val="0"/>
    <w:pPr>
      <w:spacing w:after="200"/>
      <w:ind w:firstLine="0" w:firstLineChars="0"/>
      <w:jc w:val="center"/>
    </w:pPr>
    <w:rPr>
      <w:rFonts w:eastAsia="黑体"/>
      <w:b/>
      <w:snapToGrid/>
      <w:kern w:val="0"/>
      <w:sz w:val="36"/>
      <w:szCs w:val="36"/>
    </w:rPr>
  </w:style>
  <w:style w:type="paragraph" w:styleId="46">
    <w:name w:val="List Paragraph"/>
    <w:basedOn w:val="1"/>
    <w:autoRedefine/>
    <w:qFormat/>
    <w:uiPriority w:val="0"/>
    <w:pPr>
      <w:ind w:firstLine="420" w:firstLineChars="200"/>
    </w:pPr>
    <w:rPr>
      <w:szCs w:val="20"/>
    </w:rPr>
  </w:style>
  <w:style w:type="character" w:customStyle="1" w:styleId="47">
    <w:name w:val="文一 Char"/>
    <w:link w:val="32"/>
    <w:autoRedefine/>
    <w:qFormat/>
    <w:uiPriority w:val="0"/>
    <w:rPr>
      <w:rFonts w:ascii="Times New Roman" w:hAnsi="Times New Roman" w:eastAsia="Times New Roman" w:cs="Times New Roman"/>
      <w:snapToGrid w:val="0"/>
      <w:spacing w:val="4"/>
      <w:kern w:val="2"/>
      <w:sz w:val="24"/>
      <w:szCs w:val="24"/>
    </w:rPr>
  </w:style>
  <w:style w:type="character" w:customStyle="1" w:styleId="48">
    <w:name w:val="标题 1 Char"/>
    <w:basedOn w:val="26"/>
    <w:link w:val="2"/>
    <w:autoRedefine/>
    <w:qFormat/>
    <w:uiPriority w:val="9"/>
    <w:rPr>
      <w:rFonts w:ascii="Arial" w:hAnsi="Arial"/>
      <w:b/>
      <w:kern w:val="44"/>
      <w:sz w:val="28"/>
      <w:szCs w:val="28"/>
    </w:rPr>
  </w:style>
  <w:style w:type="character" w:customStyle="1" w:styleId="49">
    <w:name w:val="批注文字 Char"/>
    <w:link w:val="8"/>
    <w:autoRedefine/>
    <w:qFormat/>
    <w:uiPriority w:val="0"/>
    <w:rPr>
      <w:rFonts w:ascii="Times New Roman" w:hAnsi="Times New Roman" w:cs="Times New Roman"/>
      <w:kern w:val="2"/>
      <w:sz w:val="21"/>
      <w:szCs w:val="22"/>
    </w:rPr>
  </w:style>
  <w:style w:type="character" w:customStyle="1" w:styleId="50">
    <w:name w:val="正文文本 Char1"/>
    <w:autoRedefine/>
    <w:semiHidden/>
    <w:qFormat/>
    <w:uiPriority w:val="99"/>
    <w:rPr>
      <w:rFonts w:ascii="Calibri" w:hAnsi="Calibri" w:eastAsia="宋体" w:cs="Times New Roman"/>
    </w:rPr>
  </w:style>
  <w:style w:type="character" w:customStyle="1" w:styleId="51">
    <w:name w:val="纯文本 Char1"/>
    <w:link w:val="13"/>
    <w:autoRedefine/>
    <w:qFormat/>
    <w:uiPriority w:val="99"/>
    <w:rPr>
      <w:rFonts w:ascii="宋体" w:hAnsi="Courier New" w:cs="Times New Roman"/>
    </w:rPr>
  </w:style>
  <w:style w:type="character" w:customStyle="1" w:styleId="52">
    <w:name w:val="日期 Char"/>
    <w:basedOn w:val="26"/>
    <w:link w:val="14"/>
    <w:autoRedefine/>
    <w:qFormat/>
    <w:uiPriority w:val="99"/>
  </w:style>
  <w:style w:type="character" w:customStyle="1" w:styleId="53">
    <w:name w:val="批注框文本 Char1"/>
    <w:autoRedefine/>
    <w:semiHidden/>
    <w:qFormat/>
    <w:uiPriority w:val="99"/>
    <w:rPr>
      <w:rFonts w:ascii="Calibri" w:hAnsi="Calibri" w:eastAsia="宋体" w:cs="Times New Roman"/>
      <w:sz w:val="18"/>
      <w:szCs w:val="18"/>
    </w:rPr>
  </w:style>
  <w:style w:type="character" w:customStyle="1" w:styleId="54">
    <w:name w:val="页脚 Char1"/>
    <w:autoRedefine/>
    <w:semiHidden/>
    <w:qFormat/>
    <w:uiPriority w:val="99"/>
    <w:rPr>
      <w:rFonts w:ascii="Calibri" w:hAnsi="Calibri" w:eastAsia="宋体" w:cs="Times New Roman"/>
      <w:sz w:val="18"/>
      <w:szCs w:val="18"/>
    </w:rPr>
  </w:style>
  <w:style w:type="character" w:customStyle="1" w:styleId="55">
    <w:name w:val="页眉 Char1"/>
    <w:autoRedefine/>
    <w:semiHidden/>
    <w:qFormat/>
    <w:uiPriority w:val="99"/>
    <w:rPr>
      <w:rFonts w:ascii="Calibri" w:hAnsi="Calibri" w:eastAsia="宋体" w:cs="Times New Roman"/>
      <w:sz w:val="18"/>
      <w:szCs w:val="18"/>
    </w:rPr>
  </w:style>
  <w:style w:type="character" w:customStyle="1" w:styleId="56">
    <w:name w:val="正文文本 2 Char"/>
    <w:basedOn w:val="26"/>
    <w:link w:val="19"/>
    <w:autoRedefine/>
    <w:qFormat/>
    <w:uiPriority w:val="99"/>
    <w:rPr>
      <w:rFonts w:ascii="宋体" w:hAnsi="宋体"/>
      <w:u w:val="single"/>
    </w:rPr>
  </w:style>
  <w:style w:type="character" w:customStyle="1" w:styleId="57">
    <w:name w:val="标题 Char"/>
    <w:basedOn w:val="26"/>
    <w:link w:val="21"/>
    <w:autoRedefine/>
    <w:qFormat/>
    <w:uiPriority w:val="10"/>
    <w:rPr>
      <w:rFonts w:ascii="Cambria" w:hAnsi="Cambria"/>
      <w:b/>
      <w:bCs/>
      <w:kern w:val="2"/>
      <w:sz w:val="32"/>
      <w:szCs w:val="32"/>
    </w:rPr>
  </w:style>
  <w:style w:type="character" w:customStyle="1" w:styleId="58">
    <w:name w:val="正文首行缩进 Char1"/>
    <w:autoRedefine/>
    <w:semiHidden/>
    <w:qFormat/>
    <w:uiPriority w:val="99"/>
    <w:rPr>
      <w:rFonts w:ascii="Calibri" w:hAnsi="Calibri" w:eastAsia="宋体" w:cs="Times New Roman"/>
    </w:rPr>
  </w:style>
  <w:style w:type="character" w:customStyle="1" w:styleId="59">
    <w:name w:val="纯文本 Char"/>
    <w:autoRedefine/>
    <w:qFormat/>
    <w:uiPriority w:val="99"/>
    <w:rPr>
      <w:rFonts w:ascii="宋体" w:hAnsi="Courier New"/>
      <w:kern w:val="2"/>
      <w:sz w:val="21"/>
    </w:rPr>
  </w:style>
  <w:style w:type="character" w:customStyle="1" w:styleId="60">
    <w:name w:val="15"/>
    <w:autoRedefine/>
    <w:qFormat/>
    <w:uiPriority w:val="0"/>
    <w:rPr>
      <w:rFonts w:hint="default" w:ascii="Times New Roman" w:hAnsi="Times New Roman" w:cs="Times New Roman"/>
      <w:color w:val="0000FF"/>
      <w:u w:val="single"/>
    </w:rPr>
  </w:style>
  <w:style w:type="character" w:customStyle="1" w:styleId="61">
    <w:name w:val="标题 Char2"/>
    <w:autoRedefine/>
    <w:qFormat/>
    <w:uiPriority w:val="0"/>
    <w:rPr>
      <w:rFonts w:ascii="Cambria" w:hAnsi="Cambria" w:eastAsia="宋体" w:cs="Times New Roman"/>
      <w:b/>
      <w:bCs/>
      <w:kern w:val="2"/>
      <w:sz w:val="32"/>
      <w:szCs w:val="32"/>
    </w:rPr>
  </w:style>
  <w:style w:type="character" w:customStyle="1" w:styleId="62">
    <w:name w:val="17"/>
    <w:autoRedefine/>
    <w:qFormat/>
    <w:uiPriority w:val="0"/>
    <w:rPr>
      <w:rFonts w:hint="default" w:ascii="Times New Roman" w:hAnsi="Times New Roman" w:cs="Times New Roman"/>
    </w:rPr>
  </w:style>
  <w:style w:type="character" w:customStyle="1" w:styleId="63">
    <w:name w:val="样式1 Char Char"/>
    <w:link w:val="64"/>
    <w:autoRedefine/>
    <w:qFormat/>
    <w:locked/>
    <w:uiPriority w:val="0"/>
    <w:rPr>
      <w:rFonts w:ascii="Cambria" w:hAnsi="Arial" w:eastAsia="黑体"/>
      <w:b/>
      <w:bCs/>
      <w:kern w:val="2"/>
      <w:sz w:val="32"/>
      <w:szCs w:val="32"/>
    </w:rPr>
  </w:style>
  <w:style w:type="paragraph" w:customStyle="1" w:styleId="64">
    <w:name w:val="样式1"/>
    <w:basedOn w:val="21"/>
    <w:link w:val="63"/>
    <w:autoRedefine/>
    <w:qFormat/>
    <w:uiPriority w:val="0"/>
    <w:pPr>
      <w:numPr>
        <w:ilvl w:val="0"/>
        <w:numId w:val="1"/>
      </w:numPr>
      <w:tabs>
        <w:tab w:val="left" w:pos="1271"/>
        <w:tab w:val="clear" w:pos="1260"/>
      </w:tabs>
      <w:spacing w:line="560" w:lineRule="exact"/>
      <w:jc w:val="left"/>
    </w:pPr>
    <w:rPr>
      <w:rFonts w:hAnsi="Arial" w:eastAsia="黑体"/>
    </w:rPr>
  </w:style>
  <w:style w:type="character" w:customStyle="1" w:styleId="65">
    <w:name w:val="16"/>
    <w:autoRedefine/>
    <w:qFormat/>
    <w:uiPriority w:val="0"/>
    <w:rPr>
      <w:rFonts w:hint="eastAsia" w:ascii="宋体" w:hAnsi="宋体" w:eastAsia="宋体" w:cs="宋体"/>
      <w:color w:val="000000"/>
      <w:sz w:val="20"/>
      <w:szCs w:val="20"/>
    </w:rPr>
  </w:style>
  <w:style w:type="paragraph" w:customStyle="1" w:styleId="66">
    <w:name w:val="文二"/>
    <w:basedOn w:val="1"/>
    <w:autoRedefine/>
    <w:qFormat/>
    <w:uiPriority w:val="0"/>
    <w:pPr>
      <w:widowControl/>
      <w:spacing w:after="200" w:line="276" w:lineRule="auto"/>
      <w:jc w:val="left"/>
    </w:pPr>
    <w:rPr>
      <w:rFonts w:ascii="宋体" w:hAnsi="宋体" w:cs="Calibri"/>
      <w:kern w:val="0"/>
      <w:sz w:val="22"/>
      <w:szCs w:val="21"/>
      <w:lang w:eastAsia="en-US" w:bidi="en-US"/>
    </w:rPr>
  </w:style>
  <w:style w:type="paragraph" w:customStyle="1" w:styleId="67">
    <w:name w:val="Table Paragraph"/>
    <w:basedOn w:val="1"/>
    <w:autoRedefine/>
    <w:qFormat/>
    <w:uiPriority w:val="0"/>
    <w:pPr>
      <w:spacing w:before="26" w:line="208" w:lineRule="exact"/>
    </w:pPr>
    <w:rPr>
      <w:rFonts w:ascii="仿宋_GB2312" w:hAnsi="仿宋_GB2312" w:eastAsia="仿宋_GB2312" w:cs="仿宋_GB2312"/>
    </w:rPr>
  </w:style>
  <w:style w:type="paragraph" w:customStyle="1" w:styleId="68">
    <w:name w:val="表格文字"/>
    <w:basedOn w:val="1"/>
    <w:autoRedefine/>
    <w:qFormat/>
    <w:uiPriority w:val="0"/>
    <w:pPr>
      <w:adjustRightInd w:val="0"/>
      <w:spacing w:line="420" w:lineRule="atLeast"/>
      <w:jc w:val="left"/>
      <w:textAlignment w:val="baseline"/>
    </w:pPr>
    <w:rPr>
      <w:rFonts w:ascii="Calibri" w:hAnsi="Calibri" w:cs="Calibri"/>
      <w:kern w:val="0"/>
      <w:szCs w:val="21"/>
    </w:rPr>
  </w:style>
  <w:style w:type="paragraph" w:customStyle="1" w:styleId="69">
    <w:name w:val="公文正文"/>
    <w:autoRedefine/>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customStyle="1" w:styleId="70">
    <w:name w:val="发文落款"/>
    <w:basedOn w:val="69"/>
    <w:autoRedefine/>
    <w:qFormat/>
    <w:uiPriority w:val="0"/>
    <w:pPr>
      <w:ind w:left="4094" w:right="607" w:firstLine="0"/>
      <w:jc w:val="center"/>
    </w:pPr>
  </w:style>
  <w:style w:type="paragraph" w:customStyle="1" w:styleId="71">
    <w:name w:val="正文 New New"/>
    <w:basedOn w:val="1"/>
    <w:autoRedefine/>
    <w:qFormat/>
    <w:uiPriority w:val="0"/>
    <w:rPr>
      <w:rFonts w:ascii="Calibri" w:hAnsi="Calibri" w:eastAsia="楷体_GB2312" w:cs="宋体"/>
      <w:szCs w:val="21"/>
    </w:rPr>
  </w:style>
  <w:style w:type="paragraph" w:customStyle="1" w:styleId="72">
    <w:name w:val="章节二"/>
    <w:basedOn w:val="1"/>
    <w:next w:val="1"/>
    <w:autoRedefine/>
    <w:qFormat/>
    <w:uiPriority w:val="0"/>
    <w:pPr>
      <w:topLinePunct/>
      <w:adjustRightInd w:val="0"/>
      <w:snapToGrid w:val="0"/>
      <w:spacing w:beforeLines="50"/>
      <w:jc w:val="center"/>
      <w:outlineLvl w:val="1"/>
    </w:pPr>
    <w:rPr>
      <w:rFonts w:eastAsia="黑体" w:cs="Calibri"/>
      <w:b/>
      <w:spacing w:val="4"/>
      <w:kern w:val="0"/>
      <w:sz w:val="30"/>
      <w:szCs w:val="30"/>
    </w:rPr>
  </w:style>
  <w:style w:type="paragraph" w:customStyle="1" w:styleId="73">
    <w:name w:val="Revision"/>
    <w:autoRedefine/>
    <w:unhideWhenUsed/>
    <w:qFormat/>
    <w:uiPriority w:val="99"/>
    <w:rPr>
      <w:rFonts w:ascii="Calibri" w:hAnsi="Calibri" w:eastAsia="宋体" w:cs="Calibri"/>
      <w:kern w:val="2"/>
      <w:sz w:val="21"/>
      <w:szCs w:val="22"/>
      <w:lang w:val="en-US" w:eastAsia="zh-CN" w:bidi="ar-SA"/>
    </w:rPr>
  </w:style>
  <w:style w:type="paragraph" w:customStyle="1" w:styleId="74">
    <w:name w:val="Default"/>
    <w:next w:val="1"/>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75">
    <w:name w:val="正文文本3"/>
    <w:basedOn w:val="1"/>
    <w:autoRedefine/>
    <w:qFormat/>
    <w:uiPriority w:val="0"/>
    <w:pPr>
      <w:shd w:val="clear" w:color="auto" w:fill="FFFFFF"/>
      <w:spacing w:line="0" w:lineRule="atLeast"/>
      <w:jc w:val="left"/>
    </w:pPr>
    <w:rPr>
      <w:rFonts w:hint="eastAsia" w:ascii="宋体" w:hAnsi="宋体" w:cs="Calibri"/>
      <w:kern w:val="0"/>
      <w:sz w:val="19"/>
      <w:szCs w:val="19"/>
    </w:rPr>
  </w:style>
  <w:style w:type="table" w:customStyle="1" w:styleId="76">
    <w:name w:val="Table Normal"/>
    <w:autoRedefine/>
    <w:unhideWhenUsed/>
    <w:qFormat/>
    <w:uiPriority w:val="0"/>
    <w:tblPr>
      <w:tblCellMar>
        <w:top w:w="0" w:type="dxa"/>
        <w:left w:w="0" w:type="dxa"/>
        <w:bottom w:w="0" w:type="dxa"/>
        <w:right w:w="0" w:type="dxa"/>
      </w:tblCellMar>
    </w:tblPr>
  </w:style>
  <w:style w:type="character" w:customStyle="1" w:styleId="77">
    <w:name w:val="标题 4 Char"/>
    <w:basedOn w:val="26"/>
    <w:link w:val="6"/>
    <w:autoRedefine/>
    <w:qFormat/>
    <w:uiPriority w:val="0"/>
    <w:rPr>
      <w:rFonts w:hint="eastAsia" w:ascii="宋体" w:hAnsi="宋体" w:eastAsia="宋体" w:cs="宋体"/>
      <w:b/>
      <w:sz w:val="24"/>
      <w:szCs w:val="24"/>
    </w:rPr>
  </w:style>
  <w:style w:type="character" w:customStyle="1" w:styleId="78">
    <w:name w:val="font01"/>
    <w:basedOn w:val="2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138483</Words>
  <Characters>144763</Characters>
  <Lines>1</Lines>
  <Paragraphs>1</Paragraphs>
  <TotalTime>13</TotalTime>
  <ScaleCrop>false</ScaleCrop>
  <LinksUpToDate>false</LinksUpToDate>
  <CharactersWithSpaces>149911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2023-12-18T07:19:00Z</dcterms:created>
  <dc:creator>植暇荒宰募</dc:creator>
  <cp:lastModifiedBy>省机电</cp:lastModifiedBy>
  <dcterms:modified xsi:type="dcterms:W3CDTF">2024-05-16T05:14:52Z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E298BF3D1365470CA8A01BEF1A9733A2</vt:lpwstr>
  </property>
</Properties>
</file>