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eastAsia="宋体"/>
          <w:b/>
          <w:color w:val="auto"/>
          <w:sz w:val="44"/>
          <w:szCs w:val="44"/>
          <w:highlight w:val="none"/>
          <w:lang w:val="en-US" w:eastAsia="zh-CN"/>
        </w:rPr>
      </w:pPr>
    </w:p>
    <w:p>
      <w:pPr>
        <w:pStyle w:val="12"/>
        <w:rPr>
          <w:color w:val="auto"/>
          <w:highlight w:val="none"/>
        </w:rPr>
      </w:pPr>
    </w:p>
    <w:p>
      <w:pPr>
        <w:autoSpaceDE w:val="0"/>
        <w:autoSpaceDN w:val="0"/>
        <w:adjustRightInd w:val="0"/>
        <w:jc w:val="center"/>
        <w:rPr>
          <w:rFonts w:hint="eastAsia"/>
          <w:b/>
          <w:color w:val="auto"/>
          <w:sz w:val="44"/>
          <w:szCs w:val="44"/>
          <w:highlight w:val="none"/>
          <w:lang w:eastAsia="zh-CN"/>
        </w:rPr>
      </w:pPr>
      <w:r>
        <w:rPr>
          <w:rFonts w:hint="eastAsia"/>
          <w:b/>
          <w:color w:val="auto"/>
          <w:sz w:val="44"/>
          <w:szCs w:val="44"/>
          <w:highlight w:val="none"/>
          <w:lang w:eastAsia="zh-CN"/>
        </w:rPr>
        <w:t>佛山照明禅城总部厂区（中区、北区）地块</w:t>
      </w:r>
    </w:p>
    <w:p>
      <w:pPr>
        <w:autoSpaceDE w:val="0"/>
        <w:autoSpaceDN w:val="0"/>
        <w:adjustRightInd w:val="0"/>
        <w:jc w:val="center"/>
        <w:rPr>
          <w:rFonts w:hint="eastAsia" w:eastAsia="宋体"/>
          <w:b/>
          <w:color w:val="auto"/>
          <w:sz w:val="44"/>
          <w:szCs w:val="44"/>
          <w:highlight w:val="none"/>
          <w:lang w:eastAsia="zh-CN"/>
        </w:rPr>
      </w:pPr>
      <w:r>
        <w:rPr>
          <w:rFonts w:hint="eastAsia"/>
          <w:b/>
          <w:color w:val="auto"/>
          <w:sz w:val="44"/>
          <w:szCs w:val="44"/>
          <w:highlight w:val="none"/>
          <w:lang w:eastAsia="zh-CN"/>
        </w:rPr>
        <w:t>土壤修复效果评估服务</w:t>
      </w:r>
    </w:p>
    <w:p>
      <w:pPr>
        <w:autoSpaceDE w:val="0"/>
        <w:autoSpaceDN w:val="0"/>
        <w:adjustRightInd w:val="0"/>
        <w:jc w:val="center"/>
        <w:rPr>
          <w:b/>
          <w:color w:val="auto"/>
          <w:sz w:val="44"/>
          <w:szCs w:val="44"/>
          <w:highlight w:val="none"/>
        </w:rPr>
      </w:pPr>
    </w:p>
    <w:p>
      <w:pPr>
        <w:pStyle w:val="3"/>
        <w:rPr>
          <w:color w:val="auto"/>
          <w:highlight w:val="none"/>
        </w:rPr>
      </w:pPr>
    </w:p>
    <w:p>
      <w:pPr>
        <w:pStyle w:val="5"/>
        <w:rPr>
          <w:color w:val="auto"/>
          <w:highlight w:val="none"/>
        </w:rPr>
      </w:pPr>
    </w:p>
    <w:p>
      <w:pPr>
        <w:spacing w:line="400" w:lineRule="exact"/>
        <w:rPr>
          <w:color w:val="auto"/>
          <w:highlight w:val="none"/>
        </w:rPr>
      </w:pPr>
    </w:p>
    <w:p>
      <w:pPr>
        <w:pStyle w:val="12"/>
        <w:rPr>
          <w:color w:val="auto"/>
          <w:highlight w:val="none"/>
        </w:rPr>
      </w:pPr>
    </w:p>
    <w:p>
      <w:pPr>
        <w:rPr>
          <w:color w:val="auto"/>
          <w:highlight w:val="none"/>
        </w:rPr>
      </w:pPr>
    </w:p>
    <w:p>
      <w:pPr>
        <w:spacing w:line="400" w:lineRule="exact"/>
        <w:jc w:val="right"/>
        <w:rPr>
          <w:color w:val="auto"/>
          <w:highlight w:val="none"/>
        </w:rPr>
      </w:pPr>
    </w:p>
    <w:p>
      <w:pPr>
        <w:pStyle w:val="12"/>
        <w:rPr>
          <w:color w:val="auto"/>
          <w:highlight w:val="none"/>
        </w:rPr>
      </w:pPr>
    </w:p>
    <w:p>
      <w:pPr>
        <w:rPr>
          <w:color w:val="auto"/>
          <w:highlight w:val="none"/>
        </w:rPr>
      </w:pPr>
    </w:p>
    <w:p>
      <w:pPr>
        <w:pStyle w:val="12"/>
        <w:rPr>
          <w:color w:val="auto"/>
          <w:highlight w:val="none"/>
        </w:rPr>
      </w:pPr>
    </w:p>
    <w:p>
      <w:pPr>
        <w:rPr>
          <w:color w:val="auto"/>
          <w:sz w:val="28"/>
          <w:szCs w:val="28"/>
          <w:highlight w:val="none"/>
        </w:rPr>
      </w:pPr>
    </w:p>
    <w:p>
      <w:pPr>
        <w:rPr>
          <w:color w:val="auto"/>
          <w:sz w:val="28"/>
          <w:highlight w:val="none"/>
        </w:rPr>
      </w:pPr>
    </w:p>
    <w:p>
      <w:pPr>
        <w:jc w:val="center"/>
        <w:rPr>
          <w:rFonts w:eastAsia="黑体"/>
          <w:color w:val="auto"/>
          <w:sz w:val="84"/>
          <w:szCs w:val="84"/>
          <w:highlight w:val="none"/>
        </w:rPr>
      </w:pPr>
      <w:r>
        <w:rPr>
          <w:rFonts w:eastAsia="黑体"/>
          <w:color w:val="auto"/>
          <w:sz w:val="84"/>
          <w:szCs w:val="84"/>
          <w:highlight w:val="none"/>
        </w:rPr>
        <w:t>招</w:t>
      </w:r>
      <w:r>
        <w:rPr>
          <w:rFonts w:hint="eastAsia" w:eastAsia="黑体"/>
          <w:color w:val="auto"/>
          <w:sz w:val="84"/>
          <w:szCs w:val="84"/>
          <w:highlight w:val="none"/>
        </w:rPr>
        <w:t xml:space="preserve"> </w:t>
      </w:r>
      <w:r>
        <w:rPr>
          <w:rFonts w:eastAsia="黑体"/>
          <w:color w:val="auto"/>
          <w:sz w:val="84"/>
          <w:szCs w:val="84"/>
          <w:highlight w:val="none"/>
        </w:rPr>
        <w:t>标</w:t>
      </w:r>
      <w:r>
        <w:rPr>
          <w:rFonts w:hint="eastAsia" w:eastAsia="黑体"/>
          <w:color w:val="auto"/>
          <w:sz w:val="84"/>
          <w:szCs w:val="84"/>
          <w:highlight w:val="none"/>
        </w:rPr>
        <w:t xml:space="preserve"> 公 告</w:t>
      </w: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pStyle w:val="3"/>
        <w:rPr>
          <w:color w:val="auto"/>
          <w:highlight w:val="none"/>
        </w:rPr>
      </w:pPr>
    </w:p>
    <w:p>
      <w:pPr>
        <w:rPr>
          <w:color w:val="auto"/>
          <w:highlight w:val="none"/>
        </w:rPr>
      </w:pPr>
    </w:p>
    <w:p>
      <w:pPr>
        <w:spacing w:line="400" w:lineRule="exact"/>
        <w:rPr>
          <w:color w:val="auto"/>
          <w:highlight w:val="none"/>
        </w:rPr>
      </w:pPr>
    </w:p>
    <w:p>
      <w:pPr>
        <w:spacing w:line="400" w:lineRule="exact"/>
        <w:rPr>
          <w:color w:val="auto"/>
          <w:highlight w:val="none"/>
        </w:rPr>
      </w:pPr>
    </w:p>
    <w:p>
      <w:pPr>
        <w:spacing w:line="360" w:lineRule="auto"/>
        <w:ind w:firstLine="1375" w:firstLineChars="428"/>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招 标  单 位：</w:t>
      </w:r>
      <w:r>
        <w:rPr>
          <w:rFonts w:hint="eastAsia" w:ascii="宋体" w:hAnsi="宋体"/>
          <w:b/>
          <w:color w:val="auto"/>
          <w:sz w:val="32"/>
          <w:szCs w:val="32"/>
          <w:highlight w:val="none"/>
          <w:lang w:eastAsia="zh-CN"/>
        </w:rPr>
        <w:t>佛山电器照明股份有限公司</w:t>
      </w:r>
    </w:p>
    <w:p>
      <w:pPr>
        <w:spacing w:line="360" w:lineRule="auto"/>
        <w:ind w:firstLine="1375" w:firstLineChars="428"/>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招标代理单位：</w:t>
      </w:r>
      <w:r>
        <w:rPr>
          <w:rFonts w:hint="eastAsia" w:ascii="宋体" w:hAnsi="宋体"/>
          <w:b/>
          <w:color w:val="auto"/>
          <w:sz w:val="32"/>
          <w:szCs w:val="32"/>
          <w:highlight w:val="none"/>
          <w:lang w:eastAsia="zh-CN"/>
        </w:rPr>
        <w:t>广东省机电设备招标中心有限公司</w:t>
      </w:r>
    </w:p>
    <w:p>
      <w:pPr>
        <w:spacing w:line="360" w:lineRule="auto"/>
        <w:ind w:firstLine="1375" w:firstLineChars="428"/>
        <w:rPr>
          <w:rFonts w:ascii="宋体" w:hAnsi="宋体"/>
          <w:b/>
          <w:color w:val="auto"/>
          <w:sz w:val="32"/>
          <w:szCs w:val="32"/>
          <w:highlight w:val="none"/>
        </w:rPr>
      </w:pPr>
      <w:r>
        <w:rPr>
          <w:rFonts w:hint="eastAsia" w:ascii="宋体" w:hAnsi="宋体"/>
          <w:b/>
          <w:color w:val="auto"/>
          <w:sz w:val="32"/>
          <w:szCs w:val="32"/>
          <w:highlight w:val="none"/>
        </w:rPr>
        <w:t>日        期：2024年</w:t>
      </w:r>
      <w:r>
        <w:rPr>
          <w:rFonts w:hint="eastAsia" w:ascii="宋体" w:hAnsi="宋体"/>
          <w:b/>
          <w:color w:val="auto"/>
          <w:sz w:val="32"/>
          <w:szCs w:val="32"/>
          <w:highlight w:val="none"/>
          <w:lang w:val="en-US" w:eastAsia="zh-CN"/>
        </w:rPr>
        <w:t>5</w:t>
      </w:r>
      <w:r>
        <w:rPr>
          <w:rFonts w:hint="eastAsia" w:ascii="宋体" w:hAnsi="宋体"/>
          <w:b/>
          <w:color w:val="auto"/>
          <w:sz w:val="32"/>
          <w:szCs w:val="32"/>
          <w:highlight w:val="none"/>
        </w:rPr>
        <w:t>月</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br w:type="page"/>
      </w:r>
    </w:p>
    <w:p>
      <w:pPr>
        <w:spacing w:line="560" w:lineRule="exact"/>
        <w:jc w:val="both"/>
        <w:rPr>
          <w:rFonts w:ascii="宋体" w:hAnsi="宋体"/>
          <w:b/>
          <w:color w:val="auto"/>
          <w:sz w:val="32"/>
          <w:szCs w:val="32"/>
          <w:highlight w:val="none"/>
        </w:rPr>
      </w:pPr>
    </w:p>
    <w:p>
      <w:pPr>
        <w:spacing w:line="560" w:lineRule="exact"/>
        <w:jc w:val="center"/>
        <w:rPr>
          <w:rFonts w:ascii="宋体" w:hAnsi="宋体" w:cs="宋体"/>
          <w:b/>
          <w:color w:val="auto"/>
          <w:sz w:val="36"/>
          <w:szCs w:val="36"/>
          <w:highlight w:val="none"/>
        </w:rPr>
      </w:pPr>
      <w:r>
        <w:rPr>
          <w:rFonts w:hint="eastAsia" w:ascii="宋体" w:hAnsi="宋体" w:cs="宋体"/>
          <w:b/>
          <w:color w:val="auto"/>
          <w:sz w:val="36"/>
          <w:szCs w:val="36"/>
          <w:highlight w:val="none"/>
          <w:lang w:eastAsia="zh-CN"/>
        </w:rPr>
        <w:t>佛山照明禅城总部厂区（中区、北区）地块土壤修复效果评估服务</w:t>
      </w:r>
      <w:r>
        <w:rPr>
          <w:rFonts w:hint="eastAsia" w:ascii="宋体" w:hAnsi="宋体" w:cs="宋体"/>
          <w:b/>
          <w:color w:val="auto"/>
          <w:sz w:val="36"/>
          <w:szCs w:val="36"/>
          <w:highlight w:val="none"/>
        </w:rPr>
        <w:t>招标公告</w:t>
      </w:r>
    </w:p>
    <w:p>
      <w:pPr>
        <w:pStyle w:val="2"/>
        <w:keepNext w:val="0"/>
        <w:keepLines w:val="0"/>
        <w:spacing w:before="0" w:after="0" w:line="500" w:lineRule="exact"/>
        <w:rPr>
          <w:rFonts w:ascii="Times New Roman" w:hAnsi="Times New Roman"/>
          <w:color w:val="auto"/>
          <w:highlight w:val="none"/>
        </w:rPr>
      </w:pPr>
      <w:bookmarkStart w:id="0" w:name="_Toc527028841"/>
      <w:bookmarkStart w:id="1" w:name="_Toc511557025"/>
    </w:p>
    <w:p>
      <w:pPr>
        <w:pStyle w:val="2"/>
        <w:keepNext w:val="0"/>
        <w:keepLines w:val="0"/>
        <w:spacing w:before="0" w:after="0" w:line="500" w:lineRule="exact"/>
        <w:rPr>
          <w:rFonts w:ascii="Times New Roman" w:hAnsi="Times New Roman"/>
          <w:color w:val="auto"/>
          <w:highlight w:val="none"/>
        </w:rPr>
      </w:pPr>
      <w:r>
        <w:rPr>
          <w:rFonts w:ascii="Times New Roman" w:hAnsi="Times New Roman"/>
          <w:color w:val="auto"/>
          <w:highlight w:val="none"/>
        </w:rPr>
        <w:t>1. 招标条件</w:t>
      </w:r>
      <w:bookmarkEnd w:id="0"/>
      <w:bookmarkEnd w:id="1"/>
    </w:p>
    <w:p>
      <w:pPr>
        <w:spacing w:line="500" w:lineRule="exact"/>
        <w:ind w:firstLine="480" w:firstLineChars="200"/>
        <w:rPr>
          <w:color w:val="auto"/>
          <w:sz w:val="24"/>
          <w:szCs w:val="24"/>
          <w:highlight w:val="none"/>
        </w:rPr>
      </w:pPr>
      <w:bookmarkStart w:id="2" w:name="_Toc511557026"/>
      <w:r>
        <w:rPr>
          <w:rFonts w:hint="eastAsia"/>
          <w:color w:val="auto"/>
          <w:sz w:val="24"/>
          <w:szCs w:val="24"/>
          <w:highlight w:val="none"/>
        </w:rPr>
        <w:t>本招标项目</w:t>
      </w:r>
      <w:r>
        <w:rPr>
          <w:rFonts w:hint="eastAsia"/>
          <w:color w:val="auto"/>
          <w:sz w:val="24"/>
          <w:szCs w:val="24"/>
          <w:highlight w:val="none"/>
          <w:u w:val="single"/>
          <w:lang w:eastAsia="zh-CN"/>
        </w:rPr>
        <w:t>佛山照明禅城总部厂区（中区、北区）地块土壤修复效果评估服务</w:t>
      </w:r>
      <w:r>
        <w:rPr>
          <w:rFonts w:hint="eastAsia" w:cs="Microsoft JhengHei"/>
          <w:color w:val="auto"/>
          <w:sz w:val="24"/>
          <w:szCs w:val="24"/>
          <w:highlight w:val="none"/>
        </w:rPr>
        <w:t>已经由项目业主批准建设</w:t>
      </w:r>
      <w:r>
        <w:rPr>
          <w:rFonts w:hint="eastAsia"/>
          <w:color w:val="auto"/>
          <w:sz w:val="24"/>
          <w:szCs w:val="24"/>
          <w:highlight w:val="none"/>
        </w:rPr>
        <w:t>，项目业主</w:t>
      </w:r>
      <w:r>
        <w:rPr>
          <w:rFonts w:hint="eastAsia"/>
          <w:color w:val="auto"/>
          <w:sz w:val="24"/>
          <w:szCs w:val="24"/>
          <w:highlight w:val="none"/>
          <w:u w:val="single"/>
          <w:lang w:eastAsia="zh-CN"/>
        </w:rPr>
        <w:t>佛山电器照明股份有限公司</w:t>
      </w:r>
      <w:r>
        <w:rPr>
          <w:rFonts w:hint="eastAsia" w:ascii="宋体" w:hAnsi="宋体"/>
          <w:color w:val="auto"/>
          <w:sz w:val="24"/>
          <w:highlight w:val="none"/>
        </w:rPr>
        <w:t>，</w:t>
      </w:r>
      <w:r>
        <w:rPr>
          <w:rFonts w:hint="eastAsia"/>
          <w:color w:val="auto"/>
          <w:sz w:val="24"/>
          <w:szCs w:val="24"/>
          <w:highlight w:val="none"/>
        </w:rPr>
        <w:t>建设资金为</w:t>
      </w:r>
      <w:r>
        <w:rPr>
          <w:rFonts w:hint="eastAsia" w:ascii="宋体" w:hAnsi="宋体"/>
          <w:color w:val="auto"/>
          <w:sz w:val="24"/>
          <w:highlight w:val="none"/>
          <w:u w:val="single"/>
        </w:rPr>
        <w:t>自筹资金</w:t>
      </w:r>
      <w:r>
        <w:rPr>
          <w:rFonts w:hint="eastAsia"/>
          <w:color w:val="auto"/>
          <w:sz w:val="24"/>
          <w:szCs w:val="24"/>
          <w:highlight w:val="none"/>
        </w:rPr>
        <w:t>，出资比例为100%，招标人为</w:t>
      </w:r>
      <w:r>
        <w:rPr>
          <w:rFonts w:hint="eastAsia" w:ascii="宋体" w:hAnsi="宋体"/>
          <w:color w:val="auto"/>
          <w:sz w:val="24"/>
          <w:highlight w:val="none"/>
          <w:u w:val="single"/>
          <w:lang w:eastAsia="zh-CN"/>
        </w:rPr>
        <w:t>佛山电器照明股份有限公司</w:t>
      </w:r>
      <w:r>
        <w:rPr>
          <w:rFonts w:hint="eastAsia"/>
          <w:color w:val="auto"/>
          <w:sz w:val="24"/>
          <w:szCs w:val="24"/>
          <w:highlight w:val="none"/>
        </w:rPr>
        <w:t xml:space="preserve">。项目已具备招标条件，现对该项目进行公开招标。 </w:t>
      </w:r>
    </w:p>
    <w:p>
      <w:pPr>
        <w:pStyle w:val="2"/>
        <w:keepNext w:val="0"/>
        <w:keepLines w:val="0"/>
        <w:spacing w:before="0" w:after="0" w:line="500" w:lineRule="exact"/>
        <w:rPr>
          <w:rFonts w:ascii="Times New Roman" w:hAnsi="Times New Roman"/>
          <w:color w:val="auto"/>
          <w:highlight w:val="none"/>
        </w:rPr>
      </w:pPr>
      <w:bookmarkStart w:id="3" w:name="_Toc527028842"/>
      <w:r>
        <w:rPr>
          <w:rFonts w:ascii="Times New Roman" w:hAnsi="Times New Roman"/>
          <w:color w:val="auto"/>
          <w:highlight w:val="none"/>
        </w:rPr>
        <w:t>2. 项目概况与</w:t>
      </w:r>
      <w:r>
        <w:rPr>
          <w:rFonts w:hint="eastAsia" w:ascii="Times New Roman" w:hAnsi="Times New Roman"/>
          <w:color w:val="auto"/>
          <w:highlight w:val="none"/>
        </w:rPr>
        <w:t>招标范围</w:t>
      </w:r>
      <w:bookmarkEnd w:id="2"/>
      <w:bookmarkEnd w:id="3"/>
    </w:p>
    <w:p>
      <w:pPr>
        <w:spacing w:line="500" w:lineRule="exact"/>
        <w:ind w:firstLine="480" w:firstLineChars="200"/>
        <w:rPr>
          <w:rFonts w:ascii="宋体" w:hAnsi="宋体" w:cs="宋体"/>
          <w:color w:val="auto"/>
          <w:sz w:val="24"/>
          <w:highlight w:val="none"/>
          <w:u w:val="single"/>
        </w:rPr>
      </w:pPr>
      <w:r>
        <w:rPr>
          <w:rFonts w:hint="eastAsia"/>
          <w:color w:val="auto"/>
          <w:sz w:val="24"/>
          <w:szCs w:val="24"/>
          <w:highlight w:val="none"/>
        </w:rPr>
        <w:t>2.1项目名称：</w:t>
      </w:r>
      <w:r>
        <w:rPr>
          <w:rFonts w:hint="eastAsia"/>
          <w:color w:val="auto"/>
          <w:sz w:val="24"/>
          <w:szCs w:val="24"/>
          <w:highlight w:val="none"/>
          <w:u w:val="single"/>
          <w:lang w:eastAsia="zh-CN"/>
        </w:rPr>
        <w:t>佛山照明禅城总部厂区（中区、北区）地块土壤修复效果评估服务</w:t>
      </w:r>
    </w:p>
    <w:p>
      <w:pPr>
        <w:spacing w:line="500" w:lineRule="exact"/>
        <w:ind w:firstLine="480" w:firstLineChars="200"/>
        <w:rPr>
          <w:rFonts w:ascii="宋体" w:hAnsi="宋体" w:cs="宋体"/>
          <w:color w:val="auto"/>
          <w:kern w:val="0"/>
          <w:sz w:val="24"/>
          <w:highlight w:val="none"/>
          <w:u w:val="single"/>
        </w:rPr>
      </w:pPr>
      <w:r>
        <w:rPr>
          <w:rFonts w:hint="eastAsia"/>
          <w:color w:val="auto"/>
          <w:sz w:val="24"/>
          <w:szCs w:val="24"/>
          <w:highlight w:val="none"/>
        </w:rPr>
        <w:t>2.2 建设地点：</w:t>
      </w:r>
      <w:r>
        <w:rPr>
          <w:rFonts w:hint="eastAsia" w:ascii="宋体" w:hAnsi="宋体" w:cs="仿宋"/>
          <w:color w:val="auto"/>
          <w:sz w:val="24"/>
          <w:highlight w:val="none"/>
          <w:u w:val="single"/>
          <w:lang w:val="en-US" w:eastAsia="zh-CN"/>
        </w:rPr>
        <w:t>佛山市禅城区汾江北路64号</w:t>
      </w:r>
    </w:p>
    <w:p>
      <w:pPr>
        <w:spacing w:line="500" w:lineRule="exact"/>
        <w:ind w:firstLine="480" w:firstLineChars="200"/>
        <w:rPr>
          <w:color w:val="auto"/>
          <w:sz w:val="24"/>
          <w:szCs w:val="24"/>
          <w:highlight w:val="none"/>
          <w:u w:val="single"/>
        </w:rPr>
      </w:pPr>
      <w:r>
        <w:rPr>
          <w:rFonts w:hint="eastAsia"/>
          <w:color w:val="auto"/>
          <w:sz w:val="24"/>
          <w:szCs w:val="24"/>
          <w:highlight w:val="none"/>
        </w:rPr>
        <w:t>2.3项目规模和标段划分</w:t>
      </w:r>
    </w:p>
    <w:p>
      <w:pPr>
        <w:spacing w:line="500" w:lineRule="exact"/>
        <w:ind w:firstLine="480" w:firstLineChars="200"/>
        <w:rPr>
          <w:rFonts w:hint="eastAsia"/>
          <w:color w:val="auto"/>
          <w:sz w:val="24"/>
          <w:szCs w:val="24"/>
          <w:highlight w:val="none"/>
          <w:u w:val="single"/>
        </w:rPr>
      </w:pPr>
      <w:r>
        <w:rPr>
          <w:rFonts w:hint="eastAsia"/>
          <w:color w:val="auto"/>
          <w:sz w:val="24"/>
          <w:szCs w:val="24"/>
          <w:highlight w:val="none"/>
        </w:rPr>
        <w:t>（1）</w:t>
      </w:r>
      <w:r>
        <w:rPr>
          <w:rFonts w:hint="default" w:ascii="宋体" w:hAnsi="宋体"/>
          <w:color w:val="auto"/>
          <w:sz w:val="24"/>
          <w:highlight w:val="none"/>
          <w:lang w:val="en-US"/>
        </w:rPr>
        <w:t>项目规模：</w:t>
      </w:r>
      <w:r>
        <w:rPr>
          <w:rFonts w:hint="default" w:ascii="宋体" w:hAnsi="宋体"/>
          <w:color w:val="auto"/>
          <w:sz w:val="24"/>
          <w:highlight w:val="none"/>
          <w:u w:val="single"/>
          <w:lang w:val="en-US"/>
        </w:rPr>
        <w:t>佛山照明禅城总部厂区需土壤修复的地块包括北区地块和中区地块。北区地块于佛山市禅城区汾江北路东侧、工业路北侧，面积为60462.41m</w:t>
      </w:r>
      <w:r>
        <w:rPr>
          <w:rFonts w:hint="default" w:ascii="宋体" w:hAnsi="宋体"/>
          <w:color w:val="auto"/>
          <w:sz w:val="24"/>
          <w:highlight w:val="none"/>
          <w:u w:val="single"/>
          <w:vertAlign w:val="superscript"/>
          <w:lang w:val="en-US"/>
        </w:rPr>
        <w:t>2</w:t>
      </w:r>
      <w:r>
        <w:rPr>
          <w:rFonts w:hint="default" w:ascii="宋体" w:hAnsi="宋体"/>
          <w:color w:val="auto"/>
          <w:sz w:val="24"/>
          <w:highlight w:val="none"/>
          <w:u w:val="single"/>
          <w:lang w:val="en-US"/>
        </w:rPr>
        <w:t>，场地土壤污染物类型主要为砷、汞、钨、钼、石油烃、乙苯的单一污染和复合污染，污染土壤修复总土方量约32736.12m</w:t>
      </w:r>
      <w:r>
        <w:rPr>
          <w:rFonts w:hint="default" w:ascii="宋体" w:hAnsi="宋体"/>
          <w:color w:val="auto"/>
          <w:sz w:val="24"/>
          <w:highlight w:val="none"/>
          <w:u w:val="single"/>
          <w:vertAlign w:val="superscript"/>
          <w:lang w:val="en-US"/>
        </w:rPr>
        <w:t>3</w:t>
      </w:r>
      <w:r>
        <w:rPr>
          <w:rFonts w:hint="default" w:ascii="宋体" w:hAnsi="宋体"/>
          <w:color w:val="auto"/>
          <w:sz w:val="24"/>
          <w:highlight w:val="none"/>
          <w:u w:val="single"/>
          <w:lang w:val="en-US"/>
        </w:rPr>
        <w:t>，污染深度最深约8m。中区地块西侧为汾江北路，东侧为广湛铁路，面积为75666.8m</w:t>
      </w:r>
      <w:r>
        <w:rPr>
          <w:rFonts w:hint="default" w:ascii="宋体" w:hAnsi="宋体"/>
          <w:color w:val="auto"/>
          <w:sz w:val="24"/>
          <w:highlight w:val="none"/>
          <w:u w:val="single"/>
          <w:vertAlign w:val="superscript"/>
          <w:lang w:val="en-US"/>
        </w:rPr>
        <w:t>2</w:t>
      </w:r>
      <w:r>
        <w:rPr>
          <w:rFonts w:hint="default" w:ascii="宋体" w:hAnsi="宋体"/>
          <w:color w:val="auto"/>
          <w:sz w:val="24"/>
          <w:highlight w:val="none"/>
          <w:u w:val="single"/>
          <w:lang w:val="en-US"/>
        </w:rPr>
        <w:t>，场地土壤污染物类型主要为石油烃、多环芳烃、钨、砷、汞、镍、铅、钼、氟化物的单一污染和复合污染，污染土壤修复总土方量约58709.3m</w:t>
      </w:r>
      <w:r>
        <w:rPr>
          <w:rFonts w:hint="default" w:ascii="宋体" w:hAnsi="宋体"/>
          <w:color w:val="auto"/>
          <w:sz w:val="24"/>
          <w:highlight w:val="none"/>
          <w:u w:val="single"/>
          <w:vertAlign w:val="superscript"/>
          <w:lang w:val="en-US"/>
        </w:rPr>
        <w:t>3</w:t>
      </w:r>
      <w:r>
        <w:rPr>
          <w:rFonts w:hint="default" w:ascii="宋体" w:hAnsi="宋体"/>
          <w:color w:val="auto"/>
          <w:sz w:val="24"/>
          <w:highlight w:val="none"/>
          <w:u w:val="single"/>
          <w:lang w:val="en-US"/>
        </w:rPr>
        <w:t>，污染深度最深约7m</w:t>
      </w:r>
      <w:r>
        <w:rPr>
          <w:rFonts w:hint="eastAsia"/>
          <w:color w:val="auto"/>
          <w:sz w:val="24"/>
          <w:szCs w:val="24"/>
          <w:highlight w:val="none"/>
          <w:u w:val="single"/>
          <w:lang w:eastAsia="zh-CN"/>
        </w:rPr>
        <w:t>（</w:t>
      </w:r>
      <w:r>
        <w:rPr>
          <w:rFonts w:hint="eastAsia"/>
          <w:color w:val="auto"/>
          <w:sz w:val="24"/>
          <w:szCs w:val="24"/>
          <w:highlight w:val="none"/>
          <w:u w:val="single"/>
          <w:lang w:val="en-US" w:eastAsia="zh-CN"/>
        </w:rPr>
        <w:t>以上</w:t>
      </w:r>
      <w:r>
        <w:rPr>
          <w:rFonts w:hint="eastAsia"/>
          <w:color w:val="auto"/>
          <w:sz w:val="24"/>
          <w:szCs w:val="24"/>
          <w:highlight w:val="none"/>
          <w:u w:val="single"/>
          <w:lang w:eastAsia="zh-CN"/>
        </w:rPr>
        <w:t>污染土壤修复总土方量、污染深度</w:t>
      </w:r>
      <w:r>
        <w:rPr>
          <w:rFonts w:hint="eastAsia"/>
          <w:color w:val="auto"/>
          <w:sz w:val="24"/>
          <w:szCs w:val="24"/>
          <w:highlight w:val="none"/>
          <w:u w:val="single"/>
          <w:lang w:val="en-US" w:eastAsia="zh-CN"/>
        </w:rPr>
        <w:t>等均为预估数据，具体以项目现场实际为准</w:t>
      </w:r>
      <w:r>
        <w:rPr>
          <w:rFonts w:hint="eastAsia"/>
          <w:color w:val="auto"/>
          <w:sz w:val="24"/>
          <w:szCs w:val="24"/>
          <w:highlight w:val="none"/>
          <w:u w:val="single"/>
          <w:lang w:eastAsia="zh-CN"/>
        </w:rPr>
        <w:t>）</w:t>
      </w:r>
      <w:r>
        <w:rPr>
          <w:rFonts w:hint="default" w:ascii="宋体" w:hAnsi="宋体"/>
          <w:color w:val="auto"/>
          <w:sz w:val="24"/>
          <w:highlight w:val="none"/>
          <w:u w:val="single"/>
          <w:lang w:val="en-US"/>
        </w:rPr>
        <w:t>。</w:t>
      </w:r>
    </w:p>
    <w:p>
      <w:pPr>
        <w:spacing w:line="500" w:lineRule="exact"/>
        <w:ind w:firstLine="480" w:firstLineChars="200"/>
        <w:rPr>
          <w:bCs/>
          <w:color w:val="auto"/>
          <w:sz w:val="24"/>
          <w:szCs w:val="24"/>
          <w:highlight w:val="none"/>
          <w:u w:val="single"/>
        </w:rPr>
      </w:pPr>
      <w:r>
        <w:rPr>
          <w:rFonts w:hint="eastAsia"/>
          <w:color w:val="auto"/>
          <w:sz w:val="24"/>
          <w:szCs w:val="24"/>
          <w:highlight w:val="none"/>
        </w:rPr>
        <w:t>（2）</w:t>
      </w:r>
      <w:r>
        <w:rPr>
          <w:rFonts w:hint="eastAsia"/>
          <w:bCs/>
          <w:color w:val="auto"/>
          <w:sz w:val="24"/>
          <w:szCs w:val="24"/>
          <w:highlight w:val="none"/>
        </w:rPr>
        <w:t>标段划分：</w:t>
      </w:r>
      <w:r>
        <w:rPr>
          <w:rFonts w:hint="eastAsia"/>
          <w:bCs/>
          <w:color w:val="auto"/>
          <w:sz w:val="24"/>
          <w:szCs w:val="24"/>
          <w:highlight w:val="none"/>
          <w:u w:val="single"/>
        </w:rPr>
        <w:t>本项目划分1个标段。</w:t>
      </w:r>
    </w:p>
    <w:p>
      <w:pPr>
        <w:spacing w:line="500" w:lineRule="exact"/>
        <w:ind w:firstLine="480" w:firstLineChars="200"/>
        <w:rPr>
          <w:rFonts w:hint="eastAsia"/>
          <w:color w:val="auto"/>
          <w:sz w:val="24"/>
          <w:szCs w:val="24"/>
          <w:highlight w:val="none"/>
        </w:rPr>
      </w:pPr>
      <w:r>
        <w:rPr>
          <w:rFonts w:hint="eastAsia"/>
          <w:color w:val="auto"/>
          <w:sz w:val="24"/>
          <w:szCs w:val="24"/>
          <w:highlight w:val="none"/>
        </w:rPr>
        <w:t>2.4招标范围及工作内容</w:t>
      </w:r>
    </w:p>
    <w:p>
      <w:pPr>
        <w:spacing w:line="500" w:lineRule="exact"/>
        <w:ind w:firstLine="480" w:firstLineChars="200"/>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4.1</w:t>
      </w:r>
      <w:r>
        <w:rPr>
          <w:rFonts w:hint="eastAsia"/>
          <w:color w:val="auto"/>
          <w:sz w:val="24"/>
          <w:szCs w:val="24"/>
          <w:highlight w:val="none"/>
        </w:rPr>
        <w:t>工作范围：</w:t>
      </w:r>
    </w:p>
    <w:p>
      <w:pPr>
        <w:spacing w:line="500" w:lineRule="exact"/>
        <w:ind w:firstLine="480" w:firstLineChars="200"/>
        <w:rPr>
          <w:rFonts w:hint="eastAsia"/>
          <w:color w:val="auto"/>
          <w:sz w:val="24"/>
          <w:szCs w:val="24"/>
          <w:highlight w:val="none"/>
        </w:rPr>
      </w:pPr>
      <w:r>
        <w:rPr>
          <w:rFonts w:hint="eastAsia"/>
          <w:color w:val="auto"/>
          <w:sz w:val="24"/>
          <w:szCs w:val="24"/>
          <w:highlight w:val="none"/>
          <w:lang w:val="en-US" w:eastAsia="zh-CN"/>
        </w:rPr>
        <w:t>针对佛山照明禅城总部厂区（中区、北区）地块的污染土壤，</w:t>
      </w:r>
      <w:r>
        <w:rPr>
          <w:rFonts w:hint="eastAsia"/>
          <w:color w:val="auto"/>
          <w:sz w:val="24"/>
          <w:szCs w:val="24"/>
          <w:highlight w:val="none"/>
        </w:rPr>
        <w:t>依据法律法规及环保治理相关规定，编制修复效果评估工作方案</w:t>
      </w:r>
      <w:r>
        <w:rPr>
          <w:rFonts w:hint="eastAsia"/>
          <w:color w:val="auto"/>
          <w:sz w:val="24"/>
          <w:szCs w:val="24"/>
          <w:highlight w:val="none"/>
          <w:lang w:eastAsia="zh-CN"/>
        </w:rPr>
        <w:t>；</w:t>
      </w:r>
      <w:r>
        <w:rPr>
          <w:rFonts w:hint="eastAsia"/>
          <w:color w:val="auto"/>
          <w:sz w:val="24"/>
          <w:szCs w:val="24"/>
          <w:highlight w:val="none"/>
        </w:rPr>
        <w:t>根据要求的修复目标值，对</w:t>
      </w:r>
      <w:r>
        <w:rPr>
          <w:rFonts w:hint="eastAsia"/>
          <w:color w:val="auto"/>
          <w:sz w:val="24"/>
          <w:szCs w:val="24"/>
          <w:highlight w:val="none"/>
          <w:lang w:eastAsia="zh-CN"/>
        </w:rPr>
        <w:t>土壤修复单位</w:t>
      </w:r>
      <w:r>
        <w:rPr>
          <w:rFonts w:hint="eastAsia"/>
          <w:color w:val="auto"/>
          <w:sz w:val="24"/>
          <w:szCs w:val="24"/>
          <w:highlight w:val="none"/>
        </w:rPr>
        <w:t>进行施工的修复区域和修复后的土壤开展第三方检测评价和验收报告</w:t>
      </w:r>
      <w:r>
        <w:rPr>
          <w:rFonts w:hint="eastAsia"/>
          <w:color w:val="auto"/>
          <w:sz w:val="24"/>
          <w:szCs w:val="24"/>
          <w:highlight w:val="none"/>
          <w:lang w:eastAsia="zh-CN"/>
        </w:rPr>
        <w:t>《</w:t>
      </w:r>
      <w:r>
        <w:rPr>
          <w:rFonts w:hint="eastAsia"/>
          <w:color w:val="auto"/>
          <w:sz w:val="24"/>
          <w:szCs w:val="24"/>
          <w:highlight w:val="none"/>
          <w:lang w:val="en-US" w:eastAsia="zh-CN"/>
        </w:rPr>
        <w:t>佛山照明禅城总部厂区（中区、北区）地块土壤修复效果评估报告</w:t>
      </w:r>
      <w:r>
        <w:rPr>
          <w:rFonts w:hint="eastAsia"/>
          <w:color w:val="auto"/>
          <w:sz w:val="24"/>
          <w:szCs w:val="24"/>
          <w:highlight w:val="none"/>
          <w:lang w:eastAsia="zh-CN"/>
        </w:rPr>
        <w:t>》</w:t>
      </w:r>
      <w:r>
        <w:rPr>
          <w:rFonts w:hint="eastAsia"/>
          <w:color w:val="auto"/>
          <w:sz w:val="24"/>
          <w:szCs w:val="24"/>
          <w:highlight w:val="none"/>
        </w:rPr>
        <w:t>编制</w:t>
      </w:r>
      <w:r>
        <w:rPr>
          <w:rFonts w:hint="eastAsia"/>
          <w:color w:val="auto"/>
          <w:sz w:val="24"/>
          <w:szCs w:val="24"/>
          <w:highlight w:val="none"/>
          <w:lang w:eastAsia="zh-CN"/>
        </w:rPr>
        <w:t>；</w:t>
      </w:r>
      <w:r>
        <w:rPr>
          <w:rFonts w:hint="eastAsia"/>
          <w:color w:val="auto"/>
          <w:sz w:val="24"/>
          <w:szCs w:val="24"/>
          <w:highlight w:val="none"/>
        </w:rPr>
        <w:t>包括但不限于:污染土壤开挖后遗留基坑的清挖效果监测;修复后土壤修复效果监测，确保修复地块污染土壤污染物达到修复目标值;与招标人、修复实施单位、监理单位共同配合项目推进，在项目实施过程中提供咨询、指导意见;编制土壤治理与修复效果评估报告，评估报告编制的质量与深度应符合</w:t>
      </w:r>
      <w:r>
        <w:rPr>
          <w:rFonts w:hint="eastAsia"/>
          <w:color w:val="auto"/>
          <w:sz w:val="24"/>
          <w:szCs w:val="24"/>
          <w:highlight w:val="none"/>
          <w:lang w:val="en-US" w:eastAsia="zh-CN"/>
        </w:rPr>
        <w:t>佛山</w:t>
      </w:r>
      <w:r>
        <w:rPr>
          <w:rFonts w:hint="eastAsia"/>
          <w:color w:val="auto"/>
          <w:sz w:val="24"/>
          <w:szCs w:val="24"/>
          <w:highlight w:val="none"/>
        </w:rPr>
        <w:t>市生态环境局等相关部门的技术要求，能满足</w:t>
      </w:r>
      <w:r>
        <w:rPr>
          <w:rFonts w:hint="eastAsia"/>
          <w:color w:val="auto"/>
          <w:sz w:val="24"/>
          <w:szCs w:val="24"/>
          <w:highlight w:val="none"/>
          <w:lang w:val="en-US" w:eastAsia="zh-CN"/>
        </w:rPr>
        <w:t>通过</w:t>
      </w:r>
      <w:r>
        <w:rPr>
          <w:rFonts w:hint="eastAsia"/>
          <w:color w:val="auto"/>
          <w:sz w:val="24"/>
          <w:szCs w:val="24"/>
          <w:highlight w:val="none"/>
        </w:rPr>
        <w:t>生态环境主管部门组织的专家评审</w:t>
      </w:r>
      <w:r>
        <w:rPr>
          <w:rFonts w:hint="eastAsia"/>
          <w:color w:val="auto"/>
          <w:sz w:val="24"/>
          <w:szCs w:val="24"/>
          <w:highlight w:val="none"/>
          <w:lang w:val="en-US" w:eastAsia="zh-CN"/>
        </w:rPr>
        <w:t>并</w:t>
      </w:r>
      <w:r>
        <w:rPr>
          <w:rFonts w:hint="eastAsia"/>
          <w:color w:val="auto"/>
          <w:sz w:val="24"/>
          <w:szCs w:val="24"/>
          <w:highlight w:val="none"/>
        </w:rPr>
        <w:t>上报</w:t>
      </w:r>
      <w:r>
        <w:rPr>
          <w:rFonts w:hint="eastAsia"/>
          <w:color w:val="auto"/>
          <w:sz w:val="24"/>
          <w:szCs w:val="24"/>
          <w:highlight w:val="none"/>
          <w:lang w:val="en-US" w:eastAsia="zh-CN"/>
        </w:rPr>
        <w:t>生态管理部门</w:t>
      </w:r>
      <w:r>
        <w:rPr>
          <w:rFonts w:hint="eastAsia"/>
          <w:color w:val="auto"/>
          <w:sz w:val="24"/>
          <w:szCs w:val="24"/>
          <w:highlight w:val="none"/>
        </w:rPr>
        <w:t>备案的条件，</w:t>
      </w:r>
      <w:r>
        <w:rPr>
          <w:rFonts w:hint="eastAsia"/>
          <w:color w:val="auto"/>
          <w:sz w:val="24"/>
          <w:szCs w:val="24"/>
          <w:highlight w:val="none"/>
          <w:lang w:val="en-US" w:eastAsia="zh-CN"/>
        </w:rPr>
        <w:t>地块移出土壤污染名录</w:t>
      </w:r>
      <w:r>
        <w:rPr>
          <w:rFonts w:hint="eastAsia"/>
          <w:color w:val="auto"/>
          <w:sz w:val="24"/>
          <w:szCs w:val="24"/>
          <w:highlight w:val="none"/>
        </w:rPr>
        <w:t>。</w:t>
      </w:r>
    </w:p>
    <w:p>
      <w:pPr>
        <w:spacing w:line="500" w:lineRule="exact"/>
        <w:ind w:firstLine="480" w:firstLineChars="200"/>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4.2</w:t>
      </w:r>
      <w:r>
        <w:rPr>
          <w:rFonts w:hint="eastAsia"/>
          <w:color w:val="auto"/>
          <w:sz w:val="24"/>
          <w:szCs w:val="24"/>
          <w:highlight w:val="none"/>
        </w:rPr>
        <w:t>工作内容：</w:t>
      </w:r>
    </w:p>
    <w:p>
      <w:pPr>
        <w:pStyle w:val="6"/>
        <w:ind w:firstLine="480" w:firstLineChars="200"/>
        <w:rPr>
          <w:rFonts w:hint="eastAsia" w:ascii="宋体" w:hAnsi="宋体"/>
          <w:color w:val="auto"/>
          <w:sz w:val="24"/>
          <w:highlight w:val="none"/>
        </w:rPr>
      </w:pPr>
      <w:r>
        <w:rPr>
          <w:rFonts w:hint="eastAsia" w:ascii="宋体" w:hAnsi="宋体"/>
          <w:color w:val="auto"/>
          <w:sz w:val="24"/>
          <w:highlight w:val="none"/>
        </w:rPr>
        <w:t>按国家、广东省、佛山市现行有关标准、规范、规程和</w:t>
      </w:r>
      <w:r>
        <w:rPr>
          <w:rFonts w:hint="eastAsia" w:ascii="宋体" w:hAnsi="宋体"/>
          <w:color w:val="auto"/>
          <w:sz w:val="24"/>
          <w:highlight w:val="none"/>
          <w:lang w:val="en-US" w:eastAsia="zh-CN"/>
        </w:rPr>
        <w:t>甲方</w:t>
      </w:r>
      <w:r>
        <w:rPr>
          <w:rFonts w:hint="eastAsia" w:ascii="宋体" w:hAnsi="宋体"/>
          <w:color w:val="auto"/>
          <w:sz w:val="24"/>
          <w:highlight w:val="none"/>
        </w:rPr>
        <w:t>的相关要求，包括但不限于按照国家及地方环保法律法规、技术规范开展本项目的修复效果评估工作、编制修复效果评估工作方案、提供技术咨询、治理与修复效果评估报告、统筹配合处置项目验收等工作。具体工作内容包括但不限于：</w:t>
      </w:r>
    </w:p>
    <w:p>
      <w:pPr>
        <w:pStyle w:val="6"/>
        <w:ind w:firstLine="480" w:firstLineChars="200"/>
        <w:rPr>
          <w:rFonts w:hint="eastAsia" w:ascii="宋体" w:hAnsi="宋体"/>
          <w:color w:val="auto"/>
          <w:sz w:val="24"/>
          <w:highlight w:val="none"/>
        </w:rPr>
      </w:pPr>
      <w:r>
        <w:rPr>
          <w:rFonts w:hint="eastAsia" w:ascii="宋体" w:hAnsi="宋体"/>
          <w:color w:val="auto"/>
          <w:sz w:val="24"/>
          <w:highlight w:val="none"/>
        </w:rPr>
        <w:t>（1）负责项目修复效果现场采样、检测分析、修复效果评估、报告编制、专家评审等各项工作。</w:t>
      </w:r>
    </w:p>
    <w:p>
      <w:pPr>
        <w:pStyle w:val="6"/>
        <w:ind w:firstLine="480" w:firstLineChars="200"/>
        <w:rPr>
          <w:rFonts w:hint="eastAsia" w:ascii="宋体" w:hAnsi="宋体"/>
          <w:color w:val="auto"/>
          <w:sz w:val="24"/>
          <w:highlight w:val="none"/>
        </w:rPr>
      </w:pPr>
      <w:r>
        <w:rPr>
          <w:rFonts w:hint="eastAsia" w:ascii="宋体" w:hAnsi="宋体"/>
          <w:color w:val="auto"/>
          <w:sz w:val="24"/>
          <w:highlight w:val="none"/>
        </w:rPr>
        <w:t>（2）负责编写修复效果评估工作方案，负责效果评估相关工作的评审、报审、报批（如有）。</w:t>
      </w:r>
    </w:p>
    <w:p>
      <w:pPr>
        <w:pStyle w:val="6"/>
        <w:ind w:firstLine="480" w:firstLineChars="200"/>
        <w:rPr>
          <w:rFonts w:hint="eastAsia" w:ascii="宋体" w:hAnsi="宋体"/>
          <w:color w:val="auto"/>
          <w:sz w:val="24"/>
          <w:highlight w:val="none"/>
        </w:rPr>
      </w:pPr>
      <w:r>
        <w:rPr>
          <w:rFonts w:hint="eastAsia" w:ascii="宋体" w:hAnsi="宋体"/>
          <w:color w:val="auto"/>
          <w:sz w:val="24"/>
          <w:highlight w:val="none"/>
        </w:rPr>
        <w:t>（3）根据国家、省、市生态环境等部门的有关要求，对本地块的治理与修复项目实施情况、二次污染控制情况、环保/监测措施落实情况、治理与修复范围与工程量核定、现场遗留污染识别及处理等，进行达标验收；</w:t>
      </w:r>
    </w:p>
    <w:p>
      <w:pPr>
        <w:pStyle w:val="6"/>
        <w:ind w:firstLine="480" w:firstLineChars="200"/>
        <w:rPr>
          <w:rFonts w:hint="eastAsia" w:ascii="宋体" w:hAnsi="宋体"/>
          <w:color w:val="auto"/>
          <w:sz w:val="24"/>
          <w:highlight w:val="none"/>
        </w:rPr>
      </w:pPr>
      <w:r>
        <w:rPr>
          <w:rFonts w:hint="eastAsia" w:ascii="宋体" w:hAnsi="宋体"/>
          <w:color w:val="auto"/>
          <w:sz w:val="24"/>
          <w:highlight w:val="none"/>
        </w:rPr>
        <w:t>（4）根据《污染地块风险管控与土壤修复效果评估技术导则》(试行)(HJ25.5-2018)、《建设用地土壤污染风险管控和修复监测技术导则》(HJ25.2-2019)、《污染地块地下水修复和风险管控技术导则》(HJ25.6-2019)、《场地环境监测技术导则》、《广东省建设用地土壤污染状况调查、风险评估及效果评估报告技术审查要点(试行)》(粤环办(2020)67号)等相关规定进行全过程现场采样、记录、质控及</w:t>
      </w:r>
      <w:r>
        <w:rPr>
          <w:rFonts w:hint="eastAsia" w:ascii="宋体" w:hAnsi="宋体"/>
          <w:color w:val="auto"/>
          <w:sz w:val="24"/>
          <w:highlight w:val="none"/>
          <w:lang w:eastAsia="zh-CN"/>
        </w:rPr>
        <w:t>实</w:t>
      </w:r>
      <w:r>
        <w:rPr>
          <w:rFonts w:hint="eastAsia" w:ascii="宋体" w:hAnsi="宋体"/>
          <w:color w:val="auto"/>
          <w:sz w:val="24"/>
          <w:highlight w:val="none"/>
        </w:rPr>
        <w:t>验室分析，并保存完整的资料，及时出具质量合格的检测报告，并对其负责。</w:t>
      </w:r>
    </w:p>
    <w:p>
      <w:pPr>
        <w:pStyle w:val="6"/>
        <w:ind w:firstLine="480" w:firstLineChars="200"/>
        <w:rPr>
          <w:rFonts w:hint="eastAsia" w:ascii="宋体" w:hAnsi="宋体"/>
          <w:color w:val="auto"/>
          <w:sz w:val="24"/>
          <w:highlight w:val="none"/>
        </w:rPr>
      </w:pPr>
      <w:r>
        <w:rPr>
          <w:rFonts w:hint="eastAsia" w:ascii="宋体" w:hAnsi="宋体"/>
          <w:color w:val="auto"/>
          <w:sz w:val="24"/>
          <w:highlight w:val="none"/>
        </w:rPr>
        <w:t>（5）结合治理与修复项目的完成情况，在符合效果评估技术方案要求后收集项目验收材料，包括施工竣工报告、环境监理报告、工程监理报告等，编制《佛山照明禅城总部厂区（中区、北区）地块土壤修复效果评估报告》，并协调省、市生态环境部门组织专家评审会，通过专家评审会，取得专家评审意见。</w:t>
      </w:r>
    </w:p>
    <w:p>
      <w:pPr>
        <w:pStyle w:val="6"/>
        <w:ind w:firstLine="480" w:firstLineChars="200"/>
        <w:rPr>
          <w:rFonts w:hint="eastAsia" w:ascii="宋体" w:hAnsi="宋体"/>
          <w:color w:val="auto"/>
          <w:sz w:val="24"/>
          <w:highlight w:val="none"/>
        </w:rPr>
      </w:pPr>
      <w:r>
        <w:rPr>
          <w:rFonts w:hint="eastAsia" w:ascii="宋体" w:hAnsi="宋体"/>
          <w:color w:val="auto"/>
          <w:sz w:val="24"/>
          <w:highlight w:val="none"/>
        </w:rPr>
        <w:t>（6）负责整理项目全过程资料，并在验收合格，取得生态环境部门备案批复文件后（如有）15个日历天内移交给甲方。</w:t>
      </w:r>
    </w:p>
    <w:p>
      <w:pPr>
        <w:spacing w:line="500" w:lineRule="exact"/>
        <w:ind w:firstLine="480" w:firstLineChars="200"/>
        <w:rPr>
          <w:rFonts w:hint="eastAsia"/>
          <w:color w:val="auto"/>
          <w:sz w:val="24"/>
          <w:szCs w:val="24"/>
          <w:highlight w:val="none"/>
        </w:rPr>
      </w:pPr>
    </w:p>
    <w:p>
      <w:pPr>
        <w:spacing w:line="500" w:lineRule="exact"/>
        <w:ind w:firstLine="480" w:firstLineChars="200"/>
        <w:rPr>
          <w:color w:val="auto"/>
          <w:sz w:val="24"/>
          <w:szCs w:val="24"/>
          <w:highlight w:val="none"/>
        </w:rPr>
      </w:pPr>
      <w:r>
        <w:rPr>
          <w:rFonts w:hint="eastAsia"/>
          <w:color w:val="auto"/>
          <w:sz w:val="24"/>
          <w:szCs w:val="24"/>
          <w:highlight w:val="none"/>
        </w:rPr>
        <w:t>2.5服务期限</w:t>
      </w:r>
    </w:p>
    <w:p>
      <w:pPr>
        <w:pStyle w:val="6"/>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Times New Roman"/>
          <w:color w:val="auto"/>
          <w:sz w:val="24"/>
          <w:highlight w:val="none"/>
        </w:rPr>
      </w:pPr>
      <w:bookmarkStart w:id="4" w:name="_Hlk136249883"/>
      <w:r>
        <w:rPr>
          <w:rFonts w:hint="eastAsia" w:ascii="宋体" w:hAnsi="宋体" w:eastAsia="宋体" w:cs="Times New Roman"/>
          <w:color w:val="auto"/>
          <w:sz w:val="24"/>
          <w:highlight w:val="none"/>
        </w:rPr>
        <w:t>效果评估服务期为自合同签订之日起，至完成全部治理与修复工作、经生态环境部门验收合格、完成移交（含资料移交）、</w:t>
      </w:r>
      <w:r>
        <w:rPr>
          <w:rFonts w:hint="eastAsia" w:ascii="宋体" w:hAnsi="宋体" w:cs="宋体"/>
          <w:color w:val="auto"/>
          <w:sz w:val="24"/>
          <w:szCs w:val="24"/>
          <w:highlight w:val="none"/>
          <w:lang w:val="en-US" w:eastAsia="zh-CN"/>
        </w:rPr>
        <w:t>完成广东省建设用地土壤污染风险管控和修复名录移出工作</w:t>
      </w:r>
      <w:r>
        <w:rPr>
          <w:rFonts w:hint="eastAsia" w:ascii="宋体" w:hAnsi="宋体" w:eastAsia="宋体" w:cs="宋体"/>
          <w:color w:val="auto"/>
          <w:sz w:val="24"/>
          <w:szCs w:val="24"/>
          <w:highlight w:val="none"/>
          <w:lang w:val="en-US" w:eastAsia="zh-CN"/>
        </w:rPr>
        <w:t>及</w:t>
      </w:r>
      <w:r>
        <w:rPr>
          <w:rFonts w:hint="eastAsia" w:ascii="宋体" w:hAnsi="宋体" w:eastAsia="宋体" w:cs="Times New Roman"/>
          <w:color w:val="auto"/>
          <w:sz w:val="24"/>
          <w:highlight w:val="none"/>
        </w:rPr>
        <w:t>后续服务、项目结算以及保修期满之日止。</w:t>
      </w:r>
    </w:p>
    <w:p>
      <w:pPr>
        <w:pStyle w:val="7"/>
        <w:spacing w:line="500" w:lineRule="exact"/>
        <w:ind w:firstLine="480" w:firstLineChars="200"/>
        <w:rPr>
          <w:rFonts w:hint="eastAsia" w:hAnsi="Times New Roman" w:cs="Times New Roman"/>
          <w:color w:val="auto"/>
          <w:sz w:val="24"/>
          <w:szCs w:val="24"/>
          <w:highlight w:val="none"/>
        </w:rPr>
      </w:pPr>
    </w:p>
    <w:bookmarkEnd w:id="4"/>
    <w:p>
      <w:pPr>
        <w:spacing w:line="500" w:lineRule="exact"/>
        <w:ind w:firstLine="480" w:firstLineChars="200"/>
        <w:rPr>
          <w:rFonts w:ascii="宋体" w:hAnsi="宋体" w:cs="宋体"/>
          <w:color w:val="auto"/>
          <w:sz w:val="24"/>
          <w:szCs w:val="24"/>
          <w:highlight w:val="none"/>
        </w:rPr>
      </w:pPr>
      <w:r>
        <w:rPr>
          <w:rFonts w:hint="eastAsia"/>
          <w:color w:val="auto"/>
          <w:sz w:val="24"/>
          <w:szCs w:val="24"/>
          <w:highlight w:val="none"/>
        </w:rPr>
        <w:t xml:space="preserve">2.6 </w:t>
      </w:r>
      <w:r>
        <w:rPr>
          <w:rFonts w:hint="eastAsia" w:ascii="宋体" w:hAnsi="宋体" w:cs="宋体"/>
          <w:color w:val="auto"/>
          <w:sz w:val="24"/>
          <w:szCs w:val="24"/>
          <w:highlight w:val="none"/>
        </w:rPr>
        <w:t>最高投标限价（即招标控制价）：</w:t>
      </w:r>
      <w:r>
        <w:rPr>
          <w:rFonts w:hint="eastAsia" w:ascii="宋体" w:hAnsi="宋体" w:cs="宋体"/>
          <w:color w:val="auto"/>
          <w:sz w:val="24"/>
          <w:szCs w:val="24"/>
          <w:highlight w:val="none"/>
          <w:u w:val="single"/>
          <w:lang w:val="en-US" w:eastAsia="zh-CN"/>
        </w:rPr>
        <w:t>5118030.00</w:t>
      </w:r>
      <w:r>
        <w:rPr>
          <w:rFonts w:hint="eastAsia" w:ascii="宋体" w:hAnsi="宋体" w:cs="宋体"/>
          <w:color w:val="auto"/>
          <w:sz w:val="24"/>
          <w:szCs w:val="24"/>
          <w:highlight w:val="none"/>
          <w:u w:val="single"/>
        </w:rPr>
        <w:t>元</w:t>
      </w:r>
      <w:r>
        <w:rPr>
          <w:rFonts w:hint="eastAsia" w:ascii="宋体" w:hAnsi="宋体" w:cs="宋体"/>
          <w:color w:val="auto"/>
          <w:sz w:val="24"/>
          <w:szCs w:val="24"/>
          <w:highlight w:val="none"/>
          <w:u w:val="single"/>
          <w:lang w:val="zh-CN"/>
        </w:rPr>
        <w:t>。</w:t>
      </w:r>
    </w:p>
    <w:p>
      <w:pPr>
        <w:pStyle w:val="2"/>
        <w:keepNext w:val="0"/>
        <w:keepLines w:val="0"/>
        <w:spacing w:before="0" w:after="0" w:line="500" w:lineRule="exact"/>
        <w:rPr>
          <w:rFonts w:ascii="Times New Roman" w:hAnsi="Times New Roman"/>
          <w:color w:val="auto"/>
          <w:highlight w:val="none"/>
        </w:rPr>
      </w:pPr>
      <w:bookmarkStart w:id="5" w:name="_Toc511557027"/>
      <w:bookmarkStart w:id="6" w:name="_Toc527028843"/>
      <w:r>
        <w:rPr>
          <w:rFonts w:ascii="Times New Roman" w:hAnsi="Times New Roman"/>
          <w:color w:val="auto"/>
          <w:highlight w:val="none"/>
        </w:rPr>
        <w:t>3. 投标人资格要求</w:t>
      </w:r>
      <w:bookmarkEnd w:id="5"/>
      <w:bookmarkEnd w:id="6"/>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3.1投标人参加投标的意思表达清楚，法定代表人证明书及投标人代表被授权有效。</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3.2投标人具有独立法人资格，持有事业单位登记管理部门核发的事业单位法人证书或工商行政</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市场监督</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管理部门核发的企业法人营业执照，按国家法律经营。</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3投标人拟派项目负责人具备环境或环保类高级工程师或以上职称</w:t>
      </w:r>
      <w:r>
        <w:rPr>
          <w:rFonts w:hint="eastAsia" w:ascii="宋体" w:hAnsi="宋体" w:cs="宋体"/>
          <w:color w:val="auto"/>
          <w:sz w:val="24"/>
          <w:szCs w:val="24"/>
          <w:highlight w:val="none"/>
        </w:rPr>
        <w:t>。</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3.4投标人拟派技术负责人具备环境或环保类高级工程师或以上职称</w:t>
      </w:r>
      <w:r>
        <w:rPr>
          <w:rFonts w:hint="eastAsia" w:ascii="宋体" w:hAnsi="宋体" w:cs="宋体"/>
          <w:color w:val="auto"/>
          <w:sz w:val="24"/>
          <w:szCs w:val="24"/>
          <w:highlight w:val="none"/>
        </w:rPr>
        <w:t>。</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投标人未出现以下情形：与其它投标人的单位负责人为同一人或者存在控股、管理关系的（按投标人提供的《投标人声明》第</w:t>
      </w:r>
      <w:r>
        <w:rPr>
          <w:rFonts w:hint="eastAsia" w:ascii="宋体" w:hAnsi="宋体" w:cs="宋体"/>
          <w:color w:val="auto"/>
          <w:sz w:val="24"/>
          <w:szCs w:val="24"/>
          <w:highlight w:val="none"/>
          <w:lang w:val="en-US" w:eastAsia="zh-CN"/>
        </w:rPr>
        <w:t>七</w:t>
      </w:r>
      <w:r>
        <w:rPr>
          <w:rFonts w:hint="eastAsia" w:ascii="宋体" w:hAnsi="宋体" w:cs="宋体"/>
          <w:color w:val="auto"/>
          <w:sz w:val="24"/>
          <w:szCs w:val="24"/>
          <w:highlight w:val="none"/>
        </w:rPr>
        <w:t>条内容进行评审）。如不同投标申请人出现单位负责人为同一人或者存在控股、管理关系的情形，则相关投标均无效。</w:t>
      </w:r>
    </w:p>
    <w:p>
      <w:pPr>
        <w:spacing w:line="500" w:lineRule="exact"/>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6资格审查前，投标人须在广州公共资源交易中心办理企业信息登记，企业信息取自投标截止时间投标人在广州公共资源交易中心企业库内登记的信息。</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关于联合体投标：本</w:t>
      </w:r>
      <w:r>
        <w:rPr>
          <w:rFonts w:hint="eastAsia" w:ascii="宋体" w:hAnsi="宋体" w:cs="宋体"/>
          <w:color w:val="auto"/>
          <w:sz w:val="24"/>
          <w:szCs w:val="24"/>
          <w:highlight w:val="none"/>
          <w:lang w:val="en-US"/>
        </w:rPr>
        <w:t>项目</w:t>
      </w:r>
      <w:r>
        <w:rPr>
          <w:rFonts w:hint="eastAsia" w:ascii="宋体" w:hAnsi="宋体" w:cs="宋体"/>
          <w:b/>
          <w:bCs/>
          <w:color w:val="auto"/>
          <w:sz w:val="24"/>
          <w:szCs w:val="24"/>
          <w:highlight w:val="none"/>
          <w:u w:val="single"/>
          <w:lang w:val="en-US" w:eastAsia="zh-CN"/>
        </w:rPr>
        <w:t>不</w:t>
      </w:r>
      <w:r>
        <w:rPr>
          <w:rFonts w:hint="eastAsia" w:ascii="宋体" w:hAnsi="宋体" w:cs="宋体"/>
          <w:b/>
          <w:bCs/>
          <w:color w:val="auto"/>
          <w:sz w:val="24"/>
          <w:szCs w:val="24"/>
          <w:highlight w:val="none"/>
          <w:u w:val="single"/>
        </w:rPr>
        <w:t>接受</w:t>
      </w:r>
      <w:r>
        <w:rPr>
          <w:rFonts w:hint="eastAsia" w:ascii="宋体" w:hAnsi="宋体" w:cs="宋体"/>
          <w:color w:val="auto"/>
          <w:sz w:val="24"/>
          <w:szCs w:val="24"/>
          <w:highlight w:val="none"/>
        </w:rPr>
        <w:t>联合体投标。</w:t>
      </w:r>
    </w:p>
    <w:p>
      <w:pPr>
        <w:spacing w:line="500" w:lineRule="exact"/>
        <w:ind w:firstLine="480" w:firstLineChars="200"/>
        <w:rPr>
          <w:color w:val="auto"/>
          <w:sz w:val="24"/>
          <w:szCs w:val="24"/>
          <w:highlight w:val="none"/>
        </w:rPr>
      </w:pPr>
      <w:r>
        <w:rPr>
          <w:rFonts w:hint="eastAsia" w:ascii="宋体" w:hAnsi="宋体" w:cs="宋体"/>
          <w:color w:val="auto"/>
          <w:sz w:val="24"/>
          <w:szCs w:val="24"/>
          <w:highlight w:val="none"/>
        </w:rPr>
        <w:t>注：未在招标公告第3条单列的投标人资格要求条件，不作为资审不合格的依据。</w:t>
      </w:r>
    </w:p>
    <w:p>
      <w:pPr>
        <w:pStyle w:val="2"/>
        <w:keepNext w:val="0"/>
        <w:keepLines w:val="0"/>
        <w:spacing w:before="0" w:after="0" w:line="500" w:lineRule="exact"/>
        <w:rPr>
          <w:rFonts w:ascii="Times New Roman" w:hAnsi="Times New Roman"/>
          <w:color w:val="auto"/>
          <w:highlight w:val="none"/>
        </w:rPr>
      </w:pPr>
      <w:bookmarkStart w:id="7" w:name="_Toc511557028"/>
      <w:bookmarkStart w:id="8" w:name="_Toc527028844"/>
      <w:r>
        <w:rPr>
          <w:rFonts w:ascii="Times New Roman" w:hAnsi="Times New Roman"/>
          <w:color w:val="auto"/>
          <w:highlight w:val="none"/>
        </w:rPr>
        <w:t xml:space="preserve">4. </w:t>
      </w:r>
      <w:r>
        <w:rPr>
          <w:rFonts w:hint="eastAsia" w:ascii="Times New Roman" w:hAnsi="Times New Roman"/>
          <w:color w:val="auto"/>
          <w:highlight w:val="none"/>
        </w:rPr>
        <w:t>招标文件的获取</w:t>
      </w:r>
      <w:bookmarkEnd w:id="7"/>
      <w:bookmarkEnd w:id="8"/>
    </w:p>
    <w:p>
      <w:pPr>
        <w:tabs>
          <w:tab w:val="left" w:pos="360"/>
        </w:tabs>
        <w:spacing w:line="500" w:lineRule="exact"/>
        <w:ind w:left="479" w:leftChars="228" w:firstLine="0" w:firstLineChars="0"/>
        <w:rPr>
          <w:rFonts w:hint="default" w:ascii="宋体" w:hAnsi="宋体" w:cs="宋体"/>
          <w:color w:val="auto"/>
          <w:sz w:val="24"/>
          <w:szCs w:val="24"/>
          <w:highlight w:val="none"/>
          <w:u w:val="single"/>
          <w:lang w:val="en-US" w:eastAsia="zh-CN"/>
        </w:rPr>
      </w:pPr>
      <w:r>
        <w:rPr>
          <w:rFonts w:ascii="宋体" w:hAnsi="宋体" w:cs="宋体"/>
          <w:color w:val="auto"/>
          <w:sz w:val="24"/>
          <w:szCs w:val="24"/>
          <w:highlight w:val="none"/>
        </w:rPr>
        <w:t>4.1</w:t>
      </w:r>
      <w:r>
        <w:rPr>
          <w:rFonts w:hint="eastAsia" w:ascii="宋体" w:hAnsi="宋体" w:cs="宋体"/>
          <w:color w:val="auto"/>
          <w:sz w:val="24"/>
          <w:szCs w:val="24"/>
          <w:highlight w:val="none"/>
        </w:rPr>
        <w:t xml:space="preserve"> 凡有意参加投标者，请于</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分至</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p>
    <w:p>
      <w:pPr>
        <w:tabs>
          <w:tab w:val="left" w:pos="360"/>
        </w:tabs>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分（北京时间，下同），登录广州公共资源交易中心网站（以下简称“交易平台”或“电子招标投标交易平台”，网址：http://www.gzggzy.cn）下载电子招标文件。</w:t>
      </w:r>
    </w:p>
    <w:p>
      <w:pPr>
        <w:spacing w:line="5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 xml:space="preserve"> 发布招标公告时间</w:t>
      </w:r>
      <w:r>
        <w:rPr>
          <w:rFonts w:hint="eastAsia" w:ascii="宋体" w:hAnsi="宋体" w:cs="宋体"/>
          <w:color w:val="auto"/>
          <w:kern w:val="0"/>
          <w:sz w:val="24"/>
          <w:highlight w:val="none"/>
        </w:rPr>
        <w:t>（含本日）</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分至</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w:t>
      </w:r>
    </w:p>
    <w:p>
      <w:pPr>
        <w:spacing w:line="50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注：本公告发布之日起开始发布招标文件，发布招标公告的时间为招标公告发出之日起至递交投标文件截止时间止,并从招标公告发布之日起开始计算备标时间。</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4.2.1 投标人通过广州公共资源交易中心交易平台递交电子投标文件。投标人应在递交投标文件截止时间前，登录广州公共资源交易中心交易平台网站办理网上投标登记手续。按照交易平台关于全流程电子化项目的相关指南进行操作，具体详见广州公共资源交易中心网站。</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4.2.2 开标时间：</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w:t>
      </w:r>
    </w:p>
    <w:p>
      <w:pPr>
        <w:spacing w:line="5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 xml:space="preserve"> 本项目采用</w:t>
      </w:r>
      <w:r>
        <w:rPr>
          <w:rFonts w:hint="eastAsia" w:ascii="宋体" w:hAnsi="宋体" w:cs="宋体"/>
          <w:b/>
          <w:bCs/>
          <w:color w:val="auto"/>
          <w:sz w:val="24"/>
          <w:szCs w:val="24"/>
          <w:highlight w:val="none"/>
          <w:u w:val="single"/>
        </w:rPr>
        <w:t>资格后审</w:t>
      </w:r>
      <w:r>
        <w:rPr>
          <w:rFonts w:hint="eastAsia" w:ascii="宋体" w:hAnsi="宋体" w:cs="宋体"/>
          <w:color w:val="auto"/>
          <w:sz w:val="24"/>
          <w:szCs w:val="24"/>
          <w:highlight w:val="none"/>
        </w:rPr>
        <w:t>方式。</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 潜在投标人或利害关系人对本招标公告及招标内容异议的，可向招标人书面提出。</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注：电子招投标操作流程详见广州公共资源交易中心网站发布的最新版操作指引。</w:t>
      </w:r>
    </w:p>
    <w:p>
      <w:pPr>
        <w:pStyle w:val="2"/>
        <w:keepNext w:val="0"/>
        <w:keepLines w:val="0"/>
        <w:spacing w:before="0" w:after="0" w:line="500" w:lineRule="exact"/>
        <w:rPr>
          <w:rFonts w:ascii="Times New Roman" w:hAnsi="Times New Roman"/>
          <w:color w:val="auto"/>
          <w:highlight w:val="none"/>
        </w:rPr>
      </w:pPr>
      <w:bookmarkStart w:id="9" w:name="_Toc527028845"/>
      <w:bookmarkStart w:id="10" w:name="_Toc511557029"/>
      <w:r>
        <w:rPr>
          <w:rFonts w:hint="eastAsia" w:ascii="Times New Roman" w:hAnsi="Times New Roman"/>
          <w:color w:val="auto"/>
          <w:highlight w:val="none"/>
        </w:rPr>
        <w:t>5</w:t>
      </w:r>
      <w:r>
        <w:rPr>
          <w:rFonts w:ascii="Times New Roman" w:hAnsi="Times New Roman"/>
          <w:color w:val="auto"/>
          <w:highlight w:val="none"/>
        </w:rPr>
        <w:t xml:space="preserve">. </w:t>
      </w:r>
      <w:r>
        <w:rPr>
          <w:rFonts w:hint="eastAsia" w:ascii="Times New Roman" w:hAnsi="Times New Roman"/>
          <w:color w:val="auto"/>
          <w:highlight w:val="none"/>
        </w:rPr>
        <w:t>投标文件的递交</w:t>
      </w:r>
      <w:bookmarkEnd w:id="9"/>
      <w:bookmarkEnd w:id="10"/>
    </w:p>
    <w:p>
      <w:pPr>
        <w:snapToGrid w:val="0"/>
        <w:spacing w:line="500" w:lineRule="exact"/>
        <w:ind w:firstLine="480" w:firstLineChars="200"/>
        <w:rPr>
          <w:rFonts w:ascii="宋体" w:hAnsi="宋体" w:cs="宋体"/>
          <w:color w:val="auto"/>
          <w:sz w:val="24"/>
          <w:szCs w:val="24"/>
          <w:highlight w:val="none"/>
        </w:rPr>
      </w:pPr>
      <w:bookmarkStart w:id="11" w:name="_Toc511557030"/>
      <w:r>
        <w:rPr>
          <w:rFonts w:ascii="宋体" w:hAnsi="宋体" w:cs="宋体"/>
          <w:color w:val="auto"/>
          <w:sz w:val="24"/>
          <w:szCs w:val="24"/>
          <w:highlight w:val="none"/>
        </w:rPr>
        <w:t xml:space="preserve">5.1 </w:t>
      </w:r>
      <w:r>
        <w:rPr>
          <w:rFonts w:hint="eastAsia" w:ascii="宋体" w:hAnsi="宋体" w:cs="宋体"/>
          <w:color w:val="auto"/>
          <w:sz w:val="24"/>
          <w:szCs w:val="24"/>
          <w:highlight w:val="none"/>
        </w:rPr>
        <w:t>投标文件递交的截止时间（投标截止时间，下同）为</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分，投标人应在截止时间前通过广州公共资源交易中心网站（以下简称“交易平台”或“电子招标投标交易平台”（</w:t>
      </w:r>
      <w:r>
        <w:rPr>
          <w:rFonts w:ascii="宋体" w:hAnsi="宋体" w:cs="宋体"/>
          <w:color w:val="auto"/>
          <w:sz w:val="24"/>
          <w:szCs w:val="24"/>
          <w:highlight w:val="none"/>
        </w:rPr>
        <w:t>http://www.gzggzy.cn）递交电子投标文件。</w:t>
      </w:r>
      <w:bookmarkStart w:id="43" w:name="_GoBack"/>
      <w:bookmarkEnd w:id="43"/>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递交备用投标文件电子光盘的规定：时间为：</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分至</w:t>
      </w:r>
      <w:r>
        <w:rPr>
          <w:rFonts w:hint="eastAsia" w:ascii="宋体" w:hAnsi="宋体" w:cs="宋体"/>
          <w:color w:val="auto"/>
          <w:sz w:val="24"/>
          <w:szCs w:val="24"/>
          <w:highlight w:val="none"/>
          <w:u w:val="single"/>
          <w:lang w:eastAsia="zh-CN"/>
        </w:rPr>
        <w:t>2024</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p>
    <w:p>
      <w:pPr>
        <w:snapToGrid w:val="0"/>
        <w:spacing w:line="50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分；地点：</w:t>
      </w:r>
      <w:r>
        <w:rPr>
          <w:rFonts w:hint="eastAsia" w:ascii="宋体" w:hAnsi="宋体" w:cs="宋体"/>
          <w:color w:val="auto"/>
          <w:sz w:val="24"/>
          <w:szCs w:val="24"/>
          <w:highlight w:val="none"/>
          <w:u w:val="single"/>
        </w:rPr>
        <w:t>广州公共资源交易中心第</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开标室</w:t>
      </w:r>
      <w:r>
        <w:rPr>
          <w:rFonts w:hint="eastAsia" w:ascii="宋体" w:hAnsi="宋体" w:cs="宋体"/>
          <w:color w:val="auto"/>
          <w:sz w:val="24"/>
          <w:szCs w:val="24"/>
          <w:highlight w:val="none"/>
        </w:rPr>
        <w:t>。（电子光盘需按规定封装。投标人将数据刻录到光盘之后，投标前自行检查文件是否可以读取）。</w:t>
      </w:r>
    </w:p>
    <w:p>
      <w:pPr>
        <w:spacing w:line="5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5.2 </w:t>
      </w:r>
      <w:r>
        <w:rPr>
          <w:rFonts w:hint="eastAsia" w:ascii="宋体" w:hAnsi="宋体" w:cs="宋体"/>
          <w:color w:val="auto"/>
          <w:sz w:val="24"/>
          <w:szCs w:val="24"/>
          <w:highlight w:val="none"/>
        </w:rPr>
        <w:t>投标人完成电子投标上传后，电子招标投标交易平台即时向投标人发出递交回执通知。递交时间以递交回执通知载明的传输时间为准。</w:t>
      </w:r>
    </w:p>
    <w:p>
      <w:pPr>
        <w:spacing w:line="5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5.3 </w:t>
      </w:r>
      <w:r>
        <w:rPr>
          <w:rFonts w:hint="eastAsia" w:ascii="宋体" w:hAnsi="宋体" w:cs="宋体"/>
          <w:color w:val="auto"/>
          <w:sz w:val="24"/>
          <w:szCs w:val="24"/>
          <w:highlight w:val="none"/>
        </w:rPr>
        <w:t>逾期送达的投标文件，电子招标投标交易平台将予以拒收。逾期未上传成功的电子投标文件，招标人拒绝接收。</w:t>
      </w:r>
    </w:p>
    <w:p>
      <w:pPr>
        <w:spacing w:line="500" w:lineRule="exact"/>
        <w:ind w:firstLine="480" w:firstLineChars="200"/>
        <w:rPr>
          <w:color w:val="auto"/>
          <w:sz w:val="24"/>
          <w:szCs w:val="24"/>
          <w:highlight w:val="none"/>
        </w:rPr>
      </w:pPr>
      <w:r>
        <w:rPr>
          <w:rFonts w:hint="eastAsia" w:ascii="宋体" w:hAnsi="宋体" w:cs="宋体"/>
          <w:color w:val="auto"/>
          <w:sz w:val="24"/>
          <w:szCs w:val="24"/>
          <w:highlight w:val="none"/>
        </w:rPr>
        <w:t>5.4 递交投标文件截止时间及开标时间是否有变化，请密切留意交易中心网站中的相关信息。递交投标文件截止时间后，投标文件评审时间因故推迟的，相关资审信息仍以原递交投标文件截止时间的信息为准。</w:t>
      </w:r>
    </w:p>
    <w:p>
      <w:pPr>
        <w:pStyle w:val="2"/>
        <w:keepNext w:val="0"/>
        <w:keepLines w:val="0"/>
        <w:spacing w:before="0" w:after="0" w:line="500" w:lineRule="exact"/>
        <w:rPr>
          <w:rFonts w:ascii="Times New Roman" w:hAnsi="Times New Roman"/>
          <w:color w:val="auto"/>
          <w:highlight w:val="none"/>
        </w:rPr>
      </w:pPr>
      <w:bookmarkStart w:id="12" w:name="_Toc527028846"/>
      <w:r>
        <w:rPr>
          <w:rFonts w:hint="eastAsia" w:ascii="Times New Roman" w:hAnsi="Times New Roman"/>
          <w:color w:val="auto"/>
          <w:highlight w:val="none"/>
        </w:rPr>
        <w:t>6. 发布公告的媒介</w:t>
      </w:r>
      <w:bookmarkEnd w:id="11"/>
      <w:bookmarkEnd w:id="12"/>
    </w:p>
    <w:p>
      <w:pPr>
        <w:spacing w:line="500" w:lineRule="exact"/>
        <w:ind w:firstLine="480" w:firstLineChars="200"/>
        <w:rPr>
          <w:color w:val="auto"/>
          <w:sz w:val="24"/>
          <w:szCs w:val="24"/>
          <w:highlight w:val="none"/>
        </w:rPr>
      </w:pPr>
      <w:r>
        <w:rPr>
          <w:rFonts w:hint="eastAsia" w:ascii="宋体" w:hAnsi="宋体" w:cs="宋体"/>
          <w:color w:val="auto"/>
          <w:sz w:val="24"/>
          <w:szCs w:val="24"/>
          <w:highlight w:val="none"/>
        </w:rPr>
        <w:t>本次招标公告同时在广州公共资源交易中心网站（网址：http://www.gzggzy.cn）、粤采易阳光采购平台（网址：http://www.gdycy.com）、中国招标投标公共服务平台（网址：http://www.cebpubservice.com）</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广东省机电设备招标中心有限公司</w:t>
      </w:r>
      <w:r>
        <w:rPr>
          <w:rFonts w:hint="eastAsia" w:ascii="宋体" w:hAnsi="宋体" w:cs="宋体"/>
          <w:color w:val="auto"/>
          <w:sz w:val="24"/>
          <w:szCs w:val="24"/>
          <w:highlight w:val="none"/>
        </w:rPr>
        <w:t>(网址：https://www.gdebidding.com/)、佛山电器照明股份有限公司官方网站（https://www.chinafsl.com/）发布，本公告的修改、补充，在广州公共资源交易中心网站发布。本公告在各媒体发布的文本如有不同之处，以在广州公共资源交易中心网站发布的文本为准。</w:t>
      </w:r>
    </w:p>
    <w:p>
      <w:pPr>
        <w:pStyle w:val="2"/>
        <w:keepNext w:val="0"/>
        <w:keepLines w:val="0"/>
        <w:spacing w:before="0" w:after="0" w:line="500" w:lineRule="exact"/>
        <w:rPr>
          <w:rFonts w:ascii="Times New Roman" w:hAnsi="Times New Roman"/>
          <w:color w:val="auto"/>
          <w:highlight w:val="none"/>
        </w:rPr>
      </w:pPr>
      <w:bookmarkStart w:id="13" w:name="_Toc527028847"/>
      <w:bookmarkStart w:id="14" w:name="_Toc511557031"/>
      <w:r>
        <w:rPr>
          <w:rFonts w:hint="eastAsia" w:ascii="Times New Roman" w:hAnsi="Times New Roman"/>
          <w:color w:val="auto"/>
          <w:highlight w:val="none"/>
        </w:rPr>
        <w:t>7. 联系方式</w:t>
      </w:r>
      <w:bookmarkEnd w:id="13"/>
      <w:bookmarkEnd w:id="14"/>
    </w:p>
    <w:p>
      <w:pPr>
        <w:topLinePunct/>
        <w:spacing w:line="560" w:lineRule="exact"/>
        <w:ind w:firstLine="480" w:firstLineChars="200"/>
        <w:rPr>
          <w:rFonts w:hint="eastAsia" w:ascii="宋体" w:hAnsi="宋体" w:eastAsia="宋体" w:cs="宋体"/>
          <w:color w:val="auto"/>
          <w:sz w:val="24"/>
          <w:szCs w:val="24"/>
          <w:highlight w:val="none"/>
          <w:lang w:eastAsia="zh-CN"/>
        </w:rPr>
      </w:pPr>
      <w:bookmarkStart w:id="15" w:name="_Toc352691453"/>
      <w:bookmarkEnd w:id="15"/>
      <w:bookmarkStart w:id="16" w:name="_Toc352691455"/>
      <w:bookmarkEnd w:id="16"/>
      <w:bookmarkStart w:id="17" w:name="_Toc384308185"/>
      <w:bookmarkEnd w:id="17"/>
      <w:bookmarkStart w:id="18" w:name="_Toc152042288"/>
      <w:bookmarkEnd w:id="18"/>
      <w:bookmarkStart w:id="19" w:name="_Toc247513935"/>
      <w:bookmarkEnd w:id="19"/>
      <w:bookmarkStart w:id="20" w:name="_Toc17972"/>
      <w:bookmarkEnd w:id="20"/>
      <w:bookmarkStart w:id="21" w:name="_Toc352691456"/>
      <w:bookmarkEnd w:id="21"/>
      <w:bookmarkStart w:id="22" w:name="_Toc384308188"/>
      <w:bookmarkEnd w:id="22"/>
      <w:bookmarkStart w:id="23" w:name="_Toc152045512"/>
      <w:bookmarkEnd w:id="23"/>
      <w:bookmarkStart w:id="24" w:name="_Toc300834927"/>
      <w:bookmarkEnd w:id="24"/>
      <w:bookmarkStart w:id="25" w:name="_Toc247513934"/>
      <w:bookmarkEnd w:id="25"/>
      <w:bookmarkStart w:id="26" w:name="_Toc384308187"/>
      <w:bookmarkEnd w:id="26"/>
      <w:bookmarkStart w:id="27" w:name="_Toc369531497"/>
      <w:bookmarkEnd w:id="27"/>
      <w:bookmarkStart w:id="28" w:name="_Toc361508560"/>
      <w:bookmarkEnd w:id="28"/>
      <w:bookmarkStart w:id="29" w:name="_Toc247527535"/>
      <w:bookmarkEnd w:id="29"/>
      <w:bookmarkStart w:id="30" w:name="_Toc144974480"/>
      <w:bookmarkEnd w:id="30"/>
      <w:bookmarkStart w:id="31" w:name="_Toc361508563"/>
      <w:bookmarkEnd w:id="31"/>
      <w:bookmarkStart w:id="32" w:name="_Toc361508562"/>
      <w:bookmarkEnd w:id="32"/>
      <w:bookmarkStart w:id="33" w:name="_Toc247527536"/>
      <w:bookmarkEnd w:id="33"/>
      <w:bookmarkStart w:id="34" w:name="_Toc144974481"/>
      <w:bookmarkEnd w:id="34"/>
      <w:bookmarkStart w:id="35" w:name="_Toc300834930"/>
      <w:bookmarkEnd w:id="35"/>
      <w:bookmarkStart w:id="36" w:name="_Toc10785"/>
      <w:bookmarkEnd w:id="36"/>
      <w:bookmarkStart w:id="37" w:name="_Toc300834929"/>
      <w:bookmarkEnd w:id="37"/>
      <w:bookmarkStart w:id="38" w:name="_Toc30817"/>
      <w:bookmarkEnd w:id="38"/>
      <w:bookmarkStart w:id="39" w:name="_Toc152045513"/>
      <w:bookmarkEnd w:id="39"/>
      <w:bookmarkStart w:id="40" w:name="_Toc152042289"/>
      <w:bookmarkEnd w:id="40"/>
      <w:bookmarkStart w:id="41" w:name="_Toc369531495"/>
      <w:bookmarkEnd w:id="41"/>
      <w:bookmarkStart w:id="42" w:name="_Toc369531498"/>
      <w:bookmarkEnd w:id="42"/>
      <w:r>
        <w:rPr>
          <w:rFonts w:hint="eastAsia" w:ascii="宋体" w:hAnsi="宋体" w:cs="宋体"/>
          <w:color w:val="auto"/>
          <w:sz w:val="24"/>
          <w:szCs w:val="24"/>
          <w:highlight w:val="none"/>
        </w:rPr>
        <w:t>招标人：佛山电器照明股份有限公司</w:t>
      </w:r>
    </w:p>
    <w:p>
      <w:pPr>
        <w:topLinePunct/>
        <w:spacing w:line="5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地址：佛山市禅城区汾江北路64号</w:t>
      </w:r>
    </w:p>
    <w:p>
      <w:pPr>
        <w:topLinePunct/>
        <w:spacing w:line="5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梁小姐</w:t>
      </w:r>
    </w:p>
    <w:p>
      <w:pPr>
        <w:tabs>
          <w:tab w:val="left" w:pos="2268"/>
        </w:tabs>
        <w:topLinePunct/>
        <w:spacing w:line="5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电话：0757-82966</w:t>
      </w:r>
      <w:r>
        <w:rPr>
          <w:rFonts w:hint="eastAsia" w:ascii="宋体" w:hAnsi="宋体" w:cs="宋体"/>
          <w:color w:val="auto"/>
          <w:sz w:val="24"/>
          <w:szCs w:val="24"/>
          <w:highlight w:val="none"/>
          <w:lang w:val="en-US" w:eastAsia="zh-CN"/>
        </w:rPr>
        <w:t>109</w:t>
      </w:r>
    </w:p>
    <w:p>
      <w:pPr>
        <w:spacing w:line="560" w:lineRule="exact"/>
        <w:ind w:right="482" w:firstLine="480" w:firstLineChars="200"/>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招标代理机构：</w:t>
      </w:r>
      <w:r>
        <w:rPr>
          <w:rFonts w:hint="eastAsia" w:ascii="宋体" w:hAnsi="宋体"/>
          <w:color w:val="auto"/>
          <w:sz w:val="24"/>
          <w:szCs w:val="24"/>
          <w:highlight w:val="none"/>
          <w:lang w:val="en-US" w:eastAsia="zh-CN"/>
        </w:rPr>
        <w:t>广东省机电设备招标中心有限公司</w:t>
      </w:r>
    </w:p>
    <w:p>
      <w:pPr>
        <w:spacing w:line="560" w:lineRule="exact"/>
        <w:ind w:right="482" w:firstLine="480" w:firstLineChars="200"/>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地址：</w:t>
      </w:r>
      <w:r>
        <w:rPr>
          <w:rFonts w:hint="eastAsia" w:ascii="宋体" w:hAnsi="宋体"/>
          <w:color w:val="auto"/>
          <w:sz w:val="24"/>
          <w:szCs w:val="24"/>
          <w:highlight w:val="none"/>
          <w:lang w:val="en-US" w:eastAsia="zh-CN"/>
        </w:rPr>
        <w:t>广州市越秀区东风中路515号东照大厦5楼</w:t>
      </w:r>
    </w:p>
    <w:p>
      <w:pPr>
        <w:spacing w:line="560" w:lineRule="exact"/>
        <w:ind w:right="482" w:firstLine="480" w:firstLineChars="200"/>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联系人：</w:t>
      </w:r>
      <w:r>
        <w:rPr>
          <w:rFonts w:hint="eastAsia" w:ascii="宋体" w:hAnsi="宋体"/>
          <w:color w:val="auto"/>
          <w:sz w:val="24"/>
          <w:szCs w:val="24"/>
          <w:highlight w:val="none"/>
          <w:lang w:val="en-US" w:eastAsia="zh-CN"/>
        </w:rPr>
        <w:t>吴嘉鹏</w:t>
      </w:r>
      <w:r>
        <w:rPr>
          <w:rFonts w:hint="eastAsia" w:ascii="宋体" w:hAnsi="宋体"/>
          <w:color w:val="auto"/>
          <w:sz w:val="24"/>
          <w:szCs w:val="24"/>
          <w:highlight w:val="none"/>
          <w:lang w:val="en-US" w:eastAsia="zh-CN"/>
        </w:rPr>
        <w:tab/>
      </w:r>
    </w:p>
    <w:p>
      <w:pPr>
        <w:spacing w:line="560" w:lineRule="exact"/>
        <w:ind w:firstLine="480" w:firstLineChars="200"/>
        <w:rPr>
          <w:rFonts w:hint="default" w:ascii="宋体" w:hAnsi="宋体" w:eastAsia="宋体" w:cs="宋体"/>
          <w:color w:val="auto"/>
          <w:sz w:val="24"/>
          <w:szCs w:val="24"/>
          <w:highlight w:val="none"/>
          <w:lang w:val="en-US" w:eastAsia="zh-CN"/>
        </w:rPr>
      </w:pPr>
      <w:r>
        <w:rPr>
          <w:rFonts w:hint="eastAsia" w:ascii="宋体" w:hAnsi="宋体"/>
          <w:color w:val="auto"/>
          <w:sz w:val="24"/>
          <w:szCs w:val="24"/>
          <w:highlight w:val="none"/>
        </w:rPr>
        <w:t>电话：</w:t>
      </w:r>
      <w:r>
        <w:rPr>
          <w:rFonts w:hint="eastAsia" w:ascii="宋体" w:hAnsi="宋体"/>
          <w:color w:val="auto"/>
          <w:sz w:val="24"/>
          <w:szCs w:val="24"/>
          <w:highlight w:val="none"/>
          <w:lang w:val="en-US" w:eastAsia="zh-CN"/>
        </w:rPr>
        <w:t>13538893942</w:t>
      </w:r>
    </w:p>
    <w:p>
      <w:pPr>
        <w:spacing w:line="560" w:lineRule="exact"/>
        <w:ind w:firstLine="480" w:firstLineChars="200"/>
        <w:rPr>
          <w:rFonts w:ascii="宋体" w:hAnsi="宋体" w:cs="宋体"/>
          <w:color w:val="auto"/>
          <w:sz w:val="24"/>
          <w:szCs w:val="24"/>
          <w:highlight w:val="none"/>
        </w:rPr>
      </w:pPr>
    </w:p>
    <w:p>
      <w:pPr>
        <w:topLinePunct/>
        <w:spacing w:line="5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异议受理部门：佛山电器照明股份有限公司</w:t>
      </w:r>
    </w:p>
    <w:p>
      <w:pPr>
        <w:topLinePunct/>
        <w:spacing w:line="56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地址：佛山市禅城区汾江北路64号 </w:t>
      </w:r>
    </w:p>
    <w:p>
      <w:pPr>
        <w:spacing w:line="560" w:lineRule="exact"/>
        <w:ind w:firstLine="480" w:firstLineChars="200"/>
        <w:rPr>
          <w:color w:val="auto"/>
          <w:highlight w:val="none"/>
        </w:rPr>
      </w:pPr>
      <w:r>
        <w:rPr>
          <w:rFonts w:hint="eastAsia" w:ascii="宋体" w:hAnsi="宋体" w:cs="宋体"/>
          <w:color w:val="auto"/>
          <w:sz w:val="24"/>
          <w:szCs w:val="24"/>
          <w:highlight w:val="none"/>
        </w:rPr>
        <w:t>电话：0757-82966037</w:t>
      </w:r>
    </w:p>
    <w:p>
      <w:pPr>
        <w:pStyle w:val="9"/>
        <w:spacing w:after="0" w:line="560" w:lineRule="exact"/>
        <w:rPr>
          <w:rFonts w:ascii="宋体" w:hAnsi="宋体" w:cs="宋体"/>
          <w:color w:val="auto"/>
          <w:sz w:val="24"/>
          <w:highlight w:val="none"/>
        </w:rPr>
      </w:pPr>
    </w:p>
    <w:p>
      <w:pPr>
        <w:spacing w:line="560" w:lineRule="exact"/>
        <w:ind w:right="482" w:firstLine="480" w:firstLineChars="200"/>
        <w:rPr>
          <w:rFonts w:hint="eastAsia" w:ascii="宋体" w:hAnsi="宋体"/>
          <w:color w:val="auto"/>
          <w:sz w:val="24"/>
          <w:szCs w:val="24"/>
          <w:highlight w:val="none"/>
          <w:u w:val="none"/>
          <w:lang w:val="en-US" w:eastAsia="zh-CN"/>
        </w:rPr>
      </w:pPr>
      <w:r>
        <w:rPr>
          <w:rFonts w:hint="eastAsia" w:ascii="宋体" w:hAnsi="宋体"/>
          <w:color w:val="auto"/>
          <w:sz w:val="24"/>
          <w:szCs w:val="24"/>
          <w:highlight w:val="none"/>
          <w:u w:val="none"/>
          <w:lang w:val="en-US" w:eastAsia="zh-CN"/>
        </w:rPr>
        <w:t>招标监督机构：佛山电器照明股份有限公司</w:t>
      </w:r>
    </w:p>
    <w:p>
      <w:pPr>
        <w:spacing w:line="560" w:lineRule="exact"/>
        <w:ind w:right="482" w:firstLine="480" w:firstLineChars="200"/>
        <w:rPr>
          <w:rFonts w:hint="eastAsia" w:ascii="宋体" w:hAnsi="宋体"/>
          <w:color w:val="auto"/>
          <w:sz w:val="24"/>
          <w:szCs w:val="24"/>
          <w:highlight w:val="none"/>
          <w:u w:val="none"/>
          <w:lang w:val="en-US" w:eastAsia="zh-CN"/>
        </w:rPr>
      </w:pPr>
      <w:r>
        <w:rPr>
          <w:rFonts w:hint="eastAsia" w:ascii="宋体" w:hAnsi="宋体"/>
          <w:color w:val="auto"/>
          <w:sz w:val="24"/>
          <w:szCs w:val="24"/>
          <w:highlight w:val="none"/>
          <w:u w:val="none"/>
          <w:lang w:val="en-US" w:eastAsia="zh-CN"/>
        </w:rPr>
        <w:t>地址：佛山市禅城区汾江北路64号</w:t>
      </w:r>
    </w:p>
    <w:p>
      <w:pPr>
        <w:spacing w:line="560" w:lineRule="exact"/>
        <w:ind w:right="482" w:firstLine="480" w:firstLineChars="200"/>
        <w:rPr>
          <w:rFonts w:hint="eastAsia" w:ascii="宋体" w:hAnsi="宋体"/>
          <w:color w:val="auto"/>
          <w:sz w:val="24"/>
          <w:szCs w:val="24"/>
          <w:highlight w:val="none"/>
          <w:u w:val="none"/>
          <w:lang w:val="en-US" w:eastAsia="zh-CN"/>
        </w:rPr>
      </w:pPr>
      <w:r>
        <w:rPr>
          <w:rFonts w:hint="eastAsia" w:ascii="宋体" w:hAnsi="宋体"/>
          <w:color w:val="auto"/>
          <w:sz w:val="24"/>
          <w:szCs w:val="24"/>
          <w:highlight w:val="none"/>
          <w:u w:val="none"/>
          <w:lang w:val="en-US" w:eastAsia="zh-CN"/>
        </w:rPr>
        <w:t xml:space="preserve">监督电话：0757-82966023 </w:t>
      </w:r>
    </w:p>
    <w:p>
      <w:pPr>
        <w:spacing w:line="500" w:lineRule="exact"/>
        <w:ind w:firstLine="3840" w:firstLineChars="1600"/>
        <w:rPr>
          <w:rFonts w:hint="eastAsia" w:ascii="宋体" w:hAnsi="宋体" w:cs="宋体"/>
          <w:color w:val="auto"/>
          <w:sz w:val="24"/>
          <w:szCs w:val="24"/>
          <w:highlight w:val="none"/>
        </w:rPr>
      </w:pPr>
    </w:p>
    <w:p>
      <w:pPr>
        <w:spacing w:line="500" w:lineRule="exact"/>
        <w:ind w:firstLine="3840" w:firstLineChars="16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招标人：</w:t>
      </w:r>
      <w:r>
        <w:rPr>
          <w:rFonts w:hint="eastAsia" w:ascii="宋体" w:hAnsi="宋体" w:cs="宋体"/>
          <w:color w:val="auto"/>
          <w:sz w:val="24"/>
          <w:szCs w:val="24"/>
          <w:highlight w:val="none"/>
          <w:lang w:eastAsia="zh-CN"/>
        </w:rPr>
        <w:t>佛山电器照明股份有限公司</w:t>
      </w:r>
    </w:p>
    <w:p>
      <w:pPr>
        <w:spacing w:line="500" w:lineRule="exact"/>
        <w:ind w:firstLine="3840" w:firstLineChars="16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招标代理机构：</w:t>
      </w:r>
      <w:r>
        <w:rPr>
          <w:rFonts w:hint="eastAsia" w:ascii="宋体" w:hAnsi="宋体" w:cs="宋体"/>
          <w:color w:val="auto"/>
          <w:sz w:val="24"/>
          <w:szCs w:val="24"/>
          <w:highlight w:val="none"/>
          <w:lang w:eastAsia="zh-CN"/>
        </w:rPr>
        <w:t>广东省机电设备招标中心有限公司</w:t>
      </w:r>
    </w:p>
    <w:p>
      <w:pPr>
        <w:spacing w:line="500" w:lineRule="exact"/>
        <w:ind w:firstLine="5040" w:firstLineChars="2100"/>
        <w:rPr>
          <w:rFonts w:ascii="宋体" w:hAnsi="宋体" w:cs="宋体"/>
          <w:color w:val="auto"/>
          <w:sz w:val="24"/>
          <w:szCs w:val="24"/>
          <w:highlight w:val="none"/>
        </w:rPr>
      </w:pPr>
      <w:r>
        <w:rPr>
          <w:rFonts w:hint="eastAsia" w:ascii="宋体" w:hAnsi="宋体" w:cs="宋体"/>
          <w:color w:val="auto"/>
          <w:sz w:val="24"/>
          <w:szCs w:val="24"/>
          <w:highlight w:val="none"/>
          <w:lang w:eastAsia="zh-CN"/>
        </w:rPr>
        <w:t>2024</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w:t>
      </w:r>
    </w:p>
    <w:p>
      <w:pPr>
        <w:spacing w:line="500" w:lineRule="exact"/>
        <w:rPr>
          <w:rFonts w:ascii="宋体" w:hAnsi="宋体" w:cs="宋体"/>
          <w:color w:val="auto"/>
          <w:highlight w:val="none"/>
        </w:rPr>
        <w:sectPr>
          <w:footerReference r:id="rId3" w:type="default"/>
          <w:pgSz w:w="12240" w:h="15840"/>
          <w:pgMar w:top="1440" w:right="1440" w:bottom="1440" w:left="1440" w:header="850" w:footer="850" w:gutter="0"/>
          <w:pgNumType w:start="0"/>
          <w:cols w:space="720" w:num="1"/>
          <w:titlePg/>
          <w:docGrid w:linePitch="286" w:charSpace="0"/>
        </w:sectPr>
      </w:pPr>
    </w:p>
    <w:p>
      <w:pPr>
        <w:spacing w:line="56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附件一：</w:t>
      </w:r>
    </w:p>
    <w:p>
      <w:pPr>
        <w:widowControl/>
        <w:snapToGrid w:val="0"/>
        <w:spacing w:line="560" w:lineRule="exact"/>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投标人声明</w:t>
      </w:r>
    </w:p>
    <w:p>
      <w:pPr>
        <w:snapToGrid w:val="0"/>
        <w:spacing w:line="560" w:lineRule="exact"/>
        <w:rPr>
          <w:rFonts w:ascii="宋体" w:hAnsi="宋体" w:cs="宋体"/>
          <w:color w:val="auto"/>
          <w:kern w:val="0"/>
          <w:sz w:val="24"/>
          <w:szCs w:val="24"/>
          <w:highlight w:val="none"/>
        </w:rPr>
      </w:pPr>
    </w:p>
    <w:p>
      <w:pPr>
        <w:snapToGrid w:val="0"/>
        <w:spacing w:line="56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本招标项目招标人及招标监管机构：</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本公司就参加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项目投标工作，作出郑重声明：</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一、本公司保证投标资格审查材料及其后提供的一切材料都是真实的，如我司成为本</w:t>
      </w:r>
      <w:r>
        <w:rPr>
          <w:rFonts w:hint="eastAsia" w:ascii="宋体" w:hAnsi="宋体" w:eastAsia="宋体" w:cs="宋体"/>
          <w:color w:val="auto"/>
          <w:spacing w:val="5"/>
          <w:sz w:val="21"/>
          <w:szCs w:val="21"/>
          <w:highlight w:val="none"/>
        </w:rPr>
        <w:t>项目中</w:t>
      </w:r>
      <w:r>
        <w:rPr>
          <w:rFonts w:hint="eastAsia" w:ascii="宋体" w:hAnsi="宋体" w:eastAsia="宋体" w:cs="宋体"/>
          <w:color w:val="auto"/>
          <w:spacing w:val="-71"/>
          <w:sz w:val="21"/>
          <w:szCs w:val="21"/>
          <w:highlight w:val="none"/>
        </w:rPr>
        <w:t xml:space="preserve"> </w:t>
      </w:r>
      <w:r>
        <w:rPr>
          <w:rFonts w:hint="eastAsia" w:ascii="宋体" w:hAnsi="宋体" w:eastAsia="宋体" w:cs="宋体"/>
          <w:color w:val="auto"/>
          <w:sz w:val="21"/>
          <w:szCs w:val="21"/>
          <w:highlight w:val="none"/>
        </w:rPr>
        <w:t>标</w:t>
      </w:r>
      <w:r>
        <w:rPr>
          <w:rFonts w:hint="eastAsia" w:ascii="宋体" w:hAnsi="宋体" w:eastAsia="宋体" w:cs="宋体"/>
          <w:color w:val="auto"/>
          <w:spacing w:val="5"/>
          <w:sz w:val="21"/>
          <w:szCs w:val="21"/>
          <w:highlight w:val="none"/>
        </w:rPr>
        <w:t>候选人，我司同意并授权招标人将我司投标文件商务部分的人员、业绩、奖项等资料进行公开。</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二、本公司保证在本项目投标中不与其他单位围标、串标，不出让投标资格，不向招标人或评标委员会成员行贿。</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三、本公司不存在招标文件第二章投标人须知第1.4.3项所规定的任何一种情形。</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本公司没有处于被责令停业的状态；没有处于被建设行政主管部门取消投标资格的处罚期内；没有处于财产被接管、冻结、破产的状态，本公司及公司法定代表人、拟委任的项目负责人没有在投标登记截止时间前三年内被人民法院判决犯有行贿罪的记录。投标登记截止日期前三年内，本公司没有弄虚作假骗取中标、围标串标行为(以行政主管部门或法院或检察院书面认定为准），本公司没有被人民法院列入失信被执行人名单。在投标登记截止日期前三年内没有建设行政主管部门已书面认定的重大工程质量问题。本公司未在以往工程中因不诚信行为或不充分履约行为被本项目招标人书面拒绝投标；本公司未被纳入失信联合惩戒名单且被限制参加建设工程投标。</w:t>
      </w:r>
    </w:p>
    <w:p>
      <w:pPr>
        <w:pStyle w:val="13"/>
        <w:ind w:firstLine="420" w:firstLineChars="200"/>
        <w:rPr>
          <w:rFonts w:hint="eastAsia" w:ascii="宋体" w:hAnsi="宋体" w:eastAsia="宋体"/>
          <w:color w:val="auto"/>
          <w:sz w:val="21"/>
          <w:szCs w:val="21"/>
          <w:highlight w:val="none"/>
        </w:rPr>
      </w:pPr>
      <w:r>
        <w:rPr>
          <w:rFonts w:hint="eastAsia" w:ascii="宋体" w:hAnsi="宋体" w:eastAsia="宋体" w:cs="宋体"/>
          <w:color w:val="auto"/>
          <w:sz w:val="21"/>
          <w:szCs w:val="21"/>
          <w:highlight w:val="none"/>
        </w:rPr>
        <w:t>五、</w:t>
      </w:r>
      <w:r>
        <w:rPr>
          <w:rFonts w:hint="eastAsia" w:ascii="宋体" w:hAnsi="宋体" w:eastAsia="宋体"/>
          <w:color w:val="auto"/>
          <w:sz w:val="21"/>
          <w:szCs w:val="21"/>
          <w:highlight w:val="non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六、本公司及其有隶属关系的机构没有参加本项目的设计、前期工作、招标文件编写、</w:t>
      </w:r>
      <w:r>
        <w:rPr>
          <w:rFonts w:hint="eastAsia" w:ascii="宋体" w:hAnsi="宋体" w:eastAsia="宋体" w:cs="宋体"/>
          <w:color w:val="auto"/>
          <w:sz w:val="21"/>
          <w:szCs w:val="21"/>
          <w:highlight w:val="none"/>
          <w:lang w:val="en-US" w:eastAsia="zh-CN"/>
        </w:rPr>
        <w:t>土壤修复、</w:t>
      </w:r>
      <w:r>
        <w:rPr>
          <w:rFonts w:hint="eastAsia" w:ascii="宋体" w:hAnsi="宋体" w:eastAsia="宋体" w:cs="宋体"/>
          <w:color w:val="auto"/>
          <w:sz w:val="21"/>
          <w:szCs w:val="21"/>
          <w:highlight w:val="none"/>
        </w:rPr>
        <w:t>监理工作；本公司与承担本招标项目施工和监理业务的单位没有隶属关系或其他利害关系；本公司与本次招标的招标代理机构没有隶属关系或其他利害关系；本公司与本工程的承包单位以及建筑材料、建筑构配件和设备供应单位没有隶属关系或其他利害关系。</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七、与本公司单位负责人为同一人或者与本公司存在控股、管理关系的其他单位包括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注 ：本条由投标人如实填写，如有，应列出全部满足招标公告资质要求的相关单位的名称；如无，则填写“无”。）</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八、本公司承诺，中标后严格执行安全生产相关管理规定。</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本公司承诺，中标后严格按照合同和招投标文件规定履行义务，并同意招标人将其履行合同、招投标文件义务的履约情况和不诚信行为（包括但不限于由招标人做出的违约责任处理决定等）在招标人网站和建设项目业主网站及其他媒体上公开披露，由此造成的一切损失和不利后果均由本公司自行承担。</w:t>
      </w:r>
    </w:p>
    <w:p>
      <w:pPr>
        <w:pStyle w:val="13"/>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本公司违反上述承诺，或本声明陈述与事实不符，经查实，本公司愿意接受公开通报，承担由此带来的法律后果。</w:t>
      </w:r>
    </w:p>
    <w:p>
      <w:pPr>
        <w:widowControl/>
        <w:shd w:val="clear" w:color="auto" w:fill="FFFFFF"/>
        <w:spacing w:line="560" w:lineRule="exact"/>
        <w:ind w:firstLine="420" w:firstLineChars="200"/>
        <w:rPr>
          <w:color w:val="auto"/>
          <w:highlight w:val="none"/>
        </w:rPr>
      </w:pPr>
      <w:r>
        <w:rPr>
          <w:rFonts w:hint="eastAsia" w:ascii="宋体" w:hAnsi="宋体" w:eastAsia="宋体" w:cs="宋体"/>
          <w:color w:val="auto"/>
          <w:sz w:val="21"/>
          <w:szCs w:val="21"/>
          <w:highlight w:val="none"/>
        </w:rPr>
        <w:t>特此声明。</w:t>
      </w:r>
    </w:p>
    <w:p>
      <w:pPr>
        <w:snapToGrid w:val="0"/>
        <w:spacing w:line="560" w:lineRule="exact"/>
        <w:ind w:right="1898" w:rightChars="904" w:firstLine="4320" w:firstLineChars="1800"/>
        <w:rPr>
          <w:rFonts w:ascii="宋体" w:hAnsi="宋体" w:cs="宋体"/>
          <w:color w:val="auto"/>
          <w:kern w:val="0"/>
          <w:sz w:val="24"/>
          <w:szCs w:val="24"/>
          <w:highlight w:val="none"/>
        </w:rPr>
      </w:pPr>
    </w:p>
    <w:p>
      <w:pPr>
        <w:snapToGrid w:val="0"/>
        <w:spacing w:line="560" w:lineRule="exact"/>
        <w:ind w:right="1898" w:rightChars="904" w:firstLine="4320" w:firstLineChars="1800"/>
        <w:rPr>
          <w:rFonts w:ascii="宋体" w:hAnsi="宋体" w:cs="宋体"/>
          <w:color w:val="auto"/>
          <w:kern w:val="0"/>
          <w:sz w:val="24"/>
          <w:szCs w:val="24"/>
          <w:highlight w:val="none"/>
        </w:rPr>
      </w:pPr>
    </w:p>
    <w:p>
      <w:pPr>
        <w:snapToGrid w:val="0"/>
        <w:spacing w:line="560" w:lineRule="exact"/>
        <w:ind w:right="1898" w:rightChars="904" w:firstLine="4320" w:firstLineChars="18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声明企业：</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(企业公章)</w:t>
      </w:r>
    </w:p>
    <w:p>
      <w:pPr>
        <w:snapToGrid w:val="0"/>
        <w:spacing w:line="560" w:lineRule="exact"/>
        <w:ind w:right="1898" w:rightChars="904" w:firstLine="4320" w:firstLineChars="18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法定代表人：</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签字</w:t>
      </w:r>
      <w:r>
        <w:rPr>
          <w:rFonts w:hint="eastAsia" w:ascii="宋体" w:hAnsi="宋体" w:cs="宋体"/>
          <w:color w:val="auto"/>
          <w:kern w:val="0"/>
          <w:sz w:val="24"/>
          <w:szCs w:val="24"/>
          <w:highlight w:val="none"/>
          <w:lang w:eastAsia="zh-CN"/>
        </w:rPr>
        <w:t>）</w:t>
      </w:r>
    </w:p>
    <w:p>
      <w:pPr>
        <w:snapToGrid w:val="0"/>
        <w:spacing w:line="560" w:lineRule="exact"/>
        <w:ind w:right="1898" w:rightChars="904" w:firstLine="4320" w:firstLineChars="1800"/>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项目负责人</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（签字）</w:t>
      </w:r>
    </w:p>
    <w:p>
      <w:pPr>
        <w:pStyle w:val="5"/>
        <w:rPr>
          <w:color w:val="auto"/>
          <w:highlight w:val="none"/>
        </w:rPr>
      </w:pPr>
    </w:p>
    <w:p>
      <w:pPr>
        <w:spacing w:line="560" w:lineRule="exact"/>
        <w:ind w:firstLine="4800" w:firstLineChars="20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年   月   日</w:t>
      </w:r>
    </w:p>
    <w:p>
      <w:pPr>
        <w:pStyle w:val="2"/>
        <w:rPr>
          <w:rFonts w:hint="eastAsia" w:ascii="宋体" w:hAnsi="宋体" w:cs="宋体"/>
          <w:color w:val="auto"/>
          <w:kern w:val="0"/>
          <w:sz w:val="24"/>
          <w:szCs w:val="24"/>
          <w:highlight w:val="none"/>
        </w:rPr>
      </w:pPr>
    </w:p>
    <w:p>
      <w:pPr>
        <w:rPr>
          <w:rFonts w:hint="eastAsia" w:ascii="宋体" w:hAnsi="宋体" w:cs="宋体"/>
          <w:color w:val="auto"/>
          <w:kern w:val="0"/>
          <w:sz w:val="24"/>
          <w:szCs w:val="24"/>
          <w:highlight w:val="none"/>
        </w:rPr>
      </w:pPr>
    </w:p>
    <w:p>
      <w:pPr>
        <w:pStyle w:val="2"/>
        <w:rPr>
          <w:rFonts w:hint="eastAsia" w:ascii="宋体" w:hAnsi="宋体" w:cs="宋体"/>
          <w:color w:val="auto"/>
          <w:kern w:val="0"/>
          <w:sz w:val="24"/>
          <w:szCs w:val="24"/>
          <w:highlight w:val="none"/>
        </w:rPr>
      </w:pPr>
    </w:p>
    <w:p>
      <w:pPr>
        <w:rPr>
          <w:rFonts w:hint="eastAsia" w:ascii="宋体" w:hAnsi="宋体" w:cs="宋体"/>
          <w:color w:val="auto"/>
          <w:kern w:val="0"/>
          <w:sz w:val="24"/>
          <w:szCs w:val="24"/>
          <w:highlight w:val="none"/>
        </w:rPr>
      </w:pPr>
    </w:p>
    <w:p>
      <w:pPr>
        <w:pStyle w:val="2"/>
        <w:rPr>
          <w:rFonts w:hint="eastAsia" w:ascii="宋体" w:hAnsi="宋体" w:cs="宋体"/>
          <w:color w:val="auto"/>
          <w:kern w:val="0"/>
          <w:sz w:val="24"/>
          <w:szCs w:val="24"/>
          <w:highlight w:val="none"/>
        </w:rPr>
      </w:pPr>
    </w:p>
    <w:p>
      <w:pPr>
        <w:rPr>
          <w:rFonts w:hint="eastAsia" w:ascii="宋体" w:hAnsi="宋体" w:cs="宋体"/>
          <w:color w:val="auto"/>
          <w:kern w:val="0"/>
          <w:sz w:val="24"/>
          <w:szCs w:val="24"/>
          <w:highlight w:val="none"/>
        </w:rPr>
      </w:pPr>
    </w:p>
    <w:p>
      <w:pPr>
        <w:pStyle w:val="2"/>
        <w:rPr>
          <w:rFonts w:hint="eastAsia" w:ascii="宋体" w:hAnsi="宋体" w:cs="宋体"/>
          <w:color w:val="auto"/>
          <w:kern w:val="0"/>
          <w:sz w:val="24"/>
          <w:szCs w:val="24"/>
          <w:highlight w:val="none"/>
        </w:rPr>
      </w:pPr>
    </w:p>
    <w:p>
      <w:pPr>
        <w:rPr>
          <w:rFonts w:hint="eastAsia" w:ascii="宋体" w:hAnsi="宋体" w:cs="宋体"/>
          <w:color w:val="auto"/>
          <w:kern w:val="0"/>
          <w:sz w:val="24"/>
          <w:szCs w:val="24"/>
          <w:highlight w:val="none"/>
        </w:rPr>
      </w:pPr>
    </w:p>
    <w:p>
      <w:pPr>
        <w:rPr>
          <w:rFonts w:hint="eastAsia" w:ascii="宋体" w:hAnsi="宋体" w:cs="宋体"/>
          <w:color w:val="auto"/>
          <w:kern w:val="0"/>
          <w:sz w:val="24"/>
          <w:szCs w:val="24"/>
          <w:highlight w:val="none"/>
        </w:rPr>
      </w:pPr>
    </w:p>
    <w:p>
      <w:pPr>
        <w:pStyle w:val="2"/>
        <w:rPr>
          <w:rFonts w:hint="eastAsia" w:ascii="宋体" w:hAnsi="宋体" w:cs="宋体"/>
          <w:color w:val="auto"/>
          <w:kern w:val="0"/>
          <w:sz w:val="24"/>
          <w:szCs w:val="24"/>
          <w:highlight w:val="none"/>
        </w:rPr>
      </w:pPr>
    </w:p>
    <w:p/>
    <w:sectPr>
      <w:footerReference r:id="rId4" w:type="default"/>
      <w:pgSz w:w="11906" w:h="16838"/>
      <w:pgMar w:top="1440" w:right="126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0474D"/>
    <w:rsid w:val="03E0474D"/>
    <w:rsid w:val="4C3C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kern w:val="0"/>
      <w:sz w:val="20"/>
      <w:szCs w:val="20"/>
    </w:rPr>
  </w:style>
  <w:style w:type="paragraph" w:styleId="4">
    <w:name w:val="annotation text"/>
    <w:basedOn w:val="1"/>
    <w:qFormat/>
    <w:uiPriority w:val="0"/>
    <w:pPr>
      <w:jc w:val="left"/>
    </w:pPr>
  </w:style>
  <w:style w:type="paragraph" w:styleId="5">
    <w:name w:val="Body Text"/>
    <w:basedOn w:val="1"/>
    <w:next w:val="1"/>
    <w:unhideWhenUsed/>
    <w:qFormat/>
    <w:uiPriority w:val="0"/>
    <w:pPr>
      <w:spacing w:after="120"/>
    </w:pPr>
    <w:rPr>
      <w:szCs w:val="20"/>
    </w:rPr>
  </w:style>
  <w:style w:type="paragraph" w:styleId="6">
    <w:name w:val="Body Text Indent"/>
    <w:basedOn w:val="1"/>
    <w:next w:val="1"/>
    <w:qFormat/>
    <w:uiPriority w:val="0"/>
    <w:pPr>
      <w:spacing w:line="360" w:lineRule="auto"/>
      <w:ind w:firstLine="440"/>
    </w:pPr>
    <w:rPr>
      <w:sz w:val="22"/>
      <w:szCs w:val="20"/>
    </w:rPr>
  </w:style>
  <w:style w:type="paragraph" w:styleId="7">
    <w:name w:val="Plain Text"/>
    <w:basedOn w:val="1"/>
    <w:semiHidden/>
    <w:unhideWhenUsed/>
    <w:qFormat/>
    <w:uiPriority w:val="99"/>
    <w:rPr>
      <w:rFonts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w:basedOn w:val="5"/>
    <w:qFormat/>
    <w:uiPriority w:val="0"/>
    <w:pPr>
      <w:spacing w:line="312" w:lineRule="auto"/>
      <w:ind w:firstLine="420"/>
    </w:pPr>
    <w:rPr>
      <w:szCs w:val="24"/>
    </w:rPr>
  </w:style>
  <w:style w:type="paragraph" w:customStyle="1" w:styleId="12">
    <w:name w:val="Default"/>
    <w:basedOn w:val="1"/>
    <w:next w:val="1"/>
    <w:qFormat/>
    <w:uiPriority w:val="0"/>
    <w:pPr>
      <w:autoSpaceDE w:val="0"/>
      <w:autoSpaceDN w:val="0"/>
      <w:adjustRightInd w:val="0"/>
    </w:pPr>
    <w:rPr>
      <w:rFonts w:hint="eastAsia" w:ascii="仿宋_GB2312" w:hAnsi="Calibri" w:eastAsia="仿宋_GB2312"/>
      <w:color w:val="000000"/>
      <w:sz w:val="24"/>
      <w:szCs w:val="22"/>
    </w:rPr>
  </w:style>
  <w:style w:type="paragraph" w:customStyle="1" w:styleId="13">
    <w:name w:val="公文正文"/>
    <w:qFormat/>
    <w:uiPriority w:val="0"/>
    <w:pPr>
      <w:widowControl w:val="0"/>
      <w:spacing w:line="360" w:lineRule="auto"/>
      <w:ind w:firstLine="629"/>
      <w:jc w:val="both"/>
    </w:pPr>
    <w:rPr>
      <w:rFonts w:ascii="仿宋_GB2312" w:hAnsi="Calisto MT" w:eastAsia="仿宋_GB2312" w:cs="Times New Roman"/>
      <w:color w:val="000000"/>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2024-05-15T06:47:00Z</dcterms:created>
  <dc:creator>吴嘉鹏</dc:creator>
  <cp:lastModifiedBy>吴嘉鹏</cp:lastModifiedBy>
  <dcterms:modified xsi:type="dcterms:W3CDTF">2024-05-15T11:15:04Z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3A9E0300548E47D2B7B7D840C92DF314</vt:lpwstr>
  </property>
</Properties>
</file>