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color w:val="auto"/>
          <w:sz w:val="44"/>
          <w:szCs w:val="44"/>
          <w:highlight w:val="none"/>
        </w:rPr>
      </w:pPr>
    </w:p>
    <w:p>
      <w:pPr>
        <w:autoSpaceDE w:val="0"/>
        <w:autoSpaceDN w:val="0"/>
        <w:adjustRightInd w:val="0"/>
        <w:jc w:val="center"/>
        <w:rPr>
          <w:rFonts w:hint="eastAsia"/>
          <w:b/>
          <w:color w:val="auto"/>
          <w:sz w:val="44"/>
          <w:szCs w:val="44"/>
          <w:highlight w:val="none"/>
          <w:lang w:eastAsia="zh-CN"/>
        </w:rPr>
      </w:pPr>
      <w:r>
        <w:rPr>
          <w:rFonts w:hint="eastAsia"/>
          <w:b/>
          <w:color w:val="auto"/>
          <w:sz w:val="44"/>
          <w:szCs w:val="44"/>
          <w:highlight w:val="none"/>
          <w:lang w:eastAsia="zh-CN"/>
        </w:rPr>
        <w:t>佛山照明禅城总部厂区（中区、北区）地块</w:t>
      </w:r>
    </w:p>
    <w:p>
      <w:pPr>
        <w:autoSpaceDE w:val="0"/>
        <w:autoSpaceDN w:val="0"/>
        <w:adjustRightInd w:val="0"/>
        <w:jc w:val="center"/>
        <w:rPr>
          <w:b/>
          <w:color w:val="auto"/>
          <w:sz w:val="44"/>
          <w:szCs w:val="44"/>
          <w:highlight w:val="none"/>
        </w:rPr>
      </w:pPr>
      <w:r>
        <w:rPr>
          <w:rFonts w:hint="eastAsia"/>
          <w:b/>
          <w:color w:val="auto"/>
          <w:sz w:val="44"/>
          <w:szCs w:val="44"/>
          <w:highlight w:val="none"/>
          <w:lang w:eastAsia="zh-CN"/>
        </w:rPr>
        <w:t>土壤修复环境监理服务</w:t>
      </w:r>
    </w:p>
    <w:p>
      <w:pPr>
        <w:pStyle w:val="2"/>
        <w:rPr>
          <w:color w:val="auto"/>
          <w:highlight w:val="none"/>
        </w:rPr>
      </w:pPr>
    </w:p>
    <w:p>
      <w:pPr>
        <w:pStyle w:val="8"/>
        <w:spacing w:after="0"/>
        <w:rPr>
          <w:color w:val="auto"/>
          <w:highlight w:val="none"/>
        </w:rPr>
      </w:pPr>
    </w:p>
    <w:p>
      <w:pPr>
        <w:spacing w:line="400" w:lineRule="exact"/>
        <w:rPr>
          <w:rFonts w:ascii="Times New Roman" w:hAnsi="Times New Roman"/>
          <w:color w:val="auto"/>
          <w:highlight w:val="none"/>
        </w:rPr>
      </w:pPr>
    </w:p>
    <w:p>
      <w:pPr>
        <w:spacing w:line="400" w:lineRule="exact"/>
        <w:jc w:val="right"/>
        <w:rPr>
          <w:rFonts w:ascii="Times New Roman" w:hAnsi="Times New Roman"/>
          <w:color w:val="auto"/>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rPr>
          <w:rFonts w:ascii="Times New Roman" w:hAnsi="Times New Roman"/>
          <w:color w:val="auto"/>
          <w:sz w:val="28"/>
          <w:highlight w:val="none"/>
        </w:rPr>
      </w:pPr>
    </w:p>
    <w:p>
      <w:pPr>
        <w:jc w:val="center"/>
        <w:rPr>
          <w:rFonts w:ascii="Times New Roman" w:hAnsi="Times New Roman" w:eastAsia="黑体"/>
          <w:color w:val="auto"/>
          <w:sz w:val="84"/>
          <w:szCs w:val="84"/>
          <w:highlight w:val="none"/>
        </w:rPr>
      </w:pPr>
      <w:r>
        <w:rPr>
          <w:rFonts w:ascii="Times New Roman" w:hAnsi="Times New Roman" w:eastAsia="黑体"/>
          <w:color w:val="auto"/>
          <w:sz w:val="84"/>
          <w:szCs w:val="84"/>
          <w:highlight w:val="none"/>
        </w:rPr>
        <w:t>招</w:t>
      </w:r>
      <w:r>
        <w:rPr>
          <w:rFonts w:hint="eastAsia" w:ascii="Times New Roman" w:hAnsi="Times New Roman" w:eastAsia="黑体"/>
          <w:color w:val="auto"/>
          <w:sz w:val="84"/>
          <w:szCs w:val="84"/>
          <w:highlight w:val="none"/>
        </w:rPr>
        <w:t xml:space="preserve"> </w:t>
      </w:r>
      <w:r>
        <w:rPr>
          <w:rFonts w:ascii="Times New Roman" w:hAnsi="Times New Roman" w:eastAsia="黑体"/>
          <w:color w:val="auto"/>
          <w:sz w:val="84"/>
          <w:szCs w:val="84"/>
          <w:highlight w:val="none"/>
        </w:rPr>
        <w:t>标</w:t>
      </w:r>
      <w:r>
        <w:rPr>
          <w:rFonts w:hint="eastAsia" w:ascii="Times New Roman" w:hAnsi="Times New Roman" w:eastAsia="黑体"/>
          <w:color w:val="auto"/>
          <w:sz w:val="84"/>
          <w:szCs w:val="84"/>
          <w:highlight w:val="none"/>
        </w:rPr>
        <w:t xml:space="preserve"> </w:t>
      </w:r>
      <w:r>
        <w:rPr>
          <w:rFonts w:ascii="Times New Roman" w:hAnsi="Times New Roman" w:eastAsia="黑体"/>
          <w:color w:val="auto"/>
          <w:sz w:val="84"/>
          <w:szCs w:val="84"/>
          <w:highlight w:val="none"/>
        </w:rPr>
        <w:t>文</w:t>
      </w:r>
      <w:r>
        <w:rPr>
          <w:rFonts w:hint="eastAsia" w:ascii="Times New Roman" w:hAnsi="Times New Roman" w:eastAsia="黑体"/>
          <w:color w:val="auto"/>
          <w:sz w:val="84"/>
          <w:szCs w:val="84"/>
          <w:highlight w:val="none"/>
        </w:rPr>
        <w:t xml:space="preserve"> </w:t>
      </w:r>
      <w:r>
        <w:rPr>
          <w:rFonts w:ascii="Times New Roman" w:hAnsi="Times New Roman" w:eastAsia="黑体"/>
          <w:color w:val="auto"/>
          <w:sz w:val="84"/>
          <w:szCs w:val="84"/>
          <w:highlight w:val="none"/>
        </w:rPr>
        <w:t>件</w:t>
      </w: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360" w:lineRule="auto"/>
        <w:ind w:firstLine="421" w:firstLineChars="131"/>
        <w:rPr>
          <w:rFonts w:hint="eastAsia" w:ascii="宋体" w:hAnsi="宋体" w:eastAsia="宋体"/>
          <w:b/>
          <w:color w:val="auto"/>
          <w:sz w:val="32"/>
          <w:szCs w:val="32"/>
          <w:highlight w:val="none"/>
          <w:lang w:eastAsia="zh-CN"/>
        </w:rPr>
      </w:pPr>
      <w:bookmarkStart w:id="0" w:name="_Toc152042287"/>
      <w:bookmarkStart w:id="1" w:name="_Toc152045511"/>
      <w:bookmarkStart w:id="2" w:name="_Toc144974479"/>
      <w:r>
        <w:rPr>
          <w:rFonts w:hint="eastAsia" w:ascii="宋体" w:hAnsi="宋体"/>
          <w:b/>
          <w:color w:val="auto"/>
          <w:sz w:val="32"/>
          <w:szCs w:val="32"/>
          <w:highlight w:val="none"/>
        </w:rPr>
        <w:t>招 标 单 位：佛山电器照明股份有限公司</w:t>
      </w:r>
    </w:p>
    <w:p>
      <w:pPr>
        <w:spacing w:line="360" w:lineRule="auto"/>
        <w:ind w:firstLine="421" w:firstLineChars="131"/>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rPr>
        <w:t>招标代理单位：</w:t>
      </w:r>
      <w:r>
        <w:rPr>
          <w:rFonts w:hint="eastAsia" w:ascii="宋体" w:hAnsi="宋体"/>
          <w:b/>
          <w:color w:val="auto"/>
          <w:sz w:val="32"/>
          <w:szCs w:val="32"/>
          <w:highlight w:val="none"/>
          <w:lang w:val="en-US" w:eastAsia="zh-CN"/>
        </w:rPr>
        <w:t>广东省机电设备招标中</w:t>
      </w:r>
      <w:bookmarkStart w:id="1095" w:name="_GoBack"/>
      <w:bookmarkEnd w:id="1095"/>
      <w:r>
        <w:rPr>
          <w:rFonts w:hint="eastAsia" w:ascii="宋体" w:hAnsi="宋体"/>
          <w:b/>
          <w:color w:val="auto"/>
          <w:sz w:val="32"/>
          <w:szCs w:val="32"/>
          <w:highlight w:val="none"/>
          <w:lang w:val="en-US" w:eastAsia="zh-CN"/>
        </w:rPr>
        <w:t>心有限公司</w:t>
      </w:r>
    </w:p>
    <w:p>
      <w:pPr>
        <w:spacing w:line="360" w:lineRule="auto"/>
        <w:ind w:firstLine="421" w:firstLineChars="131"/>
        <w:rPr>
          <w:rFonts w:hint="default" w:ascii="宋体" w:hAnsi="宋体"/>
          <w:b/>
          <w:color w:val="auto"/>
          <w:sz w:val="32"/>
          <w:szCs w:val="32"/>
          <w:highlight w:val="none"/>
          <w:lang w:val="en-US"/>
        </w:rPr>
      </w:pPr>
      <w:r>
        <w:rPr>
          <w:rFonts w:hint="eastAsia" w:ascii="宋体" w:hAnsi="宋体"/>
          <w:b/>
          <w:color w:val="auto"/>
          <w:sz w:val="32"/>
          <w:szCs w:val="32"/>
          <w:highlight w:val="none"/>
        </w:rPr>
        <w:t>日        期：</w:t>
      </w:r>
      <w:r>
        <w:rPr>
          <w:rFonts w:hint="eastAsia" w:ascii="宋体" w:hAnsi="宋体"/>
          <w:b/>
          <w:color w:val="auto"/>
          <w:sz w:val="32"/>
          <w:szCs w:val="32"/>
          <w:highlight w:val="none"/>
          <w:lang w:val="en-US" w:eastAsia="zh-CN"/>
        </w:rPr>
        <w:t>2024</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5月</w:t>
      </w:r>
    </w:p>
    <w:p>
      <w:pPr>
        <w:pStyle w:val="18"/>
        <w:keepNext w:val="0"/>
        <w:keepLines w:val="0"/>
        <w:widowControl w:val="0"/>
        <w:jc w:val="center"/>
        <w:rPr>
          <w:rFonts w:ascii="Times New Roman" w:hAnsi="Times New Roman" w:eastAsia="黑体"/>
          <w:b w:val="0"/>
          <w:color w:val="auto"/>
          <w:highlight w:val="none"/>
          <w:lang w:val="zh-CN"/>
        </w:rPr>
      </w:pPr>
    </w:p>
    <w:p>
      <w:pPr>
        <w:rPr>
          <w:rFonts w:ascii="Times New Roman" w:hAnsi="Times New Roman" w:eastAsia="黑体"/>
          <w:b w:val="0"/>
          <w:color w:val="auto"/>
          <w:highlight w:val="none"/>
          <w:lang w:val="zh-CN"/>
        </w:rPr>
      </w:pPr>
    </w:p>
    <w:p>
      <w:pPr>
        <w:pStyle w:val="17"/>
        <w:rPr>
          <w:color w:val="auto"/>
          <w:highlight w:val="none"/>
          <w:lang w:val="zh-CN"/>
        </w:rPr>
      </w:pPr>
    </w:p>
    <w:p>
      <w:pPr>
        <w:pStyle w:val="18"/>
        <w:keepNext w:val="0"/>
        <w:keepLines w:val="0"/>
        <w:widowControl w:val="0"/>
        <w:jc w:val="center"/>
        <w:rPr>
          <w:rFonts w:ascii="Times New Roman" w:hAnsi="Times New Roman" w:eastAsia="黑体"/>
          <w:b w:val="0"/>
          <w:color w:val="auto"/>
          <w:highlight w:val="none"/>
        </w:rPr>
      </w:pPr>
      <w:r>
        <w:rPr>
          <w:rFonts w:ascii="Times New Roman" w:hAnsi="Times New Roman" w:eastAsia="黑体"/>
          <w:b w:val="0"/>
          <w:color w:val="auto"/>
          <w:highlight w:val="none"/>
          <w:lang w:val="zh-CN"/>
        </w:rPr>
        <w:t>目  录</w:t>
      </w:r>
    </w:p>
    <w:p>
      <w:pPr>
        <w:pStyle w:val="12"/>
        <w:tabs>
          <w:tab w:val="right" w:leader="dot" w:pos="8630"/>
        </w:tabs>
        <w:jc w:val="center"/>
        <w:rPr>
          <w:rFonts w:ascii="Times New Roman" w:hAnsi="Times New Roman"/>
          <w:color w:val="auto"/>
          <w:sz w:val="28"/>
          <w:szCs w:val="28"/>
          <w:highlight w:val="none"/>
        </w:rPr>
      </w:pPr>
    </w:p>
    <w:p>
      <w:pPr>
        <w:pStyle w:val="12"/>
        <w:tabs>
          <w:tab w:val="right" w:leader="dot" w:pos="8640"/>
        </w:tabs>
        <w:rPr>
          <w:color w:val="auto"/>
          <w:sz w:val="28"/>
          <w:szCs w:val="28"/>
          <w:highlight w:val="none"/>
        </w:rPr>
      </w:pP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TOC \o "1-3" \h \z \u </w:instrText>
      </w:r>
      <w:r>
        <w:rPr>
          <w:rFonts w:ascii="Times New Roman" w:hAnsi="Times New Roman"/>
          <w:color w:val="auto"/>
          <w:sz w:val="28"/>
          <w:szCs w:val="28"/>
          <w:highlight w:val="none"/>
        </w:rPr>
        <w:fldChar w:fldCharType="separate"/>
      </w: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HYPERLINK \l _Toc22250 </w:instrText>
      </w:r>
      <w:r>
        <w:rPr>
          <w:rFonts w:ascii="Times New Roman" w:hAnsi="Times New Roman"/>
          <w:color w:val="auto"/>
          <w:sz w:val="28"/>
          <w:szCs w:val="28"/>
          <w:highlight w:val="none"/>
        </w:rPr>
        <w:fldChar w:fldCharType="separate"/>
      </w:r>
      <w:r>
        <w:rPr>
          <w:color w:val="auto"/>
          <w:sz w:val="28"/>
          <w:szCs w:val="28"/>
          <w:highlight w:val="none"/>
        </w:rPr>
        <w:t>第一卷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_Toc22250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Times New Roman" w:hAnsi="Times New Roman"/>
          <w:color w:val="auto"/>
          <w:sz w:val="28"/>
          <w:szCs w:val="28"/>
          <w:highlight w:val="none"/>
        </w:rPr>
        <w:fldChar w:fldCharType="end"/>
      </w:r>
    </w:p>
    <w:p>
      <w:pPr>
        <w:pStyle w:val="12"/>
        <w:tabs>
          <w:tab w:val="right" w:leader="dot" w:pos="8640"/>
        </w:tabs>
        <w:rPr>
          <w:color w:val="auto"/>
          <w:sz w:val="28"/>
          <w:szCs w:val="28"/>
          <w:highlight w:val="none"/>
        </w:rPr>
      </w:pP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HYPERLINK \l _Toc27666 </w:instrText>
      </w:r>
      <w:r>
        <w:rPr>
          <w:rFonts w:ascii="Times New Roman" w:hAnsi="Times New Roman"/>
          <w:color w:val="auto"/>
          <w:sz w:val="28"/>
          <w:szCs w:val="28"/>
          <w:highlight w:val="none"/>
        </w:rPr>
        <w:fldChar w:fldCharType="separate"/>
      </w:r>
      <w:r>
        <w:rPr>
          <w:rFonts w:hint="eastAsia"/>
          <w:color w:val="auto"/>
          <w:sz w:val="28"/>
          <w:szCs w:val="28"/>
          <w:highlight w:val="none"/>
        </w:rPr>
        <w:t>第一章</w:t>
      </w:r>
      <w:r>
        <w:rPr>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_Toc27666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Times New Roman" w:hAnsi="Times New Roman"/>
          <w:color w:val="auto"/>
          <w:sz w:val="28"/>
          <w:szCs w:val="28"/>
          <w:highlight w:val="none"/>
        </w:rPr>
        <w:fldChar w:fldCharType="end"/>
      </w:r>
    </w:p>
    <w:p>
      <w:pPr>
        <w:pStyle w:val="12"/>
        <w:tabs>
          <w:tab w:val="right" w:leader="dot" w:pos="8640"/>
        </w:tabs>
        <w:rPr>
          <w:color w:val="auto"/>
          <w:sz w:val="28"/>
          <w:szCs w:val="28"/>
          <w:highlight w:val="none"/>
        </w:rPr>
      </w:pP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HYPERLINK \l _Toc1057 </w:instrText>
      </w:r>
      <w:r>
        <w:rPr>
          <w:rFonts w:ascii="Times New Roman" w:hAnsi="Times New Roman"/>
          <w:color w:val="auto"/>
          <w:sz w:val="28"/>
          <w:szCs w:val="28"/>
          <w:highlight w:val="none"/>
        </w:rPr>
        <w:fldChar w:fldCharType="separate"/>
      </w:r>
      <w:r>
        <w:rPr>
          <w:color w:val="auto"/>
          <w:sz w:val="28"/>
          <w:szCs w:val="28"/>
          <w:highlight w:val="none"/>
        </w:rPr>
        <w:t>第二章投标人须知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_Toc1057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ascii="Times New Roman" w:hAnsi="Times New Roman"/>
          <w:color w:val="auto"/>
          <w:sz w:val="28"/>
          <w:szCs w:val="28"/>
          <w:highlight w:val="none"/>
        </w:rPr>
        <w:fldChar w:fldCharType="end"/>
      </w:r>
    </w:p>
    <w:p>
      <w:pPr>
        <w:pStyle w:val="12"/>
        <w:tabs>
          <w:tab w:val="right" w:leader="dot" w:pos="8640"/>
        </w:tabs>
        <w:rPr>
          <w:color w:val="auto"/>
          <w:sz w:val="28"/>
          <w:szCs w:val="28"/>
          <w:highlight w:val="none"/>
        </w:rPr>
      </w:pP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HYPERLINK \l _Toc25283 </w:instrText>
      </w:r>
      <w:r>
        <w:rPr>
          <w:rFonts w:ascii="Times New Roman" w:hAnsi="Times New Roman"/>
          <w:color w:val="auto"/>
          <w:sz w:val="28"/>
          <w:szCs w:val="28"/>
          <w:highlight w:val="none"/>
        </w:rPr>
        <w:fldChar w:fldCharType="separate"/>
      </w:r>
      <w:r>
        <w:rPr>
          <w:color w:val="auto"/>
          <w:sz w:val="28"/>
          <w:szCs w:val="28"/>
          <w:highlight w:val="none"/>
        </w:rPr>
        <w:t>第三章评标办法（综合评估法）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_Toc25283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ascii="Times New Roman" w:hAnsi="Times New Roman"/>
          <w:color w:val="auto"/>
          <w:sz w:val="28"/>
          <w:szCs w:val="28"/>
          <w:highlight w:val="none"/>
        </w:rPr>
        <w:fldChar w:fldCharType="end"/>
      </w:r>
    </w:p>
    <w:p>
      <w:pPr>
        <w:pStyle w:val="12"/>
        <w:tabs>
          <w:tab w:val="right" w:leader="dot" w:pos="8640"/>
        </w:tabs>
        <w:rPr>
          <w:color w:val="auto"/>
          <w:sz w:val="28"/>
          <w:szCs w:val="28"/>
          <w:highlight w:val="none"/>
        </w:rPr>
      </w:pP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HYPERLINK \l _Toc24830 </w:instrText>
      </w:r>
      <w:r>
        <w:rPr>
          <w:rFonts w:ascii="Times New Roman" w:hAnsi="Times New Roman"/>
          <w:color w:val="auto"/>
          <w:sz w:val="28"/>
          <w:szCs w:val="28"/>
          <w:highlight w:val="none"/>
        </w:rPr>
        <w:fldChar w:fldCharType="separate"/>
      </w:r>
      <w:r>
        <w:rPr>
          <w:color w:val="auto"/>
          <w:sz w:val="28"/>
          <w:szCs w:val="28"/>
          <w:highlight w:val="none"/>
        </w:rPr>
        <w:t>第四章合同条款及格式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_Toc24830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rFonts w:ascii="Times New Roman" w:hAnsi="Times New Roman"/>
          <w:color w:val="auto"/>
          <w:sz w:val="28"/>
          <w:szCs w:val="28"/>
          <w:highlight w:val="none"/>
        </w:rPr>
        <w:fldChar w:fldCharType="end"/>
      </w:r>
    </w:p>
    <w:p>
      <w:pPr>
        <w:pStyle w:val="12"/>
        <w:tabs>
          <w:tab w:val="right" w:leader="dot" w:pos="8640"/>
        </w:tabs>
        <w:rPr>
          <w:color w:val="auto"/>
          <w:sz w:val="28"/>
          <w:szCs w:val="28"/>
          <w:highlight w:val="none"/>
        </w:rPr>
      </w:pP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HYPERLINK \l _Toc4043 </w:instrText>
      </w:r>
      <w:r>
        <w:rPr>
          <w:rFonts w:ascii="Times New Roman" w:hAnsi="Times New Roman"/>
          <w:color w:val="auto"/>
          <w:sz w:val="28"/>
          <w:szCs w:val="28"/>
          <w:highlight w:val="none"/>
        </w:rPr>
        <w:fldChar w:fldCharType="separate"/>
      </w:r>
      <w:r>
        <w:rPr>
          <w:color w:val="auto"/>
          <w:sz w:val="28"/>
          <w:szCs w:val="28"/>
          <w:highlight w:val="none"/>
        </w:rPr>
        <w:t>第五章委托人要求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_Toc4043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ascii="Times New Roman" w:hAnsi="Times New Roman"/>
          <w:color w:val="auto"/>
          <w:sz w:val="28"/>
          <w:szCs w:val="28"/>
          <w:highlight w:val="none"/>
        </w:rPr>
        <w:fldChar w:fldCharType="end"/>
      </w:r>
    </w:p>
    <w:p>
      <w:pPr>
        <w:pStyle w:val="12"/>
        <w:tabs>
          <w:tab w:val="right" w:leader="dot" w:pos="8640"/>
        </w:tabs>
        <w:rPr>
          <w:color w:val="auto"/>
          <w:sz w:val="28"/>
          <w:szCs w:val="28"/>
          <w:highlight w:val="none"/>
        </w:rPr>
      </w:pP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HYPERLINK \l _Toc6708 </w:instrText>
      </w:r>
      <w:r>
        <w:rPr>
          <w:rFonts w:ascii="Times New Roman" w:hAnsi="Times New Roman"/>
          <w:color w:val="auto"/>
          <w:sz w:val="28"/>
          <w:szCs w:val="28"/>
          <w:highlight w:val="none"/>
        </w:rPr>
        <w:fldChar w:fldCharType="separate"/>
      </w:r>
      <w:r>
        <w:rPr>
          <w:color w:val="auto"/>
          <w:sz w:val="28"/>
          <w:szCs w:val="28"/>
          <w:highlight w:val="none"/>
        </w:rPr>
        <w:t>第六章</w:t>
      </w:r>
      <w:r>
        <w:rPr>
          <w:rFonts w:hint="eastAsia"/>
          <w:color w:val="auto"/>
          <w:sz w:val="28"/>
          <w:szCs w:val="28"/>
          <w:highlight w:val="none"/>
        </w:rPr>
        <w:t xml:space="preserve"> </w:t>
      </w:r>
      <w:r>
        <w:rPr>
          <w:color w:val="auto"/>
          <w:sz w:val="28"/>
          <w:szCs w:val="28"/>
          <w:highlight w:val="none"/>
        </w:rPr>
        <w:t>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_Toc6708 \h </w:instrText>
      </w:r>
      <w:r>
        <w:rPr>
          <w:color w:val="auto"/>
          <w:sz w:val="28"/>
          <w:szCs w:val="28"/>
          <w:highlight w:val="none"/>
        </w:rPr>
        <w:fldChar w:fldCharType="separate"/>
      </w:r>
      <w:r>
        <w:rPr>
          <w:color w:val="auto"/>
          <w:sz w:val="28"/>
          <w:szCs w:val="28"/>
          <w:highlight w:val="none"/>
        </w:rPr>
        <w:t>45</w:t>
      </w:r>
      <w:r>
        <w:rPr>
          <w:color w:val="auto"/>
          <w:sz w:val="28"/>
          <w:szCs w:val="28"/>
          <w:highlight w:val="none"/>
        </w:rPr>
        <w:fldChar w:fldCharType="end"/>
      </w:r>
      <w:r>
        <w:rPr>
          <w:rFonts w:ascii="Times New Roman" w:hAnsi="Times New Roman"/>
          <w:color w:val="auto"/>
          <w:sz w:val="28"/>
          <w:szCs w:val="28"/>
          <w:highlight w:val="none"/>
        </w:rPr>
        <w:fldChar w:fldCharType="end"/>
      </w:r>
    </w:p>
    <w:p>
      <w:pPr>
        <w:spacing w:line="480" w:lineRule="auto"/>
        <w:rPr>
          <w:color w:val="auto"/>
          <w:sz w:val="28"/>
          <w:szCs w:val="28"/>
          <w:highlight w:val="none"/>
        </w:rPr>
        <w:sectPr>
          <w:footerReference r:id="rId3" w:type="default"/>
          <w:pgSz w:w="12240" w:h="15840"/>
          <w:pgMar w:top="1440" w:right="1800" w:bottom="1440" w:left="1800" w:header="720" w:footer="720" w:gutter="0"/>
          <w:pgNumType w:start="1"/>
          <w:cols w:space="720" w:num="1"/>
          <w:docGrid w:linePitch="285" w:charSpace="0"/>
        </w:sectPr>
      </w:pPr>
      <w:r>
        <w:rPr>
          <w:rFonts w:ascii="Times New Roman" w:hAnsi="Times New Roman"/>
          <w:color w:val="auto"/>
          <w:sz w:val="28"/>
          <w:szCs w:val="28"/>
          <w:highlight w:val="none"/>
        </w:rPr>
        <w:fldChar w:fldCharType="end"/>
      </w:r>
    </w:p>
    <w:p>
      <w:pPr>
        <w:pStyle w:val="3"/>
        <w:keepNext w:val="0"/>
        <w:keepLines w:val="0"/>
        <w:spacing w:line="560" w:lineRule="exact"/>
        <w:jc w:val="center"/>
        <w:rPr>
          <w:color w:val="auto"/>
          <w:highlight w:val="none"/>
        </w:rPr>
      </w:pPr>
      <w:bookmarkStart w:id="3" w:name="_Toc511557024"/>
      <w:bookmarkStart w:id="4" w:name="_Toc22250"/>
      <w:r>
        <w:rPr>
          <w:color w:val="auto"/>
          <w:highlight w:val="none"/>
        </w:rPr>
        <w:t>第</w:t>
      </w:r>
      <w:bookmarkEnd w:id="0"/>
      <w:bookmarkEnd w:id="1"/>
      <w:bookmarkEnd w:id="2"/>
      <w:bookmarkEnd w:id="3"/>
      <w:r>
        <w:rPr>
          <w:color w:val="auto"/>
          <w:highlight w:val="none"/>
        </w:rPr>
        <w:t>一卷</w:t>
      </w:r>
      <w:bookmarkEnd w:id="4"/>
    </w:p>
    <w:p>
      <w:pPr>
        <w:pStyle w:val="3"/>
        <w:keepNext w:val="0"/>
        <w:keepLines w:val="0"/>
        <w:spacing w:line="560" w:lineRule="exact"/>
        <w:jc w:val="center"/>
        <w:rPr>
          <w:color w:val="auto"/>
          <w:highlight w:val="none"/>
        </w:rPr>
      </w:pPr>
      <w:bookmarkStart w:id="5" w:name="_Toc27666"/>
      <w:r>
        <w:rPr>
          <w:rFonts w:hint="eastAsia"/>
          <w:color w:val="auto"/>
          <w:highlight w:val="none"/>
        </w:rPr>
        <w:t>第一章</w:t>
      </w:r>
      <w:r>
        <w:rPr>
          <w:color w:val="auto"/>
          <w:highlight w:val="none"/>
        </w:rPr>
        <w:t>招标公告</w:t>
      </w:r>
      <w:bookmarkEnd w:id="5"/>
    </w:p>
    <w:p>
      <w:pPr>
        <w:adjustRightInd w:val="0"/>
        <w:snapToGrid w:val="0"/>
        <w:spacing w:line="360" w:lineRule="auto"/>
        <w:jc w:val="center"/>
        <w:rPr>
          <w:color w:val="auto"/>
          <w:highlight w:val="none"/>
        </w:rPr>
      </w:pPr>
      <w:r>
        <w:rPr>
          <w:rFonts w:hint="eastAsia" w:ascii="宋体" w:hAnsi="宋体" w:cs="宋体"/>
          <w:b/>
          <w:color w:val="auto"/>
          <w:sz w:val="36"/>
          <w:szCs w:val="36"/>
          <w:highlight w:val="none"/>
        </w:rPr>
        <w:t>（另册）</w:t>
      </w:r>
    </w:p>
    <w:p>
      <w:pPr>
        <w:rPr>
          <w:color w:val="auto"/>
          <w:highlight w:val="none"/>
        </w:rPr>
      </w:pPr>
    </w:p>
    <w:p>
      <w:pPr>
        <w:adjustRightInd w:val="0"/>
        <w:snapToGrid w:val="0"/>
        <w:spacing w:line="360" w:lineRule="auto"/>
        <w:ind w:firstLine="420" w:firstLineChars="200"/>
        <w:jc w:val="right"/>
        <w:rPr>
          <w:color w:val="auto"/>
          <w:highlight w:val="none"/>
        </w:rPr>
      </w:pPr>
      <w:r>
        <w:rPr>
          <w:color w:val="auto"/>
          <w:highlight w:val="none"/>
        </w:rPr>
        <w:br w:type="page"/>
      </w:r>
    </w:p>
    <w:p>
      <w:pPr>
        <w:pStyle w:val="3"/>
        <w:keepNext w:val="0"/>
        <w:keepLines w:val="0"/>
        <w:spacing w:before="100" w:after="100" w:line="360" w:lineRule="auto"/>
        <w:jc w:val="center"/>
        <w:rPr>
          <w:color w:val="auto"/>
          <w:highlight w:val="none"/>
        </w:rPr>
      </w:pPr>
      <w:bookmarkStart w:id="6" w:name="_Toc1057"/>
      <w:r>
        <w:rPr>
          <w:color w:val="auto"/>
          <w:highlight w:val="none"/>
        </w:rPr>
        <w:t>第二章投标人须知</w:t>
      </w:r>
      <w:bookmarkEnd w:id="6"/>
    </w:p>
    <w:p>
      <w:pPr>
        <w:pStyle w:val="4"/>
        <w:keepNext w:val="0"/>
        <w:keepLines w:val="0"/>
        <w:spacing w:before="20" w:after="0" w:line="360" w:lineRule="auto"/>
        <w:jc w:val="left"/>
        <w:rPr>
          <w:rFonts w:ascii="Times New Roman" w:hAnsi="Times New Roman"/>
          <w:color w:val="auto"/>
          <w:highlight w:val="none"/>
        </w:rPr>
      </w:pPr>
      <w:bookmarkStart w:id="7" w:name="_Toc13533"/>
      <w:bookmarkStart w:id="8" w:name="_Toc19759"/>
      <w:r>
        <w:rPr>
          <w:rFonts w:ascii="Times New Roman" w:hAnsi="Times New Roman"/>
          <w:color w:val="auto"/>
          <w:highlight w:val="none"/>
        </w:rPr>
        <w:t>投标人须知前附表</w:t>
      </w:r>
      <w:bookmarkEnd w:id="7"/>
      <w:bookmarkEnd w:id="8"/>
    </w:p>
    <w:tbl>
      <w:tblPr>
        <w:tblStyle w:val="14"/>
        <w:tblpPr w:leftFromText="180" w:rightFromText="180" w:vertAnchor="text" w:horzAnchor="page" w:tblpX="1635" w:tblpY="612"/>
        <w:tblOverlap w:val="never"/>
        <w:tblW w:w="969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8"/>
        <w:gridCol w:w="1650"/>
        <w:gridCol w:w="68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条款号</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条款名称</w:t>
            </w:r>
          </w:p>
        </w:tc>
        <w:tc>
          <w:tcPr>
            <w:tcW w:w="6863" w:type="dxa"/>
            <w:vAlign w:val="center"/>
          </w:tcPr>
          <w:p>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1.1.2</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招标人</w:t>
            </w:r>
          </w:p>
        </w:tc>
        <w:tc>
          <w:tcPr>
            <w:tcW w:w="6863" w:type="dxa"/>
            <w:vAlign w:val="center"/>
          </w:tcPr>
          <w:p>
            <w:pPr>
              <w:keepNext w:val="0"/>
              <w:keepLines w:val="0"/>
              <w:suppressLineNumbers w:val="0"/>
              <w:snapToGrid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招标人：佛山电器照明股份有限公司</w:t>
            </w:r>
          </w:p>
          <w:p>
            <w:pPr>
              <w:keepNext w:val="0"/>
              <w:keepLines w:val="0"/>
              <w:suppressLineNumbers w:val="0"/>
              <w:snapToGrid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地址：</w:t>
            </w:r>
            <w:r>
              <w:rPr>
                <w:rFonts w:hint="eastAsia" w:hAnsi="宋体" w:cs="宋体"/>
                <w:color w:val="auto"/>
                <w:kern w:val="0"/>
                <w:sz w:val="21"/>
                <w:szCs w:val="21"/>
                <w:highlight w:val="none"/>
                <w:u w:val="single"/>
                <w:shd w:val="clear" w:color="auto" w:fill="FFFFFF"/>
                <w:lang w:bidi="ar"/>
              </w:rPr>
              <w:t>佛山市禅城区</w:t>
            </w:r>
            <w:r>
              <w:rPr>
                <w:rFonts w:hint="eastAsia" w:hAnsi="宋体" w:cs="宋体"/>
                <w:color w:val="auto"/>
                <w:kern w:val="0"/>
                <w:sz w:val="21"/>
                <w:szCs w:val="21"/>
                <w:highlight w:val="none"/>
                <w:u w:val="single"/>
                <w:shd w:val="clear" w:color="auto" w:fill="FFFFFF"/>
                <w:lang w:eastAsia="zh-CN" w:bidi="ar"/>
              </w:rPr>
              <w:t>智慧</w:t>
            </w:r>
            <w:r>
              <w:rPr>
                <w:rFonts w:hint="eastAsia" w:hAnsi="宋体" w:cs="宋体"/>
                <w:color w:val="auto"/>
                <w:kern w:val="0"/>
                <w:sz w:val="21"/>
                <w:szCs w:val="21"/>
                <w:highlight w:val="none"/>
                <w:u w:val="single"/>
                <w:shd w:val="clear" w:color="auto" w:fill="FFFFFF"/>
                <w:lang w:bidi="ar"/>
              </w:rPr>
              <w:t>路</w:t>
            </w:r>
            <w:r>
              <w:rPr>
                <w:rFonts w:hint="eastAsia" w:hAnsi="宋体" w:cs="宋体"/>
                <w:color w:val="auto"/>
                <w:kern w:val="0"/>
                <w:sz w:val="21"/>
                <w:szCs w:val="21"/>
                <w:highlight w:val="none"/>
                <w:u w:val="single"/>
                <w:shd w:val="clear" w:color="auto" w:fill="FFFFFF"/>
                <w:lang w:val="en-US" w:eastAsia="zh-CN" w:bidi="ar"/>
              </w:rPr>
              <w:t>8</w:t>
            </w:r>
            <w:r>
              <w:rPr>
                <w:rFonts w:hint="eastAsia" w:ascii="宋体" w:hAnsi="宋体" w:eastAsia="宋体" w:cs="宋体"/>
                <w:color w:val="auto"/>
                <w:kern w:val="0"/>
                <w:sz w:val="21"/>
                <w:szCs w:val="21"/>
                <w:highlight w:val="none"/>
                <w:u w:val="single"/>
                <w:shd w:val="clear" w:color="auto" w:fill="FFFFFF"/>
                <w:lang w:val="en-US" w:eastAsia="zh-CN" w:bidi="ar"/>
              </w:rPr>
              <w:t>号</w:t>
            </w:r>
          </w:p>
          <w:p>
            <w:pPr>
              <w:keepNext w:val="0"/>
              <w:keepLines w:val="0"/>
              <w:suppressLineNumbers w:val="0"/>
              <w:snapToGrid w:val="0"/>
              <w:spacing w:before="0" w:beforeAutospacing="0" w:after="0" w:afterAutospacing="0"/>
              <w:ind w:left="0" w:right="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联系人：</w:t>
            </w:r>
            <w:r>
              <w:rPr>
                <w:rFonts w:hint="eastAsia" w:ascii="宋体" w:hAnsi="宋体"/>
                <w:color w:val="auto"/>
                <w:szCs w:val="21"/>
                <w:highlight w:val="none"/>
                <w:u w:val="single"/>
                <w:lang w:eastAsia="zh-CN"/>
              </w:rPr>
              <w:t>梁小姐</w:t>
            </w:r>
          </w:p>
          <w:p>
            <w:pPr>
              <w:keepNext w:val="0"/>
              <w:keepLines w:val="0"/>
              <w:suppressLineNumbers w:val="0"/>
              <w:snapToGrid w:val="0"/>
              <w:spacing w:before="0" w:beforeAutospacing="0" w:after="0" w:afterAutospacing="0"/>
              <w:ind w:left="0" w:right="0"/>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rPr>
              <w:t>电话：0757-82966</w:t>
            </w:r>
            <w:r>
              <w:rPr>
                <w:rFonts w:hint="eastAsia" w:ascii="宋体" w:hAnsi="宋体"/>
                <w:color w:val="auto"/>
                <w:szCs w:val="21"/>
                <w:highlight w:val="none"/>
                <w:u w:val="singl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1"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1.1.3</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招标代理机构</w:t>
            </w:r>
          </w:p>
        </w:tc>
        <w:tc>
          <w:tcPr>
            <w:tcW w:w="6863" w:type="dxa"/>
            <w:vAlign w:val="center"/>
          </w:tcPr>
          <w:p>
            <w:pPr>
              <w:keepNext w:val="0"/>
              <w:keepLines w:val="0"/>
              <w:suppressLineNumbers w:val="0"/>
              <w:snapToGrid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招标代理机构：广东省机电设备招标中心有限公司</w:t>
            </w:r>
          </w:p>
          <w:p>
            <w:pPr>
              <w:keepNext w:val="0"/>
              <w:keepLines w:val="0"/>
              <w:suppressLineNumbers w:val="0"/>
              <w:snapToGrid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地址：广州市越秀区东风中路515号东照大厦5楼</w:t>
            </w:r>
          </w:p>
          <w:p>
            <w:pPr>
              <w:keepNext w:val="0"/>
              <w:keepLines w:val="0"/>
              <w:suppressLineNumbers w:val="0"/>
              <w:snapToGrid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联系人：吴嘉鹏</w:t>
            </w:r>
            <w:r>
              <w:rPr>
                <w:rFonts w:hint="eastAsia" w:ascii="宋体" w:hAnsi="宋体"/>
                <w:color w:val="auto"/>
                <w:szCs w:val="21"/>
                <w:highlight w:val="none"/>
                <w:u w:val="single"/>
              </w:rPr>
              <w:tab/>
            </w:r>
          </w:p>
          <w:p>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电话：13538893942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1.1.4</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招标项目名称</w:t>
            </w:r>
          </w:p>
        </w:tc>
        <w:tc>
          <w:tcPr>
            <w:tcW w:w="6863" w:type="dxa"/>
            <w:vAlign w:val="center"/>
          </w:tcPr>
          <w:p>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佛山照明禅城总部厂区（中区、北区）地块土壤修复环境监理服务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1.1.5</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项目建设地点</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1.1.6</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项目建设规模</w:t>
            </w:r>
          </w:p>
        </w:tc>
        <w:tc>
          <w:tcPr>
            <w:tcW w:w="6863" w:type="dxa"/>
          </w:tcPr>
          <w:p>
            <w:pPr>
              <w:keepNext w:val="0"/>
              <w:keepLines w:val="0"/>
              <w:suppressLineNumbers w:val="0"/>
              <w:snapToGrid w:val="0"/>
              <w:spacing w:before="0" w:beforeAutospacing="0" w:after="0" w:afterAutospacing="0"/>
              <w:ind w:left="0" w:right="106"/>
              <w:rPr>
                <w:rFonts w:hint="default"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bookmarkStart w:id="9" w:name="_Hlk136173529"/>
            <w:r>
              <w:rPr>
                <w:rFonts w:hint="default" w:ascii="宋体" w:hAnsi="宋体"/>
                <w:color w:val="auto"/>
                <w:szCs w:val="21"/>
                <w:highlight w:val="none"/>
              </w:rPr>
              <w:t>1.1.7</w:t>
            </w:r>
          </w:p>
        </w:tc>
        <w:tc>
          <w:tcPr>
            <w:tcW w:w="1650"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工期</w:t>
            </w:r>
          </w:p>
        </w:tc>
        <w:tc>
          <w:tcPr>
            <w:tcW w:w="6863" w:type="dxa"/>
            <w:vAlign w:val="center"/>
          </w:tcPr>
          <w:p>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olor w:val="auto"/>
                <w:szCs w:val="21"/>
                <w:highlight w:val="none"/>
              </w:rPr>
              <w:t>详见本工程招标公告。</w:t>
            </w:r>
          </w:p>
        </w:tc>
      </w:tr>
      <w:bookmarkEnd w:id="9"/>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1.2.1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资金来源及比例</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olor w:val="auto"/>
                <w:szCs w:val="21"/>
                <w:highlight w:val="none"/>
                <w:u w:val="single"/>
              </w:rPr>
              <w:t>自筹资金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1.2.2</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资金落实情况</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1.3.1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招标范围</w:t>
            </w:r>
          </w:p>
        </w:tc>
        <w:tc>
          <w:tcPr>
            <w:tcW w:w="6863" w:type="dxa"/>
          </w:tcPr>
          <w:p>
            <w:pPr>
              <w:keepNext w:val="0"/>
              <w:keepLines w:val="0"/>
              <w:suppressLineNumbers w:val="0"/>
              <w:snapToGrid w:val="0"/>
              <w:spacing w:before="0" w:beforeAutospacing="0" w:after="0" w:afterAutospacing="0"/>
              <w:ind w:left="0" w:right="106"/>
              <w:rPr>
                <w:rFonts w:hint="default"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1.3.2</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服务期限</w:t>
            </w:r>
          </w:p>
        </w:tc>
        <w:tc>
          <w:tcPr>
            <w:tcW w:w="6863" w:type="dxa"/>
          </w:tcPr>
          <w:p>
            <w:pPr>
              <w:keepNext w:val="0"/>
              <w:keepLines w:val="0"/>
              <w:suppressLineNumbers w:val="0"/>
              <w:snapToGrid w:val="0"/>
              <w:spacing w:before="0" w:beforeAutospacing="0" w:after="0" w:afterAutospacing="0"/>
              <w:ind w:left="0" w:right="106"/>
              <w:rPr>
                <w:rFonts w:hint="default"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1.3.3</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质量标准</w:t>
            </w:r>
          </w:p>
        </w:tc>
        <w:tc>
          <w:tcPr>
            <w:tcW w:w="686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eastAsia="zh-CN"/>
              </w:rPr>
            </w:pPr>
            <w:r>
              <w:rPr>
                <w:rFonts w:hint="default" w:ascii="宋体" w:hAnsi="宋体" w:cs="宋体"/>
                <w:color w:val="auto"/>
                <w:szCs w:val="21"/>
                <w:highlight w:val="none"/>
              </w:rPr>
              <w:t>须完成土壤污染治理与修复的各项工作，确保修复实施方案通过广东省、佛山市生态环境主管部门组织的专家评审会，通过广东省、佛山市生态环境主管部门审核审查，并按广东省、佛山市土壤修复管理有关规定报省、市环保主管部门等相关政府部门审批备案；确保本项目《修复效果评估报告》达到广东省、佛山市生态环境主管部门的验收备案条件，并能通过广东省、佛山市生态环境主管部门验收，最终完成项目地块的广东省建设用地土壤污染风险管控和修复名录移出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1.4.1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投标人资质条件、能力、信誉</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详见招标公告第3点要求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1.4.2</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是否接受联合体投标</w:t>
            </w:r>
          </w:p>
        </w:tc>
        <w:tc>
          <w:tcPr>
            <w:tcW w:w="6863" w:type="dxa"/>
            <w:vAlign w:val="center"/>
          </w:tcPr>
          <w:p>
            <w:pPr>
              <w:keepNext w:val="0"/>
              <w:keepLines w:val="0"/>
              <w:suppressLineNumbers w:val="0"/>
              <w:spacing w:before="0" w:beforeAutospacing="0" w:after="0" w:afterAutospacing="0" w:line="280" w:lineRule="exact"/>
              <w:ind w:left="0" w:right="0"/>
              <w:rPr>
                <w:rFonts w:hint="default"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不接受</w:t>
            </w:r>
            <w:r>
              <w:rPr>
                <w:rFonts w:hint="default" w:ascii="宋体" w:hAnsi="宋体"/>
                <w:color w:val="auto"/>
                <w:szCs w:val="21"/>
                <w:highlight w:val="none"/>
              </w:rPr>
              <w:t xml:space="preserve"> </w:t>
            </w:r>
          </w:p>
          <w:p>
            <w:pPr>
              <w:keepNext w:val="0"/>
              <w:keepLines w:val="0"/>
              <w:suppressLineNumbers w:val="0"/>
              <w:spacing w:before="0" w:beforeAutospacing="0" w:after="0" w:afterAutospacing="0" w:line="280" w:lineRule="exact"/>
              <w:ind w:left="0" w:right="0"/>
              <w:rPr>
                <w:rFonts w:hint="default" w:ascii="宋体" w:hAnsi="宋体"/>
                <w:color w:val="auto"/>
                <w:szCs w:val="21"/>
                <w:highlight w:val="none"/>
              </w:rPr>
            </w:pPr>
            <w:r>
              <w:rPr>
                <w:rFonts w:hint="default" w:hAnsi="宋体"/>
                <w:color w:val="auto"/>
                <w:szCs w:val="21"/>
                <w:highlight w:val="none"/>
              </w:rPr>
              <w:sym w:font="Wingdings 2" w:char="00A3"/>
            </w:r>
            <w:r>
              <w:rPr>
                <w:rFonts w:hint="eastAsia" w:ascii="宋体" w:hAnsi="宋体"/>
                <w:color w:val="auto"/>
                <w:szCs w:val="21"/>
                <w:highlight w:val="none"/>
              </w:rPr>
              <w:t>接受，应满足下列要求：</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1.4.3</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投标人不得存在的</w:t>
            </w:r>
            <w:r>
              <w:rPr>
                <w:rFonts w:hint="eastAsia" w:ascii="宋体" w:hAnsi="宋体"/>
                <w:color w:val="auto"/>
                <w:szCs w:val="21"/>
                <w:highlight w:val="none"/>
              </w:rPr>
              <w:t>其他</w:t>
            </w:r>
            <w:r>
              <w:rPr>
                <w:rFonts w:hint="default" w:ascii="宋体" w:hAnsi="宋体"/>
                <w:color w:val="auto"/>
                <w:szCs w:val="21"/>
                <w:highlight w:val="none"/>
              </w:rPr>
              <w:t>情形</w:t>
            </w:r>
          </w:p>
        </w:tc>
        <w:tc>
          <w:tcPr>
            <w:tcW w:w="6863" w:type="dxa"/>
            <w:vAlign w:val="center"/>
          </w:tcPr>
          <w:p>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1.9.1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踏勘现场</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eastAsia"/>
                <w:color w:val="auto"/>
                <w:sz w:val="21"/>
                <w:szCs w:val="21"/>
                <w:highlight w:val="none"/>
              </w:rPr>
              <w:t>■</w:t>
            </w:r>
            <w:r>
              <w:rPr>
                <w:rFonts w:hint="default" w:hAnsi="宋体"/>
                <w:color w:val="auto"/>
                <w:sz w:val="21"/>
                <w:szCs w:val="21"/>
                <w:highlight w:val="none"/>
              </w:rPr>
              <w:t>不组织</w:t>
            </w:r>
          </w:p>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default" w:hAnsi="宋体"/>
                <w:color w:val="auto"/>
                <w:sz w:val="21"/>
                <w:szCs w:val="21"/>
                <w:highlight w:val="none"/>
              </w:rPr>
              <w:sym w:font="Wingdings 2" w:char="00A3"/>
            </w:r>
            <w:r>
              <w:rPr>
                <w:rFonts w:hint="default" w:hAnsi="宋体"/>
                <w:color w:val="auto"/>
                <w:sz w:val="21"/>
                <w:szCs w:val="21"/>
                <w:highlight w:val="none"/>
              </w:rPr>
              <w:t>组织，踏勘时间：</w:t>
            </w:r>
            <w:r>
              <w:rPr>
                <w:rFonts w:hint="eastAsia" w:hAnsi="宋体"/>
                <w:color w:val="auto"/>
                <w:sz w:val="21"/>
                <w:szCs w:val="21"/>
                <w:highlight w:val="none"/>
                <w:u w:val="single"/>
              </w:rPr>
              <w:t xml:space="preserve"> / </w:t>
            </w:r>
          </w:p>
          <w:p>
            <w:pPr>
              <w:pStyle w:val="7"/>
              <w:keepNext w:val="0"/>
              <w:keepLines w:val="0"/>
              <w:suppressLineNumbers w:val="0"/>
              <w:topLinePunct/>
              <w:snapToGrid w:val="0"/>
              <w:spacing w:before="0" w:beforeAutospacing="0" w:after="0" w:afterAutospacing="0"/>
              <w:ind w:left="0" w:right="0" w:firstLine="840" w:firstLineChars="400"/>
              <w:rPr>
                <w:rFonts w:hint="default" w:hAnsi="宋体"/>
                <w:color w:val="auto"/>
                <w:sz w:val="21"/>
                <w:szCs w:val="21"/>
                <w:highlight w:val="none"/>
              </w:rPr>
            </w:pPr>
            <w:r>
              <w:rPr>
                <w:rFonts w:hint="default" w:hAnsi="宋体"/>
                <w:color w:val="auto"/>
                <w:sz w:val="21"/>
                <w:szCs w:val="21"/>
                <w:highlight w:val="none"/>
              </w:rPr>
              <w:t>踏勘集中地点：</w:t>
            </w:r>
            <w:r>
              <w:rPr>
                <w:rFonts w:hint="eastAsia" w:hAnsi="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1.10.1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投标预备会</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eastAsia"/>
                <w:color w:val="auto"/>
                <w:sz w:val="21"/>
                <w:szCs w:val="21"/>
                <w:highlight w:val="none"/>
              </w:rPr>
              <w:t>■</w:t>
            </w:r>
            <w:r>
              <w:rPr>
                <w:rFonts w:hint="default" w:hAnsi="宋体"/>
                <w:color w:val="auto"/>
                <w:sz w:val="21"/>
                <w:szCs w:val="21"/>
                <w:highlight w:val="none"/>
              </w:rPr>
              <w:t>不召开</w:t>
            </w:r>
          </w:p>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sym w:font="Wingdings 2" w:char="00A3"/>
            </w:r>
            <w:r>
              <w:rPr>
                <w:rFonts w:hint="default" w:ascii="宋体" w:hAnsi="宋体"/>
                <w:color w:val="auto"/>
                <w:szCs w:val="21"/>
                <w:highlight w:val="none"/>
              </w:rPr>
              <w:t>召开，召开时间：</w:t>
            </w:r>
            <w:r>
              <w:rPr>
                <w:rFonts w:hint="eastAsia" w:ascii="宋体" w:hAnsi="宋体"/>
                <w:color w:val="auto"/>
                <w:szCs w:val="21"/>
                <w:highlight w:val="none"/>
                <w:u w:val="single"/>
              </w:rPr>
              <w:t xml:space="preserve"> / </w:t>
            </w:r>
          </w:p>
          <w:p>
            <w:pPr>
              <w:keepNext w:val="0"/>
              <w:keepLines w:val="0"/>
              <w:suppressLineNumbers w:val="0"/>
              <w:snapToGrid w:val="0"/>
              <w:spacing w:before="0" w:beforeAutospacing="0" w:after="0" w:afterAutospacing="0"/>
              <w:ind w:left="0" w:right="0" w:firstLine="840" w:firstLineChars="400"/>
              <w:rPr>
                <w:rFonts w:hint="default" w:ascii="宋体" w:hAnsi="宋体"/>
                <w:color w:val="auto"/>
                <w:szCs w:val="21"/>
                <w:highlight w:val="none"/>
              </w:rPr>
            </w:pPr>
            <w:r>
              <w:rPr>
                <w:rFonts w:hint="default" w:ascii="宋体" w:hAnsi="宋体"/>
                <w:color w:val="auto"/>
                <w:szCs w:val="21"/>
                <w:highlight w:val="none"/>
              </w:rPr>
              <w:t>召开地点：</w:t>
            </w: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1.10.2</w:t>
            </w:r>
          </w:p>
        </w:tc>
        <w:tc>
          <w:tcPr>
            <w:tcW w:w="1650"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投标人在投标预备会前提出问题</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时间：</w:t>
            </w: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p>
        </w:tc>
        <w:tc>
          <w:tcPr>
            <w:tcW w:w="1650"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形式：</w:t>
            </w: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1.10.3</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招标文件澄清发出的形式</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在广州公共资源交易中心网站“招标答疑”专区发布。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1.12.1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实质性要求和条件</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eastAsia" w:hAnsi="宋体"/>
                <w:color w:val="auto"/>
                <w:sz w:val="21"/>
                <w:szCs w:val="21"/>
                <w:highlight w:val="none"/>
                <w:u w:val="single"/>
              </w:rPr>
              <w:t>详见评标办法前附表中2.1.1、2.1.2、2.1.3的评审标准。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1.12.3</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偏差</w:t>
            </w:r>
          </w:p>
        </w:tc>
        <w:tc>
          <w:tcPr>
            <w:tcW w:w="6863" w:type="dxa"/>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color w:val="auto"/>
                <w:szCs w:val="21"/>
                <w:highlight w:val="none"/>
              </w:rPr>
              <w:t>■</w:t>
            </w:r>
            <w:r>
              <w:rPr>
                <w:rFonts w:hint="default" w:ascii="宋体" w:hAnsi="宋体"/>
                <w:color w:val="auto"/>
                <w:szCs w:val="21"/>
                <w:highlight w:val="none"/>
              </w:rPr>
              <w:t>不允许</w:t>
            </w:r>
          </w:p>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sym w:font="Wingdings 2" w:char="00A3"/>
            </w:r>
            <w:r>
              <w:rPr>
                <w:rFonts w:hint="default" w:ascii="宋体" w:hAnsi="宋体"/>
                <w:color w:val="auto"/>
                <w:szCs w:val="21"/>
                <w:highlight w:val="none"/>
              </w:rPr>
              <w:t>允许，偏差范围：</w:t>
            </w:r>
            <w:r>
              <w:rPr>
                <w:rFonts w:hint="eastAsia" w:ascii="宋体" w:hAnsi="宋体"/>
                <w:color w:val="auto"/>
                <w:szCs w:val="21"/>
                <w:highlight w:val="none"/>
                <w:u w:val="single"/>
              </w:rPr>
              <w:t xml:space="preserve"> / </w:t>
            </w:r>
          </w:p>
          <w:p>
            <w:pPr>
              <w:pStyle w:val="7"/>
              <w:keepNext w:val="0"/>
              <w:keepLines w:val="0"/>
              <w:suppressLineNumbers w:val="0"/>
              <w:topLinePunct/>
              <w:snapToGrid w:val="0"/>
              <w:spacing w:before="0" w:beforeAutospacing="0" w:after="0" w:afterAutospacing="0"/>
              <w:ind w:left="0" w:right="0" w:firstLine="840" w:firstLineChars="400"/>
              <w:rPr>
                <w:rFonts w:hint="default" w:hAnsi="宋体"/>
                <w:color w:val="auto"/>
                <w:sz w:val="21"/>
                <w:szCs w:val="21"/>
                <w:highlight w:val="none"/>
              </w:rPr>
            </w:pPr>
            <w:r>
              <w:rPr>
                <w:rFonts w:hint="default" w:hAnsi="宋体"/>
                <w:color w:val="auto"/>
                <w:sz w:val="21"/>
                <w:szCs w:val="21"/>
                <w:highlight w:val="none"/>
              </w:rPr>
              <w:t>偏差幅度：</w:t>
            </w:r>
            <w:r>
              <w:rPr>
                <w:rFonts w:hint="eastAsia" w:hAnsi="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2.1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构成招标文件的其他资料</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178"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bookmarkStart w:id="10" w:name="_Hlk136173546"/>
            <w:r>
              <w:rPr>
                <w:rFonts w:hint="default" w:ascii="宋体" w:hAnsi="宋体"/>
                <w:color w:val="auto"/>
                <w:szCs w:val="21"/>
                <w:highlight w:val="none"/>
              </w:rPr>
              <w:t>2.2.1</w:t>
            </w:r>
          </w:p>
        </w:tc>
        <w:tc>
          <w:tcPr>
            <w:tcW w:w="1650"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投标人要求澄清招标文件</w:t>
            </w:r>
          </w:p>
        </w:tc>
        <w:tc>
          <w:tcPr>
            <w:tcW w:w="6863" w:type="dxa"/>
            <w:tcBorders>
              <w:bottom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u w:val="single"/>
              </w:rPr>
              <w:t>时间：在提交投标文件截止时间18天前提出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1178"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p>
        </w:tc>
        <w:tc>
          <w:tcPr>
            <w:tcW w:w="1650"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p>
        </w:tc>
        <w:tc>
          <w:tcPr>
            <w:tcW w:w="6863" w:type="dxa"/>
            <w:tcBorders>
              <w:top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u w:val="single"/>
              </w:rPr>
              <w:t>形式：投标人的疑问通过广州公共资源交易中心数字交易平台提交。具体要求：操作详见广州公共资源交易中心网站发布的《房屋建筑和市政基础设施工程全流程电子化项目专章》。提问一律不得署名。</w:t>
            </w:r>
          </w:p>
        </w:tc>
      </w:tr>
      <w:bookmarkEnd w:id="1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2.2.2</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招标文件澄清发出的形式</w:t>
            </w:r>
          </w:p>
        </w:tc>
        <w:tc>
          <w:tcPr>
            <w:tcW w:w="6863"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u w:val="single"/>
              </w:rPr>
              <w:t>在递交投标文件截止时间15天前；在广州公共资源交易中心网站通过项目答疑专区公开发布。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2.2.3</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投标人确认收到招标文件澄清</w:t>
            </w:r>
          </w:p>
        </w:tc>
        <w:tc>
          <w:tcPr>
            <w:tcW w:w="6863"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u w:val="single"/>
              </w:rPr>
              <w:t>从招标文件澄清及答疑文件发布之日起即视为投标人已确认收到。招标文件澄清（招标答疑纪要）一经在广州公共资源交易中心网站发布，视作已发放给所有投标人。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2.3.1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招标文件修改发出的形式</w:t>
            </w:r>
          </w:p>
        </w:tc>
        <w:tc>
          <w:tcPr>
            <w:tcW w:w="6863"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以补充公告或项目答疑澄清的方式在广州公共资源交易中心网站公开发布。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2.3.2</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投标人确认收到招标文件修改</w:t>
            </w:r>
          </w:p>
        </w:tc>
        <w:tc>
          <w:tcPr>
            <w:tcW w:w="6863"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u w:val="single"/>
              </w:rPr>
              <w:t>招标文件修改一经在广州公共资源交易中心网站发布，视作已发放给所有投标人，无需确认。潜在投标人应自行关注招标公告公布的网站公告，投标人因自身贻误行为导致投标失败的，责任自负。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3.1.1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构成投标文件的其他资料</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3.2.1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增值税税金的计算方法</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3.2.3</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报价方式</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cs="宋体"/>
                <w:color w:val="auto"/>
                <w:szCs w:val="21"/>
                <w:highlight w:val="none"/>
                <w:lang w:val="en-US" w:eastAsia="zh-CN"/>
              </w:rPr>
              <w:t>本项目采用总价包干制，总价最高限价</w:t>
            </w:r>
            <w:r>
              <w:rPr>
                <w:rFonts w:hint="default" w:ascii="宋体" w:cs="宋体"/>
                <w:color w:val="auto"/>
                <w:szCs w:val="21"/>
                <w:highlight w:val="none"/>
                <w:lang w:val="en-US" w:eastAsia="zh-CN"/>
              </w:rPr>
              <w:t>312291</w:t>
            </w:r>
            <w:r>
              <w:rPr>
                <w:rFonts w:hint="eastAsia" w:ascii="宋体" w:cs="宋体"/>
                <w:color w:val="auto"/>
                <w:szCs w:val="21"/>
                <w:highlight w:val="none"/>
                <w:lang w:val="en-US" w:eastAsia="zh-CN"/>
              </w:rPr>
              <w:t>0.00元（含税价），</w:t>
            </w:r>
            <w:r>
              <w:rPr>
                <w:rFonts w:hint="eastAsia" w:ascii="宋体" w:cs="宋体"/>
                <w:color w:val="auto"/>
                <w:szCs w:val="21"/>
                <w:highlight w:val="none"/>
                <w:lang w:val="zh-CN"/>
              </w:rPr>
              <w:t>各投标单位在</w:t>
            </w:r>
            <w:r>
              <w:rPr>
                <w:rFonts w:hint="eastAsia" w:ascii="宋体" w:cs="宋体"/>
                <w:color w:val="auto"/>
                <w:szCs w:val="21"/>
                <w:highlight w:val="none"/>
              </w:rPr>
              <w:t>最高投标限价</w:t>
            </w:r>
            <w:r>
              <w:rPr>
                <w:rFonts w:hint="eastAsia" w:ascii="宋体" w:cs="宋体"/>
                <w:color w:val="auto"/>
                <w:szCs w:val="21"/>
                <w:highlight w:val="none"/>
                <w:lang w:val="zh-CN"/>
              </w:rPr>
              <w:t>内根据企业自身实力进行报价（以元为单位，保留两位小数，第三位小数四舍五入）,投标报价超过最高投标限价的投标文件将被否决其投标。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3.2.4</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最高投标限价</w:t>
            </w:r>
          </w:p>
        </w:tc>
        <w:tc>
          <w:tcPr>
            <w:tcW w:w="6863" w:type="dxa"/>
            <w:vAlign w:val="center"/>
          </w:tcPr>
          <w:p>
            <w:pPr>
              <w:rPr>
                <w:color w:val="auto"/>
                <w:highlight w:val="none"/>
              </w:rPr>
            </w:pPr>
          </w:p>
          <w:p>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default" w:ascii="宋体" w:hAnsi="宋体"/>
                <w:color w:val="auto"/>
                <w:szCs w:val="21"/>
                <w:highlight w:val="none"/>
              </w:rPr>
              <w:t>最高投标限价：</w:t>
            </w:r>
            <w:r>
              <w:rPr>
                <w:rFonts w:hint="default" w:ascii="宋体" w:hAnsi="宋体"/>
                <w:color w:val="auto"/>
                <w:szCs w:val="21"/>
                <w:highlight w:val="none"/>
                <w:lang w:val="en-US" w:eastAsia="zh-CN"/>
              </w:rPr>
              <w:t>3122910.00</w:t>
            </w:r>
            <w:r>
              <w:rPr>
                <w:rFonts w:hint="eastAsia" w:ascii="宋体" w:hAnsi="宋体"/>
                <w:color w:val="auto"/>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3.2.5</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投标报价的其他要求</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3.3.1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投标有效期</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bookmarkStart w:id="11" w:name="_Toc300834946"/>
            <w:bookmarkStart w:id="12" w:name="_Toc369531512"/>
            <w:bookmarkStart w:id="13" w:name="_Toc384308207"/>
            <w:bookmarkStart w:id="14" w:name="_Toc361508582"/>
            <w:bookmarkStart w:id="15" w:name="_Toc1789"/>
            <w:bookmarkStart w:id="16" w:name="_Toc352691470"/>
            <w:r>
              <w:rPr>
                <w:rFonts w:hint="eastAsia" w:ascii="宋体" w:hAnsi="宋体"/>
                <w:color w:val="auto"/>
                <w:szCs w:val="21"/>
                <w:highlight w:val="none"/>
                <w:u w:val="single"/>
              </w:rPr>
              <w:t>90</w:t>
            </w:r>
            <w:r>
              <w:rPr>
                <w:rFonts w:hint="eastAsia" w:ascii="宋体" w:hAnsi="宋体"/>
                <w:color w:val="auto"/>
                <w:szCs w:val="21"/>
                <w:highlight w:val="none"/>
              </w:rPr>
              <w:t>日历天（从投标截止之日算起）。</w:t>
            </w:r>
          </w:p>
        </w:tc>
      </w:tr>
      <w:bookmarkEnd w:id="11"/>
      <w:bookmarkEnd w:id="12"/>
      <w:bookmarkEnd w:id="13"/>
      <w:bookmarkEnd w:id="14"/>
      <w:bookmarkEnd w:id="15"/>
      <w:bookmarkEnd w:id="16"/>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bookmarkStart w:id="17" w:name="_Hlk136173941"/>
            <w:r>
              <w:rPr>
                <w:rFonts w:hint="default" w:ascii="宋体" w:hAnsi="宋体"/>
                <w:color w:val="auto"/>
                <w:szCs w:val="21"/>
                <w:highlight w:val="none"/>
              </w:rPr>
              <w:t>3.4.1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投标保证金</w:t>
            </w:r>
          </w:p>
        </w:tc>
        <w:tc>
          <w:tcPr>
            <w:tcW w:w="6863" w:type="dxa"/>
            <w:vAlign w:val="center"/>
          </w:tcPr>
          <w:p>
            <w:pPr>
              <w:keepNext w:val="0"/>
              <w:keepLines w:val="0"/>
              <w:suppressLineNumbers w:val="0"/>
              <w:topLinePunct/>
              <w:snapToGrid w:val="0"/>
              <w:spacing w:before="0" w:beforeAutospacing="0" w:after="0" w:afterAutospacing="0" w:line="288"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（1）投标保证金的金额：人民币</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万元。 </w:t>
            </w:r>
          </w:p>
          <w:p>
            <w:pPr>
              <w:keepNext w:val="0"/>
              <w:keepLines w:val="0"/>
              <w:suppressLineNumbers w:val="0"/>
              <w:topLinePunct/>
              <w:snapToGrid w:val="0"/>
              <w:spacing w:before="0" w:beforeAutospacing="0" w:after="0" w:afterAutospacing="0" w:line="288"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 xml:space="preserve">（2）投标保证金的有效期：与投标有效期一致。 </w:t>
            </w:r>
          </w:p>
          <w:p>
            <w:pPr>
              <w:keepNext w:val="0"/>
              <w:keepLines w:val="0"/>
              <w:suppressLineNumbers w:val="0"/>
              <w:topLinePunct/>
              <w:snapToGrid w:val="0"/>
              <w:spacing w:before="0" w:beforeAutospacing="0" w:after="0" w:afterAutospacing="0" w:line="288"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）投标保证金的形式：投标保证金可采用转账、支票、投标保函、投标保证保险的形式，须在递交投标文件截止时间前完成缴纳。</w:t>
            </w:r>
          </w:p>
          <w:p>
            <w:pPr>
              <w:keepNext w:val="0"/>
              <w:keepLines w:val="0"/>
              <w:suppressLineNumbers w:val="0"/>
              <w:snapToGrid w:val="0"/>
              <w:spacing w:before="0" w:beforeAutospacing="0" w:after="0" w:afterAutospacing="0" w:line="288" w:lineRule="auto"/>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u w:val="none"/>
              </w:rPr>
              <w:t>1）如采用转账形式提交的，由广州公共资源交易中心代收。</w:t>
            </w:r>
            <w:r>
              <w:rPr>
                <w:rFonts w:hint="eastAsia" w:ascii="宋体" w:hAnsi="宋体" w:cs="宋体"/>
                <w:b/>
                <w:bCs/>
                <w:color w:val="auto"/>
                <w:szCs w:val="21"/>
                <w:highlight w:val="none"/>
                <w:u w:val="none"/>
              </w:rPr>
              <w:t>其缴纳情况以开标时广州公共资源交易中心数据库记录的信息为准。</w:t>
            </w:r>
            <w:r>
              <w:rPr>
                <w:rFonts w:hint="eastAsia" w:ascii="宋体" w:hAnsi="宋体" w:cs="宋体"/>
                <w:color w:val="auto"/>
                <w:szCs w:val="21"/>
                <w:highlight w:val="none"/>
                <w:u w:val="none"/>
              </w:rPr>
              <w:t>具体操作要求详见</w:t>
            </w:r>
            <w:r>
              <w:rPr>
                <w:rFonts w:hint="eastAsia" w:ascii="宋体" w:hAnsi="宋体" w:cs="宋体"/>
                <w:color w:val="auto"/>
                <w:szCs w:val="21"/>
                <w:highlight w:val="none"/>
              </w:rPr>
              <w:t>广州交易集团有限公司（广州公共资源交易中心）网站</w:t>
            </w:r>
            <w:r>
              <w:rPr>
                <w:rFonts w:hint="eastAsia" w:ascii="宋体" w:hAnsi="宋体" w:cs="宋体"/>
                <w:color w:val="auto"/>
                <w:szCs w:val="21"/>
                <w:highlight w:val="none"/>
                <w:lang w:val="en-US" w:eastAsia="zh-CN"/>
              </w:rPr>
              <w:t>服务指南</w:t>
            </w:r>
            <w:r>
              <w:rPr>
                <w:rFonts w:hint="eastAsia" w:ascii="宋体" w:hAnsi="宋体" w:cs="宋体"/>
                <w:color w:val="auto"/>
                <w:szCs w:val="21"/>
                <w:highlight w:val="none"/>
                <w:u w:val="none"/>
              </w:rPr>
              <w:t>“</w:t>
            </w:r>
            <w:r>
              <w:rPr>
                <w:rFonts w:hint="eastAsia" w:ascii="宋体" w:hAnsi="宋体" w:cs="宋体"/>
                <w:color w:val="auto"/>
                <w:szCs w:val="21"/>
                <w:highlight w:val="none"/>
              </w:rPr>
              <w:t>关于投标项目保证金操作指引的说明</w:t>
            </w:r>
            <w:r>
              <w:rPr>
                <w:rFonts w:hint="eastAsia" w:ascii="宋体" w:hAnsi="宋体" w:cs="宋体"/>
                <w:color w:val="auto"/>
                <w:szCs w:val="21"/>
                <w:highlight w:val="none"/>
                <w:u w:val="none"/>
              </w:rPr>
              <w:t>”，其他有关递交事宜，请自行咨询交易中心：020-28866000-4</w:t>
            </w:r>
            <w:r>
              <w:rPr>
                <w:rFonts w:hint="eastAsia" w:ascii="宋体" w:hAnsi="宋体" w:cs="宋体"/>
                <w:color w:val="auto"/>
                <w:szCs w:val="21"/>
                <w:highlight w:val="none"/>
              </w:rPr>
              <w:t>。</w:t>
            </w:r>
          </w:p>
          <w:p>
            <w:pPr>
              <w:keepNext w:val="0"/>
              <w:keepLines w:val="0"/>
              <w:suppressLineNumbers w:val="0"/>
              <w:topLinePunct/>
              <w:snapToGrid w:val="0"/>
              <w:spacing w:before="0" w:beforeAutospacing="0" w:after="0" w:afterAutospacing="0" w:line="288"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2）如采用非电子形式的投标保函或投标保证保险提交投标保证金的，投标人应在投标文件中提交投标保函或投标保证保险扫描件并加盖电子印章。</w:t>
            </w:r>
          </w:p>
          <w:p>
            <w:pPr>
              <w:keepNext w:val="0"/>
              <w:keepLines w:val="0"/>
              <w:suppressLineNumbers w:val="0"/>
              <w:topLinePunct/>
              <w:snapToGrid w:val="0"/>
              <w:spacing w:before="0" w:beforeAutospacing="0" w:after="0" w:afterAutospacing="0" w:line="288" w:lineRule="auto"/>
              <w:ind w:left="0" w:right="0" w:firstLine="420" w:firstLineChars="20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3）本项目允许递交电子保函，投标人应在投标文件中提交电子投标保函扫描件并加盖电子印章。</w:t>
            </w:r>
          </w:p>
        </w:tc>
      </w:tr>
      <w:bookmarkEnd w:id="17"/>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3.4.4</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其他可以不予退还投标保证金的情形</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w:t>
            </w:r>
            <w:r>
              <w:rPr>
                <w:rFonts w:hint="default" w:ascii="宋体" w:hAnsi="宋体"/>
                <w:color w:val="auto"/>
                <w:szCs w:val="21"/>
                <w:highlight w:val="none"/>
                <w:u w:val="single"/>
              </w:rPr>
              <w:t>4）</w:t>
            </w:r>
            <w:r>
              <w:rPr>
                <w:rFonts w:hint="eastAsia" w:ascii="宋体" w:hAnsi="宋体"/>
                <w:color w:val="auto"/>
                <w:szCs w:val="21"/>
                <w:highlight w:val="none"/>
                <w:u w:val="single"/>
              </w:rPr>
              <w:t>存在串通投标、围标情况的；</w:t>
            </w:r>
          </w:p>
          <w:p>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w:t>
            </w:r>
            <w:r>
              <w:rPr>
                <w:rFonts w:hint="default" w:ascii="宋体" w:hAnsi="宋体"/>
                <w:color w:val="auto"/>
                <w:szCs w:val="21"/>
                <w:highlight w:val="none"/>
                <w:u w:val="single"/>
              </w:rPr>
              <w:t>5</w:t>
            </w:r>
            <w:r>
              <w:rPr>
                <w:rFonts w:hint="eastAsia" w:ascii="宋体" w:hAnsi="宋体"/>
                <w:color w:val="auto"/>
                <w:szCs w:val="21"/>
                <w:highlight w:val="none"/>
                <w:u w:val="single"/>
              </w:rPr>
              <w:t>）投标人以他人名义投标或者允许他人挂靠投标或借用本公司名义投标的；</w:t>
            </w:r>
          </w:p>
          <w:p>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w:t>
            </w:r>
            <w:r>
              <w:rPr>
                <w:rFonts w:hint="default" w:ascii="宋体" w:hAnsi="宋体"/>
                <w:color w:val="auto"/>
                <w:szCs w:val="21"/>
                <w:highlight w:val="none"/>
                <w:u w:val="single"/>
              </w:rPr>
              <w:t>6）</w:t>
            </w:r>
            <w:r>
              <w:rPr>
                <w:rFonts w:hint="eastAsia" w:ascii="宋体" w:hAnsi="宋体"/>
                <w:color w:val="auto"/>
                <w:szCs w:val="21"/>
                <w:highlight w:val="none"/>
                <w:u w:val="single"/>
              </w:rPr>
              <w:t>提供虚假投标文件、虚假证明、虚假承诺/声明/保证或者以其他方式弄虚作假的；</w:t>
            </w:r>
          </w:p>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（7）法律或者本招标文件规定的其他情形。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3.5</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资格审查资料的特殊要求</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eastAsia"/>
                <w:color w:val="auto"/>
                <w:sz w:val="21"/>
                <w:szCs w:val="21"/>
                <w:highlight w:val="none"/>
              </w:rPr>
              <w:t>■</w:t>
            </w:r>
            <w:r>
              <w:rPr>
                <w:rFonts w:hint="default" w:hAnsi="宋体"/>
                <w:color w:val="auto"/>
                <w:sz w:val="21"/>
                <w:szCs w:val="21"/>
                <w:highlight w:val="none"/>
              </w:rPr>
              <w:t>无</w:t>
            </w:r>
          </w:p>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default" w:hAnsi="宋体"/>
                <w:color w:val="auto"/>
                <w:sz w:val="21"/>
                <w:szCs w:val="21"/>
                <w:highlight w:val="none"/>
              </w:rPr>
              <w:sym w:font="Wingdings 2" w:char="00A3"/>
            </w:r>
            <w:r>
              <w:rPr>
                <w:rFonts w:hint="default" w:hAnsi="宋体"/>
                <w:color w:val="auto"/>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3.5.2</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近年财务状况的年份要求</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 xml:space="preserve"> /</w:t>
            </w:r>
            <w:r>
              <w:rPr>
                <w:rFonts w:hint="default" w:ascii="宋体" w:hAnsi="宋体"/>
                <w:color w:val="auto"/>
                <w:szCs w:val="21"/>
                <w:highlight w:val="none"/>
              </w:rPr>
              <w:t>年至</w:t>
            </w:r>
            <w:r>
              <w:rPr>
                <w:rFonts w:hint="eastAsia" w:ascii="宋体" w:hAnsi="宋体"/>
                <w:color w:val="auto"/>
                <w:szCs w:val="21"/>
                <w:highlight w:val="none"/>
                <w:u w:val="single"/>
              </w:rPr>
              <w:t xml:space="preserve"> / </w:t>
            </w:r>
            <w:r>
              <w:rPr>
                <w:rFonts w:hint="default" w:ascii="宋体" w:hAnsi="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3.5.3</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近年完成的类似项目情况</w:t>
            </w:r>
            <w:r>
              <w:rPr>
                <w:rFonts w:hint="eastAsia" w:ascii="宋体" w:hAnsi="宋体"/>
                <w:color w:val="auto"/>
                <w:szCs w:val="21"/>
                <w:highlight w:val="none"/>
              </w:rPr>
              <w:t>的</w:t>
            </w:r>
            <w:r>
              <w:rPr>
                <w:rFonts w:hint="default" w:ascii="宋体" w:hAnsi="宋体"/>
                <w:color w:val="auto"/>
                <w:szCs w:val="21"/>
                <w:highlight w:val="none"/>
              </w:rPr>
              <w:t>时间要求</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w:t>
            </w:r>
            <w:r>
              <w:rPr>
                <w:rFonts w:hint="eastAsia" w:ascii="宋体" w:hAnsi="宋体" w:cs="宋体"/>
                <w:color w:val="auto"/>
                <w:szCs w:val="21"/>
                <w:highlight w:val="none"/>
              </w:rPr>
              <w:t>年</w:t>
            </w:r>
            <w:r>
              <w:rPr>
                <w:rFonts w:hint="eastAsia" w:ascii="宋体" w:hAnsi="宋体"/>
                <w:color w:val="auto"/>
                <w:szCs w:val="21"/>
                <w:highlight w:val="none"/>
                <w:u w:val="single"/>
              </w:rPr>
              <w:t>/</w:t>
            </w:r>
            <w:r>
              <w:rPr>
                <w:rFonts w:hint="eastAsia" w:ascii="宋体" w:hAnsi="宋体" w:cs="宋体"/>
                <w:color w:val="auto"/>
                <w:szCs w:val="21"/>
                <w:highlight w:val="none"/>
              </w:rPr>
              <w:t>月</w:t>
            </w:r>
            <w:r>
              <w:rPr>
                <w:rFonts w:hint="eastAsia" w:ascii="宋体" w:hAnsi="宋体"/>
                <w:color w:val="auto"/>
                <w:szCs w:val="21"/>
                <w:highlight w:val="none"/>
                <w:u w:val="single"/>
              </w:rPr>
              <w:t>/</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3.5.5</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近年发生的诉讼及仲裁情况的时间要求</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 xml:space="preserve"> / </w:t>
            </w:r>
            <w:r>
              <w:rPr>
                <w:rFonts w:hint="default" w:ascii="宋体" w:hAnsi="宋体"/>
                <w:color w:val="auto"/>
                <w:szCs w:val="21"/>
                <w:highlight w:val="none"/>
              </w:rPr>
              <w:t>年</w:t>
            </w:r>
            <w:r>
              <w:rPr>
                <w:rFonts w:hint="eastAsia" w:ascii="宋体" w:hAnsi="宋体"/>
                <w:color w:val="auto"/>
                <w:szCs w:val="21"/>
                <w:highlight w:val="none"/>
                <w:u w:val="single"/>
              </w:rPr>
              <w:t xml:space="preserve"> /</w:t>
            </w:r>
            <w:r>
              <w:rPr>
                <w:rFonts w:hint="default" w:ascii="宋体" w:hAnsi="宋体"/>
                <w:color w:val="auto"/>
                <w:szCs w:val="21"/>
                <w:highlight w:val="none"/>
              </w:rPr>
              <w:t>月</w:t>
            </w:r>
            <w:r>
              <w:rPr>
                <w:rFonts w:hint="eastAsia" w:ascii="宋体" w:hAnsi="宋体"/>
                <w:color w:val="auto"/>
                <w:szCs w:val="21"/>
                <w:highlight w:val="none"/>
                <w:u w:val="single"/>
              </w:rPr>
              <w:t xml:space="preserve"> / </w:t>
            </w:r>
            <w:r>
              <w:rPr>
                <w:rFonts w:hint="default" w:ascii="宋体" w:hAnsi="宋体"/>
                <w:color w:val="auto"/>
                <w:szCs w:val="21"/>
                <w:highlight w:val="none"/>
              </w:rPr>
              <w:t>日至</w:t>
            </w:r>
            <w:r>
              <w:rPr>
                <w:rFonts w:hint="eastAsia" w:ascii="宋体" w:hAnsi="宋体"/>
                <w:color w:val="auto"/>
                <w:szCs w:val="21"/>
                <w:highlight w:val="none"/>
                <w:u w:val="single"/>
              </w:rPr>
              <w:t xml:space="preserve"> / </w:t>
            </w:r>
            <w:r>
              <w:rPr>
                <w:rFonts w:hint="default" w:ascii="宋体" w:hAnsi="宋体"/>
                <w:color w:val="auto"/>
                <w:szCs w:val="21"/>
                <w:highlight w:val="none"/>
              </w:rPr>
              <w:t>年</w:t>
            </w:r>
            <w:r>
              <w:rPr>
                <w:rFonts w:hint="eastAsia" w:ascii="宋体" w:hAnsi="宋体"/>
                <w:color w:val="auto"/>
                <w:szCs w:val="21"/>
                <w:highlight w:val="none"/>
                <w:u w:val="single"/>
              </w:rPr>
              <w:t xml:space="preserve"> / </w:t>
            </w:r>
            <w:r>
              <w:rPr>
                <w:rFonts w:hint="default" w:ascii="宋体" w:hAnsi="宋体"/>
                <w:color w:val="auto"/>
                <w:szCs w:val="21"/>
                <w:highlight w:val="none"/>
              </w:rPr>
              <w:t>月</w:t>
            </w:r>
            <w:r>
              <w:rPr>
                <w:rFonts w:hint="eastAsia" w:ascii="宋体" w:hAnsi="宋体"/>
                <w:color w:val="auto"/>
                <w:szCs w:val="21"/>
                <w:highlight w:val="none"/>
                <w:u w:val="single"/>
              </w:rPr>
              <w:t xml:space="preserve"> / </w:t>
            </w:r>
            <w:r>
              <w:rPr>
                <w:rFonts w:hint="default"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3.6.1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是否允许递交备选投标方案</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eastAsia"/>
                <w:color w:val="auto"/>
                <w:sz w:val="21"/>
                <w:szCs w:val="21"/>
                <w:highlight w:val="none"/>
              </w:rPr>
              <w:t>■</w:t>
            </w:r>
            <w:r>
              <w:rPr>
                <w:rFonts w:hint="default" w:hAnsi="宋体"/>
                <w:color w:val="auto"/>
                <w:sz w:val="21"/>
                <w:szCs w:val="21"/>
                <w:highlight w:val="none"/>
              </w:rPr>
              <w:t>不允许</w:t>
            </w:r>
          </w:p>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sym w:font="Wingdings 2" w:char="00A3"/>
            </w:r>
            <w:r>
              <w:rPr>
                <w:rFonts w:hint="default" w:ascii="宋体" w:hAnsi="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3.7.3A（2）</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投标文件份数</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3.7.3A（3）</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投标文件是否需分册装订</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3.7.3（B）</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投标文件所附证书证件要求</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证书证件需为清晰扫描件，并采用单位数字证书，按照招标文件要求在相应位置加盖电子印章。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3.7.3（B）</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投标文件签字或盖章要求</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u w:val="single"/>
              </w:rPr>
            </w:pPr>
            <w:r>
              <w:rPr>
                <w:rFonts w:hint="eastAsia"/>
                <w:color w:val="auto"/>
                <w:sz w:val="21"/>
                <w:szCs w:val="21"/>
                <w:highlight w:val="none"/>
                <w:u w:val="single"/>
              </w:rPr>
              <w:t>投标文件全部采用电子文档，投标文件所附证书证件均为扫描件，并采用单位数字证书，按招标文件要求在相应位置加盖电子印章。投标文件中需个人签字或盖章的，应加盖个人电子印章或在线下完成后扫描上传。具体操作详见附件《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4.1.1（B）</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投标文件加密要求</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hAnsi="宋体"/>
                <w:color w:val="auto"/>
                <w:szCs w:val="21"/>
                <w:highlight w:val="none"/>
                <w:u w:val="single"/>
              </w:rPr>
            </w:pPr>
            <w:r>
              <w:rPr>
                <w:rFonts w:hint="eastAsia"/>
                <w:color w:val="auto"/>
                <w:sz w:val="21"/>
                <w:szCs w:val="21"/>
                <w:highlight w:val="none"/>
              </w:rPr>
              <w:t>网上递交的电子投标文件须进行加密。具体操作详见广州公共资源交易中心发布的最新版本《房屋建筑和市政基础设施工程全流程电子化项目专章》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4.1.2</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shd w:val="clear" w:color="FFFFFF" w:fill="D9D9D9"/>
              </w:rPr>
            </w:pPr>
            <w:r>
              <w:rPr>
                <w:rFonts w:hint="eastAsia" w:ascii="宋体" w:hAnsi="宋体"/>
                <w:color w:val="auto"/>
                <w:szCs w:val="21"/>
                <w:highlight w:val="none"/>
              </w:rPr>
              <w:t>投标文件的包封、密封和标志</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eastAsia" w:hAnsi="宋体"/>
                <w:color w:val="auto"/>
                <w:sz w:val="21"/>
                <w:szCs w:val="21"/>
                <w:highlight w:val="none"/>
              </w:rPr>
              <w:t>招标人名称：</w:t>
            </w:r>
          </w:p>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eastAsia" w:hAnsi="宋体"/>
                <w:color w:val="auto"/>
                <w:sz w:val="21"/>
                <w:szCs w:val="21"/>
                <w:highlight w:val="none"/>
              </w:rPr>
              <w:t>招标人地址：</w:t>
            </w:r>
          </w:p>
          <w:p>
            <w:pPr>
              <w:pStyle w:val="7"/>
              <w:keepNext w:val="0"/>
              <w:keepLines w:val="0"/>
              <w:suppressLineNumbers w:val="0"/>
              <w:topLinePunct/>
              <w:snapToGrid w:val="0"/>
              <w:spacing w:before="0" w:beforeAutospacing="0" w:after="0" w:afterAutospacing="0"/>
              <w:ind w:left="0" w:right="0"/>
              <w:rPr>
                <w:rFonts w:hint="eastAsia" w:hAnsi="宋体" w:eastAsia="宋体"/>
                <w:color w:val="auto"/>
                <w:sz w:val="21"/>
                <w:szCs w:val="21"/>
                <w:highlight w:val="none"/>
                <w:u w:val="single"/>
                <w:lang w:eastAsia="zh-CN"/>
              </w:rPr>
            </w:pPr>
            <w:r>
              <w:rPr>
                <w:rFonts w:hint="eastAsia" w:hAnsi="宋体"/>
                <w:color w:val="auto"/>
                <w:sz w:val="21"/>
                <w:szCs w:val="21"/>
                <w:highlight w:val="none"/>
                <w:u w:val="single"/>
                <w:lang w:eastAsia="zh-CN"/>
              </w:rPr>
              <w:t>佛山照明禅城总部厂区（中区、北区）地块土壤修复环境监理服务</w:t>
            </w:r>
          </w:p>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eastAsia" w:hAnsi="宋体"/>
                <w:color w:val="auto"/>
                <w:sz w:val="21"/>
                <w:szCs w:val="21"/>
                <w:highlight w:val="none"/>
              </w:rPr>
              <w:t xml:space="preserve">招标项目编号：              </w:t>
            </w:r>
          </w:p>
          <w:p>
            <w:pPr>
              <w:pStyle w:val="7"/>
              <w:keepNext w:val="0"/>
              <w:keepLines w:val="0"/>
              <w:suppressLineNumbers w:val="0"/>
              <w:topLinePunct/>
              <w:snapToGrid w:val="0"/>
              <w:spacing w:before="0" w:beforeAutospacing="0" w:after="0" w:afterAutospacing="0"/>
              <w:ind w:left="0" w:right="0"/>
              <w:rPr>
                <w:rFonts w:hint="default" w:hAnsi="宋体"/>
                <w:color w:val="auto"/>
                <w:szCs w:val="21"/>
                <w:highlight w:val="none"/>
              </w:rPr>
            </w:pPr>
            <w:r>
              <w:rPr>
                <w:rFonts w:hint="eastAsia" w:hAnsi="宋体"/>
                <w:color w:val="auto"/>
                <w:sz w:val="21"/>
                <w:szCs w:val="21"/>
                <w:highlight w:val="none"/>
              </w:rPr>
              <w:t>在</w:t>
            </w:r>
            <w:r>
              <w:rPr>
                <w:rFonts w:hint="default" w:hAnsi="宋体"/>
                <w:color w:val="auto"/>
                <w:sz w:val="21"/>
                <w:szCs w:val="21"/>
                <w:highlight w:val="none"/>
                <w:u w:val="single"/>
              </w:rPr>
              <w:t xml:space="preserve">   </w:t>
            </w:r>
            <w:r>
              <w:rPr>
                <w:rFonts w:hint="eastAsia" w:hAnsi="宋体"/>
                <w:color w:val="auto"/>
                <w:sz w:val="21"/>
                <w:szCs w:val="21"/>
                <w:highlight w:val="none"/>
                <w:u w:val="single"/>
              </w:rPr>
              <w:t>年</w:t>
            </w:r>
            <w:r>
              <w:rPr>
                <w:rFonts w:hint="default" w:hAnsi="宋体"/>
                <w:color w:val="auto"/>
                <w:sz w:val="21"/>
                <w:szCs w:val="21"/>
                <w:highlight w:val="none"/>
                <w:u w:val="single"/>
              </w:rPr>
              <w:t xml:space="preserve">   </w:t>
            </w:r>
            <w:r>
              <w:rPr>
                <w:rFonts w:hint="eastAsia" w:hAnsi="宋体"/>
                <w:color w:val="auto"/>
                <w:sz w:val="21"/>
                <w:szCs w:val="21"/>
                <w:highlight w:val="none"/>
                <w:u w:val="single"/>
              </w:rPr>
              <w:t>月</w:t>
            </w:r>
            <w:r>
              <w:rPr>
                <w:rFonts w:hint="default" w:hAnsi="宋体"/>
                <w:color w:val="auto"/>
                <w:sz w:val="21"/>
                <w:szCs w:val="21"/>
                <w:highlight w:val="none"/>
                <w:u w:val="single"/>
              </w:rPr>
              <w:t xml:space="preserve">   </w:t>
            </w:r>
            <w:r>
              <w:rPr>
                <w:rFonts w:hint="eastAsia" w:hAnsi="宋体"/>
                <w:color w:val="auto"/>
                <w:sz w:val="21"/>
                <w:szCs w:val="21"/>
                <w:highlight w:val="none"/>
                <w:u w:val="single"/>
              </w:rPr>
              <w:t>日  时</w:t>
            </w:r>
            <w:r>
              <w:rPr>
                <w:rFonts w:hint="eastAsia" w:hAnsi="宋体"/>
                <w:color w:val="auto"/>
                <w:sz w:val="21"/>
                <w:szCs w:val="21"/>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4.2.1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投标截止时间</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u w:val="single"/>
              </w:rPr>
              <w:t xml:space="preserve"> 20</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4</w:t>
            </w:r>
            <w:r>
              <w:rPr>
                <w:rFonts w:hint="default"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4.2.2（A）</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递交投标文件</w:t>
            </w:r>
            <w:r>
              <w:rPr>
                <w:rFonts w:hint="eastAsia" w:ascii="宋体" w:hAnsi="宋体"/>
                <w:color w:val="auto"/>
                <w:szCs w:val="21"/>
                <w:highlight w:val="none"/>
              </w:rPr>
              <w:t>时间和</w:t>
            </w:r>
            <w:r>
              <w:rPr>
                <w:rFonts w:hint="default" w:ascii="宋体" w:hAnsi="宋体"/>
                <w:color w:val="auto"/>
                <w:szCs w:val="21"/>
                <w:highlight w:val="none"/>
              </w:rPr>
              <w:t>地点</w:t>
            </w:r>
          </w:p>
        </w:tc>
        <w:tc>
          <w:tcPr>
            <w:tcW w:w="6863" w:type="dxa"/>
            <w:vAlign w:val="center"/>
          </w:tcPr>
          <w:p>
            <w:pPr>
              <w:keepNext w:val="0"/>
              <w:keepLines w:val="0"/>
              <w:numPr>
                <w:ilvl w:val="0"/>
                <w:numId w:val="1"/>
              </w:numPr>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递交方式：网上递交投标文件</w:t>
            </w:r>
          </w:p>
          <w:p>
            <w:pPr>
              <w:keepNext w:val="0"/>
              <w:keepLines w:val="0"/>
              <w:numPr>
                <w:ilvl w:val="0"/>
                <w:numId w:val="1"/>
              </w:numPr>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文件的递交截止时间：同投标截止时间。</w:t>
            </w:r>
          </w:p>
          <w:p>
            <w:pPr>
              <w:keepNext w:val="0"/>
              <w:keepLines w:val="0"/>
              <w:numPr>
                <w:ilvl w:val="0"/>
                <w:numId w:val="1"/>
              </w:numPr>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地点：广州公共资源交易中心网站</w:t>
            </w:r>
          </w:p>
          <w:p>
            <w:pPr>
              <w:keepNext w:val="0"/>
              <w:keepLines w:val="0"/>
              <w:numPr>
                <w:ilvl w:val="0"/>
                <w:numId w:val="1"/>
              </w:numPr>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s="宋体"/>
                <w:color w:val="auto"/>
                <w:szCs w:val="21"/>
                <w:highlight w:val="none"/>
                <w:u w:val="single"/>
              </w:rPr>
              <w:t>上述时间及地点是否有改变，请密切留意答疑澄清或补充公告（如有）中的相关信息，具体时间及场地安排请各投标人密切留意广州公共资源交易中心公布本项目的日程安排，投标人也可登录广州公共资源交易中心网站首页，点击“项目查询（日程安排、答疑纪要）”专栏中的“项目查询”，输入项目编号或项目名称查询最新信息</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4.2.3</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投标文件是否退还</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eastAsia"/>
                <w:color w:val="auto"/>
                <w:sz w:val="21"/>
                <w:szCs w:val="21"/>
                <w:highlight w:val="none"/>
              </w:rPr>
              <w:t>■</w:t>
            </w:r>
            <w:r>
              <w:rPr>
                <w:rFonts w:hint="default" w:hAnsi="宋体"/>
                <w:color w:val="auto"/>
                <w:sz w:val="21"/>
                <w:szCs w:val="21"/>
                <w:highlight w:val="none"/>
              </w:rPr>
              <w:t>否</w:t>
            </w:r>
          </w:p>
          <w:p>
            <w:pPr>
              <w:pStyle w:val="7"/>
              <w:keepNext w:val="0"/>
              <w:keepLines w:val="0"/>
              <w:suppressLineNumbers w:val="0"/>
              <w:topLinePunct/>
              <w:snapToGrid w:val="0"/>
              <w:spacing w:before="0" w:beforeAutospacing="0" w:after="0" w:afterAutospacing="0"/>
              <w:ind w:left="0" w:right="0"/>
              <w:rPr>
                <w:rFonts w:hint="default" w:hAnsi="宋体"/>
                <w:color w:val="auto"/>
                <w:sz w:val="21"/>
                <w:szCs w:val="21"/>
                <w:highlight w:val="none"/>
              </w:rPr>
            </w:pPr>
            <w:r>
              <w:rPr>
                <w:rFonts w:hint="default" w:hAnsi="宋体"/>
                <w:color w:val="auto"/>
                <w:sz w:val="21"/>
                <w:szCs w:val="21"/>
                <w:highlight w:val="none"/>
              </w:rPr>
              <w:sym w:font="Wingdings 2" w:char="00A3"/>
            </w:r>
            <w:r>
              <w:rPr>
                <w:rFonts w:hint="default" w:hAnsi="宋体"/>
                <w:color w:val="auto"/>
                <w:sz w:val="21"/>
                <w:szCs w:val="21"/>
                <w:highlight w:val="none"/>
              </w:rPr>
              <w:t>是，退还时间：</w:t>
            </w:r>
            <w:r>
              <w:rPr>
                <w:rFonts w:hint="eastAsia" w:hAnsi="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5.1（</w:t>
            </w:r>
            <w:r>
              <w:rPr>
                <w:rFonts w:hint="eastAsia" w:ascii="宋体" w:hAnsi="宋体"/>
                <w:color w:val="auto"/>
                <w:szCs w:val="21"/>
                <w:highlight w:val="none"/>
              </w:rPr>
              <w:t>B</w:t>
            </w:r>
            <w:r>
              <w:rPr>
                <w:rFonts w:hint="default" w:ascii="宋体" w:hAnsi="宋体"/>
                <w:color w:val="auto"/>
                <w:szCs w:val="21"/>
                <w:highlight w:val="none"/>
              </w:rPr>
              <w:t>）</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开标时间和地点</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本电子招投标项目在本章4.2.1项规定的投标截止时间（开标时间），在广州公共资源交易中心公开开标，开标时，投标人代表有权出席开标会，也可以自主决定不参加开标会，若投标人代表对开标过程提出异议，该投标人代表须同时出示本人身份证原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5.2（</w:t>
            </w:r>
            <w:r>
              <w:rPr>
                <w:rFonts w:hint="eastAsia" w:ascii="宋体" w:hAnsi="宋体"/>
                <w:color w:val="auto"/>
                <w:szCs w:val="21"/>
                <w:highlight w:val="none"/>
              </w:rPr>
              <w:t>B</w:t>
            </w:r>
            <w:r>
              <w:rPr>
                <w:rFonts w:hint="default" w:ascii="宋体" w:hAnsi="宋体"/>
                <w:color w:val="auto"/>
                <w:szCs w:val="21"/>
                <w:highlight w:val="none"/>
              </w:rPr>
              <w:t>）</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开标程序</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电子招投标项目开标按下列程序进行：</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5.2.1</w:t>
            </w:r>
            <w:r>
              <w:rPr>
                <w:rFonts w:hint="eastAsia"/>
                <w:color w:val="auto"/>
                <w:sz w:val="21"/>
                <w:szCs w:val="21"/>
                <w:highlight w:val="none"/>
              </w:rPr>
              <w:t>主持人按下列程序进行开标：</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1</w:t>
            </w:r>
            <w:r>
              <w:rPr>
                <w:rFonts w:hint="eastAsia"/>
                <w:color w:val="auto"/>
                <w:sz w:val="21"/>
                <w:szCs w:val="21"/>
                <w:highlight w:val="none"/>
              </w:rPr>
              <w:t>）宣布开标纪律；</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2</w:t>
            </w:r>
            <w:r>
              <w:rPr>
                <w:rFonts w:hint="eastAsia"/>
                <w:color w:val="auto"/>
                <w:sz w:val="21"/>
                <w:szCs w:val="21"/>
                <w:highlight w:val="none"/>
              </w:rPr>
              <w:t>）公布在投标截止时间前递交投标文件的投标人名称；</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3</w:t>
            </w:r>
            <w:r>
              <w:rPr>
                <w:rFonts w:hint="eastAsia"/>
                <w:color w:val="auto"/>
                <w:sz w:val="21"/>
                <w:szCs w:val="21"/>
                <w:highlight w:val="none"/>
              </w:rPr>
              <w:t>）宣布开标人、唱标人、记录人、监标人等有关人员姓名；</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4</w:t>
            </w:r>
            <w:r>
              <w:rPr>
                <w:rFonts w:hint="eastAsia"/>
                <w:color w:val="auto"/>
                <w:sz w:val="21"/>
                <w:szCs w:val="21"/>
                <w:highlight w:val="none"/>
              </w:rPr>
              <w:t>）（</w:t>
            </w:r>
            <w:r>
              <w:rPr>
                <w:rFonts w:hint="default"/>
                <w:color w:val="auto"/>
                <w:sz w:val="21"/>
                <w:szCs w:val="21"/>
                <w:highlight w:val="none"/>
              </w:rPr>
              <w:t>B</w:t>
            </w:r>
            <w:r>
              <w:rPr>
                <w:rFonts w:hint="eastAsia"/>
                <w:color w:val="auto"/>
                <w:sz w:val="21"/>
                <w:szCs w:val="21"/>
                <w:highlight w:val="none"/>
              </w:rPr>
              <w:t>）投标人通过电子招标投标交易平台对已递交的电子投标文件进行解密，公布招标项目名称、投标人名称、投标保证金的递交情况、投标报价、监理服务期限及其他内容，并记录在案；</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5</w:t>
            </w:r>
            <w:r>
              <w:rPr>
                <w:rFonts w:hint="eastAsia"/>
                <w:color w:val="auto"/>
                <w:sz w:val="21"/>
                <w:szCs w:val="21"/>
                <w:highlight w:val="none"/>
              </w:rPr>
              <w:t>）</w:t>
            </w:r>
            <w:r>
              <w:rPr>
                <w:rFonts w:hint="eastAsia" w:ascii="宋体" w:hAnsi="Calibri" w:cs="Times New Roman"/>
                <w:strike w:val="0"/>
                <w:color w:val="auto"/>
                <w:sz w:val="21"/>
                <w:szCs w:val="21"/>
                <w:highlight w:val="none"/>
              </w:rPr>
              <w:t>（B）投标人代表、招标人代表、监标人、记录人等有关人员使用本人的电子印章在开标记录上签字确认</w:t>
            </w:r>
            <w:r>
              <w:rPr>
                <w:rFonts w:hint="eastAsia"/>
                <w:color w:val="auto"/>
                <w:sz w:val="21"/>
                <w:szCs w:val="21"/>
                <w:highlight w:val="none"/>
              </w:rPr>
              <w:t>；若有关人员不签字的，不影响开标程序；</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6</w:t>
            </w:r>
            <w:r>
              <w:rPr>
                <w:rFonts w:hint="eastAsia"/>
                <w:color w:val="auto"/>
                <w:sz w:val="21"/>
                <w:szCs w:val="21"/>
                <w:highlight w:val="none"/>
              </w:rPr>
              <w:t>）开标结束。</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5.2.2</w:t>
            </w:r>
            <w:r>
              <w:rPr>
                <w:rFonts w:hint="eastAsia"/>
                <w:color w:val="auto"/>
                <w:sz w:val="21"/>
                <w:szCs w:val="21"/>
                <w:highlight w:val="none"/>
              </w:rPr>
              <w:t>投标截止时间前未完成投标文件传输的或因投标人之外的原因造成投标文件未解密的，视为投标人其撤回投标文件。因投标人原因造成投标文件未解密的或未在投标截止时间后半小时解密的，视为撤销其投标文件。</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5.2.3</w:t>
            </w:r>
            <w:r>
              <w:rPr>
                <w:rFonts w:hint="eastAsia"/>
                <w:color w:val="auto"/>
                <w:sz w:val="21"/>
                <w:szCs w:val="21"/>
                <w:highlight w:val="none"/>
              </w:rPr>
              <w:t>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6.1.1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评标委员会的组建</w:t>
            </w:r>
          </w:p>
        </w:tc>
        <w:tc>
          <w:tcPr>
            <w:tcW w:w="6863" w:type="dxa"/>
            <w:vAlign w:val="center"/>
          </w:tcPr>
          <w:p>
            <w:pPr>
              <w:keepNext w:val="0"/>
              <w:keepLines w:val="0"/>
              <w:suppressLineNumbers w:val="0"/>
              <w:snapToGrid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依法组建</w:t>
            </w:r>
            <w:r>
              <w:rPr>
                <w:rFonts w:hint="default" w:ascii="宋体" w:hAnsi="宋体"/>
                <w:color w:val="auto"/>
                <w:szCs w:val="21"/>
                <w:highlight w:val="none"/>
              </w:rPr>
              <w:t>评标委员会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6.3.2</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评标委员会推荐中标候选人的人数</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7.1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中标候选人公示媒介及期限</w:t>
            </w:r>
          </w:p>
        </w:tc>
        <w:tc>
          <w:tcPr>
            <w:tcW w:w="6863" w:type="dxa"/>
            <w:vAlign w:val="center"/>
          </w:tcPr>
          <w:p>
            <w:pPr>
              <w:keepNext w:val="0"/>
              <w:keepLines w:val="0"/>
              <w:suppressLineNumbers w:val="0"/>
              <w:snapToGrid w:val="0"/>
              <w:spacing w:before="0" w:beforeAutospacing="0" w:after="0" w:afterAutospacing="0"/>
              <w:ind w:left="108" w:right="106"/>
              <w:rPr>
                <w:rFonts w:hint="eastAsia" w:ascii="宋体" w:hAnsi="宋体" w:eastAsia="宋体"/>
                <w:color w:val="auto"/>
                <w:szCs w:val="21"/>
                <w:highlight w:val="none"/>
                <w:u w:val="single"/>
                <w:lang w:eastAsia="zh-CN"/>
              </w:rPr>
            </w:pPr>
            <w:r>
              <w:rPr>
                <w:rFonts w:hint="default" w:ascii="宋体" w:hAnsi="宋体"/>
                <w:color w:val="auto"/>
                <w:szCs w:val="21"/>
                <w:highlight w:val="none"/>
              </w:rPr>
              <w:t>公示媒介：</w:t>
            </w:r>
            <w:r>
              <w:rPr>
                <w:rFonts w:hint="eastAsia" w:ascii="宋体" w:hAnsi="宋体"/>
                <w:bCs/>
                <w:color w:val="auto"/>
                <w:szCs w:val="21"/>
                <w:highlight w:val="none"/>
                <w:u w:val="single"/>
              </w:rPr>
              <w:t>中国招标投标公共服务平台</w:t>
            </w:r>
            <w:r>
              <w:rPr>
                <w:rFonts w:hint="eastAsia" w:ascii="宋体" w:hAnsi="宋体"/>
                <w:bCs/>
                <w:color w:val="auto"/>
                <w:szCs w:val="21"/>
                <w:highlight w:val="none"/>
                <w:u w:val="single"/>
                <w:lang w:eastAsia="zh-CN"/>
              </w:rPr>
              <w:t>、</w:t>
            </w:r>
            <w:r>
              <w:rPr>
                <w:rFonts w:hint="eastAsia" w:ascii="宋体" w:hAnsi="宋体"/>
                <w:color w:val="auto"/>
                <w:szCs w:val="21"/>
                <w:highlight w:val="none"/>
                <w:u w:val="single"/>
              </w:rPr>
              <w:t>广州公共资源交易中心网站、广东省机电设备招标中心有限公司</w:t>
            </w:r>
            <w:r>
              <w:rPr>
                <w:rFonts w:hint="eastAsia" w:ascii="宋体" w:hAnsi="宋体"/>
                <w:color w:val="auto"/>
                <w:szCs w:val="21"/>
                <w:highlight w:val="none"/>
                <w:u w:val="single"/>
                <w:lang w:eastAsia="zh-CN"/>
              </w:rPr>
              <w:t>网站</w:t>
            </w:r>
            <w:r>
              <w:rPr>
                <w:rFonts w:hint="eastAsia" w:ascii="宋体" w:hAnsi="宋体"/>
                <w:color w:val="auto"/>
                <w:szCs w:val="21"/>
                <w:highlight w:val="none"/>
                <w:u w:val="single"/>
              </w:rPr>
              <w:t>、粤采易阳光采购平台</w:t>
            </w:r>
            <w:r>
              <w:rPr>
                <w:rFonts w:hint="eastAsia" w:ascii="宋体" w:hAnsi="宋体"/>
                <w:color w:val="auto"/>
                <w:szCs w:val="21"/>
                <w:highlight w:val="none"/>
                <w:u w:val="single"/>
                <w:lang w:eastAsia="zh-CN"/>
              </w:rPr>
              <w:t>、佛山电器照明股份有限公司官网</w:t>
            </w:r>
          </w:p>
          <w:p>
            <w:pPr>
              <w:keepNext w:val="0"/>
              <w:keepLines w:val="0"/>
              <w:suppressLineNumbers w:val="0"/>
              <w:snapToGrid w:val="0"/>
              <w:spacing w:before="0" w:beforeAutospacing="0" w:after="0" w:afterAutospacing="0"/>
              <w:ind w:left="108" w:right="106"/>
              <w:rPr>
                <w:rFonts w:hint="default" w:ascii="宋体" w:hAnsi="宋体"/>
                <w:color w:val="auto"/>
                <w:szCs w:val="21"/>
                <w:highlight w:val="none"/>
              </w:rPr>
            </w:pPr>
            <w:r>
              <w:rPr>
                <w:rFonts w:hint="default" w:ascii="宋体" w:hAnsi="宋体"/>
                <w:color w:val="auto"/>
                <w:szCs w:val="21"/>
                <w:highlight w:val="none"/>
              </w:rPr>
              <w:t>公示期限：</w:t>
            </w:r>
            <w:r>
              <w:rPr>
                <w:rFonts w:hint="eastAsia" w:ascii="宋体" w:hAnsi="宋体"/>
                <w:color w:val="auto"/>
                <w:szCs w:val="21"/>
                <w:highlight w:val="none"/>
                <w:u w:val="single"/>
              </w:rPr>
              <w:t>3</w:t>
            </w:r>
            <w:r>
              <w:rPr>
                <w:rFonts w:hint="default" w:ascii="宋体" w:hAnsi="宋体"/>
                <w:color w:val="auto"/>
                <w:szCs w:val="21"/>
                <w:highlight w:val="none"/>
              </w:rPr>
              <w:t>日</w:t>
            </w:r>
            <w:r>
              <w:rPr>
                <w:rFonts w:hint="eastAsia" w:ascii="宋体" w:hAnsi="宋体"/>
                <w:color w:val="auto"/>
                <w:szCs w:val="21"/>
                <w:highlight w:val="none"/>
              </w:rPr>
              <w:t>（最后一天为工作天）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7.4</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是否授权评标委员会确定中标人</w:t>
            </w:r>
          </w:p>
        </w:tc>
        <w:tc>
          <w:tcPr>
            <w:tcW w:w="6863" w:type="dxa"/>
            <w:vAlign w:val="center"/>
          </w:tcPr>
          <w:p>
            <w:pPr>
              <w:keepNext w:val="0"/>
              <w:keepLines w:val="0"/>
              <w:suppressLineNumbers w:val="0"/>
              <w:snapToGrid w:val="0"/>
              <w:spacing w:before="0" w:beforeAutospacing="0" w:after="0" w:afterAutospacing="0"/>
              <w:ind w:left="108" w:right="106"/>
              <w:rPr>
                <w:rFonts w:hint="default"/>
                <w:color w:val="auto"/>
                <w:highlight w:val="none"/>
              </w:rPr>
            </w:pPr>
            <w:r>
              <w:rPr>
                <w:rFonts w:hint="default"/>
                <w:color w:val="auto"/>
                <w:highlight w:val="none"/>
              </w:rPr>
              <w:sym w:font="Wingdings 2" w:char="00A3"/>
            </w:r>
            <w:r>
              <w:rPr>
                <w:rFonts w:hint="default"/>
                <w:color w:val="auto"/>
                <w:highlight w:val="none"/>
              </w:rPr>
              <w:t>是</w:t>
            </w:r>
          </w:p>
          <w:p>
            <w:pPr>
              <w:keepNext w:val="0"/>
              <w:keepLines w:val="0"/>
              <w:suppressLineNumbers w:val="0"/>
              <w:snapToGrid w:val="0"/>
              <w:spacing w:before="0" w:beforeAutospacing="0" w:after="0" w:afterAutospacing="0"/>
              <w:ind w:left="108" w:right="106"/>
              <w:rPr>
                <w:rFonts w:hint="default"/>
                <w:color w:val="auto"/>
                <w:highlight w:val="none"/>
              </w:rPr>
            </w:pPr>
            <w:r>
              <w:rPr>
                <w:rFonts w:hint="eastAsia"/>
                <w:color w:val="auto"/>
                <w:highlight w:val="none"/>
              </w:rPr>
              <w:t>■</w:t>
            </w:r>
            <w:r>
              <w:rPr>
                <w:rFonts w:hint="default"/>
                <w:color w:val="auto"/>
                <w:highlight w:val="none"/>
              </w:rPr>
              <w:t>否</w:t>
            </w:r>
          </w:p>
          <w:p>
            <w:pPr>
              <w:keepNext w:val="0"/>
              <w:keepLines w:val="0"/>
              <w:suppressLineNumbers w:val="0"/>
              <w:snapToGrid w:val="0"/>
              <w:spacing w:before="0" w:beforeAutospacing="0" w:after="0" w:afterAutospacing="0"/>
              <w:ind w:left="108" w:right="106"/>
              <w:rPr>
                <w:rFonts w:hint="default" w:ascii="宋体" w:hAnsi="宋体"/>
                <w:color w:val="auto"/>
                <w:szCs w:val="21"/>
                <w:highlight w:val="none"/>
              </w:rPr>
            </w:pPr>
            <w:r>
              <w:rPr>
                <w:rFonts w:hint="eastAsia" w:ascii="宋体" w:hAnsi="宋体"/>
                <w:color w:val="auto"/>
                <w:szCs w:val="21"/>
                <w:highlight w:val="none"/>
              </w:rPr>
              <w:t>1、</w:t>
            </w:r>
            <w:r>
              <w:rPr>
                <w:rFonts w:hint="default" w:ascii="宋体" w:hAnsi="宋体"/>
                <w:color w:val="auto"/>
                <w:szCs w:val="21"/>
                <w:highlight w:val="none"/>
              </w:rPr>
              <w:t>招标人依据评标委员会推荐的中标候选人确定中标人。</w:t>
            </w:r>
          </w:p>
          <w:p>
            <w:pPr>
              <w:keepNext w:val="0"/>
              <w:keepLines w:val="0"/>
              <w:suppressLineNumbers w:val="0"/>
              <w:snapToGrid w:val="0"/>
              <w:spacing w:before="0" w:beforeAutospacing="0" w:after="0" w:afterAutospacing="0"/>
              <w:ind w:left="108" w:right="106"/>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依法必须进行公开招标的项目，招标人确定排名第一的中标候选人为中标人。</w:t>
            </w:r>
          </w:p>
          <w:p>
            <w:pPr>
              <w:keepNext w:val="0"/>
              <w:keepLines w:val="0"/>
              <w:suppressLineNumbers w:val="0"/>
              <w:snapToGrid w:val="0"/>
              <w:spacing w:before="0" w:beforeAutospacing="0" w:after="0" w:afterAutospacing="0"/>
              <w:ind w:left="108" w:right="106"/>
              <w:rPr>
                <w:rFonts w:hint="default"/>
                <w:color w:val="auto"/>
                <w:highlight w:val="none"/>
              </w:rPr>
            </w:pPr>
            <w:r>
              <w:rPr>
                <w:rFonts w:hint="eastAsia" w:ascii="宋体" w:hAnsi="宋体"/>
                <w:color w:val="auto"/>
                <w:szCs w:val="21"/>
                <w:highlight w:val="none"/>
              </w:rPr>
              <w:t>3、</w:t>
            </w:r>
            <w:r>
              <w:rPr>
                <w:rFonts w:hint="default" w:ascii="宋体" w:hAnsi="宋体"/>
                <w:color w:val="auto"/>
                <w:szCs w:val="21"/>
                <w:highlight w:val="none"/>
              </w:rPr>
              <w:t>排名第一的中标候选人放弃中标、或被取消中标资格，或因不可抗力提出不能履行合同，或者招标文件规定应当提交履约担保而在规定的期限内未能提交的，或经核查发现委派的总监理工程师不符合任职数量规定的，招标人可以按照中标候选人顺序依次上升替补定标，以此类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7.6.1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履约保证金</w:t>
            </w:r>
          </w:p>
        </w:tc>
        <w:tc>
          <w:tcPr>
            <w:tcW w:w="6863" w:type="dxa"/>
            <w:vAlign w:val="center"/>
          </w:tcPr>
          <w:p>
            <w:pPr>
              <w:keepNext w:val="0"/>
              <w:keepLines w:val="0"/>
              <w:widowControl/>
              <w:suppressLineNumbers w:val="0"/>
              <w:snapToGrid w:val="0"/>
              <w:spacing w:before="0" w:beforeAutospacing="0" w:after="0" w:afterAutospacing="0" w:line="240" w:lineRule="auto"/>
              <w:ind w:left="108" w:right="106"/>
              <w:rPr>
                <w:rFonts w:hint="default" w:ascii="宋体" w:hAnsi="宋体"/>
                <w:color w:val="auto"/>
                <w:kern w:val="2"/>
                <w:szCs w:val="21"/>
                <w:highlight w:val="none"/>
              </w:rPr>
            </w:pPr>
            <w:r>
              <w:rPr>
                <w:rFonts w:hint="default" w:ascii="宋体" w:hAnsi="宋体"/>
                <w:color w:val="auto"/>
                <w:kern w:val="2"/>
                <w:szCs w:val="21"/>
                <w:highlight w:val="none"/>
              </w:rPr>
              <w:t>履约担保的形式：</w:t>
            </w:r>
            <w:r>
              <w:rPr>
                <w:rFonts w:hint="default" w:ascii="宋体" w:hAnsi="宋体"/>
                <w:color w:val="auto"/>
                <w:kern w:val="2"/>
                <w:szCs w:val="21"/>
                <w:highlight w:val="none"/>
                <w:u w:val="none"/>
              </w:rPr>
              <w:t>以合同约定为准。</w:t>
            </w:r>
          </w:p>
          <w:p>
            <w:pPr>
              <w:keepNext w:val="0"/>
              <w:keepLines w:val="0"/>
              <w:suppressLineNumbers w:val="0"/>
              <w:topLinePunct/>
              <w:snapToGrid w:val="0"/>
              <w:spacing w:before="0" w:beforeAutospacing="0" w:after="0" w:afterAutospacing="0"/>
              <w:ind w:left="108" w:right="106"/>
              <w:rPr>
                <w:rFonts w:hint="default" w:hAnsi="宋体"/>
                <w:color w:val="auto"/>
                <w:sz w:val="21"/>
                <w:szCs w:val="21"/>
                <w:highlight w:val="none"/>
              </w:rPr>
            </w:pPr>
            <w:r>
              <w:rPr>
                <w:rFonts w:hint="default" w:ascii="宋体" w:hAnsi="宋体" w:eastAsia="宋体"/>
                <w:color w:val="auto"/>
                <w:kern w:val="2"/>
                <w:szCs w:val="21"/>
                <w:highlight w:val="none"/>
              </w:rPr>
              <w:t>履约担保的金额：</w:t>
            </w:r>
            <w:r>
              <w:rPr>
                <w:rFonts w:hint="default" w:ascii="宋体" w:hAnsi="宋体" w:eastAsia="宋体"/>
                <w:color w:val="auto"/>
                <w:kern w:val="2"/>
                <w:szCs w:val="21"/>
                <w:highlight w:val="none"/>
                <w:u w:val="none"/>
              </w:rPr>
              <w:t>中标人提供的履约担保为中标</w:t>
            </w:r>
            <w:r>
              <w:rPr>
                <w:rFonts w:hint="eastAsia" w:ascii="宋体" w:hAnsi="宋体" w:eastAsia="宋体"/>
                <w:color w:val="auto"/>
                <w:kern w:val="2"/>
                <w:szCs w:val="21"/>
                <w:highlight w:val="none"/>
                <w:u w:val="none"/>
                <w:lang w:eastAsia="zh-CN"/>
              </w:rPr>
              <w:t>合同金额</w:t>
            </w:r>
            <w:r>
              <w:rPr>
                <w:rFonts w:hint="default" w:ascii="宋体" w:hAnsi="宋体" w:eastAsia="宋体"/>
                <w:color w:val="auto"/>
                <w:kern w:val="2"/>
                <w:szCs w:val="21"/>
                <w:highlight w:val="none"/>
                <w:u w:val="none"/>
              </w:rPr>
              <w:t>的10%。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9</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是否采用电子招标投标</w:t>
            </w:r>
          </w:p>
        </w:tc>
        <w:tc>
          <w:tcPr>
            <w:tcW w:w="6863" w:type="dxa"/>
            <w:vAlign w:val="center"/>
          </w:tcPr>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rPr>
              <w:t>否</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■是，具体要求：1、具体操作详见广州公共资源交易中心发布的最新版本《房屋建筑和市政基础设施工程全流程电子化项目专章》。</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2、提交投标文件光盘备用</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投标人将按广州公共资源交易中心发布的最新版本《房屋建筑和市政基础设施工程全流程电子化项目专章》的操作方法制作的非加密的电子投标文件刻入光盘（1份），在</w:t>
            </w:r>
            <w:r>
              <w:rPr>
                <w:rFonts w:hint="eastAsia"/>
                <w:b/>
                <w:bCs/>
                <w:color w:val="auto"/>
                <w:sz w:val="21"/>
                <w:szCs w:val="21"/>
                <w:highlight w:val="none"/>
              </w:rPr>
              <w:t>开标现场（投标截止时间前15分钟）</w:t>
            </w:r>
            <w:r>
              <w:rPr>
                <w:rFonts w:hint="eastAsia"/>
                <w:color w:val="auto"/>
                <w:sz w:val="21"/>
                <w:szCs w:val="21"/>
                <w:highlight w:val="none"/>
              </w:rPr>
              <w:t>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 xml:space="preserve">     3、补救方案</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（1）投标文件解密失败的补救方案：</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（2）评标时突发情况的补救方案</w:t>
            </w:r>
          </w:p>
          <w:p>
            <w:pPr>
              <w:pStyle w:val="7"/>
              <w:keepNext w:val="0"/>
              <w:keepLines w:val="0"/>
              <w:suppressLineNumbers w:val="0"/>
              <w:topLinePunct/>
              <w:snapToGrid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若遇不可抗力发生（如：网络瘫痪、服务器损坏、交易系统故障短期无法恢复等因素），由评标委员会开启现场递交的全部投标文件光盘，并按光盘内容进行评审。</w:t>
            </w:r>
          </w:p>
          <w:p>
            <w:pPr>
              <w:pStyle w:val="7"/>
              <w:keepNext w:val="0"/>
              <w:keepLines w:val="0"/>
              <w:suppressLineNumbers w:val="0"/>
              <w:topLinePunct/>
              <w:snapToGrid w:val="0"/>
              <w:spacing w:before="0" w:beforeAutospacing="0" w:after="0" w:afterAutospacing="0"/>
              <w:ind w:left="0" w:right="0"/>
              <w:rPr>
                <w:rFonts w:hint="default" w:hAnsi="宋体"/>
                <w:color w:val="auto"/>
                <w:szCs w:val="21"/>
                <w:highlight w:val="none"/>
              </w:rPr>
            </w:pPr>
            <w:r>
              <w:rPr>
                <w:rFonts w:hint="eastAsia"/>
                <w:color w:val="auto"/>
                <w:sz w:val="21"/>
                <w:szCs w:val="21"/>
                <w:highlight w:val="non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10</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需要补充的其他内容</w:t>
            </w:r>
          </w:p>
        </w:tc>
        <w:tc>
          <w:tcPr>
            <w:tcW w:w="6863"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10.1</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其他费用</w:t>
            </w:r>
          </w:p>
        </w:tc>
        <w:tc>
          <w:tcPr>
            <w:tcW w:w="6863" w:type="dxa"/>
            <w:vAlign w:val="center"/>
          </w:tcPr>
          <w:p>
            <w:pPr>
              <w:keepNext w:val="0"/>
              <w:keepLines w:val="0"/>
              <w:suppressLineNumbers w:val="0"/>
              <w:snapToGrid w:val="0"/>
              <w:spacing w:before="0" w:beforeAutospacing="0" w:after="0" w:afterAutospacing="0"/>
              <w:ind w:left="0" w:right="0"/>
              <w:jc w:val="left"/>
              <w:rPr>
                <w:rFonts w:hint="default"/>
                <w:color w:val="auto"/>
                <w:highlight w:val="none"/>
                <w:lang w:eastAsia="zh-CN"/>
              </w:rPr>
            </w:pPr>
            <w:r>
              <w:rPr>
                <w:rFonts w:hint="eastAsia"/>
                <w:color w:val="auto"/>
                <w:highlight w:val="none"/>
              </w:rPr>
              <w:t>公共资源交易服务费：</w:t>
            </w:r>
            <w:r>
              <w:rPr>
                <w:rFonts w:hint="eastAsia"/>
                <w:color w:val="auto"/>
                <w:highlight w:val="none"/>
                <w:lang w:val="en-US" w:eastAsia="zh-CN"/>
              </w:rPr>
              <w:t>中标人</w:t>
            </w:r>
            <w:r>
              <w:rPr>
                <w:rFonts w:hint="eastAsia"/>
                <w:color w:val="auto"/>
                <w:highlight w:val="none"/>
              </w:rPr>
              <w:t>向</w:t>
            </w:r>
            <w:r>
              <w:rPr>
                <w:rFonts w:hint="eastAsia"/>
                <w:color w:val="auto"/>
                <w:highlight w:val="none"/>
                <w:lang w:eastAsia="zh-CN"/>
              </w:rPr>
              <w:t>广州公共资源</w:t>
            </w:r>
            <w:r>
              <w:rPr>
                <w:rFonts w:hint="eastAsia"/>
                <w:color w:val="auto"/>
                <w:highlight w:val="none"/>
              </w:rPr>
              <w:t>交易中心一次性足额缴纳交易服务费</w:t>
            </w:r>
            <w:r>
              <w:rPr>
                <w:rFonts w:hint="eastAsia"/>
                <w:color w:val="auto"/>
                <w:highlight w:val="none"/>
                <w:lang w:eastAsia="zh-CN"/>
              </w:rPr>
              <w:t>，</w:t>
            </w:r>
            <w:r>
              <w:rPr>
                <w:rFonts w:hint="eastAsia"/>
                <w:color w:val="auto"/>
                <w:highlight w:val="none"/>
                <w:lang w:val="en-US" w:eastAsia="zh-CN"/>
              </w:rPr>
              <w:t>服务费标准详见广州交易集团有限公司（广州公共资源交易中心）服务指南《关于公共资源交易服务费标准及相关指引的说明》</w:t>
            </w:r>
            <w:r>
              <w:rPr>
                <w:rFonts w:hint="eastAsia"/>
                <w:color w:val="auto"/>
                <w:highlight w:val="none"/>
                <w:lang w:eastAsia="zh-CN"/>
              </w:rPr>
              <w:t>。</w:t>
            </w:r>
          </w:p>
          <w:p>
            <w:pPr>
              <w:pStyle w:val="17"/>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招标代理服务费：中标人在领取中标通知书时一次性向招标代理机构支付招标代理服务费。招标代理服务费参照《国家发展改革委关于降低部分建设项目收费标准规范收费行为等有关问题的通知》(发改价格[2011]534 号)和国家计委关于《招标代理服务收费管理暂行办法》(计价格[2002]1980号)规定的收费标准下浮10%执行，取费基数按照本次中标金额为准。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bookmarkStart w:id="18" w:name="_Hlk136175204"/>
            <w:r>
              <w:rPr>
                <w:rFonts w:hint="eastAsia" w:ascii="宋体" w:hAnsi="宋体"/>
                <w:color w:val="auto"/>
                <w:szCs w:val="21"/>
                <w:highlight w:val="none"/>
              </w:rPr>
              <w:t>10.2</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潜在投标人或利害关系人对本招标公告及招标文件内容异议的，向招标人书面提出。</w:t>
            </w:r>
          </w:p>
        </w:tc>
        <w:tc>
          <w:tcPr>
            <w:tcW w:w="6863" w:type="dxa"/>
            <w:vAlign w:val="center"/>
          </w:tcPr>
          <w:p>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异议受理部门：佛山电器照明股份有限公司</w:t>
            </w:r>
          </w:p>
          <w:p>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地址：佛山市禅城区</w:t>
            </w:r>
            <w:r>
              <w:rPr>
                <w:rFonts w:hint="eastAsia" w:ascii="宋体" w:hAnsi="宋体"/>
                <w:color w:val="auto"/>
                <w:szCs w:val="21"/>
                <w:highlight w:val="none"/>
                <w:lang w:eastAsia="zh-CN"/>
              </w:rPr>
              <w:t>智慧</w:t>
            </w:r>
            <w:r>
              <w:rPr>
                <w:rFonts w:hint="eastAsia" w:ascii="宋体" w:hAnsi="宋体"/>
                <w:color w:val="auto"/>
                <w:szCs w:val="21"/>
                <w:highlight w:val="none"/>
              </w:rPr>
              <w:t>路</w:t>
            </w:r>
            <w:r>
              <w:rPr>
                <w:rFonts w:hint="eastAsia" w:ascii="宋体" w:hAnsi="宋体"/>
                <w:color w:val="auto"/>
                <w:szCs w:val="21"/>
                <w:highlight w:val="none"/>
                <w:lang w:val="en-US" w:eastAsia="zh-CN"/>
              </w:rPr>
              <w:t>8号</w:t>
            </w:r>
            <w:r>
              <w:rPr>
                <w:rFonts w:hint="eastAsia" w:ascii="宋体" w:hAnsi="宋体"/>
                <w:color w:val="auto"/>
                <w:szCs w:val="21"/>
                <w:highlight w:val="none"/>
              </w:rPr>
              <w:t xml:space="preserve"> </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u w:val="single"/>
              </w:rPr>
            </w:pPr>
            <w:r>
              <w:rPr>
                <w:rFonts w:hint="eastAsia" w:ascii="宋体" w:hAnsi="宋体"/>
                <w:color w:val="auto"/>
                <w:szCs w:val="21"/>
                <w:highlight w:val="none"/>
              </w:rPr>
              <w:t>电话：0757-82966037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10.3</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招标监督机构</w:t>
            </w:r>
          </w:p>
        </w:tc>
        <w:tc>
          <w:tcPr>
            <w:tcW w:w="6863" w:type="dxa"/>
            <w:vAlign w:val="center"/>
          </w:tcPr>
          <w:p>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招标监督机构：佛山电器照明股份有限公司</w:t>
            </w:r>
          </w:p>
          <w:p>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地址：佛山市禅城区</w:t>
            </w:r>
            <w:r>
              <w:rPr>
                <w:rFonts w:hint="eastAsia" w:ascii="宋体" w:hAnsi="宋体"/>
                <w:color w:val="auto"/>
                <w:szCs w:val="21"/>
                <w:highlight w:val="none"/>
                <w:lang w:eastAsia="zh-CN"/>
              </w:rPr>
              <w:t>智慧</w:t>
            </w:r>
            <w:r>
              <w:rPr>
                <w:rFonts w:hint="eastAsia" w:ascii="宋体" w:hAnsi="宋体"/>
                <w:color w:val="auto"/>
                <w:szCs w:val="21"/>
                <w:highlight w:val="none"/>
              </w:rPr>
              <w:t>路</w:t>
            </w:r>
            <w:r>
              <w:rPr>
                <w:rFonts w:hint="eastAsia" w:ascii="宋体" w:hAnsi="宋体"/>
                <w:color w:val="auto"/>
                <w:szCs w:val="21"/>
                <w:highlight w:val="none"/>
                <w:lang w:val="en-US" w:eastAsia="zh-CN"/>
              </w:rPr>
              <w:t>8号</w:t>
            </w:r>
          </w:p>
          <w:p>
            <w:pPr>
              <w:keepNext w:val="0"/>
              <w:keepLines w:val="0"/>
              <w:suppressLineNumbers w:val="0"/>
              <w:snapToGrid w:val="0"/>
              <w:spacing w:before="0" w:beforeAutospacing="0" w:after="0" w:afterAutospacing="0"/>
              <w:ind w:left="0" w:right="0"/>
              <w:jc w:val="left"/>
              <w:rPr>
                <w:rFonts w:hint="default" w:ascii="宋体" w:hAnsi="宋体" w:eastAsia="宋体" w:cs="宋体"/>
                <w:color w:val="auto"/>
                <w:kern w:val="0"/>
                <w:szCs w:val="21"/>
                <w:highlight w:val="none"/>
                <w:lang w:val="en-US" w:eastAsia="zh-CN"/>
              </w:rPr>
            </w:pPr>
            <w:r>
              <w:rPr>
                <w:rFonts w:hint="eastAsia" w:ascii="宋体" w:hAnsi="宋体"/>
                <w:color w:val="auto"/>
                <w:szCs w:val="21"/>
                <w:highlight w:val="none"/>
              </w:rPr>
              <w:t>监督电话：0757-829660</w:t>
            </w:r>
            <w:r>
              <w:rPr>
                <w:rFonts w:hint="eastAsia" w:ascii="宋体" w:hAnsi="宋体"/>
                <w:color w:val="auto"/>
                <w:szCs w:val="21"/>
                <w:highlight w:val="none"/>
                <w:lang w:val="en-US" w:eastAsia="zh-CN"/>
              </w:rPr>
              <w:t>23</w:t>
            </w:r>
          </w:p>
        </w:tc>
      </w:tr>
      <w:bookmarkEnd w:id="18"/>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10.4</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资格审查方式</w:t>
            </w:r>
          </w:p>
        </w:tc>
        <w:tc>
          <w:tcPr>
            <w:tcW w:w="6863" w:type="dxa"/>
            <w:vAlign w:val="center"/>
          </w:tcPr>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1）本项目采用资格后审方式，满足资格审查合格条件的投标申请人不足3名时为招标失败。招标人分析招标失败原因，修正招标方案，报有关管理部门核准后，重新组织招标。</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2）招标人因两次或多次招标失败，需申请改变招标方式或不招标的，应按《广东省实施〈中华人民共和国招标投标法〉办法》（省第十届人大常委会第二次会议通过2003.4.2）的第四十条规定执行。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10.5</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特别提示</w:t>
            </w:r>
          </w:p>
        </w:tc>
        <w:tc>
          <w:tcPr>
            <w:tcW w:w="6863" w:type="dxa"/>
            <w:vAlign w:val="center"/>
          </w:tcPr>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）投标人在本项目招标人的工程项目中存在下列行为的，将被拒绝一年内参与我单位后续工程投标（注：拒绝投标时限自招标人发出通知之日起计）：</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（1）将中标工程转包或者违法分包的；</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（3）存在围标或串标情形的；</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 xml:space="preserve">（4）存在弄虚作假骗取中标情形的； </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（5）为招标人提供服务过程中存在因过错行为被生效法律文书认定承担违约或侵权责任的；</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（6）违反合同约定自行调换或未按照招标人要求及时更换项目总监理工程师的；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10.6</w:t>
            </w:r>
          </w:p>
        </w:tc>
        <w:tc>
          <w:tcPr>
            <w:tcW w:w="1650"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其他</w:t>
            </w:r>
          </w:p>
        </w:tc>
        <w:tc>
          <w:tcPr>
            <w:tcW w:w="6863" w:type="dxa"/>
            <w:vAlign w:val="center"/>
          </w:tcPr>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在产生中标候选人后，招标人将中标候选人的投标文件商务部分的电子版（方案等涉及商业秘密的内容除外）在广州公共资源交易中心网站公开。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10.7</w:t>
            </w:r>
          </w:p>
        </w:tc>
        <w:tc>
          <w:tcPr>
            <w:tcW w:w="1650" w:type="dxa"/>
            <w:vAlign w:val="center"/>
          </w:tcPr>
          <w:p>
            <w:pPr>
              <w:keepNext w:val="0"/>
              <w:keepLines w:val="0"/>
              <w:suppressLineNumbers w:val="0"/>
              <w:spacing w:before="0" w:beforeAutospacing="0" w:after="0" w:afterAutospacing="0" w:line="360" w:lineRule="auto"/>
              <w:ind w:left="0" w:right="-44" w:rightChars="-21"/>
              <w:jc w:val="center"/>
              <w:rPr>
                <w:rFonts w:hint="default" w:ascii="宋体" w:hAnsi="宋体"/>
                <w:color w:val="auto"/>
                <w:szCs w:val="21"/>
                <w:highlight w:val="none"/>
              </w:rPr>
            </w:pPr>
            <w:r>
              <w:rPr>
                <w:rFonts w:hint="eastAsia" w:ascii="宋体" w:hAnsi="宋体" w:cs="宋体"/>
                <w:color w:val="auto"/>
                <w:szCs w:val="21"/>
                <w:highlight w:val="none"/>
              </w:rPr>
              <w:t>否决投标条款</w:t>
            </w:r>
          </w:p>
        </w:tc>
        <w:tc>
          <w:tcPr>
            <w:tcW w:w="6863" w:type="dxa"/>
            <w:vAlign w:val="center"/>
          </w:tcPr>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否决投标条款：</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1、在投标截止期后逾期或未在广州公共资源交易中心数字交易平台（http://www.gzggzy.cn）递交电子投标文件的，电子招标投标交易平台将拒绝接收其投标文件。</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2、投标文件应当对招标文件的实质性要求和条件作出满足性或更有利于招标人的响应，否则，投标人的投标将被否决。</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3、投标人有以下情形之一的，评标委员会应当否决其投标：</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（1）投标文件没有对招标文件的实质性要求和条件作出响应，或者对招标文件的偏差超出招标文件规定的偏差范围或最高项数；</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（2）有串通投标、弄虚作假、行贿等违法行为。</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4、投标报价有算术错误及其他错误的，评标委员会按以下原则要求投标人对投标报价进行修正，并要求投标人书面澄清确认。投标人拒不澄清确认的，评标委员会应当否决其投标：</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（1）投标文件中的大写金额与小写金额不一致的，以大写金额为准；</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（2）总价金额与单价金额不一致的，以单价金额为准，但单价金额小数点有明显错误的除外。</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6、投标文件中投标报价高于最高投标限价的，其投标文件将被否决。</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7、按投标报价的算术校核原则及方法调整或修正投标文件的投标报价，调整后的投标报价对投标人起约束作用。如果投标人不接受修正后的报价，则取消其中标资格，并且其投标担保也将被没收。</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8、资审合格后，投标人的资格发生变化而不满足投标人合格条件，在发出中标通知书前，资格问题仍未解决的，招标人将取消其中标资格。</w:t>
            </w:r>
          </w:p>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9、投标文件符合列于《评标办法前附表》“形式评审标准”“资格评审标准”“响应性评审标准”中所有情形的，为有效投标文件。任一情形不符合均为无效投标文件，经评标委员会认定后，其投标文件将被否决。</w:t>
            </w:r>
          </w:p>
        </w:tc>
      </w:tr>
    </w:tbl>
    <w:p>
      <w:pPr>
        <w:rPr>
          <w:rFonts w:ascii="Times New Roman" w:hAnsi="Times New Roman"/>
          <w:color w:val="auto"/>
          <w:highlight w:val="none"/>
        </w:rPr>
      </w:pPr>
      <w:r>
        <w:rPr>
          <w:rFonts w:ascii="Times New Roman" w:hAnsi="Times New Roman"/>
          <w:color w:val="auto"/>
          <w:highlight w:val="none"/>
        </w:rPr>
        <w:br w:type="page"/>
      </w:r>
    </w:p>
    <w:p>
      <w:pPr>
        <w:pStyle w:val="4"/>
        <w:keepNext w:val="0"/>
        <w:keepLines w:val="0"/>
        <w:spacing w:before="20" w:after="0" w:line="360" w:lineRule="auto"/>
        <w:jc w:val="left"/>
        <w:rPr>
          <w:rFonts w:ascii="Times New Roman" w:hAnsi="Times New Roman"/>
          <w:color w:val="auto"/>
          <w:highlight w:val="none"/>
        </w:rPr>
      </w:pPr>
      <w:bookmarkStart w:id="19" w:name="_Toc28826"/>
      <w:bookmarkStart w:id="20" w:name="_Toc25071"/>
      <w:bookmarkStart w:id="21" w:name="_Toc32578"/>
      <w:bookmarkStart w:id="22" w:name="_Toc7114"/>
      <w:bookmarkStart w:id="23" w:name="_Toc527028679"/>
      <w:bookmarkStart w:id="24" w:name="_Toc527028850"/>
      <w:bookmarkStart w:id="25" w:name="_Toc520310853"/>
      <w:bookmarkStart w:id="26" w:name="_Toc527028502"/>
    </w:p>
    <w:p>
      <w:pPr>
        <w:pStyle w:val="4"/>
        <w:keepNext w:val="0"/>
        <w:keepLines w:val="0"/>
        <w:spacing w:before="20" w:after="0"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rPr>
        <w:t>总则</w:t>
      </w:r>
      <w:bookmarkEnd w:id="19"/>
      <w:bookmarkEnd w:id="20"/>
      <w:bookmarkEnd w:id="21"/>
      <w:bookmarkEnd w:id="22"/>
    </w:p>
    <w:p>
      <w:pPr>
        <w:pStyle w:val="5"/>
        <w:spacing w:line="360" w:lineRule="auto"/>
        <w:ind w:firstLine="0" w:firstLineChars="0"/>
        <w:rPr>
          <w:rFonts w:ascii="宋体" w:hAnsi="宋体" w:eastAsia="宋体" w:cs="宋体"/>
          <w:color w:val="auto"/>
          <w:szCs w:val="24"/>
          <w:highlight w:val="none"/>
        </w:rPr>
      </w:pPr>
      <w:bookmarkStart w:id="27" w:name="_Toc11481"/>
      <w:bookmarkStart w:id="28" w:name="_Toc14769"/>
      <w:bookmarkStart w:id="29" w:name="_Toc21695"/>
      <w:bookmarkStart w:id="30" w:name="_Toc11648"/>
      <w:bookmarkStart w:id="31" w:name="_Toc22496"/>
      <w:bookmarkStart w:id="32" w:name="_Toc23852"/>
      <w:bookmarkStart w:id="33" w:name="_Toc23083"/>
      <w:bookmarkStart w:id="34" w:name="_Toc7221"/>
      <w:bookmarkStart w:id="35" w:name="_Toc17110"/>
      <w:bookmarkStart w:id="36" w:name="_Toc492300565"/>
      <w:r>
        <w:rPr>
          <w:rFonts w:ascii="宋体" w:hAnsi="宋体" w:eastAsia="宋体" w:cs="宋体"/>
          <w:bCs/>
          <w:color w:val="auto"/>
          <w:szCs w:val="24"/>
          <w:highlight w:val="none"/>
        </w:rPr>
        <w:t xml:space="preserve">1.1 </w:t>
      </w:r>
      <w:r>
        <w:rPr>
          <w:rFonts w:hint="eastAsia" w:ascii="宋体" w:hAnsi="宋体" w:eastAsia="宋体" w:cs="宋体"/>
          <w:bCs/>
          <w:color w:val="auto"/>
          <w:szCs w:val="24"/>
          <w:highlight w:val="none"/>
        </w:rPr>
        <w:t>招标项目概况</w:t>
      </w:r>
      <w:bookmarkEnd w:id="27"/>
      <w:bookmarkEnd w:id="28"/>
      <w:bookmarkEnd w:id="29"/>
      <w:bookmarkEnd w:id="30"/>
      <w:bookmarkEnd w:id="31"/>
      <w:bookmarkEnd w:id="32"/>
      <w:bookmarkEnd w:id="33"/>
      <w:bookmarkEnd w:id="34"/>
      <w:bookmarkEnd w:id="35"/>
      <w:bookmarkEnd w:id="3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1.1.1根据《中华人民共和国招标投标法》、《中华人民共和国招标投标法实施条例》等有关法律、法规和规章的规定，本招标项目已具备招标条件，现对监理进行招标。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1.1.2招标人：见投标人须知前附表。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1.1.3招标代理机构：见投标人须知前附表。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1.1.4招标项目名称：见投标人须知前附表。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1.1.5项目建设地点：见投标人须知前附表。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1.1.6项目建设规模：见投标人须知前附表。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1.1.7工程项目施工预计开工日期和建设周期：见投标人须知前附表。</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1.1.8建筑安装工程费/工程概算：见投标人须知前附表。</w:t>
      </w:r>
    </w:p>
    <w:p>
      <w:pPr>
        <w:pStyle w:val="5"/>
        <w:spacing w:line="360" w:lineRule="auto"/>
        <w:ind w:firstLine="0" w:firstLineChars="0"/>
        <w:rPr>
          <w:rFonts w:ascii="宋体" w:hAnsi="宋体" w:eastAsia="宋体" w:cs="宋体"/>
          <w:color w:val="auto"/>
          <w:szCs w:val="24"/>
          <w:highlight w:val="none"/>
        </w:rPr>
      </w:pPr>
      <w:bookmarkStart w:id="37" w:name="_Toc29508"/>
      <w:bookmarkStart w:id="38" w:name="_Toc20295"/>
      <w:bookmarkStart w:id="39" w:name="_Toc19038"/>
      <w:bookmarkStart w:id="40" w:name="_Toc8474"/>
      <w:bookmarkStart w:id="41" w:name="_Toc26231"/>
      <w:bookmarkStart w:id="42" w:name="_Toc32712"/>
      <w:bookmarkStart w:id="43" w:name="_Toc27081"/>
      <w:bookmarkStart w:id="44" w:name="_Toc492300566"/>
      <w:bookmarkStart w:id="45" w:name="_Toc4038"/>
      <w:bookmarkStart w:id="46" w:name="_Toc20959"/>
      <w:r>
        <w:rPr>
          <w:rFonts w:ascii="宋体" w:hAnsi="宋体" w:eastAsia="宋体" w:cs="宋体"/>
          <w:color w:val="auto"/>
          <w:szCs w:val="24"/>
          <w:highlight w:val="none"/>
        </w:rPr>
        <w:t xml:space="preserve">1.2 </w:t>
      </w:r>
      <w:r>
        <w:rPr>
          <w:rFonts w:hint="eastAsia" w:ascii="宋体" w:hAnsi="宋体" w:eastAsia="宋体" w:cs="宋体"/>
          <w:color w:val="auto"/>
          <w:szCs w:val="24"/>
          <w:highlight w:val="none"/>
        </w:rPr>
        <w:t>招标项目的资金来源和落实情况</w:t>
      </w:r>
      <w:bookmarkEnd w:id="37"/>
      <w:bookmarkEnd w:id="38"/>
      <w:bookmarkEnd w:id="39"/>
      <w:bookmarkEnd w:id="40"/>
      <w:bookmarkEnd w:id="41"/>
      <w:bookmarkEnd w:id="42"/>
      <w:bookmarkEnd w:id="43"/>
      <w:bookmarkEnd w:id="44"/>
      <w:bookmarkEnd w:id="45"/>
      <w:bookmarkEnd w:id="46"/>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1.2.1 </w:t>
      </w:r>
      <w:r>
        <w:rPr>
          <w:rFonts w:hint="eastAsia" w:ascii="宋体" w:hAnsi="宋体" w:cs="宋体"/>
          <w:color w:val="auto"/>
          <w:sz w:val="24"/>
          <w:szCs w:val="24"/>
          <w:highlight w:val="none"/>
        </w:rPr>
        <w:t>资金来源及比例：见投标人须知前附表。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1.2.2 </w:t>
      </w:r>
      <w:r>
        <w:rPr>
          <w:rFonts w:hint="eastAsia" w:ascii="宋体" w:hAnsi="宋体" w:cs="宋体"/>
          <w:color w:val="auto"/>
          <w:sz w:val="24"/>
          <w:szCs w:val="24"/>
          <w:highlight w:val="none"/>
        </w:rPr>
        <w:t>资金落实情况：见投标人须知前附表。</w:t>
      </w:r>
    </w:p>
    <w:p>
      <w:pPr>
        <w:pStyle w:val="5"/>
        <w:spacing w:line="360" w:lineRule="auto"/>
        <w:ind w:firstLine="0" w:firstLineChars="0"/>
        <w:rPr>
          <w:rFonts w:ascii="宋体" w:hAnsi="宋体" w:eastAsia="宋体" w:cs="宋体"/>
          <w:color w:val="auto"/>
          <w:szCs w:val="24"/>
          <w:highlight w:val="none"/>
        </w:rPr>
      </w:pPr>
      <w:bookmarkStart w:id="47" w:name="_Toc977"/>
      <w:bookmarkStart w:id="48" w:name="_Toc30529"/>
      <w:bookmarkStart w:id="49" w:name="_Toc492300567"/>
      <w:bookmarkStart w:id="50" w:name="_Toc2931"/>
      <w:bookmarkStart w:id="51" w:name="_Toc26261"/>
      <w:bookmarkStart w:id="52" w:name="_Toc31220"/>
      <w:bookmarkStart w:id="53" w:name="_Toc17260"/>
      <w:bookmarkStart w:id="54" w:name="_Toc25003"/>
      <w:bookmarkStart w:id="55" w:name="_Toc25902"/>
      <w:bookmarkStart w:id="56" w:name="_Toc10849"/>
      <w:r>
        <w:rPr>
          <w:rFonts w:hint="eastAsia" w:ascii="宋体" w:hAnsi="宋体" w:eastAsia="宋体" w:cs="宋体"/>
          <w:color w:val="auto"/>
          <w:szCs w:val="24"/>
          <w:highlight w:val="none"/>
        </w:rPr>
        <w:t>1.3招标范围、监理服务期限和质量标准</w:t>
      </w:r>
      <w:bookmarkEnd w:id="47"/>
      <w:bookmarkEnd w:id="48"/>
      <w:bookmarkEnd w:id="49"/>
      <w:bookmarkEnd w:id="50"/>
      <w:bookmarkEnd w:id="51"/>
      <w:bookmarkEnd w:id="52"/>
      <w:bookmarkEnd w:id="53"/>
      <w:bookmarkEnd w:id="54"/>
      <w:bookmarkEnd w:id="55"/>
      <w:bookmarkEnd w:id="56"/>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1.3.1 </w:t>
      </w:r>
      <w:r>
        <w:rPr>
          <w:rFonts w:hint="eastAsia" w:ascii="宋体" w:hAnsi="宋体" w:cs="宋体"/>
          <w:color w:val="auto"/>
          <w:sz w:val="24"/>
          <w:szCs w:val="24"/>
          <w:highlight w:val="none"/>
        </w:rPr>
        <w:t>招标范围：见投标人须知前附表。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1.3.2 </w:t>
      </w:r>
      <w:r>
        <w:rPr>
          <w:rFonts w:hint="eastAsia" w:ascii="宋体" w:hAnsi="宋体" w:cs="宋体"/>
          <w:color w:val="auto"/>
          <w:sz w:val="24"/>
          <w:szCs w:val="24"/>
          <w:highlight w:val="none"/>
        </w:rPr>
        <w:t>服务期限：见投标人须知前附表。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1.3.3 </w:t>
      </w:r>
      <w:r>
        <w:rPr>
          <w:rFonts w:hint="eastAsia" w:ascii="宋体" w:hAnsi="宋体" w:cs="宋体"/>
          <w:color w:val="auto"/>
          <w:sz w:val="24"/>
          <w:szCs w:val="24"/>
          <w:highlight w:val="none"/>
        </w:rPr>
        <w:t>质量标准：见投标人须知前附表。</w:t>
      </w:r>
    </w:p>
    <w:p>
      <w:pPr>
        <w:pStyle w:val="5"/>
        <w:spacing w:line="360" w:lineRule="auto"/>
        <w:ind w:firstLine="0" w:firstLineChars="0"/>
        <w:rPr>
          <w:rFonts w:ascii="宋体" w:hAnsi="宋体" w:eastAsia="宋体" w:cs="宋体"/>
          <w:color w:val="auto"/>
          <w:szCs w:val="24"/>
          <w:highlight w:val="none"/>
        </w:rPr>
      </w:pPr>
      <w:bookmarkStart w:id="57" w:name="_Toc24309"/>
      <w:bookmarkStart w:id="58" w:name="_Toc492300568"/>
      <w:bookmarkStart w:id="59" w:name="_Toc20806"/>
      <w:bookmarkStart w:id="60" w:name="_Toc10416"/>
      <w:bookmarkStart w:id="61" w:name="_Toc19855"/>
      <w:bookmarkStart w:id="62" w:name="_Toc2674"/>
      <w:bookmarkStart w:id="63" w:name="_Toc31590"/>
      <w:bookmarkStart w:id="64" w:name="_Toc21657"/>
      <w:bookmarkStart w:id="65" w:name="_Toc3452"/>
      <w:bookmarkStart w:id="66" w:name="_Toc2550"/>
      <w:r>
        <w:rPr>
          <w:rFonts w:hint="eastAsia" w:ascii="宋体" w:hAnsi="宋体" w:eastAsia="宋体" w:cs="宋体"/>
          <w:color w:val="auto"/>
          <w:szCs w:val="24"/>
          <w:highlight w:val="none"/>
        </w:rPr>
        <w:t>1.4投标人资格要求</w:t>
      </w:r>
      <w:bookmarkEnd w:id="57"/>
      <w:bookmarkEnd w:id="58"/>
      <w:bookmarkEnd w:id="59"/>
      <w:bookmarkEnd w:id="60"/>
      <w:bookmarkEnd w:id="61"/>
      <w:bookmarkEnd w:id="62"/>
      <w:bookmarkEnd w:id="63"/>
      <w:bookmarkEnd w:id="64"/>
      <w:bookmarkEnd w:id="65"/>
      <w:bookmarkEnd w:id="66"/>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1.4.1 </w:t>
      </w:r>
      <w:r>
        <w:rPr>
          <w:rFonts w:hint="eastAsia" w:ascii="宋体" w:hAnsi="宋体" w:cs="宋体"/>
          <w:color w:val="auto"/>
          <w:sz w:val="24"/>
          <w:szCs w:val="24"/>
          <w:highlight w:val="none"/>
        </w:rPr>
        <w:t>投标人应具备承担本招标项目资质条件、能力和信誉：</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（1）资质要求：见投标人须知前附表；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（2）财务要求：见投标人须知前附表；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（3）业绩要求：见投标人须知前附表；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（4）信誉要求：见投标人须知前附表；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（5）总监理工程师的资格要求：应当具备工程注册监理工程师执业资格（如有），具体要求见投标人须知前附表；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（6）其他主要人员要求：见投标人须知前附表。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（7）试验检测仪器设备要求：见投标人须知前附表。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（8）其他要求：见投标人须知前附表。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需要提交的相关证明材料见本章第3.5款的规定。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1.4.2投标人须知前附表规定接受联合体投标的，联合体除应符合本章第1.4.1项和投标人须知前附表的要求外，还应遵守以下规定：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（2）由同一专业的单位组成的联合体，按照资质等级较低的单位确定资质等级；</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（3）联合体各方不得再以自己名义单独或参加其他联合体在本招标项目中投标，否则各相关投标均无效。</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1.4.3 </w:t>
      </w:r>
      <w:r>
        <w:rPr>
          <w:rFonts w:hint="eastAsia" w:ascii="宋体" w:hAnsi="宋体" w:cs="宋体"/>
          <w:color w:val="auto"/>
          <w:sz w:val="24"/>
          <w:szCs w:val="24"/>
          <w:highlight w:val="none"/>
        </w:rPr>
        <w:t>投标人不得存在下列情形之一：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（1）为招标人不具有独立法人资格的附属机构（单位）；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（2）与招标人存在利害关系且可能影响招标公正性；</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（3）与本招标项目的其他投标人为同一个单位负责人；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（4）与本招标项目的其他投标人存在控股、管理关系；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（5）为本招标项目的代建人；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（6）为本招标项目的招标代理机构；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（7）与本招标项目的代建人或招标代理机构同为一个法定代表人；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（8）与本招标项目的代建人或招标代理机构存在控股或参股关系；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（9）与本招标项目的土壤修复</w:t>
      </w: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效果评估单位</w:t>
      </w:r>
      <w:r>
        <w:rPr>
          <w:rFonts w:hint="eastAsia" w:ascii="宋体" w:hAnsi="宋体" w:cs="宋体"/>
          <w:color w:val="auto"/>
          <w:sz w:val="24"/>
          <w:szCs w:val="24"/>
          <w:highlight w:val="none"/>
        </w:rPr>
        <w:t>有隶属关系或者其他利害关系；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（10）被依法暂停或者取消投标资格；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（11）被责令停产停业、暂扣或者吊销许可证、暂扣或者吊销执照；</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（12）进入清算程序，或被宣告破产，或其他丧失履约能力的情形；</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（13）在最近三年内发生重大监理质量问题（以相关行业主管部门的行政处罚决定或司法机关出具的有关法律文书为准）；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（14）被工商行政管理机关在全国企业信用信息公示系统中列入严重违法失信企业名单；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（15）被最高人民法院在“信用中国”网站（www.creditchina.gov.cn）或各级信用信息共享平台中列入失信被执行人名单；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（16）在近三年内投标人或其法定代表人、拟委任的总监理工程师有行贿犯罪行为的</w:t>
      </w:r>
      <w:r>
        <w:rPr>
          <w:rFonts w:hint="eastAsia" w:ascii="宋体" w:hAnsi="宋体" w:cs="宋体"/>
          <w:strike/>
          <w:color w:val="auto"/>
          <w:sz w:val="24"/>
          <w:szCs w:val="24"/>
          <w:highlight w:val="none"/>
        </w:rPr>
        <w:t>（以检察机关职务犯罪预防部门出具的查询结果为准）</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（17）法律法规或投标人须知前附表规定的其他情形。</w:t>
      </w:r>
    </w:p>
    <w:p>
      <w:pPr>
        <w:pStyle w:val="5"/>
        <w:spacing w:line="360" w:lineRule="auto"/>
        <w:ind w:firstLine="0" w:firstLineChars="0"/>
        <w:rPr>
          <w:rFonts w:ascii="宋体" w:hAnsi="宋体" w:eastAsia="宋体" w:cs="宋体"/>
          <w:color w:val="auto"/>
          <w:szCs w:val="24"/>
          <w:highlight w:val="none"/>
        </w:rPr>
      </w:pPr>
      <w:bookmarkStart w:id="67" w:name="_Toc6163"/>
      <w:bookmarkStart w:id="68" w:name="_Toc24418"/>
      <w:bookmarkStart w:id="69" w:name="_Toc492300569"/>
      <w:bookmarkStart w:id="70" w:name="_Toc12621"/>
      <w:bookmarkStart w:id="71" w:name="_Toc19434"/>
      <w:bookmarkStart w:id="72" w:name="_Toc7015"/>
      <w:bookmarkStart w:id="73" w:name="_Toc872"/>
      <w:bookmarkStart w:id="74" w:name="_Toc21274"/>
      <w:bookmarkStart w:id="75" w:name="_Toc17400"/>
      <w:bookmarkStart w:id="76" w:name="_Toc20396"/>
      <w:r>
        <w:rPr>
          <w:rFonts w:ascii="宋体" w:hAnsi="宋体" w:eastAsia="宋体" w:cs="宋体"/>
          <w:color w:val="auto"/>
          <w:szCs w:val="24"/>
          <w:highlight w:val="none"/>
        </w:rPr>
        <w:t xml:space="preserve">1.5 </w:t>
      </w:r>
      <w:r>
        <w:rPr>
          <w:rFonts w:hint="eastAsia" w:ascii="宋体" w:hAnsi="宋体" w:eastAsia="宋体" w:cs="宋体"/>
          <w:color w:val="auto"/>
          <w:szCs w:val="24"/>
          <w:highlight w:val="none"/>
        </w:rPr>
        <w:t>费用承担</w:t>
      </w:r>
      <w:bookmarkEnd w:id="67"/>
      <w:bookmarkEnd w:id="68"/>
      <w:bookmarkEnd w:id="69"/>
      <w:bookmarkEnd w:id="70"/>
      <w:bookmarkEnd w:id="71"/>
      <w:bookmarkEnd w:id="72"/>
      <w:bookmarkEnd w:id="73"/>
      <w:bookmarkEnd w:id="74"/>
      <w:bookmarkEnd w:id="75"/>
      <w:bookmarkEnd w:id="7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pPr>
        <w:pStyle w:val="5"/>
        <w:spacing w:line="360" w:lineRule="auto"/>
        <w:ind w:firstLine="0" w:firstLineChars="0"/>
        <w:rPr>
          <w:rFonts w:ascii="宋体" w:hAnsi="宋体" w:eastAsia="宋体" w:cs="宋体"/>
          <w:color w:val="auto"/>
          <w:szCs w:val="24"/>
          <w:highlight w:val="none"/>
        </w:rPr>
      </w:pPr>
      <w:bookmarkStart w:id="77" w:name="_Toc9215"/>
      <w:bookmarkStart w:id="78" w:name="_Toc19542"/>
      <w:bookmarkStart w:id="79" w:name="_Toc10184"/>
      <w:bookmarkStart w:id="80" w:name="_Toc492300570"/>
      <w:bookmarkStart w:id="81" w:name="_Toc27939"/>
      <w:bookmarkStart w:id="82" w:name="_Toc4949"/>
      <w:bookmarkStart w:id="83" w:name="_Toc12237"/>
      <w:bookmarkStart w:id="84" w:name="_Toc6809"/>
      <w:bookmarkStart w:id="85" w:name="_Toc29749"/>
      <w:bookmarkStart w:id="86" w:name="_Toc30736"/>
      <w:r>
        <w:rPr>
          <w:rFonts w:ascii="宋体" w:hAnsi="宋体" w:eastAsia="宋体" w:cs="宋体"/>
          <w:color w:val="auto"/>
          <w:szCs w:val="24"/>
          <w:highlight w:val="none"/>
        </w:rPr>
        <w:t>1.6</w:t>
      </w:r>
      <w:r>
        <w:rPr>
          <w:rFonts w:hint="eastAsia" w:ascii="宋体" w:hAnsi="宋体" w:eastAsia="宋体" w:cs="宋体"/>
          <w:color w:val="auto"/>
          <w:szCs w:val="24"/>
          <w:highlight w:val="none"/>
        </w:rPr>
        <w:t xml:space="preserve"> 保密</w:t>
      </w:r>
      <w:bookmarkEnd w:id="77"/>
      <w:bookmarkEnd w:id="78"/>
      <w:bookmarkEnd w:id="79"/>
      <w:bookmarkEnd w:id="80"/>
      <w:bookmarkEnd w:id="81"/>
      <w:bookmarkEnd w:id="82"/>
      <w:bookmarkEnd w:id="83"/>
      <w:bookmarkEnd w:id="84"/>
      <w:bookmarkEnd w:id="85"/>
      <w:bookmarkEnd w:id="8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参与招标投标活动的各方应对招标文件和投标文件中</w:t>
      </w:r>
      <w:bookmarkStart w:id="87" w:name="_Toc369531519"/>
      <w:bookmarkStart w:id="88" w:name="_Toc352691477"/>
      <w:bookmarkStart w:id="89" w:name="_Toc361508589"/>
      <w:bookmarkStart w:id="90" w:name="_Toc5326"/>
      <w:bookmarkStart w:id="91" w:name="_Toc384308214"/>
      <w:r>
        <w:rPr>
          <w:rFonts w:hint="eastAsia" w:ascii="宋体" w:hAnsi="宋体" w:cs="宋体"/>
          <w:color w:val="auto"/>
          <w:sz w:val="24"/>
          <w:szCs w:val="24"/>
          <w:highlight w:val="none"/>
        </w:rPr>
        <w:t>的商业和技术等秘密保密</w:t>
      </w:r>
      <w:bookmarkEnd w:id="87"/>
      <w:bookmarkEnd w:id="88"/>
      <w:bookmarkEnd w:id="89"/>
      <w:bookmarkEnd w:id="90"/>
      <w:bookmarkEnd w:id="91"/>
      <w:r>
        <w:rPr>
          <w:rFonts w:hint="eastAsia" w:ascii="宋体" w:hAnsi="宋体" w:cs="宋体"/>
          <w:color w:val="auto"/>
          <w:sz w:val="24"/>
          <w:szCs w:val="24"/>
          <w:highlight w:val="none"/>
        </w:rPr>
        <w:t>，否则应承担相应的法律责任。</w:t>
      </w:r>
    </w:p>
    <w:p>
      <w:pPr>
        <w:pStyle w:val="5"/>
        <w:spacing w:line="360" w:lineRule="auto"/>
        <w:ind w:firstLine="0" w:firstLineChars="0"/>
        <w:rPr>
          <w:rFonts w:ascii="宋体" w:hAnsi="宋体" w:eastAsia="宋体" w:cs="宋体"/>
          <w:color w:val="auto"/>
          <w:szCs w:val="24"/>
          <w:highlight w:val="none"/>
        </w:rPr>
      </w:pPr>
      <w:bookmarkStart w:id="92" w:name="_Toc25860"/>
      <w:bookmarkStart w:id="93" w:name="_Toc32094"/>
      <w:bookmarkStart w:id="94" w:name="_Toc6774"/>
      <w:bookmarkStart w:id="95" w:name="_Toc19298"/>
      <w:bookmarkStart w:id="96" w:name="_Toc657"/>
      <w:bookmarkStart w:id="97" w:name="_Toc24881"/>
      <w:bookmarkStart w:id="98" w:name="_Toc492300571"/>
      <w:bookmarkStart w:id="99" w:name="_Toc9017"/>
      <w:bookmarkStart w:id="100" w:name="_Toc6779"/>
      <w:bookmarkStart w:id="101" w:name="_Toc12300"/>
      <w:r>
        <w:rPr>
          <w:rFonts w:ascii="宋体" w:hAnsi="宋体" w:eastAsia="宋体" w:cs="宋体"/>
          <w:color w:val="auto"/>
          <w:szCs w:val="24"/>
          <w:highlight w:val="none"/>
        </w:rPr>
        <w:t xml:space="preserve">1.7 </w:t>
      </w:r>
      <w:r>
        <w:rPr>
          <w:rFonts w:hint="eastAsia" w:ascii="宋体" w:hAnsi="宋体" w:eastAsia="宋体" w:cs="宋体"/>
          <w:color w:val="auto"/>
          <w:szCs w:val="24"/>
          <w:highlight w:val="none"/>
        </w:rPr>
        <w:t>语言文字</w:t>
      </w:r>
      <w:bookmarkEnd w:id="92"/>
      <w:bookmarkEnd w:id="93"/>
      <w:bookmarkEnd w:id="94"/>
      <w:bookmarkEnd w:id="95"/>
      <w:bookmarkEnd w:id="96"/>
      <w:bookmarkEnd w:id="97"/>
      <w:bookmarkEnd w:id="98"/>
      <w:bookmarkEnd w:id="99"/>
      <w:bookmarkEnd w:id="100"/>
      <w:bookmarkEnd w:id="10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招标投标文件使用的语言文字为中文。专用术语使用外文的，应附有中文注释。</w:t>
      </w:r>
    </w:p>
    <w:p>
      <w:pPr>
        <w:pStyle w:val="5"/>
        <w:spacing w:line="360" w:lineRule="auto"/>
        <w:ind w:firstLine="0" w:firstLineChars="0"/>
        <w:rPr>
          <w:rFonts w:ascii="宋体" w:hAnsi="宋体" w:eastAsia="宋体" w:cs="宋体"/>
          <w:color w:val="auto"/>
          <w:szCs w:val="24"/>
          <w:highlight w:val="none"/>
        </w:rPr>
      </w:pPr>
      <w:bookmarkStart w:id="102" w:name="_Toc26431"/>
      <w:bookmarkStart w:id="103" w:name="_Toc492300572"/>
      <w:bookmarkStart w:id="104" w:name="_Toc26419"/>
      <w:bookmarkStart w:id="105" w:name="_Toc23181"/>
      <w:bookmarkStart w:id="106" w:name="_Toc3529"/>
      <w:bookmarkStart w:id="107" w:name="_Toc10804"/>
      <w:bookmarkStart w:id="108" w:name="_Toc10746"/>
      <w:bookmarkStart w:id="109" w:name="_Toc20276"/>
      <w:bookmarkStart w:id="110" w:name="_Toc11561"/>
      <w:bookmarkStart w:id="111" w:name="_Toc27121"/>
      <w:r>
        <w:rPr>
          <w:rFonts w:hint="eastAsia" w:ascii="宋体" w:hAnsi="宋体" w:eastAsia="宋体" w:cs="宋体"/>
          <w:color w:val="auto"/>
          <w:szCs w:val="24"/>
          <w:highlight w:val="none"/>
        </w:rPr>
        <w:t>1.8 计量单位</w:t>
      </w:r>
      <w:bookmarkEnd w:id="102"/>
      <w:bookmarkEnd w:id="103"/>
      <w:bookmarkEnd w:id="104"/>
      <w:bookmarkEnd w:id="105"/>
      <w:bookmarkEnd w:id="106"/>
      <w:bookmarkEnd w:id="107"/>
      <w:bookmarkEnd w:id="108"/>
      <w:bookmarkEnd w:id="109"/>
      <w:bookmarkEnd w:id="110"/>
      <w:bookmarkEnd w:id="11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所有计量均采用中华人民共和国法定计量单位。</w:t>
      </w:r>
    </w:p>
    <w:p>
      <w:pPr>
        <w:pStyle w:val="5"/>
        <w:spacing w:line="360" w:lineRule="auto"/>
        <w:ind w:firstLine="0" w:firstLineChars="0"/>
        <w:rPr>
          <w:rFonts w:ascii="宋体" w:hAnsi="宋体" w:eastAsia="宋体" w:cs="宋体"/>
          <w:color w:val="auto"/>
          <w:szCs w:val="24"/>
          <w:highlight w:val="none"/>
        </w:rPr>
      </w:pPr>
      <w:bookmarkStart w:id="112" w:name="_Toc10088"/>
      <w:bookmarkStart w:id="113" w:name="_Toc5474"/>
      <w:bookmarkStart w:id="114" w:name="_Toc247513962"/>
      <w:bookmarkStart w:id="115" w:name="_Toc152042315"/>
      <w:bookmarkStart w:id="116" w:name="_Toc300834959"/>
      <w:bookmarkStart w:id="117" w:name="_Toc29990"/>
      <w:bookmarkStart w:id="118" w:name="_Toc492300573"/>
      <w:bookmarkStart w:id="119" w:name="_Toc247527563"/>
      <w:bookmarkStart w:id="120" w:name="_Toc384308219"/>
      <w:bookmarkStart w:id="121" w:name="_Toc482188480"/>
      <w:bookmarkStart w:id="122" w:name="_Toc20483"/>
      <w:bookmarkStart w:id="123" w:name="_Toc16766"/>
      <w:bookmarkStart w:id="124" w:name="_Toc144974507"/>
      <w:bookmarkStart w:id="125" w:name="_Toc370676289"/>
      <w:bookmarkStart w:id="126" w:name="_Toc21883"/>
      <w:bookmarkStart w:id="127" w:name="_Toc361508594"/>
      <w:bookmarkStart w:id="128" w:name="_Toc391393967"/>
      <w:bookmarkStart w:id="129" w:name="_Toc11659"/>
      <w:bookmarkStart w:id="130" w:name="_Toc152045539"/>
      <w:bookmarkStart w:id="131" w:name="_Toc29515"/>
      <w:bookmarkStart w:id="132" w:name="_Toc4326"/>
      <w:r>
        <w:rPr>
          <w:rFonts w:ascii="宋体" w:hAnsi="宋体" w:eastAsia="宋体" w:cs="宋体"/>
          <w:color w:val="auto"/>
          <w:szCs w:val="24"/>
          <w:highlight w:val="none"/>
        </w:rPr>
        <w:t xml:space="preserve">1.9 </w:t>
      </w:r>
      <w:r>
        <w:rPr>
          <w:rFonts w:hint="eastAsia" w:ascii="宋体" w:hAnsi="宋体" w:eastAsia="宋体" w:cs="宋体"/>
          <w:color w:val="auto"/>
          <w:szCs w:val="24"/>
          <w:highlight w:val="none"/>
        </w:rPr>
        <w:t>踏勘现场</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1.9.1 </w:t>
      </w:r>
      <w:r>
        <w:rPr>
          <w:rFonts w:hint="eastAsia" w:ascii="宋体" w:hAnsi="宋体" w:cs="宋体"/>
          <w:color w:val="auto"/>
          <w:sz w:val="24"/>
          <w:szCs w:val="24"/>
          <w:highlight w:val="none"/>
        </w:rPr>
        <w:t>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1.9.2 </w:t>
      </w:r>
      <w:r>
        <w:rPr>
          <w:rFonts w:hint="eastAsia" w:ascii="宋体" w:hAnsi="宋体" w:cs="宋体"/>
          <w:color w:val="auto"/>
          <w:sz w:val="24"/>
          <w:szCs w:val="24"/>
          <w:highlight w:val="none"/>
        </w:rPr>
        <w:t>投标人踏勘现场发生的费用自理。</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1.9.3 </w:t>
      </w:r>
      <w:r>
        <w:rPr>
          <w:rFonts w:hint="eastAsia" w:ascii="宋体" w:hAnsi="宋体" w:cs="宋体"/>
          <w:color w:val="auto"/>
          <w:sz w:val="24"/>
          <w:szCs w:val="24"/>
          <w:highlight w:val="none"/>
        </w:rPr>
        <w:t>除招标人的原因外，投标人自行负责在踏勘现场中所发生的人员伤亡和财产损失。</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1.9.4 </w:t>
      </w:r>
      <w:r>
        <w:rPr>
          <w:rFonts w:hint="eastAsia" w:ascii="宋体" w:hAnsi="宋体" w:cs="宋体"/>
          <w:color w:val="auto"/>
          <w:sz w:val="24"/>
          <w:szCs w:val="24"/>
          <w:highlight w:val="none"/>
        </w:rPr>
        <w:t>招标人在踏勘现场中介绍的工程场地和相关的周边环境情况，供投标人在编制投标文件时参考，招标人不对投标人据此作出的判断和决策负责。</w:t>
      </w:r>
    </w:p>
    <w:p>
      <w:pPr>
        <w:pStyle w:val="5"/>
        <w:spacing w:line="360" w:lineRule="auto"/>
        <w:ind w:firstLine="0" w:firstLineChars="0"/>
        <w:rPr>
          <w:rFonts w:ascii="宋体" w:hAnsi="宋体" w:eastAsia="宋体" w:cs="宋体"/>
          <w:color w:val="auto"/>
          <w:szCs w:val="24"/>
          <w:highlight w:val="none"/>
        </w:rPr>
      </w:pPr>
      <w:bookmarkStart w:id="133" w:name="_Toc21847"/>
      <w:bookmarkStart w:id="134" w:name="_Toc9856"/>
      <w:bookmarkStart w:id="135" w:name="_Toc19565"/>
      <w:bookmarkStart w:id="136" w:name="_Toc11420"/>
      <w:bookmarkStart w:id="137" w:name="_Toc3908"/>
      <w:bookmarkStart w:id="138" w:name="_Toc21715"/>
      <w:bookmarkStart w:id="139" w:name="_Toc8220"/>
      <w:bookmarkStart w:id="140" w:name="_Toc10652"/>
      <w:bookmarkStart w:id="141" w:name="_Toc492300574"/>
      <w:bookmarkStart w:id="142" w:name="_Toc11535"/>
      <w:r>
        <w:rPr>
          <w:rFonts w:hint="eastAsia" w:ascii="宋体" w:hAnsi="宋体" w:eastAsia="宋体" w:cs="宋体"/>
          <w:color w:val="auto"/>
          <w:szCs w:val="24"/>
          <w:highlight w:val="none"/>
        </w:rPr>
        <w:t>1.10 投标预备会</w:t>
      </w:r>
      <w:bookmarkEnd w:id="133"/>
      <w:bookmarkEnd w:id="134"/>
      <w:bookmarkEnd w:id="135"/>
      <w:bookmarkEnd w:id="136"/>
      <w:bookmarkEnd w:id="137"/>
      <w:bookmarkEnd w:id="138"/>
      <w:bookmarkEnd w:id="139"/>
      <w:bookmarkEnd w:id="140"/>
      <w:bookmarkEnd w:id="141"/>
      <w:bookmarkEnd w:id="142"/>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1.10.1 </w:t>
      </w:r>
      <w:r>
        <w:rPr>
          <w:rFonts w:hint="eastAsia" w:ascii="宋体" w:hAnsi="宋体" w:cs="宋体"/>
          <w:color w:val="auto"/>
          <w:sz w:val="24"/>
          <w:szCs w:val="24"/>
          <w:highlight w:val="none"/>
        </w:rPr>
        <w:t>投标人须知前附表规定召开投标预备会的，招标人按投标人须知前附表规定的时间和地点召开投标预备会，澄清投标人提出的问题。</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1.10.2 </w:t>
      </w:r>
      <w:r>
        <w:rPr>
          <w:rFonts w:hint="eastAsia" w:ascii="宋体" w:hAnsi="宋体" w:cs="宋体"/>
          <w:color w:val="auto"/>
          <w:sz w:val="24"/>
          <w:szCs w:val="24"/>
          <w:highlight w:val="none"/>
        </w:rPr>
        <w:t>投标人应按投标人须知前附表规定的时间和形式将提出的问题送达招标人，以便招标人在会议期间澄清。</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1.10.3 </w:t>
      </w:r>
      <w:r>
        <w:rPr>
          <w:rFonts w:hint="eastAsia" w:ascii="宋体" w:hAnsi="宋体" w:cs="宋体"/>
          <w:color w:val="auto"/>
          <w:sz w:val="24"/>
          <w:szCs w:val="24"/>
          <w:highlight w:val="none"/>
        </w:rPr>
        <w:t>投标预备会后，招标人将对投标人所提问题的澄清，以投标人须知前附表规定的形式通知所有购买招标文件的投标人。该澄清内容为招标文件的组成部分。</w:t>
      </w:r>
    </w:p>
    <w:p>
      <w:pPr>
        <w:pStyle w:val="5"/>
        <w:spacing w:line="360" w:lineRule="auto"/>
        <w:ind w:firstLine="0" w:firstLineChars="0"/>
        <w:rPr>
          <w:rFonts w:ascii="宋体" w:hAnsi="宋体" w:eastAsia="宋体" w:cs="宋体"/>
          <w:color w:val="auto"/>
          <w:szCs w:val="24"/>
          <w:highlight w:val="none"/>
        </w:rPr>
      </w:pPr>
      <w:bookmarkStart w:id="143" w:name="_Toc16569"/>
      <w:bookmarkStart w:id="144" w:name="_Toc21594"/>
      <w:bookmarkStart w:id="145" w:name="_Toc25550"/>
      <w:bookmarkStart w:id="146" w:name="_Toc6848"/>
      <w:bookmarkStart w:id="147" w:name="_Toc7636"/>
      <w:bookmarkStart w:id="148" w:name="_Toc22887"/>
      <w:bookmarkStart w:id="149" w:name="_Toc13598"/>
      <w:bookmarkStart w:id="150" w:name="_Toc11055"/>
      <w:bookmarkStart w:id="151" w:name="_Toc19968"/>
      <w:bookmarkStart w:id="152" w:name="_Toc492300575"/>
      <w:r>
        <w:rPr>
          <w:rFonts w:ascii="宋体" w:hAnsi="宋体" w:eastAsia="宋体" w:cs="宋体"/>
          <w:color w:val="auto"/>
          <w:szCs w:val="24"/>
          <w:highlight w:val="none"/>
        </w:rPr>
        <w:t xml:space="preserve">1.11 </w:t>
      </w:r>
      <w:r>
        <w:rPr>
          <w:rFonts w:hint="eastAsia" w:ascii="宋体" w:hAnsi="宋体" w:eastAsia="宋体" w:cs="宋体"/>
          <w:color w:val="auto"/>
          <w:szCs w:val="24"/>
          <w:highlight w:val="none"/>
        </w:rPr>
        <w:t>分包</w:t>
      </w:r>
      <w:bookmarkEnd w:id="143"/>
      <w:bookmarkEnd w:id="144"/>
      <w:bookmarkEnd w:id="145"/>
      <w:bookmarkEnd w:id="146"/>
      <w:bookmarkEnd w:id="147"/>
      <w:bookmarkEnd w:id="148"/>
      <w:bookmarkEnd w:id="149"/>
      <w:bookmarkEnd w:id="150"/>
      <w:bookmarkEnd w:id="151"/>
      <w:bookmarkEnd w:id="152"/>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本项目严禁分包。</w:t>
      </w:r>
    </w:p>
    <w:p>
      <w:pPr>
        <w:pStyle w:val="5"/>
        <w:spacing w:line="360" w:lineRule="auto"/>
        <w:ind w:firstLine="0" w:firstLineChars="0"/>
        <w:rPr>
          <w:rFonts w:ascii="宋体" w:hAnsi="宋体" w:eastAsia="宋体" w:cs="宋体"/>
          <w:color w:val="auto"/>
          <w:szCs w:val="24"/>
          <w:highlight w:val="none"/>
        </w:rPr>
      </w:pPr>
      <w:bookmarkStart w:id="153" w:name="_Toc5747"/>
      <w:bookmarkStart w:id="154" w:name="_Toc9275"/>
      <w:bookmarkStart w:id="155" w:name="_Toc15584"/>
      <w:bookmarkStart w:id="156" w:name="_Toc29564"/>
      <w:bookmarkStart w:id="157" w:name="_Toc7090"/>
      <w:bookmarkStart w:id="158" w:name="_Toc32619"/>
      <w:bookmarkStart w:id="159" w:name="_Toc11526"/>
      <w:bookmarkStart w:id="160" w:name="_Toc492300576"/>
      <w:bookmarkStart w:id="161" w:name="_Toc23487"/>
      <w:bookmarkStart w:id="162" w:name="_Toc16032"/>
      <w:r>
        <w:rPr>
          <w:rFonts w:hint="eastAsia" w:ascii="宋体" w:hAnsi="宋体" w:eastAsia="宋体" w:cs="宋体"/>
          <w:color w:val="auto"/>
          <w:szCs w:val="24"/>
          <w:highlight w:val="none"/>
        </w:rPr>
        <w:t>1.12响应和偏差</w:t>
      </w:r>
      <w:bookmarkEnd w:id="153"/>
      <w:bookmarkEnd w:id="154"/>
      <w:bookmarkEnd w:id="155"/>
      <w:bookmarkEnd w:id="156"/>
      <w:bookmarkEnd w:id="157"/>
      <w:bookmarkEnd w:id="158"/>
      <w:bookmarkEnd w:id="159"/>
      <w:bookmarkEnd w:id="160"/>
      <w:bookmarkEnd w:id="161"/>
      <w:bookmarkEnd w:id="162"/>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1.12.2 </w:t>
      </w:r>
      <w:r>
        <w:rPr>
          <w:rFonts w:hint="eastAsia" w:ascii="宋体" w:hAnsi="宋体" w:cs="宋体"/>
          <w:color w:val="auto"/>
          <w:sz w:val="24"/>
          <w:szCs w:val="24"/>
          <w:highlight w:val="none"/>
        </w:rPr>
        <w:t>投标人应根据招标文件的要求提供投标监理大纲等内容以对招标文件作出响应。</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1.12.3投标人须知前附表允许投标文件偏离招标文件某些要求的，偏差应当符合招标文件规定的偏差范围和幅度。</w:t>
      </w:r>
    </w:p>
    <w:p>
      <w:pPr>
        <w:pStyle w:val="4"/>
        <w:spacing w:line="360" w:lineRule="auto"/>
        <w:rPr>
          <w:rFonts w:ascii="宋体" w:hAnsi="宋体" w:eastAsia="宋体" w:cs="宋体"/>
          <w:color w:val="auto"/>
          <w:sz w:val="28"/>
          <w:szCs w:val="28"/>
          <w:highlight w:val="none"/>
        </w:rPr>
      </w:pPr>
      <w:bookmarkStart w:id="163" w:name="_Toc32110"/>
      <w:bookmarkStart w:id="164" w:name="_Toc13086"/>
      <w:bookmarkStart w:id="165" w:name="_Toc4355"/>
      <w:bookmarkStart w:id="166" w:name="_Toc4157"/>
      <w:bookmarkStart w:id="167" w:name="_Toc12512"/>
      <w:bookmarkStart w:id="168" w:name="_Toc17578"/>
      <w:bookmarkStart w:id="169" w:name="_Toc30626"/>
      <w:bookmarkStart w:id="170" w:name="_Toc492300577"/>
      <w:bookmarkStart w:id="171" w:name="_Toc3361"/>
      <w:bookmarkStart w:id="172" w:name="_Toc2551"/>
      <w:r>
        <w:rPr>
          <w:rFonts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rPr>
        <w:t>招标文件</w:t>
      </w:r>
      <w:bookmarkEnd w:id="163"/>
      <w:bookmarkEnd w:id="164"/>
      <w:bookmarkEnd w:id="165"/>
      <w:bookmarkEnd w:id="166"/>
      <w:bookmarkEnd w:id="167"/>
      <w:bookmarkEnd w:id="168"/>
      <w:bookmarkEnd w:id="169"/>
      <w:bookmarkEnd w:id="170"/>
      <w:bookmarkEnd w:id="171"/>
      <w:bookmarkEnd w:id="172"/>
    </w:p>
    <w:p>
      <w:pPr>
        <w:pStyle w:val="5"/>
        <w:spacing w:line="360" w:lineRule="auto"/>
        <w:ind w:firstLine="0" w:firstLineChars="0"/>
        <w:rPr>
          <w:rFonts w:ascii="宋体" w:hAnsi="宋体" w:eastAsia="宋体" w:cs="宋体"/>
          <w:color w:val="auto"/>
          <w:szCs w:val="24"/>
          <w:highlight w:val="none"/>
        </w:rPr>
      </w:pPr>
      <w:bookmarkStart w:id="173" w:name="_Toc18046"/>
      <w:bookmarkStart w:id="174" w:name="_Toc1039"/>
      <w:bookmarkStart w:id="175" w:name="_Toc21453"/>
      <w:bookmarkStart w:id="176" w:name="_Toc7923"/>
      <w:bookmarkStart w:id="177" w:name="_Toc29609"/>
      <w:bookmarkStart w:id="178" w:name="_Toc492300578"/>
      <w:bookmarkStart w:id="179" w:name="_Toc25240"/>
      <w:bookmarkStart w:id="180" w:name="_Toc28644"/>
      <w:bookmarkStart w:id="181" w:name="_Toc21412"/>
      <w:bookmarkStart w:id="182" w:name="_Toc32308"/>
      <w:r>
        <w:rPr>
          <w:rFonts w:ascii="宋体" w:hAnsi="宋体" w:eastAsia="宋体" w:cs="宋体"/>
          <w:color w:val="auto"/>
          <w:szCs w:val="24"/>
          <w:highlight w:val="none"/>
        </w:rPr>
        <w:t xml:space="preserve">2.1 </w:t>
      </w:r>
      <w:r>
        <w:rPr>
          <w:rFonts w:hint="eastAsia" w:ascii="宋体" w:hAnsi="宋体" w:eastAsia="宋体" w:cs="宋体"/>
          <w:color w:val="auto"/>
          <w:szCs w:val="24"/>
          <w:highlight w:val="none"/>
        </w:rPr>
        <w:t>招标文件的组成</w:t>
      </w:r>
      <w:bookmarkEnd w:id="173"/>
      <w:bookmarkEnd w:id="174"/>
      <w:bookmarkEnd w:id="175"/>
      <w:bookmarkEnd w:id="176"/>
      <w:bookmarkEnd w:id="177"/>
      <w:bookmarkEnd w:id="178"/>
      <w:bookmarkEnd w:id="179"/>
      <w:bookmarkEnd w:id="180"/>
      <w:bookmarkEnd w:id="181"/>
      <w:bookmarkEnd w:id="182"/>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（1）招标公告；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（3）评标办法；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（4）合同条款及格式；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（5）委托人要求；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（6）投标文件格式；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投标人须知前附表规定的其他资料。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根据本章第1.10款、第2.2款和第2.3款对招标文件所作的澄清、修改，构成招标文件的组成部分。</w:t>
      </w:r>
    </w:p>
    <w:p>
      <w:pPr>
        <w:pStyle w:val="5"/>
        <w:spacing w:line="360" w:lineRule="auto"/>
        <w:ind w:firstLine="0" w:firstLineChars="0"/>
        <w:rPr>
          <w:rFonts w:ascii="宋体" w:hAnsi="宋体" w:eastAsia="宋体" w:cs="宋体"/>
          <w:color w:val="auto"/>
          <w:szCs w:val="24"/>
          <w:highlight w:val="none"/>
        </w:rPr>
      </w:pPr>
      <w:bookmarkStart w:id="183" w:name="_Toc17542"/>
      <w:bookmarkStart w:id="184" w:name="_Toc20512"/>
      <w:bookmarkStart w:id="185" w:name="_Toc32400"/>
      <w:bookmarkStart w:id="186" w:name="_Toc20370"/>
      <w:bookmarkStart w:id="187" w:name="_Toc31226"/>
      <w:bookmarkStart w:id="188" w:name="_Toc492300579"/>
      <w:bookmarkStart w:id="189" w:name="_Toc29033"/>
      <w:bookmarkStart w:id="190" w:name="_Toc21017"/>
      <w:bookmarkStart w:id="191" w:name="_Toc30224"/>
      <w:bookmarkStart w:id="192" w:name="_Toc27084"/>
      <w:r>
        <w:rPr>
          <w:rFonts w:ascii="宋体" w:hAnsi="宋体" w:eastAsia="宋体" w:cs="宋体"/>
          <w:color w:val="auto"/>
          <w:szCs w:val="24"/>
          <w:highlight w:val="none"/>
        </w:rPr>
        <w:t xml:space="preserve">2.2 </w:t>
      </w:r>
      <w:r>
        <w:rPr>
          <w:rFonts w:hint="eastAsia" w:ascii="宋体" w:hAnsi="宋体" w:eastAsia="宋体" w:cs="宋体"/>
          <w:color w:val="auto"/>
          <w:szCs w:val="24"/>
          <w:highlight w:val="none"/>
        </w:rPr>
        <w:t>招标文件的澄清</w:t>
      </w:r>
      <w:bookmarkEnd w:id="183"/>
      <w:bookmarkEnd w:id="184"/>
      <w:bookmarkEnd w:id="185"/>
      <w:bookmarkEnd w:id="186"/>
      <w:bookmarkEnd w:id="187"/>
      <w:bookmarkEnd w:id="188"/>
      <w:bookmarkEnd w:id="189"/>
      <w:bookmarkEnd w:id="190"/>
      <w:bookmarkEnd w:id="191"/>
      <w:bookmarkEnd w:id="192"/>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2.2.1 </w:t>
      </w:r>
      <w:r>
        <w:rPr>
          <w:rFonts w:hint="eastAsia" w:ascii="宋体" w:hAnsi="宋体" w:cs="宋体"/>
          <w:color w:val="auto"/>
          <w:sz w:val="24"/>
          <w:szCs w:val="24"/>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ascii="宋体" w:hAnsi="宋体" w:cs="宋体"/>
          <w:color w:val="auto"/>
          <w:sz w:val="24"/>
          <w:szCs w:val="24"/>
          <w:highlight w:val="none"/>
        </w:rPr>
      </w:pPr>
      <w:bookmarkStart w:id="193" w:name="_Hlk136176439"/>
      <w:r>
        <w:rPr>
          <w:rFonts w:hint="eastAsia" w:ascii="宋体" w:hAnsi="宋体" w:cs="宋体"/>
          <w:color w:val="auto"/>
          <w:sz w:val="24"/>
          <w:szCs w:val="24"/>
          <w:highlight w:val="none"/>
        </w:rPr>
        <w:t>2.2.2招标文件的澄清以投标人须知前附表规定的形式发给所有购买招标文件的投标人，但不指明澄清问题的来源。澄清发出的时间距本章第</w:t>
      </w:r>
      <w:r>
        <w:rPr>
          <w:rFonts w:ascii="宋体" w:hAnsi="宋体" w:cs="宋体"/>
          <w:color w:val="auto"/>
          <w:sz w:val="24"/>
          <w:szCs w:val="24"/>
          <w:highlight w:val="none"/>
        </w:rPr>
        <w:t>4.2.1项规定的投标截止时间不足15日的，并且澄清内容可能影响投标文件编制的，将相应延长投标截止时间。</w:t>
      </w:r>
    </w:p>
    <w:bookmarkEnd w:id="193"/>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2.2.3 </w:t>
      </w:r>
      <w:r>
        <w:rPr>
          <w:rFonts w:hint="eastAsia" w:ascii="宋体" w:hAnsi="宋体" w:cs="宋体"/>
          <w:color w:val="auto"/>
          <w:sz w:val="24"/>
          <w:szCs w:val="24"/>
          <w:highlight w:val="none"/>
        </w:rPr>
        <w:t>投标人在收到澄清后，应按投标人须知前附表规定的时间和形式通知招标人，确认已收到该澄清。</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2.2.4 </w:t>
      </w:r>
      <w:r>
        <w:rPr>
          <w:rFonts w:hint="eastAsia" w:ascii="宋体" w:hAnsi="宋体" w:cs="宋体"/>
          <w:color w:val="auto"/>
          <w:sz w:val="24"/>
          <w:szCs w:val="24"/>
          <w:highlight w:val="none"/>
        </w:rPr>
        <w:t>除非招标人认为确有必要答复，否则，招标人有权拒绝回复投标人在本章第2.2.1项规定的时间后的任何澄清要求。</w:t>
      </w:r>
    </w:p>
    <w:p>
      <w:pPr>
        <w:pStyle w:val="5"/>
        <w:spacing w:line="360" w:lineRule="auto"/>
        <w:ind w:firstLine="0" w:firstLineChars="0"/>
        <w:rPr>
          <w:rFonts w:ascii="宋体" w:hAnsi="宋体" w:eastAsia="宋体" w:cs="宋体"/>
          <w:color w:val="auto"/>
          <w:szCs w:val="24"/>
          <w:highlight w:val="none"/>
        </w:rPr>
      </w:pPr>
      <w:bookmarkStart w:id="194" w:name="_Toc21906"/>
      <w:bookmarkStart w:id="195" w:name="_Toc1427"/>
      <w:bookmarkStart w:id="196" w:name="_Toc28678"/>
      <w:bookmarkStart w:id="197" w:name="_Toc492300580"/>
      <w:bookmarkStart w:id="198" w:name="_Toc3354"/>
      <w:bookmarkStart w:id="199" w:name="_Toc7145"/>
      <w:bookmarkStart w:id="200" w:name="_Toc6375"/>
      <w:bookmarkStart w:id="201" w:name="_Toc19220"/>
      <w:bookmarkStart w:id="202" w:name="_Toc16341"/>
      <w:bookmarkStart w:id="203" w:name="_Toc11529"/>
      <w:bookmarkStart w:id="204" w:name="_Toc352691479"/>
      <w:r>
        <w:rPr>
          <w:rFonts w:ascii="宋体" w:hAnsi="宋体" w:eastAsia="宋体" w:cs="宋体"/>
          <w:color w:val="auto"/>
          <w:szCs w:val="24"/>
          <w:highlight w:val="none"/>
        </w:rPr>
        <w:t xml:space="preserve">2.3 </w:t>
      </w:r>
      <w:r>
        <w:rPr>
          <w:rFonts w:hint="eastAsia" w:ascii="宋体" w:hAnsi="宋体" w:eastAsia="宋体" w:cs="宋体"/>
          <w:color w:val="auto"/>
          <w:szCs w:val="24"/>
          <w:highlight w:val="none"/>
        </w:rPr>
        <w:t>招标文件的修</w:t>
      </w:r>
      <w:bookmarkStart w:id="205" w:name="_Toc369531521"/>
      <w:bookmarkStart w:id="206" w:name="_Toc16514"/>
      <w:r>
        <w:rPr>
          <w:rFonts w:hint="eastAsia" w:ascii="宋体" w:hAnsi="宋体" w:eastAsia="宋体" w:cs="宋体"/>
          <w:color w:val="auto"/>
          <w:szCs w:val="24"/>
          <w:highlight w:val="none"/>
        </w:rPr>
        <w:t>改</w:t>
      </w:r>
      <w:bookmarkEnd w:id="194"/>
      <w:bookmarkEnd w:id="195"/>
      <w:bookmarkEnd w:id="196"/>
      <w:bookmarkEnd w:id="197"/>
      <w:bookmarkEnd w:id="198"/>
      <w:bookmarkEnd w:id="199"/>
      <w:bookmarkEnd w:id="200"/>
      <w:bookmarkEnd w:id="201"/>
      <w:bookmarkEnd w:id="202"/>
      <w:bookmarkEnd w:id="20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204"/>
    <w:bookmarkEnd w:id="205"/>
    <w:bookmarkEnd w:id="206"/>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2.3.2 </w:t>
      </w:r>
      <w:r>
        <w:rPr>
          <w:rFonts w:hint="eastAsia" w:ascii="宋体" w:hAnsi="宋体" w:cs="宋体"/>
          <w:color w:val="auto"/>
          <w:sz w:val="24"/>
          <w:szCs w:val="24"/>
          <w:highlight w:val="none"/>
        </w:rPr>
        <w:t>投标人收到修改内容</w:t>
      </w:r>
      <w:bookmarkStart w:id="207" w:name="_Toc152045538"/>
      <w:bookmarkStart w:id="208" w:name="_Toc144974506"/>
      <w:bookmarkStart w:id="209" w:name="_Toc352691482"/>
      <w:bookmarkStart w:id="210" w:name="_Toc361508593"/>
      <w:bookmarkStart w:id="211" w:name="_Toc152042314"/>
      <w:bookmarkStart w:id="212" w:name="_Toc369531524"/>
      <w:bookmarkStart w:id="213" w:name="_Toc247513961"/>
      <w:bookmarkStart w:id="214" w:name="_Toc300834958"/>
      <w:bookmarkStart w:id="215" w:name="_Toc384308218"/>
      <w:bookmarkStart w:id="216" w:name="_Toc247527562"/>
      <w:bookmarkStart w:id="217" w:name="_Toc24632"/>
      <w:r>
        <w:rPr>
          <w:rFonts w:hint="eastAsia" w:ascii="宋体" w:hAnsi="宋体" w:cs="宋体"/>
          <w:color w:val="auto"/>
          <w:sz w:val="24"/>
          <w:szCs w:val="24"/>
          <w:highlight w:val="none"/>
        </w:rPr>
        <w:t>后，</w:t>
      </w:r>
      <w:bookmarkEnd w:id="207"/>
      <w:bookmarkEnd w:id="208"/>
      <w:bookmarkEnd w:id="209"/>
      <w:bookmarkEnd w:id="210"/>
      <w:bookmarkEnd w:id="211"/>
      <w:bookmarkEnd w:id="212"/>
      <w:bookmarkEnd w:id="213"/>
      <w:bookmarkEnd w:id="214"/>
      <w:bookmarkEnd w:id="215"/>
      <w:bookmarkEnd w:id="216"/>
      <w:bookmarkEnd w:id="217"/>
      <w:bookmarkStart w:id="218" w:name="_Toc384308220"/>
      <w:bookmarkStart w:id="219" w:name="_Toc152042316"/>
      <w:bookmarkStart w:id="220" w:name="_Toc16623"/>
      <w:bookmarkStart w:id="221" w:name="_Toc361508595"/>
      <w:bookmarkStart w:id="222" w:name="_Toc247527564"/>
      <w:bookmarkStart w:id="223" w:name="_Toc300834960"/>
      <w:bookmarkStart w:id="224" w:name="_Toc352691484"/>
      <w:bookmarkStart w:id="225" w:name="_Toc152045540"/>
      <w:bookmarkStart w:id="226" w:name="_Toc144974508"/>
      <w:bookmarkStart w:id="227" w:name="_Toc247513963"/>
      <w:bookmarkStart w:id="228" w:name="_Toc369531526"/>
      <w:r>
        <w:rPr>
          <w:rFonts w:hint="eastAsia" w:ascii="宋体" w:hAnsi="宋体" w:cs="宋体"/>
          <w:color w:val="auto"/>
          <w:sz w:val="24"/>
          <w:szCs w:val="24"/>
          <w:highlight w:val="none"/>
        </w:rPr>
        <w:t>应按投标人须知前附表规定的时间和形式通知招标人，确认已收到该修改。</w:t>
      </w:r>
    </w:p>
    <w:p>
      <w:pPr>
        <w:pStyle w:val="5"/>
        <w:spacing w:line="360" w:lineRule="auto"/>
        <w:ind w:firstLine="0" w:firstLineChars="0"/>
        <w:rPr>
          <w:rFonts w:ascii="宋体" w:hAnsi="宋体" w:eastAsia="宋体" w:cs="宋体"/>
          <w:color w:val="auto"/>
          <w:szCs w:val="24"/>
          <w:highlight w:val="none"/>
        </w:rPr>
      </w:pPr>
      <w:bookmarkStart w:id="229" w:name="_Toc32698"/>
      <w:bookmarkStart w:id="230" w:name="_Toc22512"/>
      <w:bookmarkStart w:id="231" w:name="_Toc12303"/>
      <w:bookmarkStart w:id="232" w:name="_Toc24120"/>
      <w:bookmarkStart w:id="233" w:name="_Toc30892"/>
      <w:bookmarkStart w:id="234" w:name="_Toc333"/>
      <w:bookmarkStart w:id="235" w:name="_Toc11612"/>
      <w:bookmarkStart w:id="236" w:name="_Toc492300581"/>
      <w:bookmarkStart w:id="237" w:name="_Toc9879"/>
      <w:bookmarkStart w:id="238" w:name="_Toc30063"/>
      <w:bookmarkStart w:id="239" w:name="_Hlk136176469"/>
      <w:r>
        <w:rPr>
          <w:rFonts w:ascii="宋体" w:hAnsi="宋体" w:eastAsia="宋体" w:cs="宋体"/>
          <w:color w:val="auto"/>
          <w:szCs w:val="24"/>
          <w:highlight w:val="none"/>
        </w:rPr>
        <w:t>2.</w:t>
      </w:r>
      <w:bookmarkEnd w:id="218"/>
      <w:bookmarkEnd w:id="219"/>
      <w:bookmarkEnd w:id="220"/>
      <w:bookmarkEnd w:id="221"/>
      <w:bookmarkEnd w:id="222"/>
      <w:bookmarkEnd w:id="223"/>
      <w:bookmarkEnd w:id="224"/>
      <w:bookmarkEnd w:id="225"/>
      <w:bookmarkEnd w:id="226"/>
      <w:bookmarkEnd w:id="227"/>
      <w:bookmarkEnd w:id="228"/>
      <w:r>
        <w:rPr>
          <w:rFonts w:ascii="宋体" w:hAnsi="宋体" w:eastAsia="宋体" w:cs="宋体"/>
          <w:color w:val="auto"/>
          <w:szCs w:val="24"/>
          <w:highlight w:val="none"/>
        </w:rPr>
        <w:t xml:space="preserve">4 </w:t>
      </w:r>
      <w:r>
        <w:rPr>
          <w:rFonts w:hint="eastAsia" w:ascii="宋体" w:hAnsi="宋体" w:eastAsia="宋体" w:cs="宋体"/>
          <w:color w:val="auto"/>
          <w:szCs w:val="24"/>
          <w:highlight w:val="none"/>
        </w:rPr>
        <w:t>招标文件的异议</w:t>
      </w:r>
      <w:bookmarkEnd w:id="229"/>
      <w:bookmarkEnd w:id="230"/>
      <w:bookmarkEnd w:id="231"/>
      <w:bookmarkEnd w:id="232"/>
      <w:bookmarkEnd w:id="233"/>
      <w:bookmarkEnd w:id="234"/>
      <w:bookmarkEnd w:id="235"/>
      <w:bookmarkEnd w:id="236"/>
      <w:bookmarkEnd w:id="237"/>
      <w:bookmarkEnd w:id="23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p>
    <w:bookmarkEnd w:id="239"/>
    <w:p>
      <w:pPr>
        <w:pStyle w:val="4"/>
        <w:spacing w:line="360" w:lineRule="auto"/>
        <w:rPr>
          <w:rFonts w:ascii="宋体" w:hAnsi="宋体" w:eastAsia="宋体" w:cs="宋体"/>
          <w:color w:val="auto"/>
          <w:sz w:val="28"/>
          <w:szCs w:val="28"/>
          <w:highlight w:val="none"/>
        </w:rPr>
      </w:pPr>
      <w:bookmarkStart w:id="240" w:name="_Toc18605"/>
      <w:bookmarkStart w:id="241" w:name="_Toc27522"/>
      <w:bookmarkStart w:id="242" w:name="_Toc570"/>
      <w:bookmarkStart w:id="243" w:name="_Toc32598"/>
      <w:bookmarkStart w:id="244" w:name="_Toc8793"/>
      <w:bookmarkStart w:id="245" w:name="_Toc18998"/>
      <w:bookmarkStart w:id="246" w:name="_Toc23844"/>
      <w:bookmarkStart w:id="247" w:name="_Toc11693"/>
      <w:bookmarkStart w:id="248" w:name="_Toc27869"/>
      <w:bookmarkStart w:id="249" w:name="_Toc492300582"/>
      <w:r>
        <w:rPr>
          <w:rFonts w:ascii="宋体" w:hAnsi="宋体" w:eastAsia="宋体" w:cs="宋体"/>
          <w:color w:val="auto"/>
          <w:sz w:val="28"/>
          <w:szCs w:val="28"/>
          <w:highlight w:val="none"/>
        </w:rPr>
        <w:t xml:space="preserve">3. </w:t>
      </w:r>
      <w:r>
        <w:rPr>
          <w:rFonts w:hint="eastAsia" w:ascii="宋体" w:hAnsi="宋体" w:eastAsia="宋体" w:cs="宋体"/>
          <w:color w:val="auto"/>
          <w:sz w:val="28"/>
          <w:szCs w:val="28"/>
          <w:highlight w:val="none"/>
        </w:rPr>
        <w:t>投标文件</w:t>
      </w:r>
      <w:bookmarkEnd w:id="240"/>
      <w:bookmarkEnd w:id="241"/>
      <w:bookmarkEnd w:id="242"/>
      <w:bookmarkEnd w:id="243"/>
      <w:bookmarkEnd w:id="244"/>
      <w:bookmarkEnd w:id="245"/>
      <w:bookmarkEnd w:id="246"/>
      <w:bookmarkEnd w:id="247"/>
      <w:bookmarkEnd w:id="248"/>
      <w:bookmarkEnd w:id="249"/>
    </w:p>
    <w:p>
      <w:pPr>
        <w:pStyle w:val="5"/>
        <w:spacing w:line="360" w:lineRule="auto"/>
        <w:ind w:firstLine="0" w:firstLineChars="0"/>
        <w:rPr>
          <w:rFonts w:ascii="宋体" w:hAnsi="宋体" w:eastAsia="宋体" w:cs="宋体"/>
          <w:color w:val="auto"/>
          <w:szCs w:val="24"/>
          <w:highlight w:val="none"/>
        </w:rPr>
      </w:pPr>
      <w:bookmarkStart w:id="250" w:name="_Toc24454"/>
      <w:bookmarkStart w:id="251" w:name="_Toc14035"/>
      <w:bookmarkStart w:id="252" w:name="_Toc26587"/>
      <w:bookmarkStart w:id="253" w:name="_Toc30059"/>
      <w:bookmarkStart w:id="254" w:name="_Toc22448"/>
      <w:bookmarkStart w:id="255" w:name="_Toc16439"/>
      <w:bookmarkStart w:id="256" w:name="_Toc492300583"/>
      <w:bookmarkStart w:id="257" w:name="_Toc26287"/>
      <w:bookmarkStart w:id="258" w:name="_Toc8333"/>
      <w:bookmarkStart w:id="259" w:name="_Toc31064"/>
      <w:r>
        <w:rPr>
          <w:rFonts w:ascii="宋体" w:hAnsi="宋体" w:eastAsia="宋体" w:cs="宋体"/>
          <w:color w:val="auto"/>
          <w:szCs w:val="24"/>
          <w:highlight w:val="none"/>
        </w:rPr>
        <w:t xml:space="preserve">3.1 </w:t>
      </w:r>
      <w:r>
        <w:rPr>
          <w:rFonts w:hint="eastAsia" w:ascii="宋体" w:hAnsi="宋体" w:eastAsia="宋体" w:cs="宋体"/>
          <w:color w:val="auto"/>
          <w:szCs w:val="24"/>
          <w:highlight w:val="none"/>
        </w:rPr>
        <w:t>投标文件的组成</w:t>
      </w:r>
      <w:bookmarkEnd w:id="250"/>
      <w:bookmarkEnd w:id="251"/>
      <w:bookmarkEnd w:id="252"/>
      <w:bookmarkEnd w:id="253"/>
      <w:bookmarkEnd w:id="254"/>
      <w:bookmarkEnd w:id="255"/>
      <w:bookmarkEnd w:id="256"/>
      <w:bookmarkEnd w:id="257"/>
      <w:bookmarkEnd w:id="258"/>
      <w:bookmarkEnd w:id="259"/>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3.1.1 </w:t>
      </w:r>
      <w:r>
        <w:rPr>
          <w:rFonts w:hint="eastAsia" w:ascii="宋体" w:hAnsi="宋体" w:cs="宋体"/>
          <w:color w:val="auto"/>
          <w:sz w:val="24"/>
          <w:szCs w:val="24"/>
          <w:highlight w:val="none"/>
        </w:rPr>
        <w:t>投标文件应包括下列内容：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（2）法定代表人身份证明或授权委托书；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（3）投标保证金</w:t>
      </w:r>
      <w:r>
        <w:rPr>
          <w:rFonts w:hint="eastAsia" w:ascii="宋体" w:hAnsi="宋体" w:cs="宋体"/>
          <w:color w:val="auto"/>
          <w:sz w:val="24"/>
          <w:szCs w:val="24"/>
          <w:highlight w:val="none"/>
          <w:lang w:eastAsia="zh-CN"/>
        </w:rPr>
        <w:t>（如有要求）</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（4）投标报价表；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（5）资格审查资料；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（6）监理大纲；</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（7）其他资料。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投标人在评标过程中作出的符合法律法规和招标文件规定的澄清确认，构成投标文件的组成部分。</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3.1.2 </w:t>
      </w:r>
      <w:r>
        <w:rPr>
          <w:rFonts w:hint="eastAsia" w:ascii="宋体" w:hAnsi="宋体" w:cs="宋体"/>
          <w:strike/>
          <w:color w:val="auto"/>
          <w:sz w:val="24"/>
          <w:szCs w:val="24"/>
          <w:highlight w:val="none"/>
        </w:rPr>
        <w:t>投标人须知前附表规定不接受联合体投标的，或投标人没有组成联合体的，投标文件不包括本章第3.1.1（3）目所指的联合体协议书。</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3.1.3 </w:t>
      </w:r>
      <w:r>
        <w:rPr>
          <w:rFonts w:hint="eastAsia" w:ascii="宋体" w:hAnsi="宋体" w:cs="宋体"/>
          <w:color w:val="auto"/>
          <w:sz w:val="24"/>
          <w:szCs w:val="24"/>
          <w:highlight w:val="none"/>
        </w:rPr>
        <w:t>投标人须知前附表未要求提交投标保证金的，投标文件不包括本章第3.1.1（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）目所指的投标保证金。</w:t>
      </w:r>
    </w:p>
    <w:p>
      <w:pPr>
        <w:pStyle w:val="5"/>
        <w:spacing w:line="360" w:lineRule="auto"/>
        <w:ind w:firstLine="0" w:firstLineChars="0"/>
        <w:rPr>
          <w:rFonts w:ascii="宋体" w:hAnsi="宋体" w:eastAsia="宋体" w:cs="宋体"/>
          <w:color w:val="auto"/>
          <w:szCs w:val="24"/>
          <w:highlight w:val="none"/>
        </w:rPr>
      </w:pPr>
      <w:bookmarkStart w:id="260" w:name="_Toc32515"/>
      <w:bookmarkStart w:id="261" w:name="_Toc2013"/>
      <w:bookmarkStart w:id="262" w:name="_Toc15851"/>
      <w:bookmarkStart w:id="263" w:name="_Toc792"/>
      <w:bookmarkStart w:id="264" w:name="_Toc492300584"/>
      <w:bookmarkStart w:id="265" w:name="_Toc4291"/>
      <w:bookmarkStart w:id="266" w:name="_Toc27272"/>
      <w:bookmarkStart w:id="267" w:name="_Toc27845"/>
      <w:bookmarkStart w:id="268" w:name="_Toc13408"/>
      <w:bookmarkStart w:id="269" w:name="_Toc28363"/>
      <w:r>
        <w:rPr>
          <w:rFonts w:ascii="宋体" w:hAnsi="宋体" w:eastAsia="宋体" w:cs="宋体"/>
          <w:color w:val="auto"/>
          <w:szCs w:val="24"/>
          <w:highlight w:val="none"/>
        </w:rPr>
        <w:t xml:space="preserve">3.2 </w:t>
      </w:r>
      <w:r>
        <w:rPr>
          <w:rFonts w:hint="eastAsia" w:ascii="宋体" w:hAnsi="宋体" w:eastAsia="宋体" w:cs="宋体"/>
          <w:color w:val="auto"/>
          <w:szCs w:val="24"/>
          <w:highlight w:val="none"/>
        </w:rPr>
        <w:t>投标报价</w:t>
      </w:r>
      <w:bookmarkEnd w:id="260"/>
      <w:bookmarkEnd w:id="261"/>
      <w:bookmarkEnd w:id="262"/>
      <w:bookmarkEnd w:id="263"/>
      <w:bookmarkEnd w:id="264"/>
      <w:bookmarkEnd w:id="265"/>
      <w:bookmarkEnd w:id="266"/>
      <w:bookmarkEnd w:id="267"/>
      <w:bookmarkEnd w:id="268"/>
      <w:bookmarkEnd w:id="26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3.2.1投标报价应包括国家规定的增值税税金，除投标人须知前附表另有规定外，增值税税金按一般计税方法计算。投标人应按第六章“投标文件格式”的要求在投标函中进行报价并填写投标报价表。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3.2.2 </w:t>
      </w:r>
      <w:r>
        <w:rPr>
          <w:rFonts w:hint="eastAsia" w:ascii="宋体" w:hAnsi="宋体" w:cs="宋体"/>
          <w:color w:val="auto"/>
          <w:sz w:val="24"/>
          <w:szCs w:val="24"/>
          <w:highlight w:val="none"/>
        </w:rPr>
        <w:t>投标人应充分了解该项目的总体情况以及影响投标报价的其他要素。</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3.2.3</w:t>
      </w:r>
      <w:bookmarkStart w:id="270" w:name="_Toc247513967"/>
      <w:bookmarkEnd w:id="270"/>
      <w:bookmarkStart w:id="271" w:name="_Toc384308224"/>
      <w:bookmarkEnd w:id="271"/>
      <w:bookmarkStart w:id="272" w:name="_Toc300834964"/>
      <w:bookmarkEnd w:id="272"/>
      <w:bookmarkStart w:id="273" w:name="_Toc352691487"/>
      <w:bookmarkEnd w:id="273"/>
      <w:bookmarkStart w:id="274" w:name="_Toc247527568"/>
      <w:bookmarkEnd w:id="274"/>
      <w:bookmarkStart w:id="275" w:name="_Toc361508599"/>
      <w:bookmarkEnd w:id="275"/>
      <w:bookmarkStart w:id="276" w:name="_Toc144974511"/>
      <w:bookmarkEnd w:id="276"/>
      <w:bookmarkStart w:id="277" w:name="_Toc15242"/>
      <w:bookmarkEnd w:id="277"/>
      <w:bookmarkStart w:id="278" w:name="_Toc152042319"/>
      <w:bookmarkEnd w:id="278"/>
      <w:bookmarkStart w:id="279" w:name="_Toc369531530"/>
      <w:bookmarkEnd w:id="279"/>
      <w:bookmarkStart w:id="280" w:name="_Toc152045543"/>
      <w:bookmarkEnd w:id="280"/>
      <w:r>
        <w:rPr>
          <w:rFonts w:hint="eastAsia" w:ascii="宋体" w:hAnsi="宋体" w:cs="宋体"/>
          <w:color w:val="auto"/>
          <w:sz w:val="24"/>
          <w:szCs w:val="24"/>
          <w:highlight w:val="none"/>
        </w:rPr>
        <w:t xml:space="preserve"> 本项目的报价方式见投标人须知前附表。投标人在投标截止时间前修改投标函中的投标报价总额，应同时修改投标文件“投标报价表”中的相应报价。此修改须符合本章第4.3款的有关要求。</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3.2.4</w:t>
      </w:r>
      <w:r>
        <w:rPr>
          <w:rFonts w:hint="eastAsia" w:ascii="宋体" w:hAnsi="宋体" w:cs="宋体"/>
          <w:color w:val="auto"/>
          <w:sz w:val="24"/>
          <w:szCs w:val="24"/>
          <w:highlight w:val="none"/>
        </w:rPr>
        <w:t>招标人设有最高投标限价的，投标人的投标报价不得超过最高投标限价，最高投标限价在投标</w:t>
      </w:r>
      <w:bookmarkStart w:id="281" w:name="_Toc384308225"/>
      <w:bookmarkStart w:id="282" w:name="_Toc247527569"/>
      <w:bookmarkStart w:id="283" w:name="_Toc152045544"/>
      <w:bookmarkStart w:id="284" w:name="_Toc300834965"/>
      <w:bookmarkStart w:id="285" w:name="_Toc361508600"/>
      <w:bookmarkStart w:id="286" w:name="_Toc10429"/>
      <w:bookmarkStart w:id="287" w:name="_Toc144974512"/>
      <w:bookmarkStart w:id="288" w:name="_Toc369531531"/>
      <w:bookmarkStart w:id="289" w:name="_Toc247513968"/>
      <w:bookmarkStart w:id="290" w:name="_Toc152042320"/>
      <w:bookmarkStart w:id="291" w:name="_Toc352691488"/>
      <w:r>
        <w:rPr>
          <w:rFonts w:hint="eastAsia" w:ascii="宋体" w:hAnsi="宋体" w:cs="宋体"/>
          <w:color w:val="auto"/>
          <w:sz w:val="24"/>
          <w:szCs w:val="24"/>
          <w:highlight w:val="none"/>
        </w:rPr>
        <w:t>人须知前附表中载明。</w:t>
      </w:r>
      <w:bookmarkEnd w:id="281"/>
      <w:bookmarkEnd w:id="282"/>
      <w:bookmarkEnd w:id="283"/>
      <w:bookmarkEnd w:id="284"/>
      <w:bookmarkEnd w:id="285"/>
      <w:bookmarkEnd w:id="286"/>
      <w:bookmarkEnd w:id="287"/>
      <w:bookmarkEnd w:id="288"/>
      <w:bookmarkEnd w:id="289"/>
      <w:bookmarkEnd w:id="290"/>
      <w:bookmarkEnd w:id="291"/>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3.2.5 </w:t>
      </w:r>
      <w:r>
        <w:rPr>
          <w:rFonts w:hint="eastAsia" w:ascii="宋体" w:hAnsi="宋体" w:cs="宋体"/>
          <w:color w:val="auto"/>
          <w:sz w:val="24"/>
          <w:szCs w:val="24"/>
          <w:highlight w:val="none"/>
        </w:rPr>
        <w:t>投标报价的其他要求见投标人须知前附表。</w:t>
      </w:r>
    </w:p>
    <w:p>
      <w:pPr>
        <w:pStyle w:val="5"/>
        <w:spacing w:line="360" w:lineRule="auto"/>
        <w:ind w:firstLine="0" w:firstLineChars="0"/>
        <w:rPr>
          <w:rFonts w:ascii="宋体" w:hAnsi="宋体" w:eastAsia="宋体" w:cs="宋体"/>
          <w:color w:val="auto"/>
          <w:szCs w:val="24"/>
          <w:highlight w:val="none"/>
        </w:rPr>
      </w:pPr>
      <w:bookmarkStart w:id="292" w:name="_Toc27035"/>
      <w:bookmarkStart w:id="293" w:name="_Toc4335"/>
      <w:bookmarkStart w:id="294" w:name="_Toc11271"/>
      <w:bookmarkStart w:id="295" w:name="_Toc24303"/>
      <w:bookmarkStart w:id="296" w:name="_Toc20912"/>
      <w:bookmarkStart w:id="297" w:name="_Toc25774"/>
      <w:bookmarkStart w:id="298" w:name="_Toc2810"/>
      <w:bookmarkStart w:id="299" w:name="_Toc14738"/>
      <w:bookmarkStart w:id="300" w:name="_Toc492300585"/>
      <w:bookmarkStart w:id="301" w:name="_Toc10185"/>
      <w:r>
        <w:rPr>
          <w:rFonts w:ascii="宋体" w:hAnsi="宋体" w:eastAsia="宋体" w:cs="宋体"/>
          <w:color w:val="auto"/>
          <w:szCs w:val="24"/>
          <w:highlight w:val="none"/>
        </w:rPr>
        <w:t xml:space="preserve">3.3 </w:t>
      </w:r>
      <w:r>
        <w:rPr>
          <w:rFonts w:hint="eastAsia" w:ascii="宋体" w:hAnsi="宋体" w:eastAsia="宋体" w:cs="宋体"/>
          <w:color w:val="auto"/>
          <w:szCs w:val="24"/>
          <w:highlight w:val="none"/>
        </w:rPr>
        <w:t>投标有效期</w:t>
      </w:r>
      <w:bookmarkEnd w:id="292"/>
      <w:bookmarkEnd w:id="293"/>
      <w:bookmarkEnd w:id="294"/>
      <w:bookmarkEnd w:id="295"/>
      <w:bookmarkEnd w:id="296"/>
      <w:bookmarkEnd w:id="297"/>
      <w:bookmarkEnd w:id="298"/>
      <w:bookmarkEnd w:id="299"/>
      <w:bookmarkEnd w:id="300"/>
      <w:bookmarkEnd w:id="301"/>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3.3.1 </w:t>
      </w:r>
      <w:r>
        <w:rPr>
          <w:rFonts w:hint="eastAsia" w:ascii="宋体" w:hAnsi="宋体" w:cs="宋体"/>
          <w:color w:val="auto"/>
          <w:sz w:val="24"/>
          <w:szCs w:val="24"/>
          <w:highlight w:val="none"/>
        </w:rPr>
        <w:t>除投标人须知前附表另有规定外，投标有效期为90天。</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3.3.2 </w:t>
      </w:r>
      <w:r>
        <w:rPr>
          <w:rFonts w:hint="eastAsia" w:ascii="宋体" w:hAnsi="宋体" w:cs="宋体"/>
          <w:color w:val="auto"/>
          <w:sz w:val="24"/>
          <w:szCs w:val="24"/>
          <w:highlight w:val="none"/>
        </w:rPr>
        <w:t>在投标有效期内，投标人撤销投标文件的，应承担招标文件和法律规定的责任。</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3.3.3 </w:t>
      </w:r>
      <w:r>
        <w:rPr>
          <w:rFonts w:hint="eastAsia" w:ascii="宋体" w:hAnsi="宋体" w:cs="宋体"/>
          <w:color w:val="auto"/>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spacing w:line="360" w:lineRule="auto"/>
        <w:ind w:firstLine="0" w:firstLineChars="0"/>
        <w:rPr>
          <w:rFonts w:ascii="宋体" w:hAnsi="宋体" w:eastAsia="宋体" w:cs="宋体"/>
          <w:color w:val="auto"/>
          <w:szCs w:val="24"/>
          <w:highlight w:val="none"/>
        </w:rPr>
      </w:pPr>
      <w:bookmarkStart w:id="302" w:name="_Toc29543"/>
      <w:bookmarkStart w:id="303" w:name="_Toc30597"/>
      <w:bookmarkStart w:id="304" w:name="_Toc311"/>
      <w:bookmarkStart w:id="305" w:name="_Toc5522"/>
      <w:bookmarkStart w:id="306" w:name="_Toc16740"/>
      <w:bookmarkStart w:id="307" w:name="_Toc27738"/>
      <w:bookmarkStart w:id="308" w:name="_Toc26401"/>
      <w:bookmarkStart w:id="309" w:name="_Toc492300586"/>
      <w:bookmarkStart w:id="310" w:name="_Toc25672"/>
      <w:bookmarkStart w:id="311" w:name="_Toc12714"/>
      <w:r>
        <w:rPr>
          <w:rFonts w:ascii="宋体" w:hAnsi="宋体" w:eastAsia="宋体" w:cs="宋体"/>
          <w:color w:val="auto"/>
          <w:szCs w:val="24"/>
          <w:highlight w:val="none"/>
        </w:rPr>
        <w:t xml:space="preserve">3.4 </w:t>
      </w:r>
      <w:r>
        <w:rPr>
          <w:rFonts w:hint="eastAsia" w:ascii="宋体" w:hAnsi="宋体" w:eastAsia="宋体" w:cs="宋体"/>
          <w:color w:val="auto"/>
          <w:szCs w:val="24"/>
          <w:highlight w:val="none"/>
        </w:rPr>
        <w:t>投标保证金</w:t>
      </w:r>
      <w:bookmarkEnd w:id="302"/>
      <w:bookmarkEnd w:id="303"/>
      <w:bookmarkEnd w:id="304"/>
      <w:bookmarkEnd w:id="305"/>
      <w:bookmarkEnd w:id="306"/>
      <w:bookmarkEnd w:id="307"/>
      <w:bookmarkEnd w:id="308"/>
      <w:bookmarkEnd w:id="309"/>
      <w:bookmarkEnd w:id="310"/>
      <w:bookmarkEnd w:id="311"/>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3.4.1 </w:t>
      </w:r>
      <w:r>
        <w:rPr>
          <w:rFonts w:hint="eastAsia" w:ascii="宋体" w:hAnsi="宋体" w:cs="宋体"/>
          <w:color w:val="auto"/>
          <w:sz w:val="24"/>
          <w:szCs w:val="24"/>
          <w:highlight w:val="none"/>
        </w:rPr>
        <w:t>投标人在递交投标文件的同时，应按投标人须知前附表规定的金额</w:t>
      </w:r>
      <w:bookmarkStart w:id="312" w:name="_Toc152045545"/>
      <w:bookmarkStart w:id="313" w:name="_Toc152042321"/>
      <w:bookmarkStart w:id="314" w:name="_Toc144974513"/>
      <w:bookmarkStart w:id="315" w:name="_Toc247527570"/>
      <w:bookmarkStart w:id="316" w:name="_Toc247513969"/>
      <w:bookmarkStart w:id="317" w:name="_Toc384308226"/>
      <w:bookmarkStart w:id="318" w:name="_Toc352691489"/>
      <w:bookmarkStart w:id="319" w:name="_Toc369531532"/>
      <w:bookmarkStart w:id="320" w:name="_Toc4592"/>
      <w:bookmarkStart w:id="321" w:name="_Toc361508601"/>
      <w:bookmarkStart w:id="322" w:name="_Toc300834966"/>
      <w:r>
        <w:rPr>
          <w:rFonts w:hint="eastAsia" w:ascii="宋体" w:hAnsi="宋体" w:cs="宋体"/>
          <w:color w:val="auto"/>
          <w:sz w:val="24"/>
          <w:szCs w:val="24"/>
          <w:highlight w:val="none"/>
        </w:rPr>
        <w:t>、形式和第六章“投标文</w:t>
      </w:r>
      <w:bookmarkEnd w:id="312"/>
      <w:bookmarkEnd w:id="313"/>
      <w:bookmarkEnd w:id="314"/>
      <w:bookmarkEnd w:id="315"/>
      <w:bookmarkEnd w:id="316"/>
      <w:bookmarkEnd w:id="317"/>
      <w:bookmarkEnd w:id="318"/>
      <w:bookmarkEnd w:id="319"/>
      <w:bookmarkEnd w:id="320"/>
      <w:bookmarkEnd w:id="321"/>
      <w:bookmarkEnd w:id="322"/>
      <w:r>
        <w:rPr>
          <w:rFonts w:hint="eastAsia" w:ascii="宋体" w:hAnsi="宋体" w:cs="宋体"/>
          <w:color w:val="auto"/>
          <w:sz w:val="24"/>
          <w:szCs w:val="24"/>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3.4.2 </w:t>
      </w:r>
      <w:r>
        <w:rPr>
          <w:rFonts w:hint="eastAsia" w:ascii="宋体" w:hAnsi="宋体" w:cs="宋体"/>
          <w:color w:val="auto"/>
          <w:sz w:val="24"/>
          <w:szCs w:val="24"/>
          <w:highlight w:val="none"/>
        </w:rPr>
        <w:t>投标人不按本章第3.4.1项</w:t>
      </w:r>
      <w:bookmarkStart w:id="323" w:name="_Toc369531533"/>
      <w:bookmarkStart w:id="324" w:name="_Toc361508602"/>
      <w:bookmarkStart w:id="325" w:name="_Toc352691490"/>
      <w:bookmarkStart w:id="326" w:name="_Toc29025"/>
      <w:bookmarkStart w:id="327" w:name="_Toc384308227"/>
      <w:r>
        <w:rPr>
          <w:rFonts w:hint="eastAsia" w:ascii="宋体" w:hAnsi="宋体" w:cs="宋体"/>
          <w:color w:val="auto"/>
          <w:sz w:val="24"/>
          <w:szCs w:val="24"/>
          <w:highlight w:val="none"/>
        </w:rPr>
        <w:t>要求提交投标保证金的，</w:t>
      </w:r>
      <w:bookmarkEnd w:id="323"/>
      <w:bookmarkEnd w:id="324"/>
      <w:bookmarkEnd w:id="325"/>
      <w:bookmarkEnd w:id="326"/>
      <w:bookmarkEnd w:id="327"/>
      <w:r>
        <w:rPr>
          <w:rFonts w:hint="eastAsia" w:ascii="宋体" w:hAnsi="宋体" w:cs="宋体"/>
          <w:color w:val="auto"/>
          <w:sz w:val="24"/>
          <w:szCs w:val="24"/>
          <w:highlight w:val="none"/>
        </w:rPr>
        <w:t>评标委员会将否决其投标。</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3.4.3 </w:t>
      </w:r>
      <w:r>
        <w:rPr>
          <w:rFonts w:hint="eastAsia" w:ascii="宋体" w:hAnsi="宋体" w:cs="宋体"/>
          <w:color w:val="auto"/>
          <w:sz w:val="24"/>
          <w:szCs w:val="24"/>
          <w:highlight w:val="none"/>
        </w:rPr>
        <w:t>招标人最迟将在与中标人</w:t>
      </w:r>
      <w:bookmarkStart w:id="328" w:name="_Toc369531534"/>
      <w:bookmarkStart w:id="329" w:name="_Toc361508603"/>
      <w:bookmarkStart w:id="330" w:name="_Toc152045546"/>
      <w:bookmarkStart w:id="331" w:name="_Toc152042322"/>
      <w:bookmarkStart w:id="332" w:name="_Toc247513970"/>
      <w:bookmarkStart w:id="333" w:name="_Toc247527571"/>
      <w:bookmarkStart w:id="334" w:name="_Toc300834967"/>
      <w:bookmarkStart w:id="335" w:name="_Toc144974514"/>
      <w:bookmarkStart w:id="336" w:name="_Toc352691491"/>
      <w:bookmarkStart w:id="337" w:name="_Toc14751"/>
      <w:bookmarkStart w:id="338" w:name="_Toc384308228"/>
      <w:r>
        <w:rPr>
          <w:rFonts w:hint="eastAsia" w:ascii="宋体" w:hAnsi="宋体" w:cs="宋体"/>
          <w:color w:val="auto"/>
          <w:sz w:val="24"/>
          <w:szCs w:val="24"/>
          <w:highlight w:val="none"/>
        </w:rPr>
        <w:t>签订合同后5日</w:t>
      </w:r>
      <w:bookmarkEnd w:id="328"/>
      <w:bookmarkEnd w:id="329"/>
      <w:bookmarkEnd w:id="330"/>
      <w:bookmarkEnd w:id="331"/>
      <w:bookmarkEnd w:id="332"/>
      <w:bookmarkEnd w:id="333"/>
      <w:bookmarkEnd w:id="334"/>
      <w:bookmarkEnd w:id="335"/>
      <w:bookmarkEnd w:id="336"/>
      <w:bookmarkEnd w:id="337"/>
      <w:bookmarkEnd w:id="338"/>
      <w:r>
        <w:rPr>
          <w:rFonts w:hint="eastAsia" w:ascii="宋体" w:hAnsi="宋体" w:cs="宋体"/>
          <w:color w:val="auto"/>
          <w:sz w:val="24"/>
          <w:szCs w:val="24"/>
          <w:highlight w:val="none"/>
        </w:rPr>
        <w:t>内</w:t>
      </w:r>
      <w:bookmarkStart w:id="339" w:name="_Toc361508604"/>
      <w:bookmarkStart w:id="340" w:name="_Toc300834968"/>
      <w:bookmarkStart w:id="341" w:name="_Toc152045547"/>
      <w:bookmarkStart w:id="342" w:name="_Toc247527572"/>
      <w:bookmarkStart w:id="343" w:name="_Toc369531535"/>
      <w:bookmarkStart w:id="344" w:name="_Toc384308229"/>
      <w:bookmarkStart w:id="345" w:name="_Toc152042323"/>
      <w:bookmarkStart w:id="346" w:name="_Toc144974515"/>
      <w:bookmarkStart w:id="347" w:name="_Toc247513971"/>
      <w:bookmarkStart w:id="348" w:name="_Toc17952"/>
      <w:bookmarkStart w:id="349" w:name="_Toc352691492"/>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由广州公共资源交易中心</w:t>
      </w:r>
      <w:r>
        <w:rPr>
          <w:rFonts w:hint="eastAsia" w:ascii="宋体" w:hAnsi="宋体" w:cs="宋体"/>
          <w:color w:val="auto"/>
          <w:sz w:val="24"/>
          <w:szCs w:val="24"/>
          <w:highlight w:val="none"/>
        </w:rPr>
        <w:t>向未中标的投标人和中</w:t>
      </w:r>
      <w:bookmarkEnd w:id="339"/>
      <w:bookmarkEnd w:id="340"/>
      <w:bookmarkEnd w:id="341"/>
      <w:bookmarkEnd w:id="342"/>
      <w:bookmarkEnd w:id="343"/>
      <w:bookmarkEnd w:id="344"/>
      <w:bookmarkEnd w:id="345"/>
      <w:bookmarkEnd w:id="346"/>
      <w:bookmarkEnd w:id="347"/>
      <w:bookmarkEnd w:id="348"/>
      <w:bookmarkEnd w:id="349"/>
      <w:r>
        <w:rPr>
          <w:rFonts w:hint="eastAsia" w:ascii="宋体" w:hAnsi="宋体" w:cs="宋体"/>
          <w:color w:val="auto"/>
          <w:sz w:val="24"/>
          <w:szCs w:val="24"/>
          <w:highlight w:val="none"/>
        </w:rPr>
        <w:t>标人退还投标保证金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投标保证金以现金或者支票形式递交的，还应退还银行同期存款利息。</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3.4.4 </w:t>
      </w:r>
      <w:r>
        <w:rPr>
          <w:rFonts w:hint="eastAsia" w:ascii="宋体" w:hAnsi="宋体" w:cs="宋体"/>
          <w:color w:val="auto"/>
          <w:sz w:val="24"/>
          <w:szCs w:val="24"/>
          <w:highlight w:val="none"/>
        </w:rPr>
        <w:t>有下列情形之一的，投标保证金将不予退还：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（1）投标人在投标有效期内撤销投标文件；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（2）中标人在收到中标通知书后，无正当理由不与招标人订立合同，在签订合同时向招标人提出附加条件，或者不按照招标文件要求提交履约保证金；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（3）发生投标人须知前附表规定的其他可以不予退还投标保证金的情形。</w:t>
      </w:r>
    </w:p>
    <w:p>
      <w:pPr>
        <w:pStyle w:val="5"/>
        <w:spacing w:line="360" w:lineRule="auto"/>
        <w:ind w:firstLine="0" w:firstLineChars="0"/>
        <w:rPr>
          <w:rFonts w:ascii="宋体" w:hAnsi="宋体" w:eastAsia="宋体" w:cs="宋体"/>
          <w:color w:val="auto"/>
          <w:szCs w:val="24"/>
          <w:highlight w:val="none"/>
        </w:rPr>
      </w:pPr>
      <w:bookmarkStart w:id="350" w:name="_Toc19882"/>
      <w:bookmarkStart w:id="351" w:name="_Toc5639"/>
      <w:bookmarkStart w:id="352" w:name="_Toc11489"/>
      <w:bookmarkStart w:id="353" w:name="_Toc26503"/>
      <w:bookmarkStart w:id="354" w:name="_Toc7646"/>
      <w:bookmarkStart w:id="355" w:name="_Toc24524"/>
      <w:bookmarkStart w:id="356" w:name="_Toc5941"/>
      <w:bookmarkStart w:id="357" w:name="_Toc30937"/>
      <w:bookmarkStart w:id="358" w:name="_Toc15036"/>
      <w:bookmarkStart w:id="359" w:name="_Toc492300588"/>
      <w:bookmarkStart w:id="360" w:name="_Hlk136177837"/>
      <w:r>
        <w:rPr>
          <w:rFonts w:ascii="宋体" w:hAnsi="宋体" w:eastAsia="宋体" w:cs="宋体"/>
          <w:color w:val="auto"/>
          <w:szCs w:val="24"/>
          <w:highlight w:val="none"/>
        </w:rPr>
        <w:t xml:space="preserve">3.5 </w:t>
      </w:r>
      <w:r>
        <w:rPr>
          <w:rFonts w:hint="eastAsia" w:ascii="宋体" w:hAnsi="宋体" w:eastAsia="宋体" w:cs="宋体"/>
          <w:color w:val="auto"/>
          <w:szCs w:val="24"/>
          <w:highlight w:val="none"/>
        </w:rPr>
        <w:t>资格审查资料（适用于未进行资格预审的）</w:t>
      </w:r>
      <w:bookmarkEnd w:id="350"/>
      <w:bookmarkEnd w:id="351"/>
      <w:bookmarkEnd w:id="352"/>
      <w:bookmarkEnd w:id="353"/>
      <w:bookmarkEnd w:id="354"/>
      <w:bookmarkEnd w:id="355"/>
      <w:bookmarkEnd w:id="356"/>
      <w:bookmarkEnd w:id="357"/>
      <w:bookmarkEnd w:id="358"/>
      <w:bookmarkEnd w:id="359"/>
    </w:p>
    <w:bookmarkEnd w:id="360"/>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除投标人须知前附表另有规定外，投标人应按下列规定提供资格审查资料，以证明其满足本章第1.4款规定的资质、财务、业绩、信誉等要求。</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3.5.1 </w:t>
      </w:r>
      <w:r>
        <w:rPr>
          <w:rFonts w:hint="eastAsia" w:ascii="宋体" w:hAnsi="宋体" w:cs="宋体"/>
          <w:color w:val="auto"/>
          <w:sz w:val="24"/>
          <w:szCs w:val="24"/>
          <w:highlight w:val="none"/>
        </w:rPr>
        <w:t>“投标人基本情况表”应附投标人营业执照和组织机构代码证的扫描件（按照“三证合一”或“五证合一”登记制度进行登记的，可仅提供营业执照扫描件）、投标人监理资质证书副本等材料的扫描件。</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3.5.2 </w:t>
      </w:r>
      <w:r>
        <w:rPr>
          <w:rFonts w:hint="eastAsia" w:ascii="宋体" w:hAnsi="宋体" w:cs="宋体"/>
          <w:strike/>
          <w:color w:val="auto"/>
          <w:sz w:val="24"/>
          <w:szCs w:val="24"/>
          <w:highlight w:val="none"/>
        </w:rPr>
        <w:t>“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3.5.3 </w:t>
      </w:r>
      <w:r>
        <w:rPr>
          <w:rFonts w:hint="eastAsia" w:ascii="宋体" w:hAnsi="宋体" w:cs="宋体"/>
          <w:strike/>
          <w:color w:val="auto"/>
          <w:sz w:val="24"/>
          <w:szCs w:val="24"/>
          <w:highlight w:val="none"/>
        </w:rPr>
        <w:t>“近年完成的类似监理项目情况表”应附中标通知书和（或）合同协议书、委托人出具的证明文件；具体时间要求见投标人须知前附表，每张表格只填写一个项目，并标明序号。</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3.5.4 </w:t>
      </w:r>
      <w:r>
        <w:rPr>
          <w:rFonts w:hint="eastAsia" w:ascii="宋体" w:hAnsi="宋体" w:cs="宋体"/>
          <w:strike/>
          <w:color w:val="auto"/>
          <w:sz w:val="24"/>
          <w:szCs w:val="24"/>
          <w:highlight w:val="none"/>
        </w:rPr>
        <w:t>“正在监理和新承接的项目情况表”应附中标通知书和（或）合同协议书扫描件。每张表格只填写一个项目，并标明序号。</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3.5.5 </w:t>
      </w:r>
      <w:r>
        <w:rPr>
          <w:rFonts w:hint="eastAsia" w:ascii="宋体" w:hAnsi="宋体" w:cs="宋体"/>
          <w:strike/>
          <w:color w:val="auto"/>
          <w:sz w:val="24"/>
          <w:szCs w:val="24"/>
          <w:highlight w:val="none"/>
        </w:rPr>
        <w:t>“近年发生的诉讼及仲裁情况”应说明投标人败诉的监理合同的相关情况，并附法院或仲裁机构作出的判决、裁决等有关法律文书扫描件，具体时间要求见投标人须知前附表。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3.5.6 </w:t>
      </w:r>
      <w:r>
        <w:rPr>
          <w:rFonts w:hint="eastAsia" w:ascii="宋体" w:hAnsi="宋体" w:cs="宋体"/>
          <w:color w:val="auto"/>
          <w:sz w:val="24"/>
          <w:szCs w:val="24"/>
          <w:highlight w:val="none"/>
        </w:rPr>
        <w:t>“拟委任的主要人员汇总表”应填报满足本章第1.4.1项规定的总监理工程师和其他主要人员的相关信息。“主要人员简历表”中总监理工程师应附身份证、学历证、职称证、注册监理工程师执业证书和社保缴费证明扫描件；其他主要人员应附身份证、学历证、职称证、有关证书和社保缴费证明扫描件。</w:t>
      </w:r>
    </w:p>
    <w:p>
      <w:pPr>
        <w:spacing w:line="360" w:lineRule="auto"/>
        <w:ind w:firstLine="480" w:firstLineChars="200"/>
        <w:rPr>
          <w:rFonts w:ascii="宋体" w:hAnsi="宋体" w:cs="宋体"/>
          <w:strike/>
          <w:dstrike w:val="0"/>
          <w:color w:val="auto"/>
          <w:sz w:val="24"/>
          <w:szCs w:val="24"/>
          <w:highlight w:val="none"/>
        </w:rPr>
      </w:pPr>
      <w:r>
        <w:rPr>
          <w:rFonts w:ascii="宋体" w:hAnsi="宋体" w:cs="宋体"/>
          <w:strike/>
          <w:dstrike w:val="0"/>
          <w:color w:val="auto"/>
          <w:sz w:val="24"/>
          <w:szCs w:val="24"/>
          <w:highlight w:val="none"/>
        </w:rPr>
        <w:t xml:space="preserve">3.5.7 </w:t>
      </w:r>
      <w:r>
        <w:rPr>
          <w:rFonts w:hint="eastAsia" w:ascii="宋体" w:hAnsi="宋体" w:cs="宋体"/>
          <w:strike/>
          <w:dstrike w:val="0"/>
          <w:color w:val="auto"/>
          <w:sz w:val="24"/>
          <w:szCs w:val="24"/>
          <w:highlight w:val="none"/>
        </w:rPr>
        <w:t>“拟投入本项目的主要试验检测仪器设备表”应填报满足本章第1.4.1项规定的试验检测仪器设备。</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3.5.8 </w:t>
      </w:r>
      <w:r>
        <w:rPr>
          <w:rFonts w:hint="eastAsia" w:ascii="宋体" w:hAnsi="宋体" w:cs="宋体"/>
          <w:color w:val="auto"/>
          <w:sz w:val="24"/>
          <w:szCs w:val="24"/>
          <w:highlight w:val="none"/>
        </w:rPr>
        <w:t>投标人须知前附表规定接受联合体投标的，本章第3.5.1项至第3.5.7项规定的表格和资料应包括联合体各方相关情况。</w:t>
      </w:r>
    </w:p>
    <w:p>
      <w:pPr>
        <w:pStyle w:val="5"/>
        <w:spacing w:line="360" w:lineRule="auto"/>
        <w:ind w:firstLine="0" w:firstLineChars="0"/>
        <w:rPr>
          <w:rFonts w:ascii="宋体" w:hAnsi="宋体" w:eastAsia="宋体" w:cs="宋体"/>
          <w:color w:val="auto"/>
          <w:szCs w:val="24"/>
          <w:highlight w:val="none"/>
        </w:rPr>
      </w:pPr>
      <w:bookmarkStart w:id="361" w:name="_Toc14983"/>
      <w:bookmarkStart w:id="362" w:name="_Toc18999"/>
      <w:bookmarkStart w:id="363" w:name="_Toc8890"/>
      <w:bookmarkStart w:id="364" w:name="_Toc21637"/>
      <w:bookmarkStart w:id="365" w:name="_Toc15775"/>
      <w:bookmarkStart w:id="366" w:name="_Toc19100"/>
      <w:bookmarkStart w:id="367" w:name="_Toc24690"/>
      <w:bookmarkStart w:id="368" w:name="_Toc492300589"/>
      <w:bookmarkStart w:id="369" w:name="_Toc21646"/>
      <w:bookmarkStart w:id="370" w:name="_Toc22361"/>
      <w:r>
        <w:rPr>
          <w:rFonts w:ascii="宋体" w:hAnsi="宋体" w:eastAsia="宋体" w:cs="宋体"/>
          <w:color w:val="auto"/>
          <w:szCs w:val="24"/>
          <w:highlight w:val="none"/>
        </w:rPr>
        <w:t xml:space="preserve">3.6 </w:t>
      </w:r>
      <w:r>
        <w:rPr>
          <w:rFonts w:hint="eastAsia" w:ascii="宋体" w:hAnsi="宋体" w:eastAsia="宋体" w:cs="宋体"/>
          <w:color w:val="auto"/>
          <w:szCs w:val="24"/>
          <w:highlight w:val="none"/>
        </w:rPr>
        <w:t>备选投标方案</w:t>
      </w:r>
      <w:bookmarkEnd w:id="361"/>
      <w:bookmarkEnd w:id="362"/>
      <w:bookmarkEnd w:id="363"/>
      <w:bookmarkEnd w:id="364"/>
      <w:bookmarkEnd w:id="365"/>
      <w:bookmarkEnd w:id="366"/>
      <w:bookmarkEnd w:id="367"/>
      <w:bookmarkEnd w:id="368"/>
      <w:bookmarkEnd w:id="369"/>
      <w:bookmarkEnd w:id="370"/>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3.6.1 </w:t>
      </w:r>
      <w:r>
        <w:rPr>
          <w:rFonts w:hint="eastAsia" w:ascii="宋体" w:hAnsi="宋体" w:cs="宋体"/>
          <w:color w:val="auto"/>
          <w:sz w:val="24"/>
          <w:szCs w:val="24"/>
          <w:highlight w:val="none"/>
        </w:rPr>
        <w:t>除投标人须知前附表规定允许外，投标人不得递交备选投标方案，否则其投标将被否决。</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3.6.2 </w:t>
      </w:r>
      <w:r>
        <w:rPr>
          <w:rFonts w:hint="eastAsia" w:ascii="宋体" w:hAnsi="宋体" w:cs="宋体"/>
          <w:color w:val="auto"/>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3.6.3 </w:t>
      </w:r>
      <w:r>
        <w:rPr>
          <w:rFonts w:hint="eastAsia" w:ascii="宋体" w:hAnsi="宋体" w:cs="宋体"/>
          <w:color w:val="auto"/>
          <w:sz w:val="24"/>
          <w:szCs w:val="24"/>
          <w:highlight w:val="none"/>
        </w:rPr>
        <w:t>投标人提供两个或两个以上投标报价，或者在投标文件中提供一个报价，但同时提供两个或两个以上</w:t>
      </w:r>
      <w:bookmarkStart w:id="371" w:name="_Toc361508607"/>
      <w:bookmarkStart w:id="372" w:name="_Toc152045550"/>
      <w:bookmarkStart w:id="373" w:name="_Toc247513974"/>
      <w:bookmarkStart w:id="374" w:name="_Toc369531538"/>
      <w:bookmarkStart w:id="375" w:name="_Toc247527575"/>
      <w:bookmarkStart w:id="376" w:name="_Toc300834971"/>
      <w:bookmarkStart w:id="377" w:name="_Toc29902"/>
      <w:bookmarkStart w:id="378" w:name="_Toc152042326"/>
      <w:bookmarkStart w:id="379" w:name="_Toc352691495"/>
      <w:bookmarkStart w:id="380" w:name="_Toc144974518"/>
      <w:bookmarkStart w:id="381" w:name="_Toc384308232"/>
      <w:r>
        <w:rPr>
          <w:rFonts w:hint="eastAsia" w:ascii="宋体" w:hAnsi="宋体" w:cs="宋体"/>
          <w:color w:val="auto"/>
          <w:sz w:val="24"/>
          <w:szCs w:val="24"/>
          <w:highlight w:val="none"/>
        </w:rPr>
        <w:t>监理方案的</w:t>
      </w:r>
      <w:bookmarkEnd w:id="371"/>
      <w:bookmarkEnd w:id="372"/>
      <w:bookmarkEnd w:id="373"/>
      <w:bookmarkEnd w:id="374"/>
      <w:bookmarkEnd w:id="375"/>
      <w:bookmarkEnd w:id="376"/>
      <w:bookmarkEnd w:id="377"/>
      <w:bookmarkEnd w:id="378"/>
      <w:bookmarkEnd w:id="379"/>
      <w:bookmarkEnd w:id="380"/>
      <w:bookmarkEnd w:id="381"/>
      <w:r>
        <w:rPr>
          <w:rFonts w:hint="eastAsia" w:ascii="宋体" w:hAnsi="宋体" w:cs="宋体"/>
          <w:color w:val="auto"/>
          <w:sz w:val="24"/>
          <w:szCs w:val="24"/>
          <w:highlight w:val="none"/>
        </w:rPr>
        <w:t>，视为提供备选方案。</w:t>
      </w:r>
    </w:p>
    <w:p>
      <w:pPr>
        <w:pStyle w:val="5"/>
        <w:spacing w:line="360" w:lineRule="auto"/>
        <w:ind w:firstLine="0" w:firstLineChars="0"/>
        <w:rPr>
          <w:rFonts w:ascii="宋体" w:hAnsi="宋体" w:eastAsia="宋体" w:cs="宋体"/>
          <w:color w:val="auto"/>
          <w:szCs w:val="24"/>
          <w:highlight w:val="none"/>
        </w:rPr>
      </w:pPr>
      <w:bookmarkStart w:id="382" w:name="_Toc18115"/>
      <w:bookmarkStart w:id="383" w:name="_Toc492300590"/>
      <w:bookmarkStart w:id="384" w:name="_Toc6577"/>
      <w:bookmarkStart w:id="385" w:name="_Toc21879"/>
      <w:bookmarkStart w:id="386" w:name="_Toc28209"/>
      <w:bookmarkStart w:id="387" w:name="_Toc15838"/>
      <w:bookmarkStart w:id="388" w:name="_Toc18836"/>
      <w:bookmarkStart w:id="389" w:name="_Toc19725"/>
      <w:bookmarkStart w:id="390" w:name="_Toc19346"/>
      <w:bookmarkStart w:id="391" w:name="_Toc12491"/>
      <w:r>
        <w:rPr>
          <w:rFonts w:ascii="宋体" w:hAnsi="宋体" w:eastAsia="宋体" w:cs="宋体"/>
          <w:color w:val="auto"/>
          <w:szCs w:val="24"/>
          <w:highlight w:val="none"/>
        </w:rPr>
        <w:t xml:space="preserve">3.7 </w:t>
      </w:r>
      <w:r>
        <w:rPr>
          <w:rFonts w:hint="eastAsia" w:ascii="宋体" w:hAnsi="宋体" w:eastAsia="宋体" w:cs="宋体"/>
          <w:color w:val="auto"/>
          <w:szCs w:val="24"/>
          <w:highlight w:val="none"/>
        </w:rPr>
        <w:t>投标文件的编制</w:t>
      </w:r>
      <w:bookmarkEnd w:id="382"/>
      <w:bookmarkEnd w:id="383"/>
      <w:bookmarkEnd w:id="384"/>
      <w:bookmarkEnd w:id="385"/>
      <w:bookmarkEnd w:id="386"/>
      <w:bookmarkEnd w:id="387"/>
      <w:bookmarkEnd w:id="388"/>
      <w:bookmarkEnd w:id="389"/>
      <w:bookmarkEnd w:id="390"/>
      <w:bookmarkEnd w:id="391"/>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3.7.1 </w:t>
      </w:r>
      <w:r>
        <w:rPr>
          <w:rFonts w:hint="eastAsia" w:ascii="宋体" w:hAnsi="宋体" w:cs="宋体"/>
          <w:color w:val="auto"/>
          <w:sz w:val="24"/>
          <w:szCs w:val="24"/>
          <w:highlight w:val="none"/>
        </w:rPr>
        <w:t>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3.7.2 </w:t>
      </w:r>
      <w:r>
        <w:rPr>
          <w:rFonts w:hint="eastAsia" w:ascii="宋体" w:hAnsi="宋体" w:cs="宋体"/>
          <w:color w:val="auto"/>
          <w:sz w:val="24"/>
          <w:szCs w:val="24"/>
          <w:highlight w:val="none"/>
        </w:rPr>
        <w:t>投标文件应当对招标文件有关监理服务期限、投标有效期、委托人要求、招标范围等实质性内容作出响应。</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（2）投标文件正本一份，副本份数见投标人须知前附表。正本和副本的封面</w:t>
      </w:r>
      <w:r>
        <w:rPr>
          <w:rStyle w:val="16"/>
          <w:rFonts w:hint="eastAsia" w:ascii="宋体" w:hAnsi="宋体" w:cs="宋体"/>
          <w:strike/>
          <w:color w:val="auto"/>
          <w:kern w:val="0"/>
          <w:sz w:val="24"/>
          <w:szCs w:val="24"/>
          <w:highlight w:val="none"/>
        </w:rPr>
        <w:t>右上角</w:t>
      </w:r>
      <w:r>
        <w:rPr>
          <w:rFonts w:hint="eastAsia" w:ascii="宋体" w:hAnsi="宋体" w:cs="宋体"/>
          <w:strike/>
          <w:color w:val="auto"/>
          <w:sz w:val="24"/>
          <w:szCs w:val="24"/>
          <w:highlight w:val="none"/>
        </w:rPr>
        <w:t>上应清楚地标记“正本”或“副本”的字样。投标人应根据投标人须知前附表要求提供电子版文件。当副本和正本不一致或电子版文件和纸质正本文件不一致时，以纸质正本文件为准。</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（3）投标文件的正本与副本应分别装订，并编制目录，投标文件需分册装订的，具体分册装订要求见投标人须知前附表规定。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B）投标文件全部采用电子文档，除投标人须知前附表另有规定外，投标文件所附证书证件均为清晰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4"/>
        <w:spacing w:line="360" w:lineRule="auto"/>
        <w:rPr>
          <w:rFonts w:ascii="宋体" w:hAnsi="宋体" w:eastAsia="宋体" w:cs="宋体"/>
          <w:color w:val="auto"/>
          <w:sz w:val="28"/>
          <w:szCs w:val="28"/>
          <w:highlight w:val="none"/>
        </w:rPr>
      </w:pPr>
      <w:bookmarkStart w:id="392" w:name="_Toc10101"/>
      <w:bookmarkStart w:id="393" w:name="_Toc26591"/>
      <w:bookmarkStart w:id="394" w:name="_Toc5182"/>
      <w:bookmarkStart w:id="395" w:name="_Toc1464"/>
      <w:bookmarkStart w:id="396" w:name="_Toc16173"/>
      <w:bookmarkStart w:id="397" w:name="_Toc21771"/>
      <w:bookmarkStart w:id="398" w:name="_Toc3720"/>
      <w:bookmarkStart w:id="399" w:name="_Toc492300591"/>
      <w:bookmarkStart w:id="400" w:name="_Toc10003"/>
      <w:bookmarkStart w:id="401" w:name="_Toc31476"/>
      <w:r>
        <w:rPr>
          <w:rFonts w:ascii="宋体" w:hAnsi="宋体" w:eastAsia="宋体" w:cs="宋体"/>
          <w:color w:val="auto"/>
          <w:sz w:val="28"/>
          <w:szCs w:val="28"/>
          <w:highlight w:val="none"/>
        </w:rPr>
        <w:t xml:space="preserve">4. </w:t>
      </w:r>
      <w:r>
        <w:rPr>
          <w:rFonts w:hint="eastAsia" w:ascii="宋体" w:hAnsi="宋体" w:eastAsia="宋体" w:cs="宋体"/>
          <w:color w:val="auto"/>
          <w:sz w:val="28"/>
          <w:szCs w:val="28"/>
          <w:highlight w:val="none"/>
        </w:rPr>
        <w:t>投标</w:t>
      </w:r>
      <w:bookmarkEnd w:id="392"/>
      <w:bookmarkEnd w:id="393"/>
      <w:bookmarkEnd w:id="394"/>
      <w:bookmarkEnd w:id="395"/>
      <w:bookmarkEnd w:id="396"/>
      <w:bookmarkEnd w:id="397"/>
      <w:bookmarkEnd w:id="398"/>
      <w:bookmarkEnd w:id="399"/>
      <w:bookmarkEnd w:id="400"/>
      <w:bookmarkEnd w:id="401"/>
    </w:p>
    <w:p>
      <w:pPr>
        <w:pStyle w:val="5"/>
        <w:spacing w:line="360" w:lineRule="auto"/>
        <w:ind w:firstLine="0" w:firstLineChars="0"/>
        <w:rPr>
          <w:rFonts w:ascii="宋体" w:hAnsi="宋体" w:eastAsia="宋体" w:cs="宋体"/>
          <w:color w:val="auto"/>
          <w:szCs w:val="24"/>
          <w:highlight w:val="none"/>
        </w:rPr>
      </w:pPr>
      <w:bookmarkStart w:id="402" w:name="_Toc1661"/>
      <w:bookmarkStart w:id="403" w:name="_Toc747"/>
      <w:bookmarkStart w:id="404" w:name="_Toc13412"/>
      <w:bookmarkStart w:id="405" w:name="_Toc24968"/>
      <w:bookmarkStart w:id="406" w:name="_Toc26160"/>
      <w:bookmarkStart w:id="407" w:name="_Toc31527"/>
      <w:bookmarkStart w:id="408" w:name="_Toc20798"/>
      <w:bookmarkStart w:id="409" w:name="_Toc16071"/>
      <w:bookmarkStart w:id="410" w:name="_Toc21559"/>
      <w:bookmarkStart w:id="411" w:name="_Toc492300592"/>
      <w:r>
        <w:rPr>
          <w:rFonts w:ascii="宋体" w:hAnsi="宋体" w:eastAsia="宋体" w:cs="宋体"/>
          <w:color w:val="auto"/>
          <w:szCs w:val="24"/>
          <w:highlight w:val="none"/>
        </w:rPr>
        <w:t xml:space="preserve">4.1 </w:t>
      </w:r>
      <w:r>
        <w:rPr>
          <w:rFonts w:hint="eastAsia" w:ascii="宋体" w:hAnsi="宋体" w:eastAsia="宋体" w:cs="宋体"/>
          <w:color w:val="auto"/>
          <w:szCs w:val="24"/>
          <w:highlight w:val="none"/>
        </w:rPr>
        <w:t>投标文件的密封和标记</w:t>
      </w:r>
      <w:bookmarkEnd w:id="402"/>
      <w:bookmarkEnd w:id="403"/>
      <w:bookmarkEnd w:id="404"/>
      <w:bookmarkEnd w:id="405"/>
      <w:bookmarkEnd w:id="406"/>
      <w:bookmarkEnd w:id="407"/>
      <w:bookmarkEnd w:id="408"/>
      <w:bookmarkEnd w:id="409"/>
      <w:bookmarkEnd w:id="410"/>
      <w:bookmarkEnd w:id="411"/>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4.1.1 </w:t>
      </w:r>
      <w:r>
        <w:rPr>
          <w:rFonts w:hint="eastAsia" w:ascii="宋体" w:hAnsi="宋体" w:cs="宋体"/>
          <w:strike/>
          <w:color w:val="auto"/>
          <w:sz w:val="24"/>
          <w:szCs w:val="24"/>
          <w:highlight w:val="none"/>
        </w:rPr>
        <w:t>（A）投标文件应密封包装，并在封套的封口处加盖投标人单位章或由投标人的法定代表人或其授权的代理人签字。</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4.1.1 </w:t>
      </w:r>
      <w:r>
        <w:rPr>
          <w:rFonts w:hint="eastAsia" w:ascii="宋体" w:hAnsi="宋体" w:cs="宋体"/>
          <w:color w:val="auto"/>
          <w:sz w:val="24"/>
          <w:szCs w:val="24"/>
          <w:highlight w:val="none"/>
        </w:rPr>
        <w:t>（B）投标人应当按照招标文件和电子招标投标交易平台的要求加密投标文件，具体要求见投标人须知前附表。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4.1.2 </w:t>
      </w:r>
      <w:r>
        <w:rPr>
          <w:rFonts w:hint="eastAsia" w:ascii="宋体" w:hAnsi="宋体" w:cs="宋体"/>
          <w:color w:val="auto"/>
          <w:sz w:val="24"/>
          <w:szCs w:val="24"/>
          <w:highlight w:val="none"/>
        </w:rPr>
        <w:t>投标文件封套上应写明的内容见投标人须知前附表。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4.1.3 </w:t>
      </w:r>
      <w:r>
        <w:rPr>
          <w:rFonts w:hint="eastAsia" w:ascii="宋体" w:hAnsi="宋体" w:cs="宋体"/>
          <w:color w:val="auto"/>
          <w:sz w:val="24"/>
          <w:szCs w:val="24"/>
          <w:highlight w:val="none"/>
        </w:rPr>
        <w:t>未按本章第4.1.1项要求密封的投标文件，招标人将予以拒收。</w:t>
      </w:r>
    </w:p>
    <w:p>
      <w:pPr>
        <w:pStyle w:val="5"/>
        <w:spacing w:line="360" w:lineRule="auto"/>
        <w:ind w:firstLine="0" w:firstLineChars="0"/>
        <w:rPr>
          <w:rFonts w:ascii="宋体" w:hAnsi="宋体" w:eastAsia="宋体" w:cs="宋体"/>
          <w:color w:val="auto"/>
          <w:szCs w:val="24"/>
          <w:highlight w:val="none"/>
        </w:rPr>
      </w:pPr>
      <w:bookmarkStart w:id="412" w:name="_Toc18806"/>
      <w:bookmarkStart w:id="413" w:name="_Toc21455"/>
      <w:bookmarkStart w:id="414" w:name="_Toc29912"/>
      <w:bookmarkStart w:id="415" w:name="_Toc767"/>
      <w:bookmarkStart w:id="416" w:name="_Toc8542"/>
      <w:bookmarkStart w:id="417" w:name="_Toc6415"/>
      <w:bookmarkStart w:id="418" w:name="_Toc5726"/>
      <w:bookmarkStart w:id="419" w:name="_Toc28965"/>
      <w:bookmarkStart w:id="420" w:name="_Toc22506"/>
      <w:bookmarkStart w:id="421" w:name="_Toc492300593"/>
      <w:r>
        <w:rPr>
          <w:rFonts w:ascii="宋体" w:hAnsi="宋体" w:eastAsia="宋体" w:cs="宋体"/>
          <w:color w:val="auto"/>
          <w:szCs w:val="24"/>
          <w:highlight w:val="none"/>
        </w:rPr>
        <w:t xml:space="preserve">4.2 </w:t>
      </w:r>
      <w:r>
        <w:rPr>
          <w:rFonts w:hint="eastAsia" w:ascii="宋体" w:hAnsi="宋体" w:eastAsia="宋体" w:cs="宋体"/>
          <w:color w:val="auto"/>
          <w:szCs w:val="24"/>
          <w:highlight w:val="none"/>
        </w:rPr>
        <w:t>投标文件的递交</w:t>
      </w:r>
      <w:bookmarkEnd w:id="412"/>
      <w:bookmarkEnd w:id="413"/>
      <w:bookmarkEnd w:id="414"/>
      <w:bookmarkEnd w:id="415"/>
      <w:bookmarkEnd w:id="416"/>
      <w:bookmarkEnd w:id="417"/>
      <w:bookmarkEnd w:id="418"/>
      <w:bookmarkEnd w:id="419"/>
      <w:bookmarkEnd w:id="420"/>
      <w:bookmarkEnd w:id="421"/>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4.2.1 </w:t>
      </w:r>
      <w:r>
        <w:rPr>
          <w:rFonts w:hint="eastAsia" w:ascii="宋体" w:hAnsi="宋体" w:cs="宋体"/>
          <w:color w:val="auto"/>
          <w:sz w:val="24"/>
          <w:szCs w:val="24"/>
          <w:highlight w:val="none"/>
        </w:rPr>
        <w:t>投标人应在投标人须知前附表规定的投标截止时间前递交投标文件。</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4.2.2 </w:t>
      </w:r>
      <w:r>
        <w:rPr>
          <w:rFonts w:hint="eastAsia" w:ascii="宋体" w:hAnsi="宋体" w:cs="宋体"/>
          <w:color w:val="auto"/>
          <w:sz w:val="24"/>
          <w:szCs w:val="24"/>
          <w:highlight w:val="none"/>
        </w:rPr>
        <w:t>（A）投标人递交投标文件的地点：见投标人须知前附表。</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4.2.2 </w:t>
      </w:r>
      <w:r>
        <w:rPr>
          <w:rFonts w:hint="eastAsia" w:ascii="宋体" w:hAnsi="宋体" w:cs="宋体"/>
          <w:strike/>
          <w:color w:val="auto"/>
          <w:sz w:val="24"/>
          <w:szCs w:val="24"/>
          <w:highlight w:val="none"/>
        </w:rPr>
        <w:t>（B）</w:t>
      </w:r>
      <w:r>
        <w:rPr>
          <w:rFonts w:hint="eastAsia" w:ascii="宋体" w:hAnsi="宋体" w:cs="宋体"/>
          <w:bCs/>
          <w:iCs/>
          <w:strike/>
          <w:color w:val="auto"/>
          <w:sz w:val="24"/>
          <w:szCs w:val="24"/>
          <w:highlight w:val="none"/>
        </w:rPr>
        <w:t>投标人通过下载招标文件的电子招标投标交易平台递交电子投标文件。</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4.2.3 </w:t>
      </w:r>
      <w:r>
        <w:rPr>
          <w:rFonts w:hint="eastAsia" w:ascii="宋体" w:hAnsi="宋体" w:cs="宋体"/>
          <w:color w:val="auto"/>
          <w:sz w:val="24"/>
          <w:szCs w:val="24"/>
          <w:highlight w:val="none"/>
        </w:rPr>
        <w:t>除投标人须知前附表另有规定外，投标人所递交的投标文件不予退还。</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4.2.4 </w:t>
      </w:r>
      <w:r>
        <w:rPr>
          <w:rFonts w:hint="eastAsia" w:ascii="宋体" w:hAnsi="宋体" w:cs="宋体"/>
          <w:strike/>
          <w:color w:val="auto"/>
          <w:sz w:val="24"/>
          <w:szCs w:val="24"/>
          <w:highlight w:val="none"/>
        </w:rPr>
        <w:t>（A）招标人收到投标文件后，向投标人出具签收凭证。</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4.2.4 </w:t>
      </w:r>
      <w:r>
        <w:rPr>
          <w:rFonts w:hint="eastAsia" w:ascii="宋体" w:hAnsi="宋体" w:cs="宋体"/>
          <w:color w:val="auto"/>
          <w:sz w:val="24"/>
          <w:szCs w:val="24"/>
          <w:highlight w:val="none"/>
        </w:rPr>
        <w:t>（B）投标人完成电子投标文件上传后，</w:t>
      </w:r>
      <w:r>
        <w:rPr>
          <w:rFonts w:hint="eastAsia" w:ascii="宋体" w:hAnsi="宋体" w:cs="宋体"/>
          <w:bCs/>
          <w:iCs/>
          <w:color w:val="auto"/>
          <w:sz w:val="24"/>
          <w:szCs w:val="24"/>
          <w:highlight w:val="none"/>
        </w:rPr>
        <w:t>电子招标投标交易平台</w:t>
      </w:r>
      <w:r>
        <w:rPr>
          <w:rFonts w:hint="eastAsia" w:ascii="宋体" w:hAnsi="宋体" w:cs="宋体"/>
          <w:color w:val="auto"/>
          <w:sz w:val="24"/>
          <w:szCs w:val="24"/>
          <w:highlight w:val="none"/>
        </w:rPr>
        <w:t>即时向投标人发出递交回执通知。递交时间以递交回执通知载明的传输完成时间为准。</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4.2.5 </w:t>
      </w:r>
      <w:r>
        <w:rPr>
          <w:rFonts w:hint="eastAsia" w:ascii="宋体" w:hAnsi="宋体" w:cs="宋体"/>
          <w:strike/>
          <w:color w:val="auto"/>
          <w:sz w:val="24"/>
          <w:szCs w:val="24"/>
          <w:highlight w:val="none"/>
        </w:rPr>
        <w:t>（A）逾期送达的投标文件，招标人将予以拒收。</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4.2.5 </w:t>
      </w:r>
      <w:r>
        <w:rPr>
          <w:rFonts w:hint="eastAsia" w:ascii="宋体" w:hAnsi="宋体" w:cs="宋体"/>
          <w:color w:val="auto"/>
          <w:sz w:val="24"/>
          <w:szCs w:val="24"/>
          <w:highlight w:val="none"/>
        </w:rPr>
        <w:t>（B）逾期送达的投标文件，电子招标投标交易平台将予以拒收。</w:t>
      </w:r>
    </w:p>
    <w:p>
      <w:pPr>
        <w:spacing w:line="360" w:lineRule="auto"/>
        <w:ind w:firstLine="480" w:firstLineChars="200"/>
        <w:rPr>
          <w:rFonts w:ascii="宋体" w:hAnsi="宋体" w:cs="宋体"/>
          <w:color w:val="auto"/>
          <w:sz w:val="24"/>
          <w:szCs w:val="24"/>
          <w:highlight w:val="none"/>
        </w:rPr>
      </w:pPr>
    </w:p>
    <w:p>
      <w:pPr>
        <w:pStyle w:val="5"/>
        <w:spacing w:line="360" w:lineRule="auto"/>
        <w:ind w:firstLine="0" w:firstLineChars="0"/>
        <w:rPr>
          <w:rFonts w:ascii="宋体" w:hAnsi="宋体" w:eastAsia="宋体" w:cs="宋体"/>
          <w:color w:val="auto"/>
          <w:szCs w:val="24"/>
          <w:highlight w:val="none"/>
        </w:rPr>
      </w:pPr>
      <w:bookmarkStart w:id="422" w:name="_Toc26387"/>
      <w:bookmarkStart w:id="423" w:name="_Toc526"/>
      <w:bookmarkStart w:id="424" w:name="_Toc23826"/>
      <w:bookmarkStart w:id="425" w:name="_Toc492300594"/>
      <w:bookmarkStart w:id="426" w:name="_Toc15299"/>
      <w:bookmarkStart w:id="427" w:name="_Toc16381"/>
      <w:bookmarkStart w:id="428" w:name="_Toc10715"/>
      <w:bookmarkStart w:id="429" w:name="_Toc4752"/>
      <w:bookmarkStart w:id="430" w:name="_Toc5000"/>
      <w:bookmarkStart w:id="431" w:name="_Toc1607"/>
      <w:r>
        <w:rPr>
          <w:rFonts w:ascii="宋体" w:hAnsi="宋体" w:eastAsia="宋体" w:cs="宋体"/>
          <w:color w:val="auto"/>
          <w:szCs w:val="24"/>
          <w:highlight w:val="none"/>
        </w:rPr>
        <w:t xml:space="preserve">4.3 </w:t>
      </w:r>
      <w:r>
        <w:rPr>
          <w:rFonts w:hint="eastAsia" w:ascii="宋体" w:hAnsi="宋体" w:eastAsia="宋体" w:cs="宋体"/>
          <w:color w:val="auto"/>
          <w:szCs w:val="24"/>
          <w:highlight w:val="none"/>
        </w:rPr>
        <w:t>投标文件的修改与撤回</w:t>
      </w:r>
      <w:bookmarkEnd w:id="422"/>
      <w:bookmarkEnd w:id="423"/>
      <w:bookmarkEnd w:id="424"/>
      <w:bookmarkEnd w:id="425"/>
      <w:bookmarkEnd w:id="426"/>
      <w:bookmarkEnd w:id="427"/>
      <w:bookmarkEnd w:id="428"/>
      <w:bookmarkEnd w:id="429"/>
      <w:bookmarkEnd w:id="430"/>
      <w:bookmarkEnd w:id="431"/>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4.3.1 </w:t>
      </w:r>
      <w:r>
        <w:rPr>
          <w:rFonts w:hint="eastAsia" w:ascii="宋体" w:hAnsi="宋体" w:cs="宋体"/>
          <w:color w:val="auto"/>
          <w:sz w:val="24"/>
          <w:szCs w:val="24"/>
          <w:highlight w:val="none"/>
        </w:rPr>
        <w:t>在本章第4.2.1项规定的投标截止时间前，投标人可以修改或撤回已递交的投标文件，但应以书面形式通知招标人。</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4.3.2 </w:t>
      </w:r>
      <w:r>
        <w:rPr>
          <w:rFonts w:hint="eastAsia" w:ascii="宋体" w:hAnsi="宋体" w:cs="宋体"/>
          <w:strike/>
          <w:color w:val="auto"/>
          <w:sz w:val="24"/>
          <w:szCs w:val="24"/>
          <w:highlight w:val="none"/>
        </w:rPr>
        <w:t>（A）投标人修改或撤回已递交投标文件的书面通知应按照本章第3.7.3（A）项的要求签字或盖章。招标人收到书面通知后，向投标人出具签收凭证。</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4.3.2 </w:t>
      </w:r>
      <w:r>
        <w:rPr>
          <w:rFonts w:hint="eastAsia" w:ascii="宋体" w:hAnsi="宋体" w:cs="宋体"/>
          <w:color w:val="auto"/>
          <w:sz w:val="24"/>
          <w:szCs w:val="24"/>
          <w:highlight w:val="none"/>
        </w:rPr>
        <w:t>（B）投标人修改或撤回已递交投标文件的通知，应按照本章第3.7.3（B）项的要求加盖电子印章。</w:t>
      </w:r>
      <w:r>
        <w:rPr>
          <w:rFonts w:hint="eastAsia" w:ascii="宋体" w:hAnsi="宋体" w:cs="宋体"/>
          <w:bCs/>
          <w:iCs/>
          <w:color w:val="auto"/>
          <w:sz w:val="24"/>
          <w:szCs w:val="24"/>
          <w:highlight w:val="none"/>
        </w:rPr>
        <w:t>电子招标投标交易平台收到通知后，</w:t>
      </w:r>
      <w:r>
        <w:rPr>
          <w:rFonts w:hint="eastAsia" w:ascii="宋体" w:hAnsi="宋体" w:cs="宋体"/>
          <w:color w:val="auto"/>
          <w:sz w:val="24"/>
          <w:szCs w:val="24"/>
          <w:highlight w:val="none"/>
        </w:rPr>
        <w:t>即时向投标人发出确认回执通知。</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4.3.3 </w:t>
      </w:r>
      <w:r>
        <w:rPr>
          <w:rFonts w:hint="eastAsia" w:ascii="宋体" w:hAnsi="宋体" w:cs="宋体"/>
          <w:color w:val="auto"/>
          <w:sz w:val="24"/>
          <w:szCs w:val="24"/>
          <w:highlight w:val="none"/>
        </w:rPr>
        <w:t>投标人撤回投标文件的，招标人自收到投标人书面撤回通知之日起5日内退还已收取的投标保证金。</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4.3.</w:t>
      </w:r>
      <w:bookmarkStart w:id="432" w:name="_Toc247527578"/>
      <w:bookmarkStart w:id="433" w:name="_Toc300834974"/>
      <w:bookmarkStart w:id="434" w:name="_Toc352691497"/>
      <w:bookmarkStart w:id="435" w:name="_Toc152045553"/>
      <w:bookmarkStart w:id="436" w:name="_Toc247513977"/>
      <w:bookmarkStart w:id="437" w:name="_Toc19203"/>
      <w:bookmarkStart w:id="438" w:name="_Toc369531541"/>
      <w:bookmarkStart w:id="439" w:name="_Toc361508610"/>
      <w:bookmarkStart w:id="440" w:name="_Toc144974521"/>
      <w:bookmarkStart w:id="441" w:name="_Toc152042329"/>
      <w:bookmarkStart w:id="442" w:name="_Toc384308235"/>
      <w:r>
        <w:rPr>
          <w:rFonts w:ascii="宋体" w:hAnsi="宋体" w:cs="宋体"/>
          <w:color w:val="auto"/>
          <w:sz w:val="24"/>
          <w:szCs w:val="24"/>
          <w:highlight w:val="none"/>
        </w:rPr>
        <w:t xml:space="preserve">4 </w:t>
      </w:r>
      <w:r>
        <w:rPr>
          <w:rFonts w:hint="eastAsia" w:ascii="宋体" w:hAnsi="宋体" w:cs="宋体"/>
          <w:color w:val="auto"/>
          <w:sz w:val="24"/>
          <w:szCs w:val="24"/>
          <w:highlight w:val="none"/>
        </w:rPr>
        <w:t>修改的内容为投标</w:t>
      </w:r>
      <w:bookmarkEnd w:id="432"/>
      <w:bookmarkEnd w:id="433"/>
      <w:bookmarkEnd w:id="434"/>
      <w:bookmarkEnd w:id="435"/>
      <w:bookmarkEnd w:id="436"/>
      <w:bookmarkEnd w:id="437"/>
      <w:bookmarkEnd w:id="438"/>
      <w:bookmarkEnd w:id="439"/>
      <w:bookmarkEnd w:id="440"/>
      <w:bookmarkEnd w:id="441"/>
      <w:bookmarkEnd w:id="442"/>
      <w:r>
        <w:rPr>
          <w:rFonts w:hint="eastAsia" w:ascii="宋体" w:hAnsi="宋体" w:cs="宋体"/>
          <w:color w:val="auto"/>
          <w:sz w:val="24"/>
          <w:szCs w:val="24"/>
          <w:highlight w:val="none"/>
        </w:rPr>
        <w:t>文件的组成部分。修改的投标文件应按照本章第3条、第4条的规定进行编制、密封、标记和递交，并标明“修改”字样。</w:t>
      </w:r>
    </w:p>
    <w:p>
      <w:pPr>
        <w:pStyle w:val="4"/>
        <w:spacing w:line="360" w:lineRule="auto"/>
        <w:rPr>
          <w:rFonts w:ascii="宋体" w:hAnsi="宋体" w:eastAsia="宋体" w:cs="宋体"/>
          <w:color w:val="auto"/>
          <w:sz w:val="28"/>
          <w:szCs w:val="28"/>
          <w:highlight w:val="none"/>
        </w:rPr>
      </w:pPr>
      <w:bookmarkStart w:id="443" w:name="_Toc492300595"/>
      <w:bookmarkStart w:id="444" w:name="_Toc23409"/>
      <w:bookmarkStart w:id="445" w:name="_Toc453"/>
      <w:bookmarkStart w:id="446" w:name="_Toc24926"/>
      <w:bookmarkStart w:id="447" w:name="_Toc2136"/>
      <w:bookmarkStart w:id="448" w:name="_Toc20390"/>
      <w:bookmarkStart w:id="449" w:name="_Toc16835"/>
      <w:bookmarkStart w:id="450" w:name="_Toc266"/>
      <w:bookmarkStart w:id="451" w:name="_Toc17579"/>
      <w:bookmarkStart w:id="452" w:name="_Toc12162"/>
      <w:r>
        <w:rPr>
          <w:rFonts w:ascii="宋体" w:hAnsi="宋体" w:eastAsia="宋体" w:cs="宋体"/>
          <w:color w:val="auto"/>
          <w:sz w:val="28"/>
          <w:szCs w:val="28"/>
          <w:highlight w:val="none"/>
        </w:rPr>
        <w:t xml:space="preserve">5. </w:t>
      </w:r>
      <w:r>
        <w:rPr>
          <w:rFonts w:hint="eastAsia" w:ascii="宋体" w:hAnsi="宋体" w:eastAsia="宋体" w:cs="宋体"/>
          <w:color w:val="auto"/>
          <w:sz w:val="28"/>
          <w:szCs w:val="28"/>
          <w:highlight w:val="none"/>
        </w:rPr>
        <w:t>开标</w:t>
      </w:r>
      <w:bookmarkEnd w:id="443"/>
      <w:bookmarkEnd w:id="444"/>
      <w:bookmarkEnd w:id="445"/>
      <w:bookmarkEnd w:id="446"/>
      <w:bookmarkEnd w:id="447"/>
      <w:bookmarkEnd w:id="448"/>
      <w:bookmarkEnd w:id="449"/>
      <w:bookmarkEnd w:id="450"/>
      <w:bookmarkEnd w:id="451"/>
      <w:bookmarkEnd w:id="452"/>
    </w:p>
    <w:p>
      <w:pPr>
        <w:pStyle w:val="5"/>
        <w:spacing w:line="360" w:lineRule="auto"/>
        <w:ind w:firstLine="0" w:firstLineChars="0"/>
        <w:rPr>
          <w:rFonts w:ascii="宋体" w:hAnsi="宋体" w:eastAsia="宋体" w:cs="宋体"/>
          <w:strike/>
          <w:color w:val="auto"/>
          <w:szCs w:val="24"/>
          <w:highlight w:val="none"/>
        </w:rPr>
      </w:pPr>
      <w:bookmarkStart w:id="453" w:name="_Toc15899"/>
      <w:bookmarkStart w:id="454" w:name="_Toc492300596"/>
      <w:bookmarkStart w:id="455" w:name="_Toc2691"/>
      <w:bookmarkStart w:id="456" w:name="_Toc21815"/>
      <w:bookmarkStart w:id="457" w:name="_Toc18721"/>
      <w:bookmarkStart w:id="458" w:name="_Toc20761"/>
      <w:bookmarkStart w:id="459" w:name="_Toc26374"/>
      <w:bookmarkStart w:id="460" w:name="_Toc11763"/>
      <w:bookmarkStart w:id="461" w:name="_Toc18135"/>
      <w:bookmarkStart w:id="462" w:name="_Toc2684"/>
      <w:r>
        <w:rPr>
          <w:rFonts w:ascii="宋体" w:hAnsi="宋体" w:eastAsia="宋体" w:cs="宋体"/>
          <w:strike/>
          <w:color w:val="auto"/>
          <w:szCs w:val="24"/>
          <w:highlight w:val="none"/>
        </w:rPr>
        <w:t xml:space="preserve">5.1 </w:t>
      </w:r>
      <w:r>
        <w:rPr>
          <w:rFonts w:hint="eastAsia" w:ascii="宋体" w:hAnsi="宋体" w:eastAsia="宋体" w:cs="宋体"/>
          <w:strike/>
          <w:color w:val="auto"/>
          <w:szCs w:val="24"/>
          <w:highlight w:val="none"/>
        </w:rPr>
        <w:t>开标时间和地点（A）</w:t>
      </w:r>
      <w:bookmarkEnd w:id="453"/>
      <w:bookmarkEnd w:id="454"/>
      <w:bookmarkEnd w:id="455"/>
      <w:bookmarkEnd w:id="456"/>
      <w:bookmarkEnd w:id="457"/>
      <w:bookmarkEnd w:id="458"/>
      <w:bookmarkEnd w:id="459"/>
      <w:bookmarkEnd w:id="460"/>
      <w:bookmarkEnd w:id="461"/>
      <w:bookmarkEnd w:id="462"/>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招标人在本章第4.2.1项规定的投标截止时间（开标时间）和投标人须知前附表规定的地点公开开标，并邀请所有投标人的法定代表人或其委托代理人准时参加。</w:t>
      </w:r>
    </w:p>
    <w:p>
      <w:pPr>
        <w:pStyle w:val="5"/>
        <w:spacing w:line="360" w:lineRule="auto"/>
        <w:ind w:firstLine="0" w:firstLineChars="0"/>
        <w:rPr>
          <w:rFonts w:ascii="宋体" w:hAnsi="宋体" w:eastAsia="宋体" w:cs="宋体"/>
          <w:color w:val="auto"/>
          <w:szCs w:val="24"/>
          <w:highlight w:val="none"/>
        </w:rPr>
      </w:pPr>
      <w:bookmarkStart w:id="463" w:name="_Toc22209"/>
      <w:bookmarkStart w:id="464" w:name="_Toc27378"/>
      <w:bookmarkStart w:id="465" w:name="_Toc7349"/>
      <w:bookmarkStart w:id="466" w:name="_Toc24094"/>
      <w:bookmarkStart w:id="467" w:name="_Toc20139"/>
      <w:bookmarkStart w:id="468" w:name="_Toc23556"/>
      <w:bookmarkStart w:id="469" w:name="_Toc23813"/>
      <w:bookmarkStart w:id="470" w:name="_Toc492300597"/>
      <w:bookmarkStart w:id="471" w:name="_Toc7772"/>
      <w:bookmarkStart w:id="472" w:name="_Toc27321"/>
      <w:r>
        <w:rPr>
          <w:rFonts w:ascii="宋体" w:hAnsi="宋体" w:eastAsia="宋体" w:cs="宋体"/>
          <w:color w:val="auto"/>
          <w:szCs w:val="24"/>
          <w:highlight w:val="none"/>
        </w:rPr>
        <w:t xml:space="preserve">5.1 </w:t>
      </w:r>
      <w:r>
        <w:rPr>
          <w:rFonts w:hint="eastAsia" w:ascii="宋体" w:hAnsi="宋体" w:eastAsia="宋体" w:cs="宋体"/>
          <w:color w:val="auto"/>
          <w:szCs w:val="24"/>
          <w:highlight w:val="none"/>
        </w:rPr>
        <w:t>开标时间和地点（B）</w:t>
      </w:r>
      <w:bookmarkEnd w:id="463"/>
      <w:bookmarkEnd w:id="464"/>
      <w:bookmarkEnd w:id="465"/>
      <w:bookmarkEnd w:id="466"/>
      <w:bookmarkEnd w:id="467"/>
      <w:bookmarkEnd w:id="468"/>
      <w:bookmarkEnd w:id="469"/>
      <w:bookmarkEnd w:id="470"/>
      <w:bookmarkEnd w:id="471"/>
      <w:bookmarkEnd w:id="472"/>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招标人在本章第4.2.1项规定的投标截止时间（开标时间）,通过电子招标投标交易平台公开开标，所有投标人的法定代表人或其委托代理人应当准时参加。</w:t>
      </w:r>
    </w:p>
    <w:p>
      <w:pPr>
        <w:pStyle w:val="5"/>
        <w:spacing w:line="360" w:lineRule="auto"/>
        <w:ind w:firstLine="0" w:firstLineChars="0"/>
        <w:rPr>
          <w:rFonts w:ascii="宋体" w:hAnsi="宋体" w:eastAsia="宋体" w:cs="宋体"/>
          <w:color w:val="auto"/>
          <w:szCs w:val="24"/>
          <w:highlight w:val="none"/>
        </w:rPr>
      </w:pPr>
      <w:bookmarkStart w:id="473" w:name="_Toc492300598"/>
      <w:bookmarkStart w:id="474" w:name="_Toc6316"/>
      <w:bookmarkStart w:id="475" w:name="_Toc7734"/>
      <w:bookmarkStart w:id="476" w:name="_Toc1756"/>
      <w:bookmarkStart w:id="477" w:name="_Toc1229"/>
      <w:bookmarkStart w:id="478" w:name="_Toc25527"/>
      <w:bookmarkStart w:id="479" w:name="_Toc19468"/>
      <w:bookmarkStart w:id="480" w:name="_Toc25404"/>
      <w:bookmarkStart w:id="481" w:name="_Toc2757"/>
      <w:bookmarkStart w:id="482" w:name="_Toc24429"/>
      <w:r>
        <w:rPr>
          <w:rFonts w:ascii="宋体" w:hAnsi="宋体" w:eastAsia="宋体" w:cs="宋体"/>
          <w:color w:val="auto"/>
          <w:szCs w:val="24"/>
          <w:highlight w:val="none"/>
        </w:rPr>
        <w:t xml:space="preserve">5.2 </w:t>
      </w:r>
      <w:r>
        <w:rPr>
          <w:rFonts w:hint="eastAsia" w:ascii="宋体" w:hAnsi="宋体" w:eastAsia="宋体" w:cs="宋体"/>
          <w:color w:val="auto"/>
          <w:szCs w:val="24"/>
          <w:highlight w:val="none"/>
        </w:rPr>
        <w:t>开标程序</w:t>
      </w:r>
      <w:bookmarkEnd w:id="473"/>
      <w:bookmarkEnd w:id="474"/>
      <w:bookmarkEnd w:id="475"/>
      <w:bookmarkEnd w:id="476"/>
      <w:bookmarkEnd w:id="477"/>
      <w:bookmarkEnd w:id="478"/>
      <w:bookmarkEnd w:id="479"/>
      <w:bookmarkEnd w:id="480"/>
      <w:bookmarkEnd w:id="481"/>
      <w:bookmarkEnd w:id="482"/>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主持人按下列程序进行开标：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（1）宣布开标纪律；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（3）宣布</w:t>
      </w:r>
      <w:bookmarkStart w:id="483" w:name="_Toc152045554"/>
      <w:bookmarkStart w:id="484" w:name="_Toc247527579"/>
      <w:bookmarkStart w:id="485" w:name="_Toc369531542"/>
      <w:bookmarkStart w:id="486" w:name="_Toc144974522"/>
      <w:bookmarkStart w:id="487" w:name="_Toc247513978"/>
      <w:bookmarkStart w:id="488" w:name="_Toc152042330"/>
      <w:bookmarkStart w:id="489" w:name="_Toc22119"/>
      <w:bookmarkStart w:id="490" w:name="_Toc384308236"/>
      <w:bookmarkStart w:id="491" w:name="_Toc361508611"/>
      <w:bookmarkStart w:id="492" w:name="_Toc300834975"/>
      <w:bookmarkStart w:id="493" w:name="_Toc352691498"/>
      <w:r>
        <w:rPr>
          <w:rFonts w:hint="eastAsia" w:ascii="宋体" w:hAnsi="宋体" w:cs="宋体"/>
          <w:color w:val="auto"/>
          <w:sz w:val="24"/>
          <w:szCs w:val="24"/>
          <w:highlight w:val="none"/>
        </w:rPr>
        <w:t>开标人、唱标人、记录人</w:t>
      </w:r>
      <w:bookmarkEnd w:id="483"/>
      <w:bookmarkEnd w:id="484"/>
      <w:bookmarkEnd w:id="485"/>
      <w:bookmarkEnd w:id="486"/>
      <w:bookmarkEnd w:id="487"/>
      <w:bookmarkEnd w:id="488"/>
      <w:bookmarkEnd w:id="489"/>
      <w:bookmarkEnd w:id="490"/>
      <w:bookmarkEnd w:id="491"/>
      <w:bookmarkEnd w:id="492"/>
      <w:bookmarkEnd w:id="493"/>
      <w:r>
        <w:rPr>
          <w:rFonts w:hint="eastAsia" w:ascii="宋体" w:hAnsi="宋体" w:cs="宋体"/>
          <w:color w:val="auto"/>
          <w:sz w:val="24"/>
          <w:szCs w:val="24"/>
          <w:highlight w:val="none"/>
        </w:rPr>
        <w:t>、监标人等有关人员姓名；</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（4）（A）检查投标文件的密封情况，按照投标人须知前附表规定的开标顺序当众开标，公布招标项目名称、投标人名称、投标保证金的递交情况、投标报价、监理服务期限及其他内容，并记录在案；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（4）（B）投标人通过电子招标投标交易平台对已递交的电子投标文件进行解密，公布招标项目名称、投标人名称、投标保证金的递交情况、投标报价、监理服务期限及其他内容，并记录在案；</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（5）（A）投标人代表、招标人代表、监标人、记录人等有关人员在开标记录上签字确认；</w:t>
      </w:r>
    </w:p>
    <w:p>
      <w:pPr>
        <w:spacing w:line="360" w:lineRule="auto"/>
        <w:ind w:firstLine="480" w:firstLineChars="200"/>
        <w:rPr>
          <w:rFonts w:ascii="宋体" w:hAnsi="宋体" w:cs="宋体"/>
          <w:strike w:val="0"/>
          <w:color w:val="auto"/>
          <w:sz w:val="24"/>
          <w:szCs w:val="24"/>
          <w:highlight w:val="none"/>
        </w:rPr>
      </w:pPr>
      <w:r>
        <w:rPr>
          <w:rFonts w:hint="eastAsia" w:ascii="宋体" w:hAnsi="宋体" w:cs="宋体"/>
          <w:strike w:val="0"/>
          <w:color w:val="auto"/>
          <w:sz w:val="24"/>
          <w:szCs w:val="24"/>
          <w:highlight w:val="none"/>
        </w:rPr>
        <w:t>（5）（B）投标人代表、招标人代表、监标人、记录人等有关人员使用本人的电子印章在开标记录上签字确认；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（6）开标结束。</w:t>
      </w:r>
    </w:p>
    <w:p>
      <w:pPr>
        <w:pStyle w:val="5"/>
        <w:spacing w:line="360" w:lineRule="auto"/>
        <w:ind w:firstLine="0" w:firstLineChars="0"/>
        <w:rPr>
          <w:rFonts w:ascii="宋体" w:hAnsi="宋体" w:eastAsia="宋体" w:cs="宋体"/>
          <w:color w:val="auto"/>
          <w:szCs w:val="24"/>
          <w:highlight w:val="none"/>
        </w:rPr>
      </w:pPr>
      <w:bookmarkStart w:id="494" w:name="_Toc17039"/>
      <w:bookmarkStart w:id="495" w:name="_Toc492300599"/>
      <w:bookmarkStart w:id="496" w:name="_Toc27376"/>
      <w:bookmarkStart w:id="497" w:name="_Toc8923"/>
      <w:bookmarkStart w:id="498" w:name="_Toc18350"/>
      <w:bookmarkStart w:id="499" w:name="_Toc18357"/>
      <w:bookmarkStart w:id="500" w:name="_Toc18586"/>
      <w:bookmarkStart w:id="501" w:name="_Toc14189"/>
      <w:bookmarkStart w:id="502" w:name="_Toc22136"/>
      <w:bookmarkStart w:id="503" w:name="_Toc18956"/>
      <w:r>
        <w:rPr>
          <w:rFonts w:ascii="宋体" w:hAnsi="宋体" w:eastAsia="宋体" w:cs="宋体"/>
          <w:color w:val="auto"/>
          <w:szCs w:val="24"/>
          <w:highlight w:val="none"/>
        </w:rPr>
        <w:t xml:space="preserve">5.3 </w:t>
      </w:r>
      <w:r>
        <w:rPr>
          <w:rFonts w:hint="eastAsia" w:ascii="宋体" w:hAnsi="宋体" w:eastAsia="宋体" w:cs="宋体"/>
          <w:color w:val="auto"/>
          <w:szCs w:val="24"/>
          <w:highlight w:val="none"/>
        </w:rPr>
        <w:t>开标异议</w:t>
      </w:r>
      <w:bookmarkEnd w:id="494"/>
      <w:bookmarkEnd w:id="495"/>
      <w:bookmarkEnd w:id="496"/>
      <w:bookmarkEnd w:id="497"/>
      <w:bookmarkEnd w:id="498"/>
      <w:bookmarkEnd w:id="499"/>
      <w:bookmarkEnd w:id="500"/>
      <w:bookmarkEnd w:id="501"/>
      <w:bookmarkEnd w:id="502"/>
      <w:bookmarkEnd w:id="503"/>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投标人对开标有异议的，应当在开标现场提出，招标人当场作出答复，并制作记录。</w:t>
      </w:r>
    </w:p>
    <w:p>
      <w:pPr>
        <w:spacing w:line="360" w:lineRule="auto"/>
        <w:ind w:firstLine="480" w:firstLineChars="200"/>
        <w:rPr>
          <w:rFonts w:ascii="宋体" w:hAnsi="宋体" w:cs="宋体"/>
          <w:color w:val="auto"/>
          <w:sz w:val="24"/>
          <w:szCs w:val="24"/>
          <w:highlight w:val="none"/>
        </w:rPr>
      </w:pPr>
    </w:p>
    <w:p>
      <w:pPr>
        <w:pStyle w:val="4"/>
        <w:spacing w:line="360" w:lineRule="auto"/>
        <w:rPr>
          <w:rFonts w:ascii="宋体" w:hAnsi="宋体" w:eastAsia="宋体" w:cs="宋体"/>
          <w:color w:val="auto"/>
          <w:sz w:val="28"/>
          <w:szCs w:val="28"/>
          <w:highlight w:val="none"/>
        </w:rPr>
      </w:pPr>
      <w:bookmarkStart w:id="504" w:name="_Toc21251"/>
      <w:bookmarkStart w:id="505" w:name="_Toc3701"/>
      <w:bookmarkStart w:id="506" w:name="_Toc23928"/>
      <w:bookmarkStart w:id="507" w:name="_Toc21275"/>
      <w:bookmarkStart w:id="508" w:name="_Toc7982"/>
      <w:bookmarkStart w:id="509" w:name="_Toc598"/>
      <w:bookmarkStart w:id="510" w:name="_Toc3417"/>
      <w:bookmarkStart w:id="511" w:name="_Toc4522"/>
      <w:bookmarkStart w:id="512" w:name="_Toc492300600"/>
      <w:bookmarkStart w:id="513" w:name="_Toc9100"/>
      <w:r>
        <w:rPr>
          <w:rFonts w:ascii="宋体" w:hAnsi="宋体" w:eastAsia="宋体" w:cs="宋体"/>
          <w:color w:val="auto"/>
          <w:sz w:val="28"/>
          <w:szCs w:val="28"/>
          <w:highlight w:val="none"/>
        </w:rPr>
        <w:t xml:space="preserve">6. </w:t>
      </w:r>
      <w:r>
        <w:rPr>
          <w:rFonts w:hint="eastAsia" w:ascii="宋体" w:hAnsi="宋体" w:eastAsia="宋体" w:cs="宋体"/>
          <w:color w:val="auto"/>
          <w:sz w:val="28"/>
          <w:szCs w:val="28"/>
          <w:highlight w:val="none"/>
        </w:rPr>
        <w:t>评标</w:t>
      </w:r>
      <w:bookmarkEnd w:id="504"/>
      <w:bookmarkEnd w:id="505"/>
      <w:bookmarkEnd w:id="506"/>
      <w:bookmarkEnd w:id="507"/>
      <w:bookmarkEnd w:id="508"/>
      <w:bookmarkEnd w:id="509"/>
      <w:bookmarkEnd w:id="510"/>
      <w:bookmarkEnd w:id="511"/>
      <w:bookmarkEnd w:id="512"/>
      <w:bookmarkEnd w:id="513"/>
    </w:p>
    <w:p>
      <w:pPr>
        <w:pStyle w:val="5"/>
        <w:spacing w:line="360" w:lineRule="auto"/>
        <w:ind w:firstLine="0" w:firstLineChars="0"/>
        <w:rPr>
          <w:rFonts w:ascii="宋体" w:hAnsi="宋体" w:eastAsia="宋体" w:cs="宋体"/>
          <w:color w:val="auto"/>
          <w:szCs w:val="24"/>
          <w:highlight w:val="none"/>
        </w:rPr>
      </w:pPr>
      <w:bookmarkStart w:id="514" w:name="_Toc1011"/>
      <w:bookmarkStart w:id="515" w:name="_Toc5367"/>
      <w:bookmarkStart w:id="516" w:name="_Toc6806"/>
      <w:bookmarkStart w:id="517" w:name="_Toc15424"/>
      <w:bookmarkStart w:id="518" w:name="_Toc24623"/>
      <w:bookmarkStart w:id="519" w:name="_Toc492300601"/>
      <w:bookmarkStart w:id="520" w:name="_Toc29125"/>
      <w:bookmarkStart w:id="521" w:name="_Toc349"/>
      <w:bookmarkStart w:id="522" w:name="_Toc20498"/>
      <w:bookmarkStart w:id="523" w:name="_Toc9698"/>
      <w:r>
        <w:rPr>
          <w:rFonts w:ascii="宋体" w:hAnsi="宋体" w:eastAsia="宋体" w:cs="宋体"/>
          <w:color w:val="auto"/>
          <w:szCs w:val="24"/>
          <w:highlight w:val="none"/>
        </w:rPr>
        <w:t xml:space="preserve">6.1 </w:t>
      </w:r>
      <w:r>
        <w:rPr>
          <w:rFonts w:hint="eastAsia" w:ascii="宋体" w:hAnsi="宋体" w:eastAsia="宋体" w:cs="宋体"/>
          <w:color w:val="auto"/>
          <w:szCs w:val="24"/>
          <w:highlight w:val="none"/>
        </w:rPr>
        <w:t>评标委员会</w:t>
      </w:r>
      <w:bookmarkEnd w:id="514"/>
      <w:bookmarkEnd w:id="515"/>
      <w:bookmarkEnd w:id="516"/>
      <w:bookmarkEnd w:id="517"/>
      <w:bookmarkEnd w:id="518"/>
      <w:bookmarkEnd w:id="519"/>
      <w:bookmarkEnd w:id="520"/>
      <w:bookmarkEnd w:id="521"/>
      <w:bookmarkEnd w:id="522"/>
      <w:bookmarkEnd w:id="523"/>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6.1.1 </w:t>
      </w:r>
      <w:r>
        <w:rPr>
          <w:rFonts w:hint="eastAsia" w:ascii="宋体" w:hAnsi="宋体" w:cs="宋体"/>
          <w:color w:val="auto"/>
          <w:sz w:val="24"/>
          <w:szCs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6.1.2 </w:t>
      </w:r>
      <w:r>
        <w:rPr>
          <w:rFonts w:hint="eastAsia" w:ascii="宋体" w:hAnsi="宋体" w:cs="宋体"/>
          <w:color w:val="auto"/>
          <w:sz w:val="24"/>
          <w:szCs w:val="24"/>
          <w:highlight w:val="none"/>
        </w:rPr>
        <w:t>评标委员会成员有下列情形之一的，应当回避：</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（1）投标人或投标人主要负责人的近亲属；</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（4）曾因在招标、评</w:t>
      </w:r>
      <w:bookmarkStart w:id="524" w:name="_Toc300834976"/>
      <w:bookmarkStart w:id="525" w:name="_Toc361508612"/>
      <w:bookmarkStart w:id="526" w:name="_Toc152045555"/>
      <w:bookmarkStart w:id="527" w:name="_Toc144974523"/>
      <w:bookmarkStart w:id="528" w:name="_Toc247527580"/>
      <w:bookmarkStart w:id="529" w:name="_Toc384308237"/>
      <w:bookmarkStart w:id="530" w:name="_Toc152042331"/>
      <w:bookmarkStart w:id="531" w:name="_Toc247513979"/>
      <w:bookmarkStart w:id="532" w:name="_Toc369531543"/>
      <w:bookmarkStart w:id="533" w:name="_Toc352691499"/>
      <w:bookmarkStart w:id="534" w:name="_Toc6230"/>
      <w:r>
        <w:rPr>
          <w:rFonts w:hint="eastAsia" w:ascii="宋体" w:hAnsi="宋体" w:cs="宋体"/>
          <w:color w:val="auto"/>
          <w:sz w:val="24"/>
          <w:szCs w:val="24"/>
          <w:highlight w:val="none"/>
        </w:rPr>
        <w:t>标以及其他</w:t>
      </w:r>
      <w:bookmarkEnd w:id="524"/>
      <w:bookmarkEnd w:id="525"/>
      <w:bookmarkEnd w:id="526"/>
      <w:bookmarkEnd w:id="527"/>
      <w:bookmarkEnd w:id="528"/>
      <w:bookmarkEnd w:id="529"/>
      <w:bookmarkEnd w:id="530"/>
      <w:bookmarkEnd w:id="531"/>
      <w:bookmarkEnd w:id="532"/>
      <w:bookmarkEnd w:id="533"/>
      <w:bookmarkEnd w:id="534"/>
      <w:r>
        <w:rPr>
          <w:rFonts w:hint="eastAsia" w:ascii="宋体" w:hAnsi="宋体" w:cs="宋体"/>
          <w:color w:val="auto"/>
          <w:sz w:val="24"/>
          <w:szCs w:val="24"/>
          <w:highlight w:val="none"/>
        </w:rPr>
        <w:t>与</w:t>
      </w:r>
      <w:bookmarkStart w:id="535" w:name="_Toc144974524"/>
      <w:bookmarkStart w:id="536" w:name="_Toc247527581"/>
      <w:bookmarkStart w:id="537" w:name="_Toc152042332"/>
      <w:bookmarkStart w:id="538" w:name="_Toc17703"/>
      <w:bookmarkStart w:id="539" w:name="_Toc300834977"/>
      <w:bookmarkStart w:id="540" w:name="_Toc361508613"/>
      <w:bookmarkStart w:id="541" w:name="_Toc384308238"/>
      <w:bookmarkStart w:id="542" w:name="_Toc152045556"/>
      <w:bookmarkStart w:id="543" w:name="_Toc247513980"/>
      <w:bookmarkStart w:id="544" w:name="_Toc369531544"/>
      <w:bookmarkStart w:id="545" w:name="_Toc352691500"/>
      <w:r>
        <w:rPr>
          <w:rFonts w:hint="eastAsia" w:ascii="宋体" w:hAnsi="宋体" w:cs="宋体"/>
          <w:color w:val="auto"/>
          <w:sz w:val="24"/>
          <w:szCs w:val="24"/>
          <w:highlight w:val="none"/>
        </w:rPr>
        <w:t>招标投标有关活动中从事违法行</w:t>
      </w:r>
      <w:bookmarkEnd w:id="535"/>
      <w:bookmarkEnd w:id="536"/>
      <w:bookmarkEnd w:id="537"/>
      <w:bookmarkEnd w:id="538"/>
      <w:bookmarkEnd w:id="539"/>
      <w:bookmarkEnd w:id="540"/>
      <w:bookmarkEnd w:id="541"/>
      <w:bookmarkEnd w:id="542"/>
      <w:bookmarkEnd w:id="543"/>
      <w:bookmarkEnd w:id="544"/>
      <w:bookmarkEnd w:id="545"/>
      <w:r>
        <w:rPr>
          <w:rFonts w:hint="eastAsia" w:ascii="宋体" w:hAnsi="宋体" w:cs="宋体"/>
          <w:color w:val="auto"/>
          <w:sz w:val="24"/>
          <w:szCs w:val="24"/>
          <w:highlight w:val="none"/>
        </w:rPr>
        <w:t>为而受过行政处罚或刑事处罚的；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（5）与投标人有其他利害关系。</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6.1.3 </w:t>
      </w:r>
      <w:r>
        <w:rPr>
          <w:rFonts w:hint="eastAsia" w:ascii="宋体" w:hAnsi="宋体" w:cs="宋体"/>
          <w:color w:val="auto"/>
          <w:sz w:val="24"/>
          <w:szCs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5"/>
        <w:spacing w:line="360" w:lineRule="auto"/>
        <w:ind w:firstLine="0" w:firstLineChars="0"/>
        <w:rPr>
          <w:rFonts w:ascii="宋体" w:hAnsi="宋体" w:eastAsia="宋体" w:cs="宋体"/>
          <w:color w:val="auto"/>
          <w:szCs w:val="24"/>
          <w:highlight w:val="none"/>
        </w:rPr>
      </w:pPr>
      <w:bookmarkStart w:id="546" w:name="_Toc31284"/>
      <w:bookmarkStart w:id="547" w:name="_Toc11730"/>
      <w:bookmarkStart w:id="548" w:name="_Toc7627"/>
      <w:bookmarkStart w:id="549" w:name="_Toc4771"/>
      <w:bookmarkStart w:id="550" w:name="_Toc19021"/>
      <w:bookmarkStart w:id="551" w:name="_Toc13705"/>
      <w:bookmarkStart w:id="552" w:name="_Toc419"/>
      <w:bookmarkStart w:id="553" w:name="_Toc492300602"/>
      <w:bookmarkStart w:id="554" w:name="_Toc32590"/>
      <w:bookmarkStart w:id="555" w:name="_Toc1118"/>
      <w:r>
        <w:rPr>
          <w:rFonts w:ascii="宋体" w:hAnsi="宋体" w:eastAsia="宋体" w:cs="宋体"/>
          <w:color w:val="auto"/>
          <w:szCs w:val="24"/>
          <w:highlight w:val="none"/>
        </w:rPr>
        <w:t xml:space="preserve">6.2 </w:t>
      </w:r>
      <w:r>
        <w:rPr>
          <w:rFonts w:hint="eastAsia" w:ascii="宋体" w:hAnsi="宋体" w:eastAsia="宋体" w:cs="宋体"/>
          <w:color w:val="auto"/>
          <w:szCs w:val="24"/>
          <w:highlight w:val="none"/>
        </w:rPr>
        <w:t>评标原则</w:t>
      </w:r>
      <w:bookmarkEnd w:id="546"/>
      <w:bookmarkEnd w:id="547"/>
      <w:bookmarkEnd w:id="548"/>
      <w:bookmarkEnd w:id="549"/>
      <w:bookmarkEnd w:id="550"/>
      <w:bookmarkEnd w:id="551"/>
      <w:bookmarkEnd w:id="552"/>
      <w:bookmarkEnd w:id="553"/>
      <w:bookmarkEnd w:id="554"/>
      <w:bookmarkEnd w:id="55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w:t>
      </w:r>
      <w:bookmarkStart w:id="556" w:name="_Toc18949"/>
      <w:bookmarkStart w:id="557" w:name="_Toc361508614"/>
      <w:bookmarkStart w:id="558" w:name="_Toc384308239"/>
      <w:bookmarkStart w:id="559" w:name="_Toc144974525"/>
      <w:bookmarkStart w:id="560" w:name="_Toc152042333"/>
      <w:bookmarkStart w:id="561" w:name="_Toc352691501"/>
      <w:bookmarkStart w:id="562" w:name="_Toc247513981"/>
      <w:bookmarkStart w:id="563" w:name="_Toc300834978"/>
      <w:bookmarkStart w:id="564" w:name="_Toc152045557"/>
      <w:bookmarkStart w:id="565" w:name="_Toc369531545"/>
      <w:bookmarkStart w:id="566" w:name="_Toc247527582"/>
      <w:r>
        <w:rPr>
          <w:rFonts w:hint="eastAsia" w:ascii="宋体" w:hAnsi="宋体" w:cs="宋体"/>
          <w:color w:val="auto"/>
          <w:sz w:val="24"/>
          <w:szCs w:val="24"/>
          <w:highlight w:val="none"/>
        </w:rPr>
        <w:t>则。</w:t>
      </w:r>
    </w:p>
    <w:p>
      <w:pPr>
        <w:pStyle w:val="5"/>
        <w:spacing w:line="360" w:lineRule="auto"/>
        <w:ind w:firstLine="0" w:firstLineChars="0"/>
        <w:rPr>
          <w:rFonts w:ascii="宋体" w:hAnsi="宋体" w:eastAsia="宋体" w:cs="宋体"/>
          <w:color w:val="auto"/>
          <w:szCs w:val="24"/>
          <w:highlight w:val="none"/>
        </w:rPr>
      </w:pPr>
      <w:bookmarkStart w:id="567" w:name="_Toc30279"/>
      <w:bookmarkStart w:id="568" w:name="_Toc26119"/>
      <w:bookmarkStart w:id="569" w:name="_Toc492300603"/>
      <w:bookmarkStart w:id="570" w:name="_Toc29396"/>
      <w:bookmarkStart w:id="571" w:name="_Toc8640"/>
      <w:bookmarkStart w:id="572" w:name="_Toc2802"/>
      <w:bookmarkStart w:id="573" w:name="_Toc4047"/>
      <w:bookmarkStart w:id="574" w:name="_Toc8776"/>
      <w:bookmarkStart w:id="575" w:name="_Toc29486"/>
      <w:bookmarkStart w:id="576" w:name="_Toc10558"/>
      <w:r>
        <w:rPr>
          <w:rFonts w:ascii="宋体" w:hAnsi="宋体" w:eastAsia="宋体" w:cs="宋体"/>
          <w:color w:val="auto"/>
          <w:szCs w:val="24"/>
          <w:highlight w:val="none"/>
        </w:rPr>
        <w:t xml:space="preserve">6.3 </w:t>
      </w:r>
      <w:r>
        <w:rPr>
          <w:rFonts w:hint="eastAsia" w:ascii="宋体" w:hAnsi="宋体" w:eastAsia="宋体" w:cs="宋体"/>
          <w:color w:val="auto"/>
          <w:szCs w:val="24"/>
          <w:highlight w:val="none"/>
        </w:rPr>
        <w:t>评标</w:t>
      </w:r>
      <w:bookmarkEnd w:id="567"/>
      <w:bookmarkEnd w:id="568"/>
      <w:bookmarkEnd w:id="569"/>
      <w:bookmarkEnd w:id="570"/>
      <w:bookmarkEnd w:id="571"/>
      <w:bookmarkEnd w:id="572"/>
      <w:bookmarkEnd w:id="573"/>
      <w:bookmarkEnd w:id="574"/>
      <w:bookmarkEnd w:id="575"/>
      <w:bookmarkEnd w:id="576"/>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w:t>
      </w:r>
      <w:bookmarkEnd w:id="556"/>
      <w:bookmarkEnd w:id="557"/>
      <w:bookmarkEnd w:id="558"/>
      <w:bookmarkEnd w:id="559"/>
      <w:bookmarkEnd w:id="560"/>
      <w:bookmarkEnd w:id="561"/>
      <w:bookmarkEnd w:id="562"/>
      <w:bookmarkEnd w:id="563"/>
      <w:bookmarkEnd w:id="564"/>
      <w:bookmarkEnd w:id="565"/>
      <w:bookmarkEnd w:id="566"/>
      <w:r>
        <w:rPr>
          <w:rFonts w:hint="eastAsia" w:ascii="宋体" w:hAnsi="宋体" w:cs="宋体"/>
          <w:color w:val="auto"/>
          <w:sz w:val="24"/>
          <w:szCs w:val="24"/>
          <w:highlight w:val="none"/>
        </w:rPr>
        <w:t>.3.1评标委员会按照第三章“评标办法”规定的方法、评审因素、标准和程序对投标文件进行评审。第三章“评标办法”没有规定的方法、评审因素和标准，不作为评标依据。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6.3.2评标完成后，评标委员会应当向招标人提交书面评标报告和中标候选人名单。评标委员会推荐中标</w:t>
      </w:r>
      <w:bookmarkStart w:id="577" w:name="_Toc361508615"/>
      <w:bookmarkStart w:id="578" w:name="_Toc247527583"/>
      <w:bookmarkStart w:id="579" w:name="_Toc352691502"/>
      <w:bookmarkStart w:id="580" w:name="_Toc144974526"/>
      <w:bookmarkStart w:id="581" w:name="_Toc247513982"/>
      <w:bookmarkStart w:id="582" w:name="_Toc300834979"/>
      <w:bookmarkStart w:id="583" w:name="_Toc369531546"/>
      <w:bookmarkStart w:id="584" w:name="_Toc12259"/>
      <w:bookmarkStart w:id="585" w:name="_Toc152042334"/>
      <w:bookmarkStart w:id="586" w:name="_Toc152045558"/>
      <w:bookmarkStart w:id="587" w:name="_Toc384308240"/>
      <w:r>
        <w:rPr>
          <w:rFonts w:hint="eastAsia" w:ascii="宋体" w:hAnsi="宋体" w:cs="宋体"/>
          <w:color w:val="auto"/>
          <w:sz w:val="24"/>
          <w:szCs w:val="24"/>
          <w:highlight w:val="none"/>
        </w:rPr>
        <w:t>候选人的人数见投标人须知前附</w:t>
      </w:r>
      <w:bookmarkEnd w:id="577"/>
      <w:bookmarkEnd w:id="578"/>
      <w:bookmarkEnd w:id="579"/>
      <w:bookmarkEnd w:id="580"/>
      <w:bookmarkEnd w:id="581"/>
      <w:bookmarkEnd w:id="582"/>
      <w:bookmarkEnd w:id="583"/>
      <w:bookmarkEnd w:id="584"/>
      <w:bookmarkEnd w:id="585"/>
      <w:bookmarkEnd w:id="586"/>
      <w:bookmarkEnd w:id="587"/>
      <w:r>
        <w:rPr>
          <w:rFonts w:hint="eastAsia" w:ascii="宋体" w:hAnsi="宋体" w:cs="宋体"/>
          <w:color w:val="auto"/>
          <w:sz w:val="24"/>
          <w:szCs w:val="24"/>
          <w:highlight w:val="none"/>
        </w:rPr>
        <w:t>表。</w:t>
      </w:r>
    </w:p>
    <w:p>
      <w:pPr>
        <w:pStyle w:val="4"/>
        <w:spacing w:line="360" w:lineRule="auto"/>
        <w:rPr>
          <w:rFonts w:ascii="宋体" w:hAnsi="宋体" w:eastAsia="宋体" w:cs="宋体"/>
          <w:color w:val="auto"/>
          <w:sz w:val="28"/>
          <w:szCs w:val="28"/>
          <w:highlight w:val="none"/>
        </w:rPr>
      </w:pPr>
      <w:bookmarkStart w:id="588" w:name="_Toc16732"/>
      <w:bookmarkStart w:id="589" w:name="_Toc7020"/>
      <w:bookmarkStart w:id="590" w:name="_Toc25633"/>
      <w:bookmarkStart w:id="591" w:name="_Toc15335"/>
      <w:bookmarkStart w:id="592" w:name="_Toc492300604"/>
      <w:bookmarkStart w:id="593" w:name="_Toc28355"/>
      <w:bookmarkStart w:id="594" w:name="_Toc10110"/>
      <w:bookmarkStart w:id="595" w:name="_Toc22635"/>
      <w:bookmarkStart w:id="596" w:name="_Toc5657"/>
      <w:bookmarkStart w:id="597" w:name="_Toc15386"/>
      <w:r>
        <w:rPr>
          <w:rFonts w:ascii="宋体" w:hAnsi="宋体" w:eastAsia="宋体" w:cs="宋体"/>
          <w:color w:val="auto"/>
          <w:sz w:val="28"/>
          <w:szCs w:val="28"/>
          <w:highlight w:val="none"/>
        </w:rPr>
        <w:t xml:space="preserve">7. </w:t>
      </w:r>
      <w:r>
        <w:rPr>
          <w:rFonts w:hint="eastAsia" w:ascii="宋体" w:hAnsi="宋体" w:eastAsia="宋体" w:cs="宋体"/>
          <w:color w:val="auto"/>
          <w:sz w:val="28"/>
          <w:szCs w:val="28"/>
          <w:highlight w:val="none"/>
        </w:rPr>
        <w:t>合同授予</w:t>
      </w:r>
      <w:bookmarkEnd w:id="588"/>
      <w:bookmarkEnd w:id="589"/>
      <w:bookmarkEnd w:id="590"/>
      <w:bookmarkEnd w:id="591"/>
      <w:bookmarkEnd w:id="592"/>
      <w:bookmarkEnd w:id="593"/>
      <w:bookmarkEnd w:id="594"/>
      <w:bookmarkEnd w:id="595"/>
      <w:bookmarkEnd w:id="596"/>
      <w:bookmarkEnd w:id="597"/>
    </w:p>
    <w:p>
      <w:pPr>
        <w:pStyle w:val="5"/>
        <w:spacing w:line="360" w:lineRule="auto"/>
        <w:ind w:firstLine="0" w:firstLineChars="0"/>
        <w:rPr>
          <w:rFonts w:ascii="宋体" w:hAnsi="宋体" w:eastAsia="宋体" w:cs="宋体"/>
          <w:color w:val="auto"/>
          <w:szCs w:val="24"/>
          <w:highlight w:val="none"/>
        </w:rPr>
      </w:pPr>
      <w:bookmarkStart w:id="598" w:name="_Toc9762"/>
      <w:bookmarkStart w:id="599" w:name="_Toc1924"/>
      <w:bookmarkStart w:id="600" w:name="_Toc16687"/>
      <w:bookmarkStart w:id="601" w:name="_Toc3854"/>
      <w:bookmarkStart w:id="602" w:name="_Toc492300605"/>
      <w:bookmarkStart w:id="603" w:name="_Toc26938"/>
      <w:bookmarkStart w:id="604" w:name="_Toc958"/>
      <w:bookmarkStart w:id="605" w:name="_Toc9013"/>
      <w:bookmarkStart w:id="606" w:name="_Toc22584"/>
      <w:bookmarkStart w:id="607" w:name="_Toc30180"/>
      <w:r>
        <w:rPr>
          <w:rFonts w:ascii="宋体" w:hAnsi="宋体" w:eastAsia="宋体" w:cs="宋体"/>
          <w:color w:val="auto"/>
          <w:szCs w:val="24"/>
          <w:highlight w:val="none"/>
        </w:rPr>
        <w:t xml:space="preserve">7.1 </w:t>
      </w:r>
      <w:r>
        <w:rPr>
          <w:rFonts w:hint="eastAsia" w:ascii="宋体" w:hAnsi="宋体" w:eastAsia="宋体" w:cs="宋体"/>
          <w:color w:val="auto"/>
          <w:szCs w:val="24"/>
          <w:highlight w:val="none"/>
        </w:rPr>
        <w:t>中标候选人公示</w:t>
      </w:r>
      <w:bookmarkEnd w:id="598"/>
      <w:bookmarkEnd w:id="599"/>
      <w:bookmarkEnd w:id="600"/>
      <w:bookmarkEnd w:id="601"/>
      <w:bookmarkEnd w:id="602"/>
      <w:bookmarkEnd w:id="603"/>
      <w:bookmarkEnd w:id="604"/>
      <w:bookmarkEnd w:id="605"/>
      <w:bookmarkEnd w:id="606"/>
      <w:bookmarkEnd w:id="607"/>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招标人在收到评标报告之日起3日内，按照投标人须知前附表规定的公示媒介和期限公示中标候选人，公示期不得少于3天。</w:t>
      </w:r>
    </w:p>
    <w:p>
      <w:pPr>
        <w:pStyle w:val="5"/>
        <w:spacing w:line="360" w:lineRule="auto"/>
        <w:ind w:firstLine="0" w:firstLineChars="0"/>
        <w:rPr>
          <w:rFonts w:ascii="宋体" w:hAnsi="宋体" w:eastAsia="宋体" w:cs="宋体"/>
          <w:color w:val="auto"/>
          <w:szCs w:val="24"/>
          <w:highlight w:val="none"/>
        </w:rPr>
      </w:pPr>
      <w:bookmarkStart w:id="608" w:name="_Toc2875"/>
      <w:bookmarkStart w:id="609" w:name="_Toc1246"/>
      <w:bookmarkStart w:id="610" w:name="_Toc26910"/>
      <w:bookmarkStart w:id="611" w:name="_Toc11891"/>
      <w:bookmarkStart w:id="612" w:name="_Toc19277"/>
      <w:bookmarkStart w:id="613" w:name="_Toc16494"/>
      <w:bookmarkStart w:id="614" w:name="_Toc19700"/>
      <w:bookmarkStart w:id="615" w:name="_Toc14112"/>
      <w:bookmarkStart w:id="616" w:name="_Toc15404"/>
      <w:bookmarkStart w:id="617" w:name="_Toc492300606"/>
      <w:r>
        <w:rPr>
          <w:rFonts w:ascii="宋体" w:hAnsi="宋体" w:eastAsia="宋体" w:cs="宋体"/>
          <w:color w:val="auto"/>
          <w:szCs w:val="24"/>
          <w:highlight w:val="none"/>
        </w:rPr>
        <w:t xml:space="preserve">7.2 </w:t>
      </w:r>
      <w:r>
        <w:rPr>
          <w:rFonts w:hint="eastAsia" w:ascii="宋体" w:hAnsi="宋体" w:eastAsia="宋体" w:cs="宋体"/>
          <w:color w:val="auto"/>
          <w:szCs w:val="24"/>
          <w:highlight w:val="none"/>
        </w:rPr>
        <w:t>评标结果异议</w:t>
      </w:r>
      <w:bookmarkEnd w:id="608"/>
      <w:bookmarkEnd w:id="609"/>
      <w:bookmarkEnd w:id="610"/>
      <w:bookmarkEnd w:id="611"/>
      <w:bookmarkEnd w:id="612"/>
      <w:bookmarkEnd w:id="613"/>
      <w:bookmarkEnd w:id="614"/>
      <w:bookmarkEnd w:id="615"/>
      <w:bookmarkEnd w:id="616"/>
      <w:bookmarkEnd w:id="617"/>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投标人或者其他利</w:t>
      </w:r>
      <w:bookmarkStart w:id="618" w:name="_Toc300834982"/>
      <w:bookmarkStart w:id="619" w:name="_Toc361508618"/>
      <w:bookmarkStart w:id="620" w:name="_Toc247527586"/>
      <w:bookmarkStart w:id="621" w:name="_Toc369531549"/>
      <w:bookmarkStart w:id="622" w:name="_Toc152042337"/>
      <w:bookmarkStart w:id="623" w:name="_Toc152045561"/>
      <w:bookmarkStart w:id="624" w:name="_Toc30095"/>
      <w:bookmarkStart w:id="625" w:name="_Toc247513985"/>
      <w:bookmarkStart w:id="626" w:name="_Toc144974529"/>
      <w:bookmarkStart w:id="627" w:name="_Toc352691505"/>
      <w:bookmarkStart w:id="628" w:name="_Toc384308243"/>
      <w:r>
        <w:rPr>
          <w:rFonts w:hint="eastAsia" w:ascii="宋体" w:hAnsi="宋体" w:cs="宋体"/>
          <w:color w:val="auto"/>
          <w:sz w:val="24"/>
          <w:szCs w:val="24"/>
          <w:highlight w:val="none"/>
        </w:rPr>
        <w:t>害关系人对评标结</w:t>
      </w:r>
      <w:bookmarkEnd w:id="618"/>
      <w:bookmarkEnd w:id="619"/>
      <w:bookmarkEnd w:id="620"/>
      <w:bookmarkEnd w:id="621"/>
      <w:bookmarkEnd w:id="622"/>
      <w:bookmarkEnd w:id="623"/>
      <w:bookmarkEnd w:id="624"/>
      <w:bookmarkEnd w:id="625"/>
      <w:bookmarkEnd w:id="626"/>
      <w:bookmarkEnd w:id="627"/>
      <w:bookmarkEnd w:id="628"/>
      <w:r>
        <w:rPr>
          <w:rFonts w:hint="eastAsia" w:ascii="宋体" w:hAnsi="宋体" w:cs="宋体"/>
          <w:color w:val="auto"/>
          <w:sz w:val="24"/>
          <w:szCs w:val="24"/>
          <w:highlight w:val="none"/>
        </w:rPr>
        <w:t>果有异议的，应当在中标候选人公示期间提出。招标人将在收到异议之日起</w:t>
      </w:r>
      <w:r>
        <w:rPr>
          <w:rFonts w:ascii="宋体" w:hAnsi="宋体" w:cs="宋体"/>
          <w:color w:val="auto"/>
          <w:sz w:val="24"/>
          <w:szCs w:val="24"/>
          <w:highlight w:val="none"/>
        </w:rPr>
        <w:t>3日内</w:t>
      </w:r>
      <w:r>
        <w:rPr>
          <w:rFonts w:hint="eastAsia" w:ascii="宋体" w:hAnsi="宋体" w:cs="宋体"/>
          <w:color w:val="auto"/>
          <w:sz w:val="24"/>
          <w:szCs w:val="24"/>
          <w:highlight w:val="none"/>
        </w:rPr>
        <w:t>作出答复；作出答复前，将暂停招标投标活动。</w:t>
      </w:r>
    </w:p>
    <w:p>
      <w:pPr>
        <w:pStyle w:val="5"/>
        <w:spacing w:line="360" w:lineRule="auto"/>
        <w:ind w:firstLine="0" w:firstLineChars="0"/>
        <w:rPr>
          <w:rFonts w:ascii="宋体" w:hAnsi="宋体" w:eastAsia="宋体" w:cs="宋体"/>
          <w:color w:val="auto"/>
          <w:szCs w:val="24"/>
          <w:highlight w:val="none"/>
        </w:rPr>
      </w:pPr>
      <w:bookmarkStart w:id="629" w:name="_Toc24306"/>
      <w:bookmarkStart w:id="630" w:name="_Toc11242"/>
      <w:bookmarkStart w:id="631" w:name="_Toc10747"/>
      <w:bookmarkStart w:id="632" w:name="_Toc20125"/>
      <w:bookmarkStart w:id="633" w:name="_Toc492300607"/>
      <w:bookmarkStart w:id="634" w:name="_Toc7255"/>
      <w:bookmarkStart w:id="635" w:name="_Toc19392"/>
      <w:bookmarkStart w:id="636" w:name="_Toc4223"/>
      <w:bookmarkStart w:id="637" w:name="_Toc12436"/>
      <w:bookmarkStart w:id="638" w:name="_Toc8456"/>
      <w:r>
        <w:rPr>
          <w:rFonts w:ascii="宋体" w:hAnsi="宋体" w:eastAsia="宋体" w:cs="宋体"/>
          <w:color w:val="auto"/>
          <w:szCs w:val="24"/>
          <w:highlight w:val="none"/>
        </w:rPr>
        <w:t xml:space="preserve">7.3 </w:t>
      </w:r>
      <w:r>
        <w:rPr>
          <w:rFonts w:hint="eastAsia" w:ascii="宋体" w:hAnsi="宋体" w:eastAsia="宋体" w:cs="宋体"/>
          <w:color w:val="auto"/>
          <w:szCs w:val="24"/>
          <w:highlight w:val="none"/>
        </w:rPr>
        <w:t>中标候选人履约能力审查</w:t>
      </w:r>
      <w:bookmarkEnd w:id="629"/>
      <w:bookmarkEnd w:id="630"/>
      <w:bookmarkEnd w:id="631"/>
      <w:bookmarkEnd w:id="632"/>
      <w:bookmarkEnd w:id="633"/>
      <w:bookmarkEnd w:id="634"/>
      <w:bookmarkEnd w:id="635"/>
      <w:bookmarkEnd w:id="636"/>
      <w:bookmarkEnd w:id="637"/>
      <w:bookmarkEnd w:id="63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line="360" w:lineRule="auto"/>
        <w:ind w:firstLine="0" w:firstLineChars="0"/>
        <w:rPr>
          <w:rFonts w:ascii="宋体" w:hAnsi="宋体" w:eastAsia="宋体" w:cs="宋体"/>
          <w:color w:val="auto"/>
          <w:szCs w:val="24"/>
          <w:highlight w:val="none"/>
        </w:rPr>
      </w:pPr>
      <w:bookmarkStart w:id="639" w:name="_Toc24755"/>
      <w:bookmarkStart w:id="640" w:name="_Toc18639"/>
      <w:bookmarkStart w:id="641" w:name="_Toc26023"/>
      <w:bookmarkStart w:id="642" w:name="_Toc492300608"/>
      <w:bookmarkStart w:id="643" w:name="_Toc13911"/>
      <w:bookmarkStart w:id="644" w:name="_Toc21272"/>
      <w:bookmarkStart w:id="645" w:name="_Toc16645"/>
      <w:bookmarkStart w:id="646" w:name="_Toc9704"/>
      <w:bookmarkStart w:id="647" w:name="_Toc25871"/>
      <w:bookmarkStart w:id="648" w:name="_Toc20037"/>
      <w:r>
        <w:rPr>
          <w:rFonts w:ascii="宋体" w:hAnsi="宋体" w:eastAsia="宋体" w:cs="宋体"/>
          <w:color w:val="auto"/>
          <w:szCs w:val="24"/>
          <w:highlight w:val="none"/>
        </w:rPr>
        <w:t xml:space="preserve">7.4 </w:t>
      </w:r>
      <w:r>
        <w:rPr>
          <w:rFonts w:hint="eastAsia" w:ascii="宋体" w:hAnsi="宋体" w:eastAsia="宋体" w:cs="宋体"/>
          <w:color w:val="auto"/>
          <w:szCs w:val="24"/>
          <w:highlight w:val="none"/>
        </w:rPr>
        <w:t>定标</w:t>
      </w:r>
      <w:bookmarkEnd w:id="639"/>
      <w:bookmarkEnd w:id="640"/>
      <w:bookmarkEnd w:id="641"/>
      <w:bookmarkEnd w:id="642"/>
      <w:bookmarkEnd w:id="643"/>
      <w:bookmarkEnd w:id="644"/>
      <w:bookmarkEnd w:id="645"/>
      <w:bookmarkEnd w:id="646"/>
      <w:bookmarkEnd w:id="647"/>
      <w:bookmarkEnd w:id="64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按照投标人须知前附表的规定，招标人或招标人授权的评标委员会依法确定中标人。</w:t>
      </w:r>
    </w:p>
    <w:p>
      <w:pPr>
        <w:pStyle w:val="5"/>
        <w:spacing w:line="360" w:lineRule="auto"/>
        <w:ind w:firstLine="0" w:firstLineChars="0"/>
        <w:rPr>
          <w:rFonts w:ascii="宋体" w:hAnsi="宋体" w:eastAsia="宋体" w:cs="宋体"/>
          <w:color w:val="auto"/>
          <w:szCs w:val="24"/>
          <w:highlight w:val="none"/>
        </w:rPr>
      </w:pPr>
      <w:bookmarkStart w:id="649" w:name="_Toc22074"/>
      <w:bookmarkStart w:id="650" w:name="_Toc2936"/>
      <w:bookmarkStart w:id="651" w:name="_Toc27861"/>
      <w:bookmarkStart w:id="652" w:name="_Toc12343"/>
      <w:bookmarkStart w:id="653" w:name="_Toc20477"/>
      <w:bookmarkStart w:id="654" w:name="_Toc31128"/>
      <w:bookmarkStart w:id="655" w:name="_Toc492300609"/>
      <w:bookmarkStart w:id="656" w:name="_Toc9194"/>
      <w:bookmarkStart w:id="657" w:name="_Toc9845"/>
      <w:bookmarkStart w:id="658" w:name="_Toc22955"/>
      <w:r>
        <w:rPr>
          <w:rFonts w:ascii="宋体" w:hAnsi="宋体" w:eastAsia="宋体" w:cs="宋体"/>
          <w:color w:val="auto"/>
          <w:szCs w:val="24"/>
          <w:highlight w:val="none"/>
        </w:rPr>
        <w:t xml:space="preserve">7.5 </w:t>
      </w:r>
      <w:r>
        <w:rPr>
          <w:rFonts w:hint="eastAsia" w:ascii="宋体" w:hAnsi="宋体" w:eastAsia="宋体" w:cs="宋体"/>
          <w:color w:val="auto"/>
          <w:szCs w:val="24"/>
          <w:highlight w:val="none"/>
        </w:rPr>
        <w:t>中标通知</w:t>
      </w:r>
      <w:bookmarkEnd w:id="649"/>
      <w:bookmarkEnd w:id="650"/>
      <w:bookmarkEnd w:id="651"/>
      <w:bookmarkEnd w:id="652"/>
      <w:bookmarkEnd w:id="653"/>
      <w:bookmarkEnd w:id="654"/>
      <w:bookmarkEnd w:id="655"/>
      <w:bookmarkEnd w:id="656"/>
      <w:bookmarkEnd w:id="657"/>
      <w:bookmarkEnd w:id="65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在本章第3.3款规定的投标有效期内，招标人以书面形式向中标人发出中标</w:t>
      </w:r>
      <w:bookmarkStart w:id="659" w:name="_Toc369531550"/>
      <w:bookmarkStart w:id="660" w:name="_Toc5668"/>
      <w:bookmarkStart w:id="661" w:name="_Toc384308244"/>
      <w:bookmarkStart w:id="662" w:name="_Toc352691506"/>
      <w:bookmarkStart w:id="663" w:name="_Toc300834983"/>
      <w:bookmarkStart w:id="664" w:name="_Toc361508619"/>
      <w:r>
        <w:rPr>
          <w:rFonts w:hint="eastAsia" w:ascii="宋体" w:hAnsi="宋体" w:cs="宋体"/>
          <w:color w:val="auto"/>
          <w:sz w:val="24"/>
          <w:szCs w:val="24"/>
          <w:highlight w:val="none"/>
        </w:rPr>
        <w:t>通知书，同时将中</w:t>
      </w:r>
      <w:bookmarkEnd w:id="659"/>
      <w:bookmarkEnd w:id="660"/>
      <w:bookmarkEnd w:id="661"/>
      <w:bookmarkEnd w:id="662"/>
      <w:bookmarkEnd w:id="663"/>
      <w:bookmarkEnd w:id="664"/>
      <w:r>
        <w:rPr>
          <w:rFonts w:hint="eastAsia" w:ascii="宋体" w:hAnsi="宋体" w:cs="宋体"/>
          <w:color w:val="auto"/>
          <w:sz w:val="24"/>
          <w:szCs w:val="24"/>
          <w:highlight w:val="none"/>
        </w:rPr>
        <w:t>标结果通知未中标的投标人。</w:t>
      </w:r>
    </w:p>
    <w:p>
      <w:pPr>
        <w:pStyle w:val="5"/>
        <w:spacing w:line="360" w:lineRule="auto"/>
        <w:ind w:firstLine="0" w:firstLineChars="0"/>
        <w:rPr>
          <w:rFonts w:ascii="宋体" w:hAnsi="宋体" w:eastAsia="宋体" w:cs="宋体"/>
          <w:color w:val="auto"/>
          <w:szCs w:val="24"/>
          <w:highlight w:val="none"/>
        </w:rPr>
      </w:pPr>
      <w:bookmarkStart w:id="665" w:name="_Toc7444"/>
      <w:bookmarkStart w:id="666" w:name="_Toc28838"/>
      <w:bookmarkStart w:id="667" w:name="_Toc8209"/>
      <w:bookmarkStart w:id="668" w:name="_Toc29460"/>
      <w:bookmarkStart w:id="669" w:name="_Toc14148"/>
      <w:bookmarkStart w:id="670" w:name="_Toc11461"/>
      <w:bookmarkStart w:id="671" w:name="_Toc492300610"/>
      <w:bookmarkStart w:id="672" w:name="_Toc20992"/>
      <w:bookmarkStart w:id="673" w:name="_Toc31786"/>
      <w:bookmarkStart w:id="674" w:name="_Toc10579"/>
      <w:r>
        <w:rPr>
          <w:rFonts w:ascii="宋体" w:hAnsi="宋体" w:eastAsia="宋体" w:cs="宋体"/>
          <w:color w:val="auto"/>
          <w:szCs w:val="24"/>
          <w:highlight w:val="none"/>
        </w:rPr>
        <w:t xml:space="preserve">7.6 </w:t>
      </w:r>
      <w:r>
        <w:rPr>
          <w:rFonts w:hint="eastAsia" w:ascii="宋体" w:hAnsi="宋体" w:eastAsia="宋体" w:cs="宋体"/>
          <w:color w:val="auto"/>
          <w:szCs w:val="24"/>
          <w:highlight w:val="none"/>
        </w:rPr>
        <w:t>履约保证金</w:t>
      </w:r>
      <w:bookmarkEnd w:id="665"/>
      <w:bookmarkEnd w:id="666"/>
      <w:bookmarkEnd w:id="667"/>
      <w:bookmarkEnd w:id="668"/>
      <w:bookmarkEnd w:id="669"/>
      <w:bookmarkEnd w:id="670"/>
      <w:bookmarkEnd w:id="671"/>
      <w:bookmarkEnd w:id="672"/>
      <w:bookmarkEnd w:id="673"/>
      <w:bookmarkEnd w:id="674"/>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7.6.1 </w:t>
      </w:r>
      <w:r>
        <w:rPr>
          <w:rFonts w:hint="eastAsia" w:ascii="宋体" w:hAnsi="宋体" w:cs="宋体"/>
          <w:color w:val="auto"/>
          <w:sz w:val="24"/>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7.6.2 </w:t>
      </w:r>
      <w:r>
        <w:rPr>
          <w:rFonts w:hint="eastAsia" w:ascii="宋体" w:hAnsi="宋体" w:cs="宋体"/>
          <w:color w:val="auto"/>
          <w:sz w:val="24"/>
          <w:szCs w:val="24"/>
          <w:highlight w:val="none"/>
        </w:rPr>
        <w:t>中标人不能按本章第7.6.1项要求提交履约保证金的，视为放弃中标，其投标保证金不予退还，给招标人造成的损失超过投标保证金数额的，中标人还应当对超过部分予以赔偿。</w:t>
      </w:r>
    </w:p>
    <w:p>
      <w:pPr>
        <w:pStyle w:val="5"/>
        <w:spacing w:line="360" w:lineRule="auto"/>
        <w:ind w:firstLine="0" w:firstLineChars="0"/>
        <w:rPr>
          <w:rFonts w:ascii="宋体" w:hAnsi="宋体" w:eastAsia="宋体" w:cs="宋体"/>
          <w:color w:val="auto"/>
          <w:szCs w:val="24"/>
          <w:highlight w:val="none"/>
        </w:rPr>
      </w:pPr>
      <w:bookmarkStart w:id="675" w:name="_Toc6210"/>
      <w:bookmarkStart w:id="676" w:name="_Toc28497"/>
      <w:bookmarkStart w:id="677" w:name="_Toc4249"/>
      <w:bookmarkStart w:id="678" w:name="_Toc25308"/>
      <w:bookmarkStart w:id="679" w:name="_Toc1608"/>
      <w:bookmarkStart w:id="680" w:name="_Toc25434"/>
      <w:bookmarkStart w:id="681" w:name="_Toc21668"/>
      <w:bookmarkStart w:id="682" w:name="_Toc23355"/>
      <w:bookmarkStart w:id="683" w:name="_Toc492300611"/>
      <w:bookmarkStart w:id="684" w:name="_Toc22239"/>
      <w:r>
        <w:rPr>
          <w:rFonts w:ascii="宋体" w:hAnsi="宋体" w:eastAsia="宋体" w:cs="宋体"/>
          <w:color w:val="auto"/>
          <w:szCs w:val="24"/>
          <w:highlight w:val="none"/>
        </w:rPr>
        <w:t xml:space="preserve">7.7 </w:t>
      </w:r>
      <w:r>
        <w:rPr>
          <w:rFonts w:hint="eastAsia" w:ascii="宋体" w:hAnsi="宋体" w:eastAsia="宋体" w:cs="宋体"/>
          <w:color w:val="auto"/>
          <w:szCs w:val="24"/>
          <w:highlight w:val="none"/>
        </w:rPr>
        <w:t>签订合同</w:t>
      </w:r>
      <w:bookmarkEnd w:id="675"/>
      <w:bookmarkEnd w:id="676"/>
      <w:bookmarkEnd w:id="677"/>
      <w:bookmarkEnd w:id="678"/>
      <w:bookmarkEnd w:id="679"/>
      <w:bookmarkEnd w:id="680"/>
      <w:bookmarkEnd w:id="681"/>
      <w:bookmarkEnd w:id="682"/>
      <w:bookmarkEnd w:id="683"/>
      <w:bookmarkEnd w:id="684"/>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7.7.1 </w:t>
      </w:r>
      <w:r>
        <w:rPr>
          <w:rFonts w:hint="eastAsia" w:ascii="宋体" w:hAnsi="宋体" w:cs="宋体"/>
          <w:color w:val="auto"/>
          <w:sz w:val="24"/>
          <w:szCs w:val="24"/>
          <w:highlight w:val="none"/>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7.7.2 </w:t>
      </w:r>
      <w:r>
        <w:rPr>
          <w:rFonts w:hint="eastAsia" w:ascii="宋体" w:hAnsi="宋体" w:cs="宋体"/>
          <w:color w:val="auto"/>
          <w:sz w:val="24"/>
          <w:szCs w:val="24"/>
          <w:highlight w:val="none"/>
        </w:rPr>
        <w:t>发出中标通知书后，招标人无正当理由拒签合同，或者在签订合同时向中标人提出附加条件的，招标人向中标人退还投标保证金；给中标人造成损失的，还应当赔偿损失。</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7.7.3</w:t>
      </w:r>
      <w:r>
        <w:rPr>
          <w:rFonts w:hint="eastAsia" w:ascii="宋体" w:hAnsi="宋体" w:cs="宋体"/>
          <w:color w:val="auto"/>
          <w:sz w:val="24"/>
          <w:szCs w:val="24"/>
          <w:highlight w:val="none"/>
        </w:rPr>
        <w:t>联合体中标的，联合体各方应当</w:t>
      </w:r>
      <w:r>
        <w:rPr>
          <w:rFonts w:ascii="宋体" w:hAnsi="宋体" w:cs="宋体"/>
          <w:color w:val="auto"/>
          <w:sz w:val="24"/>
          <w:szCs w:val="24"/>
          <w:highlight w:val="none"/>
        </w:rPr>
        <w:t>共同</w:t>
      </w:r>
      <w:r>
        <w:rPr>
          <w:rFonts w:hint="eastAsia" w:ascii="宋体" w:hAnsi="宋体" w:cs="宋体"/>
          <w:color w:val="auto"/>
          <w:sz w:val="24"/>
          <w:szCs w:val="24"/>
          <w:highlight w:val="none"/>
        </w:rPr>
        <w:t>与招标人签订合同，就中标项目向招标人承担连带责任。</w:t>
      </w:r>
    </w:p>
    <w:p>
      <w:pPr>
        <w:pStyle w:val="4"/>
        <w:spacing w:line="360" w:lineRule="auto"/>
        <w:rPr>
          <w:rFonts w:ascii="宋体" w:hAnsi="宋体" w:eastAsia="宋体" w:cs="宋体"/>
          <w:color w:val="auto"/>
          <w:sz w:val="28"/>
          <w:szCs w:val="28"/>
          <w:highlight w:val="none"/>
        </w:rPr>
      </w:pPr>
      <w:bookmarkStart w:id="685" w:name="_Toc361508627"/>
      <w:bookmarkStart w:id="686" w:name="_Toc384308252"/>
      <w:bookmarkStart w:id="687" w:name="_Toc24067"/>
      <w:bookmarkStart w:id="688" w:name="_Toc492300612"/>
      <w:bookmarkStart w:id="689" w:name="_Toc12616"/>
      <w:bookmarkStart w:id="690" w:name="_Toc3395"/>
      <w:bookmarkStart w:id="691" w:name="_Toc25547"/>
      <w:bookmarkStart w:id="692" w:name="_Toc642"/>
      <w:bookmarkStart w:id="693" w:name="_Toc15061"/>
      <w:bookmarkStart w:id="694" w:name="_Toc5519"/>
      <w:bookmarkStart w:id="695" w:name="_Toc16626"/>
      <w:bookmarkStart w:id="696" w:name="_Toc31097"/>
      <w:bookmarkStart w:id="697" w:name="_Toc5631"/>
      <w:bookmarkStart w:id="698" w:name="_Toc144974536"/>
      <w:bookmarkStart w:id="699" w:name="_Toc247513992"/>
      <w:bookmarkStart w:id="700" w:name="_Toc152042344"/>
      <w:bookmarkStart w:id="701" w:name="_Toc247527593"/>
      <w:bookmarkStart w:id="702" w:name="_Toc300834991"/>
      <w:bookmarkStart w:id="703" w:name="_Toc152045568"/>
      <w:r>
        <w:rPr>
          <w:rFonts w:ascii="宋体" w:hAnsi="宋体" w:eastAsia="宋体" w:cs="宋体"/>
          <w:color w:val="auto"/>
          <w:sz w:val="28"/>
          <w:szCs w:val="28"/>
          <w:highlight w:val="none"/>
        </w:rPr>
        <w:t>8.</w:t>
      </w:r>
      <w:bookmarkEnd w:id="685"/>
      <w:bookmarkEnd w:id="686"/>
      <w:bookmarkEnd w:id="687"/>
      <w:r>
        <w:rPr>
          <w:rFonts w:hint="eastAsia" w:ascii="宋体" w:hAnsi="宋体" w:eastAsia="宋体" w:cs="宋体"/>
          <w:color w:val="auto"/>
          <w:sz w:val="28"/>
          <w:szCs w:val="28"/>
          <w:highlight w:val="none"/>
        </w:rPr>
        <w:t>纪律和监督</w:t>
      </w:r>
      <w:bookmarkEnd w:id="688"/>
      <w:bookmarkEnd w:id="689"/>
      <w:bookmarkEnd w:id="690"/>
      <w:bookmarkEnd w:id="691"/>
      <w:bookmarkEnd w:id="692"/>
      <w:bookmarkEnd w:id="693"/>
      <w:bookmarkEnd w:id="694"/>
      <w:bookmarkEnd w:id="695"/>
      <w:bookmarkEnd w:id="696"/>
      <w:bookmarkEnd w:id="697"/>
    </w:p>
    <w:p>
      <w:pPr>
        <w:pStyle w:val="5"/>
        <w:spacing w:line="360" w:lineRule="auto"/>
        <w:ind w:firstLine="0" w:firstLineChars="0"/>
        <w:rPr>
          <w:rFonts w:ascii="宋体" w:hAnsi="宋体" w:eastAsia="宋体" w:cs="宋体"/>
          <w:color w:val="auto"/>
          <w:szCs w:val="24"/>
          <w:highlight w:val="none"/>
        </w:rPr>
      </w:pPr>
      <w:bookmarkStart w:id="704" w:name="_Toc4178"/>
      <w:bookmarkStart w:id="705" w:name="_Toc18110"/>
      <w:bookmarkStart w:id="706" w:name="_Toc11398"/>
      <w:bookmarkStart w:id="707" w:name="_Toc9299"/>
      <w:bookmarkStart w:id="708" w:name="_Toc21921"/>
      <w:bookmarkStart w:id="709" w:name="_Toc15883"/>
      <w:bookmarkStart w:id="710" w:name="_Toc23120"/>
      <w:bookmarkStart w:id="711" w:name="_Toc492300613"/>
      <w:bookmarkStart w:id="712" w:name="_Toc24397"/>
      <w:bookmarkStart w:id="713" w:name="_Toc32544"/>
      <w:r>
        <w:rPr>
          <w:rFonts w:ascii="宋体" w:hAnsi="宋体" w:eastAsia="宋体" w:cs="宋体"/>
          <w:color w:val="auto"/>
          <w:szCs w:val="24"/>
          <w:highlight w:val="none"/>
        </w:rPr>
        <w:t xml:space="preserve">8.1 </w:t>
      </w:r>
      <w:r>
        <w:rPr>
          <w:rFonts w:hint="eastAsia" w:ascii="宋体" w:hAnsi="宋体" w:eastAsia="宋体" w:cs="宋体"/>
          <w:color w:val="auto"/>
          <w:szCs w:val="24"/>
          <w:highlight w:val="none"/>
        </w:rPr>
        <w:t>对招标人的纪律要求</w:t>
      </w:r>
      <w:bookmarkEnd w:id="704"/>
      <w:bookmarkEnd w:id="705"/>
      <w:bookmarkEnd w:id="706"/>
      <w:bookmarkEnd w:id="707"/>
      <w:bookmarkEnd w:id="708"/>
      <w:bookmarkEnd w:id="709"/>
      <w:bookmarkEnd w:id="710"/>
      <w:bookmarkEnd w:id="711"/>
      <w:bookmarkEnd w:id="712"/>
      <w:bookmarkEnd w:id="71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招标人不得泄露招标投标活动中应当保密的情况和资料，不得与投标人串通损害国家利益、社会公共利益或者他人合法权益。</w:t>
      </w:r>
    </w:p>
    <w:p>
      <w:pPr>
        <w:pStyle w:val="5"/>
        <w:spacing w:line="360" w:lineRule="auto"/>
        <w:ind w:firstLine="0" w:firstLineChars="0"/>
        <w:rPr>
          <w:rFonts w:ascii="宋体" w:hAnsi="宋体" w:eastAsia="宋体" w:cs="宋体"/>
          <w:color w:val="auto"/>
          <w:szCs w:val="24"/>
          <w:highlight w:val="none"/>
        </w:rPr>
      </w:pPr>
      <w:bookmarkStart w:id="714" w:name="_Toc8183"/>
      <w:bookmarkStart w:id="715" w:name="_Toc23526"/>
      <w:bookmarkStart w:id="716" w:name="_Toc31983"/>
      <w:bookmarkStart w:id="717" w:name="_Toc6541"/>
      <w:bookmarkStart w:id="718" w:name="_Toc32615"/>
      <w:bookmarkStart w:id="719" w:name="_Toc28671"/>
      <w:bookmarkStart w:id="720" w:name="_Toc14517"/>
      <w:bookmarkStart w:id="721" w:name="_Toc492300614"/>
      <w:bookmarkStart w:id="722" w:name="_Toc7748"/>
      <w:bookmarkStart w:id="723" w:name="_Toc31887"/>
      <w:r>
        <w:rPr>
          <w:rFonts w:ascii="宋体" w:hAnsi="宋体" w:eastAsia="宋体" w:cs="宋体"/>
          <w:color w:val="auto"/>
          <w:szCs w:val="24"/>
          <w:highlight w:val="none"/>
        </w:rPr>
        <w:t xml:space="preserve">8.2 </w:t>
      </w:r>
      <w:r>
        <w:rPr>
          <w:rFonts w:hint="eastAsia" w:ascii="宋体" w:hAnsi="宋体" w:eastAsia="宋体" w:cs="宋体"/>
          <w:color w:val="auto"/>
          <w:szCs w:val="24"/>
          <w:highlight w:val="none"/>
        </w:rPr>
        <w:t>对投标人的纪律要求</w:t>
      </w:r>
      <w:bookmarkEnd w:id="714"/>
      <w:bookmarkEnd w:id="715"/>
      <w:bookmarkEnd w:id="716"/>
      <w:bookmarkEnd w:id="717"/>
      <w:bookmarkEnd w:id="718"/>
      <w:bookmarkEnd w:id="719"/>
      <w:bookmarkEnd w:id="720"/>
      <w:bookmarkEnd w:id="721"/>
      <w:bookmarkEnd w:id="722"/>
      <w:bookmarkEnd w:id="72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line="360" w:lineRule="auto"/>
        <w:ind w:firstLine="0" w:firstLineChars="0"/>
        <w:rPr>
          <w:rFonts w:ascii="宋体" w:hAnsi="宋体" w:eastAsia="宋体" w:cs="宋体"/>
          <w:color w:val="auto"/>
          <w:szCs w:val="24"/>
          <w:highlight w:val="none"/>
        </w:rPr>
      </w:pPr>
      <w:bookmarkStart w:id="724" w:name="_Toc30851"/>
      <w:bookmarkStart w:id="725" w:name="_Toc6527"/>
      <w:bookmarkStart w:id="726" w:name="_Toc10298"/>
      <w:bookmarkStart w:id="727" w:name="_Toc25078"/>
      <w:bookmarkStart w:id="728" w:name="_Toc15814"/>
      <w:bookmarkStart w:id="729" w:name="_Toc1865"/>
      <w:bookmarkStart w:id="730" w:name="_Toc7612"/>
      <w:bookmarkStart w:id="731" w:name="_Toc492300615"/>
      <w:bookmarkStart w:id="732" w:name="_Toc28223"/>
      <w:bookmarkStart w:id="733" w:name="_Toc20150"/>
      <w:r>
        <w:rPr>
          <w:rFonts w:ascii="宋体" w:hAnsi="宋体" w:eastAsia="宋体" w:cs="宋体"/>
          <w:color w:val="auto"/>
          <w:szCs w:val="24"/>
          <w:highlight w:val="none"/>
        </w:rPr>
        <w:t xml:space="preserve">8.3 </w:t>
      </w:r>
      <w:r>
        <w:rPr>
          <w:rFonts w:hint="eastAsia" w:ascii="宋体" w:hAnsi="宋体" w:eastAsia="宋体" w:cs="宋体"/>
          <w:color w:val="auto"/>
          <w:szCs w:val="24"/>
          <w:highlight w:val="none"/>
        </w:rPr>
        <w:t>对评标委员会成员的纪律要求</w:t>
      </w:r>
      <w:bookmarkEnd w:id="724"/>
      <w:bookmarkEnd w:id="725"/>
      <w:bookmarkEnd w:id="726"/>
      <w:bookmarkEnd w:id="727"/>
      <w:bookmarkEnd w:id="728"/>
      <w:bookmarkEnd w:id="729"/>
      <w:bookmarkEnd w:id="730"/>
      <w:bookmarkEnd w:id="731"/>
      <w:bookmarkEnd w:id="732"/>
      <w:bookmarkEnd w:id="73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评标委员会成员不得收受他人的财物或者其他好处，不得向他人透露对投标文件的评审</w:t>
      </w:r>
      <w:bookmarkStart w:id="734" w:name="_Toc369531559"/>
      <w:bookmarkStart w:id="735" w:name="_Toc361508628"/>
      <w:bookmarkStart w:id="736" w:name="_Toc352691515"/>
      <w:bookmarkStart w:id="737" w:name="_Toc384308253"/>
      <w:bookmarkStart w:id="738" w:name="_Toc13644"/>
      <w:r>
        <w:rPr>
          <w:rFonts w:hint="eastAsia" w:ascii="宋体" w:hAnsi="宋体" w:cs="宋体"/>
          <w:color w:val="auto"/>
          <w:sz w:val="24"/>
          <w:szCs w:val="24"/>
          <w:highlight w:val="none"/>
        </w:rPr>
        <w:t>和比较、中标候选人</w:t>
      </w:r>
      <w:bookmarkEnd w:id="698"/>
      <w:bookmarkEnd w:id="699"/>
      <w:bookmarkEnd w:id="700"/>
      <w:bookmarkEnd w:id="701"/>
      <w:bookmarkEnd w:id="702"/>
      <w:bookmarkEnd w:id="703"/>
      <w:bookmarkEnd w:id="734"/>
      <w:bookmarkEnd w:id="735"/>
      <w:bookmarkEnd w:id="736"/>
      <w:bookmarkEnd w:id="737"/>
      <w:bookmarkEnd w:id="738"/>
      <w:r>
        <w:rPr>
          <w:rFonts w:hint="eastAsia" w:ascii="宋体" w:hAnsi="宋体" w:cs="宋体"/>
          <w:color w:val="auto"/>
          <w:sz w:val="24"/>
          <w:szCs w:val="24"/>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line="360" w:lineRule="auto"/>
        <w:ind w:firstLine="0" w:firstLineChars="0"/>
        <w:rPr>
          <w:rFonts w:ascii="宋体" w:hAnsi="宋体" w:eastAsia="宋体" w:cs="宋体"/>
          <w:color w:val="auto"/>
          <w:szCs w:val="24"/>
          <w:highlight w:val="none"/>
        </w:rPr>
      </w:pPr>
      <w:bookmarkStart w:id="739" w:name="_Toc27753"/>
      <w:bookmarkStart w:id="740" w:name="_Toc22625"/>
      <w:bookmarkStart w:id="741" w:name="_Toc684"/>
      <w:bookmarkStart w:id="742" w:name="_Toc282"/>
      <w:bookmarkStart w:id="743" w:name="_Toc28320"/>
      <w:bookmarkStart w:id="744" w:name="_Toc5380"/>
      <w:bookmarkStart w:id="745" w:name="_Toc26504"/>
      <w:bookmarkStart w:id="746" w:name="_Toc30798"/>
      <w:bookmarkStart w:id="747" w:name="_Toc3593"/>
      <w:bookmarkStart w:id="748" w:name="_Toc492300616"/>
      <w:r>
        <w:rPr>
          <w:rFonts w:ascii="宋体" w:hAnsi="宋体" w:eastAsia="宋体" w:cs="宋体"/>
          <w:color w:val="auto"/>
          <w:szCs w:val="24"/>
          <w:highlight w:val="none"/>
        </w:rPr>
        <w:t xml:space="preserve">8.4 </w:t>
      </w:r>
      <w:r>
        <w:rPr>
          <w:rFonts w:hint="eastAsia" w:ascii="宋体" w:hAnsi="宋体" w:eastAsia="宋体" w:cs="宋体"/>
          <w:color w:val="auto"/>
          <w:szCs w:val="24"/>
          <w:highlight w:val="none"/>
        </w:rPr>
        <w:t>对与评标活动有关的工作人员的纪律要求</w:t>
      </w:r>
      <w:bookmarkEnd w:id="739"/>
      <w:bookmarkEnd w:id="740"/>
      <w:bookmarkEnd w:id="741"/>
      <w:bookmarkEnd w:id="742"/>
      <w:bookmarkEnd w:id="743"/>
      <w:bookmarkEnd w:id="744"/>
      <w:bookmarkEnd w:id="745"/>
      <w:bookmarkEnd w:id="746"/>
      <w:bookmarkEnd w:id="747"/>
      <w:bookmarkEnd w:id="74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与评标活动有关的工作人员不得收受他人的财物或者其他好处，不得向他人透露对投标文件</w:t>
      </w:r>
      <w:bookmarkStart w:id="749" w:name="_Toc300834992"/>
      <w:bookmarkStart w:id="750" w:name="_Toc384308254"/>
      <w:bookmarkStart w:id="751" w:name="_Toc352691516"/>
      <w:bookmarkStart w:id="752" w:name="_Toc247527594"/>
      <w:bookmarkStart w:id="753" w:name="_Toc369531560"/>
      <w:bookmarkStart w:id="754" w:name="_Toc144974537"/>
      <w:bookmarkStart w:id="755" w:name="_Toc152045569"/>
      <w:bookmarkStart w:id="756" w:name="_Toc19429"/>
      <w:bookmarkStart w:id="757" w:name="_Toc361508629"/>
      <w:bookmarkStart w:id="758" w:name="_Toc247513993"/>
      <w:bookmarkStart w:id="759" w:name="_Toc152042345"/>
      <w:r>
        <w:rPr>
          <w:rFonts w:hint="eastAsia" w:ascii="宋体" w:hAnsi="宋体" w:cs="宋体"/>
          <w:color w:val="auto"/>
          <w:sz w:val="24"/>
          <w:szCs w:val="24"/>
          <w:highlight w:val="none"/>
        </w:rPr>
        <w:t>的评审和比较、中标</w:t>
      </w:r>
      <w:bookmarkEnd w:id="749"/>
      <w:bookmarkEnd w:id="750"/>
      <w:bookmarkEnd w:id="751"/>
      <w:bookmarkEnd w:id="752"/>
      <w:bookmarkEnd w:id="753"/>
      <w:bookmarkEnd w:id="754"/>
      <w:bookmarkEnd w:id="755"/>
      <w:bookmarkEnd w:id="756"/>
      <w:bookmarkEnd w:id="757"/>
      <w:bookmarkEnd w:id="758"/>
      <w:bookmarkEnd w:id="759"/>
      <w:r>
        <w:rPr>
          <w:rFonts w:hint="eastAsia" w:ascii="宋体" w:hAnsi="宋体" w:cs="宋体"/>
          <w:color w:val="auto"/>
          <w:sz w:val="24"/>
          <w:szCs w:val="24"/>
          <w:highlight w:val="none"/>
        </w:rPr>
        <w:t>候选人的推荐情况以及评标有关的其他情况。在评标活动中，与评标活动有关的工作人员不得擅离职守，影响评标程序正常进行。</w:t>
      </w:r>
    </w:p>
    <w:p>
      <w:pPr>
        <w:pStyle w:val="5"/>
        <w:spacing w:line="360" w:lineRule="auto"/>
        <w:ind w:firstLine="0" w:firstLineChars="0"/>
        <w:rPr>
          <w:rFonts w:ascii="宋体" w:hAnsi="宋体" w:eastAsia="宋体" w:cs="宋体"/>
          <w:color w:val="auto"/>
          <w:szCs w:val="24"/>
          <w:highlight w:val="none"/>
        </w:rPr>
      </w:pPr>
      <w:bookmarkStart w:id="760" w:name="_Toc27306"/>
      <w:bookmarkStart w:id="761" w:name="_Toc14715"/>
      <w:bookmarkStart w:id="762" w:name="_Toc2062"/>
      <w:bookmarkStart w:id="763" w:name="_Toc2142"/>
      <w:bookmarkStart w:id="764" w:name="_Toc15494"/>
      <w:bookmarkStart w:id="765" w:name="_Toc22474"/>
      <w:bookmarkStart w:id="766" w:name="_Toc24577"/>
      <w:bookmarkStart w:id="767" w:name="_Toc19832"/>
      <w:bookmarkStart w:id="768" w:name="_Toc1751"/>
      <w:bookmarkStart w:id="769" w:name="_Toc492300617"/>
      <w:r>
        <w:rPr>
          <w:rFonts w:ascii="宋体" w:hAnsi="宋体" w:eastAsia="宋体" w:cs="宋体"/>
          <w:color w:val="auto"/>
          <w:szCs w:val="24"/>
          <w:highlight w:val="none"/>
        </w:rPr>
        <w:t xml:space="preserve">8.5 </w:t>
      </w:r>
      <w:r>
        <w:rPr>
          <w:rFonts w:hint="eastAsia" w:ascii="宋体" w:hAnsi="宋体" w:eastAsia="宋体" w:cs="宋体"/>
          <w:color w:val="auto"/>
          <w:szCs w:val="24"/>
          <w:highlight w:val="none"/>
        </w:rPr>
        <w:t>投诉</w:t>
      </w:r>
      <w:bookmarkEnd w:id="760"/>
      <w:bookmarkEnd w:id="761"/>
      <w:bookmarkEnd w:id="762"/>
      <w:bookmarkEnd w:id="763"/>
      <w:bookmarkEnd w:id="764"/>
      <w:bookmarkEnd w:id="765"/>
      <w:bookmarkEnd w:id="766"/>
      <w:bookmarkEnd w:id="767"/>
      <w:bookmarkEnd w:id="768"/>
      <w:bookmarkEnd w:id="769"/>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8.5.1 </w:t>
      </w:r>
      <w:r>
        <w:rPr>
          <w:rFonts w:hint="eastAsia" w:ascii="宋体" w:hAnsi="宋体" w:cs="宋体"/>
          <w:color w:val="auto"/>
          <w:sz w:val="24"/>
          <w:szCs w:val="24"/>
          <w:highlight w:val="none"/>
        </w:rPr>
        <w:t>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8.5.2 </w:t>
      </w:r>
      <w:r>
        <w:rPr>
          <w:rFonts w:hint="eastAsia" w:ascii="宋体" w:hAnsi="宋体" w:cs="宋体"/>
          <w:color w:val="auto"/>
          <w:sz w:val="24"/>
          <w:szCs w:val="24"/>
          <w:highlight w:val="none"/>
        </w:rPr>
        <w:t>投标人或者其他利害关系人对招标文件、开标和评标结果提出投诉的，应当按照投标人须知第2.4款、第5.3款和第7.2款的规定先向招标人提出异议。异议答复期间</w:t>
      </w:r>
      <w:bookmarkStart w:id="770" w:name="_Toc300834993"/>
      <w:bookmarkStart w:id="771" w:name="_Toc384308255"/>
      <w:bookmarkStart w:id="772" w:name="_Toc152045570"/>
      <w:bookmarkStart w:id="773" w:name="_Toc361508630"/>
      <w:bookmarkStart w:id="774" w:name="_Toc247527595"/>
      <w:bookmarkStart w:id="775" w:name="_Toc369531561"/>
      <w:bookmarkStart w:id="776" w:name="_Toc144974538"/>
      <w:bookmarkStart w:id="777" w:name="_Toc12776"/>
      <w:bookmarkStart w:id="778" w:name="_Toc247513994"/>
      <w:bookmarkStart w:id="779" w:name="_Toc152042346"/>
      <w:bookmarkStart w:id="780" w:name="_Toc352691517"/>
      <w:r>
        <w:rPr>
          <w:rFonts w:hint="eastAsia" w:ascii="宋体" w:hAnsi="宋体" w:cs="宋体"/>
          <w:color w:val="auto"/>
          <w:sz w:val="24"/>
          <w:szCs w:val="24"/>
          <w:highlight w:val="none"/>
        </w:rPr>
        <w:t>不计算在第8.5.</w:t>
      </w:r>
      <w:bookmarkEnd w:id="770"/>
      <w:bookmarkEnd w:id="771"/>
      <w:bookmarkEnd w:id="772"/>
      <w:bookmarkEnd w:id="773"/>
      <w:bookmarkEnd w:id="774"/>
      <w:bookmarkEnd w:id="775"/>
      <w:bookmarkEnd w:id="776"/>
      <w:bookmarkEnd w:id="777"/>
      <w:bookmarkEnd w:id="778"/>
      <w:bookmarkEnd w:id="779"/>
      <w:bookmarkEnd w:id="780"/>
      <w:r>
        <w:rPr>
          <w:rFonts w:hint="eastAsia" w:ascii="宋体" w:hAnsi="宋体" w:cs="宋体"/>
          <w:color w:val="auto"/>
          <w:sz w:val="24"/>
          <w:szCs w:val="24"/>
          <w:highlight w:val="none"/>
        </w:rPr>
        <w:t>1项规定的期限内。</w:t>
      </w:r>
    </w:p>
    <w:p>
      <w:pPr>
        <w:pStyle w:val="4"/>
        <w:spacing w:line="360" w:lineRule="auto"/>
        <w:rPr>
          <w:rFonts w:ascii="宋体" w:hAnsi="宋体" w:eastAsia="宋体" w:cs="宋体"/>
          <w:color w:val="auto"/>
          <w:sz w:val="28"/>
          <w:szCs w:val="28"/>
          <w:highlight w:val="none"/>
        </w:rPr>
      </w:pPr>
      <w:bookmarkStart w:id="781" w:name="_Toc25914"/>
      <w:bookmarkStart w:id="782" w:name="_Toc492300618"/>
      <w:bookmarkStart w:id="783" w:name="_Toc21121"/>
      <w:bookmarkStart w:id="784" w:name="_Toc477134992"/>
      <w:bookmarkStart w:id="785" w:name="_Toc9137"/>
      <w:bookmarkStart w:id="786" w:name="_Toc8988"/>
      <w:bookmarkStart w:id="787" w:name="_Toc6758"/>
      <w:bookmarkStart w:id="788" w:name="_Toc21761"/>
      <w:bookmarkStart w:id="789" w:name="_Toc17880"/>
      <w:bookmarkStart w:id="790" w:name="_Toc23565"/>
      <w:bookmarkStart w:id="791" w:name="_Toc12204"/>
      <w:r>
        <w:rPr>
          <w:rFonts w:ascii="宋体" w:hAnsi="宋体" w:eastAsia="宋体" w:cs="宋体"/>
          <w:color w:val="auto"/>
          <w:sz w:val="28"/>
          <w:szCs w:val="28"/>
          <w:highlight w:val="none"/>
        </w:rPr>
        <w:t xml:space="preserve">9. </w:t>
      </w:r>
      <w:r>
        <w:rPr>
          <w:rFonts w:hint="eastAsia" w:ascii="宋体" w:hAnsi="宋体" w:eastAsia="宋体" w:cs="宋体"/>
          <w:color w:val="auto"/>
          <w:sz w:val="28"/>
          <w:szCs w:val="28"/>
          <w:highlight w:val="none"/>
        </w:rPr>
        <w:t>是否采用电子招标投标</w:t>
      </w:r>
      <w:bookmarkEnd w:id="781"/>
      <w:bookmarkEnd w:id="782"/>
      <w:bookmarkEnd w:id="783"/>
      <w:bookmarkEnd w:id="784"/>
      <w:bookmarkEnd w:id="785"/>
      <w:bookmarkEnd w:id="786"/>
      <w:bookmarkEnd w:id="787"/>
      <w:bookmarkEnd w:id="788"/>
      <w:bookmarkEnd w:id="789"/>
      <w:bookmarkEnd w:id="790"/>
      <w:bookmarkEnd w:id="79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pPr>
        <w:pStyle w:val="4"/>
        <w:spacing w:line="360" w:lineRule="auto"/>
        <w:rPr>
          <w:rFonts w:ascii="宋体" w:hAnsi="宋体" w:eastAsia="宋体" w:cs="宋体"/>
          <w:color w:val="auto"/>
          <w:sz w:val="28"/>
          <w:szCs w:val="28"/>
          <w:highlight w:val="none"/>
        </w:rPr>
      </w:pPr>
      <w:bookmarkStart w:id="792" w:name="_Toc30975"/>
      <w:bookmarkStart w:id="793" w:name="_Toc9413"/>
      <w:bookmarkStart w:id="794" w:name="_Toc21051"/>
      <w:bookmarkStart w:id="795" w:name="_Toc17964"/>
      <w:bookmarkStart w:id="796" w:name="_Toc14161"/>
      <w:bookmarkStart w:id="797" w:name="_Toc1446"/>
      <w:bookmarkStart w:id="798" w:name="_Toc21221"/>
      <w:bookmarkStart w:id="799" w:name="_Toc492300619"/>
      <w:bookmarkStart w:id="800" w:name="_Toc12439"/>
      <w:bookmarkStart w:id="801" w:name="_Toc21107"/>
      <w:r>
        <w:rPr>
          <w:rFonts w:ascii="宋体" w:hAnsi="宋体" w:eastAsia="宋体" w:cs="宋体"/>
          <w:color w:val="auto"/>
          <w:sz w:val="28"/>
          <w:szCs w:val="28"/>
          <w:highlight w:val="none"/>
        </w:rPr>
        <w:t xml:space="preserve">10. </w:t>
      </w:r>
      <w:r>
        <w:rPr>
          <w:rFonts w:hint="eastAsia" w:ascii="宋体" w:hAnsi="宋体" w:eastAsia="宋体" w:cs="宋体"/>
          <w:color w:val="auto"/>
          <w:sz w:val="28"/>
          <w:szCs w:val="28"/>
          <w:highlight w:val="none"/>
        </w:rPr>
        <w:t>需要补充的其他内容</w:t>
      </w:r>
      <w:bookmarkEnd w:id="792"/>
      <w:bookmarkEnd w:id="793"/>
      <w:bookmarkEnd w:id="794"/>
      <w:bookmarkEnd w:id="795"/>
      <w:bookmarkEnd w:id="796"/>
      <w:bookmarkEnd w:id="797"/>
      <w:bookmarkEnd w:id="798"/>
      <w:bookmarkEnd w:id="799"/>
      <w:bookmarkEnd w:id="800"/>
      <w:bookmarkEnd w:id="80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需要补充的其他内容：见投标人须知前附表。</w:t>
      </w:r>
    </w:p>
    <w:p>
      <w:pPr>
        <w:pStyle w:val="4"/>
        <w:keepNext w:val="0"/>
        <w:keepLines w:val="0"/>
        <w:spacing w:before="0" w:after="0" w:line="460" w:lineRule="exact"/>
        <w:rPr>
          <w:rFonts w:ascii="Times New Roman" w:hAnsi="Times New Roman"/>
          <w:color w:val="auto"/>
          <w:sz w:val="24"/>
          <w:szCs w:val="24"/>
          <w:highlight w:val="none"/>
        </w:rPr>
      </w:pPr>
    </w:p>
    <w:bookmarkEnd w:id="23"/>
    <w:bookmarkEnd w:id="24"/>
    <w:bookmarkEnd w:id="25"/>
    <w:bookmarkEnd w:id="26"/>
    <w:p>
      <w:pPr>
        <w:rPr>
          <w:rFonts w:ascii="Times New Roman" w:hAnsi="Times New Roman"/>
          <w:color w:val="auto"/>
          <w:highlight w:val="none"/>
        </w:rPr>
      </w:pPr>
    </w:p>
    <w:p>
      <w:pPr>
        <w:pStyle w:val="5"/>
        <w:keepNext w:val="0"/>
        <w:keepLines w:val="0"/>
        <w:ind w:firstLine="137"/>
        <w:rPr>
          <w:rFonts w:ascii="Times New Roman" w:hAnsi="Times New Roman"/>
          <w:color w:val="auto"/>
          <w:highlight w:val="none"/>
        </w:rPr>
      </w:pPr>
      <w:bookmarkStart w:id="802" w:name="_Toc527028503"/>
      <w:r>
        <w:rPr>
          <w:rFonts w:ascii="Times New Roman" w:hAnsi="Times New Roman"/>
          <w:color w:val="auto"/>
          <w:highlight w:val="none"/>
        </w:rPr>
        <w:br w:type="page"/>
      </w:r>
      <w:bookmarkStart w:id="803" w:name="_Toc15566"/>
      <w:bookmarkStart w:id="804" w:name="_Toc23876"/>
      <w:bookmarkStart w:id="805" w:name="_Toc13243"/>
      <w:bookmarkStart w:id="806" w:name="_Toc31167"/>
      <w:r>
        <w:rPr>
          <w:rFonts w:ascii="Times New Roman" w:hAnsi="Times New Roman"/>
          <w:color w:val="auto"/>
          <w:highlight w:val="none"/>
        </w:rPr>
        <w:t>附件一：开标记录表</w:t>
      </w:r>
      <w:bookmarkEnd w:id="802"/>
      <w:r>
        <w:rPr>
          <w:rFonts w:hint="eastAsia" w:ascii="Times New Roman" w:hAnsi="Times New Roman"/>
          <w:color w:val="auto"/>
          <w:highlight w:val="none"/>
        </w:rPr>
        <w:t>（按广州公共资源交易中心开标记录表格式）</w:t>
      </w:r>
      <w:bookmarkEnd w:id="803"/>
      <w:bookmarkEnd w:id="804"/>
      <w:bookmarkEnd w:id="805"/>
      <w:bookmarkEnd w:id="806"/>
    </w:p>
    <w:p>
      <w:pPr>
        <w:spacing w:line="44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开标记录表</w:t>
      </w:r>
    </w:p>
    <w:tbl>
      <w:tblPr>
        <w:tblStyle w:val="14"/>
        <w:tblpPr w:leftFromText="180" w:rightFromText="180" w:vertAnchor="text" w:horzAnchor="page" w:tblpXSpec="center" w:tblpY="499"/>
        <w:tblOverlap w:val="never"/>
        <w:tblW w:w="9121" w:type="dxa"/>
        <w:jc w:val="center"/>
        <w:tblLayout w:type="fixed"/>
        <w:tblCellMar>
          <w:top w:w="0" w:type="dxa"/>
          <w:left w:w="108" w:type="dxa"/>
          <w:bottom w:w="0" w:type="dxa"/>
          <w:right w:w="108" w:type="dxa"/>
        </w:tblCellMar>
      </w:tblPr>
      <w:tblGrid>
        <w:gridCol w:w="649"/>
        <w:gridCol w:w="1019"/>
        <w:gridCol w:w="992"/>
        <w:gridCol w:w="1194"/>
        <w:gridCol w:w="1275"/>
        <w:gridCol w:w="1025"/>
        <w:gridCol w:w="1042"/>
        <w:gridCol w:w="758"/>
        <w:gridCol w:w="1167"/>
      </w:tblGrid>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olor w:val="auto"/>
                <w:sz w:val="18"/>
                <w:highlight w:val="none"/>
              </w:rPr>
            </w:pPr>
            <w:r>
              <w:rPr>
                <w:rFonts w:hint="default" w:ascii="Times New Roman" w:hAnsi="Times New Roman"/>
                <w:color w:val="auto"/>
                <w:sz w:val="18"/>
                <w:highlight w:val="none"/>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olor w:val="auto"/>
                <w:sz w:val="18"/>
                <w:highlight w:val="none"/>
              </w:rPr>
            </w:pPr>
            <w:r>
              <w:rPr>
                <w:rFonts w:hint="default" w:ascii="Times New Roman" w:hAnsi="Times New Roman"/>
                <w:color w:val="auto"/>
                <w:sz w:val="18"/>
                <w:highlight w:val="none"/>
              </w:rPr>
              <w:t>投标人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Times New Roman" w:hAnsi="Times New Roman"/>
                <w:color w:val="auto"/>
                <w:sz w:val="18"/>
                <w:highlight w:val="none"/>
              </w:rPr>
            </w:pPr>
            <w:r>
              <w:rPr>
                <w:rFonts w:hint="default" w:ascii="Times New Roman" w:hAnsi="Times New Roman"/>
                <w:color w:val="auto"/>
                <w:sz w:val="18"/>
                <w:highlight w:val="none"/>
              </w:rPr>
              <w:t>密封情况</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olor w:val="auto"/>
                <w:sz w:val="18"/>
                <w:highlight w:val="none"/>
              </w:rPr>
            </w:pPr>
            <w:r>
              <w:rPr>
                <w:rFonts w:hint="default" w:ascii="Times New Roman" w:hAnsi="Times New Roman"/>
                <w:color w:val="auto"/>
                <w:sz w:val="18"/>
                <w:highlight w:val="none"/>
              </w:rPr>
              <w:t>投标保证金</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olor w:val="auto"/>
                <w:sz w:val="18"/>
                <w:highlight w:val="none"/>
              </w:rPr>
            </w:pPr>
            <w:r>
              <w:rPr>
                <w:rFonts w:hint="default" w:ascii="Times New Roman" w:hAnsi="Times New Roman"/>
                <w:color w:val="auto"/>
                <w:sz w:val="18"/>
                <w:highlight w:val="none"/>
              </w:rPr>
              <w:t>投标报价</w:t>
            </w:r>
          </w:p>
          <w:p>
            <w:pPr>
              <w:keepNext w:val="0"/>
              <w:keepLines w:val="0"/>
              <w:suppressLineNumbers w:val="0"/>
              <w:spacing w:before="0" w:beforeAutospacing="0" w:after="0" w:afterAutospacing="0" w:line="500" w:lineRule="exact"/>
              <w:ind w:left="0" w:right="0"/>
              <w:jc w:val="center"/>
              <w:rPr>
                <w:rFonts w:hint="default" w:ascii="Times New Roman" w:hAnsi="Times New Roman"/>
                <w:color w:val="auto"/>
                <w:sz w:val="18"/>
                <w:highlight w:val="none"/>
              </w:rPr>
            </w:pPr>
            <w:r>
              <w:rPr>
                <w:rFonts w:hint="default" w:ascii="Times New Roman" w:hAnsi="Times New Roman"/>
                <w:color w:val="auto"/>
                <w:sz w:val="18"/>
                <w:highlight w:val="none"/>
              </w:rPr>
              <w:t>（元）</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olor w:val="auto"/>
                <w:sz w:val="18"/>
                <w:highlight w:val="none"/>
              </w:rPr>
            </w:pPr>
            <w:r>
              <w:rPr>
                <w:rFonts w:hint="default" w:ascii="Times New Roman" w:hAnsi="Times New Roman"/>
                <w:color w:val="auto"/>
                <w:sz w:val="18"/>
                <w:highlight w:val="none"/>
              </w:rPr>
              <w:t>总监理工程师</w:t>
            </w:r>
          </w:p>
        </w:tc>
        <w:tc>
          <w:tcPr>
            <w:tcW w:w="10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olor w:val="auto"/>
                <w:sz w:val="18"/>
                <w:highlight w:val="none"/>
              </w:rPr>
            </w:pPr>
            <w:r>
              <w:rPr>
                <w:rFonts w:hint="default" w:ascii="Times New Roman" w:hAnsi="Times New Roman"/>
                <w:color w:val="auto"/>
                <w:sz w:val="18"/>
                <w:highlight w:val="none"/>
              </w:rPr>
              <w:t>监理服务期限</w:t>
            </w:r>
          </w:p>
        </w:tc>
        <w:tc>
          <w:tcPr>
            <w:tcW w:w="7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olor w:val="auto"/>
                <w:sz w:val="18"/>
                <w:highlight w:val="none"/>
              </w:rPr>
            </w:pPr>
            <w:r>
              <w:rPr>
                <w:rFonts w:hint="default" w:ascii="Times New Roman" w:hAnsi="Times New Roman"/>
                <w:color w:val="auto"/>
                <w:sz w:val="18"/>
                <w:highlight w:val="none"/>
              </w:rPr>
              <w:t>备注</w:t>
            </w: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olor w:val="auto"/>
                <w:sz w:val="18"/>
                <w:highlight w:val="none"/>
              </w:rPr>
            </w:pPr>
            <w:r>
              <w:rPr>
                <w:rFonts w:hint="default" w:ascii="Times New Roman" w:hAnsi="Times New Roman"/>
                <w:color w:val="auto"/>
                <w:sz w:val="18"/>
                <w:highlight w:val="none"/>
              </w:rPr>
              <w:t>投标人代表签名</w:t>
            </w: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r>
      <w:tr>
        <w:tblPrEx>
          <w:tblCellMar>
            <w:top w:w="0" w:type="dxa"/>
            <w:left w:w="108" w:type="dxa"/>
            <w:bottom w:w="0" w:type="dxa"/>
            <w:right w:w="108" w:type="dxa"/>
          </w:tblCellMar>
        </w:tblPrEx>
        <w:trPr>
          <w:trHeight w:val="502" w:hRule="atLeast"/>
          <w:jc w:val="center"/>
        </w:trPr>
        <w:tc>
          <w:tcPr>
            <w:tcW w:w="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bookmarkStart w:id="807" w:name="_Toc17638"/>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r>
      <w:bookmarkEnd w:id="807"/>
      <w:tr>
        <w:tblPrEx>
          <w:tblCellMar>
            <w:top w:w="0" w:type="dxa"/>
            <w:left w:w="108" w:type="dxa"/>
            <w:bottom w:w="0" w:type="dxa"/>
            <w:right w:w="108" w:type="dxa"/>
          </w:tblCellMar>
        </w:tblPrEx>
        <w:trPr>
          <w:jc w:val="center"/>
        </w:trPr>
        <w:tc>
          <w:tcPr>
            <w:tcW w:w="2660"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r>
              <w:rPr>
                <w:rFonts w:hint="default" w:ascii="Times New Roman" w:hAnsi="Times New Roman"/>
                <w:color w:val="auto"/>
                <w:highlight w:val="none"/>
              </w:rPr>
              <w:t>最高投标限价：</w:t>
            </w:r>
          </w:p>
        </w:tc>
        <w:tc>
          <w:tcPr>
            <w:tcW w:w="6461"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imes New Roman" w:hAnsi="Times New Roman"/>
                <w:color w:val="auto"/>
                <w:highlight w:val="none"/>
              </w:rPr>
            </w:pPr>
          </w:p>
        </w:tc>
      </w:tr>
    </w:tbl>
    <w:p>
      <w:pPr>
        <w:spacing w:before="120" w:beforeLines="50" w:after="120" w:afterLines="50" w:line="400" w:lineRule="exact"/>
        <w:ind w:right="420"/>
        <w:jc w:val="right"/>
        <w:rPr>
          <w:rFonts w:ascii="Times New Roman" w:hAnsi="Times New Roman"/>
          <w:color w:val="auto"/>
          <w:highlight w:val="none"/>
        </w:rPr>
      </w:pPr>
      <w:r>
        <w:rPr>
          <w:rFonts w:ascii="Times New Roman" w:hAnsi="Times New Roman"/>
          <w:color w:val="auto"/>
          <w:highlight w:val="none"/>
        </w:rPr>
        <w:t>开标时间：</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ascii="Times New Roman" w:hAnsi="Times New Roman"/>
          <w:color w:val="auto"/>
          <w:highlight w:val="none"/>
        </w:rPr>
        <w:t>时</w:t>
      </w:r>
      <w:r>
        <w:rPr>
          <w:rFonts w:ascii="Times New Roman" w:hAnsi="Times New Roman"/>
          <w:color w:val="auto"/>
          <w:highlight w:val="none"/>
          <w:u w:val="single"/>
        </w:rPr>
        <w:t xml:space="preserve">         </w:t>
      </w:r>
      <w:r>
        <w:rPr>
          <w:rFonts w:ascii="Times New Roman" w:hAnsi="Times New Roman"/>
          <w:color w:val="auto"/>
          <w:highlight w:val="none"/>
        </w:rPr>
        <w:t>分</w:t>
      </w: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620" w:lineRule="exact"/>
        <w:rPr>
          <w:rFonts w:ascii="Times New Roman" w:hAnsi="Times New Roman"/>
          <w:color w:val="auto"/>
          <w:highlight w:val="none"/>
        </w:rPr>
      </w:pPr>
      <w:r>
        <w:rPr>
          <w:rFonts w:ascii="Times New Roman" w:hAnsi="Times New Roman"/>
          <w:color w:val="auto"/>
          <w:highlight w:val="none"/>
        </w:rPr>
        <w:t>招标人代表：</w:t>
      </w:r>
      <w:r>
        <w:rPr>
          <w:rFonts w:ascii="Times New Roman" w:hAnsi="Times New Roman"/>
          <w:color w:val="auto"/>
          <w:highlight w:val="none"/>
          <w:u w:val="single"/>
        </w:rPr>
        <w:t xml:space="preserve">       </w:t>
      </w:r>
      <w:r>
        <w:rPr>
          <w:rFonts w:ascii="Times New Roman" w:hAnsi="Times New Roman"/>
          <w:color w:val="auto"/>
          <w:highlight w:val="none"/>
        </w:rPr>
        <w:t xml:space="preserve">        记录人：</w:t>
      </w:r>
      <w:r>
        <w:rPr>
          <w:rFonts w:ascii="Times New Roman" w:hAnsi="Times New Roman"/>
          <w:color w:val="auto"/>
          <w:highlight w:val="none"/>
          <w:u w:val="single"/>
        </w:rPr>
        <w:t xml:space="preserve">       </w:t>
      </w:r>
      <w:r>
        <w:rPr>
          <w:rFonts w:ascii="Times New Roman" w:hAnsi="Times New Roman"/>
          <w:color w:val="auto"/>
          <w:highlight w:val="none"/>
        </w:rPr>
        <w:t xml:space="preserve">       监标人：</w:t>
      </w:r>
      <w:r>
        <w:rPr>
          <w:rFonts w:ascii="Times New Roman" w:hAnsi="Times New Roman"/>
          <w:color w:val="auto"/>
          <w:highlight w:val="none"/>
          <w:u w:val="single"/>
        </w:rPr>
        <w:t xml:space="preserve">       </w:t>
      </w:r>
    </w:p>
    <w:p>
      <w:pPr>
        <w:spacing w:line="620" w:lineRule="exact"/>
        <w:jc w:val="right"/>
        <w:rPr>
          <w:rFonts w:ascii="Times New Roman" w:hAnsi="Times New Roman"/>
          <w:color w:val="auto"/>
          <w:sz w:val="20"/>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pStyle w:val="5"/>
        <w:keepNext w:val="0"/>
        <w:keepLines w:val="0"/>
        <w:ind w:firstLine="137"/>
        <w:rPr>
          <w:rFonts w:ascii="Times New Roman" w:hAnsi="Times New Roman"/>
          <w:color w:val="auto"/>
          <w:highlight w:val="none"/>
        </w:rPr>
      </w:pPr>
      <w:bookmarkStart w:id="808" w:name="_Toc527028504"/>
      <w:bookmarkStart w:id="809" w:name="_Toc29985"/>
      <w:bookmarkStart w:id="810" w:name="_Toc32614"/>
      <w:bookmarkStart w:id="811" w:name="_Toc14382"/>
      <w:bookmarkStart w:id="812" w:name="_Toc2916"/>
      <w:r>
        <w:rPr>
          <w:rFonts w:ascii="Times New Roman" w:hAnsi="Times New Roman"/>
          <w:color w:val="auto"/>
          <w:highlight w:val="none"/>
        </w:rPr>
        <w:t>附件二：问题澄清通知</w:t>
      </w:r>
      <w:bookmarkEnd w:id="808"/>
      <w:r>
        <w:rPr>
          <w:rFonts w:hint="eastAsia" w:hAnsi="黑体" w:cs="黑体"/>
          <w:color w:val="auto"/>
          <w:szCs w:val="28"/>
          <w:highlight w:val="none"/>
        </w:rPr>
        <w:t>（按广州公共资源交易中心问题澄清通知格式）</w:t>
      </w:r>
      <w:bookmarkEnd w:id="809"/>
      <w:bookmarkEnd w:id="810"/>
      <w:bookmarkEnd w:id="811"/>
      <w:bookmarkEnd w:id="812"/>
    </w:p>
    <w:p>
      <w:pPr>
        <w:spacing w:line="440" w:lineRule="exact"/>
        <w:jc w:val="center"/>
        <w:rPr>
          <w:rFonts w:ascii="Times New Roman" w:hAnsi="Times New Roman"/>
          <w:color w:val="auto"/>
          <w:highlight w:val="none"/>
        </w:rPr>
      </w:pPr>
    </w:p>
    <w:p>
      <w:pPr>
        <w:spacing w:line="44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问题澄清通知</w:t>
      </w:r>
    </w:p>
    <w:p>
      <w:pPr>
        <w:spacing w:line="440" w:lineRule="exact"/>
        <w:jc w:val="center"/>
        <w:rPr>
          <w:rFonts w:ascii="Times New Roman" w:hAnsi="Times New Roman"/>
          <w:color w:val="auto"/>
          <w:highlight w:val="none"/>
        </w:rPr>
      </w:pPr>
      <w:r>
        <w:rPr>
          <w:rFonts w:ascii="Times New Roman" w:hAnsi="Times New Roman"/>
          <w:color w:val="auto"/>
          <w:highlight w:val="none"/>
        </w:rPr>
        <w:t>（编号：</w:t>
      </w:r>
      <w:r>
        <w:rPr>
          <w:rFonts w:ascii="Times New Roman" w:hAnsi="Times New Roman" w:eastAsia="黑体"/>
          <w:color w:val="auto"/>
          <w:sz w:val="28"/>
          <w:highlight w:val="none"/>
          <w:u w:val="single"/>
        </w:rPr>
        <w:t xml:space="preserve">               </w:t>
      </w:r>
      <w:r>
        <w:rPr>
          <w:rFonts w:ascii="Times New Roman" w:hAnsi="Times New Roman"/>
          <w:color w:val="auto"/>
          <w:highlight w:val="none"/>
        </w:rPr>
        <w:t>）</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（投标人名称）：</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　　评标委员会对你方的投标文件进行了仔细的审查，现需你方对下列问题以书</w:t>
      </w:r>
      <w:bookmarkStart w:id="813" w:name="_Toc144974544"/>
      <w:bookmarkStart w:id="814" w:name="_Toc23050"/>
      <w:bookmarkStart w:id="815" w:name="_Toc352691521"/>
      <w:bookmarkStart w:id="816" w:name="_Toc384308260"/>
      <w:bookmarkStart w:id="817" w:name="_Toc300834996"/>
      <w:bookmarkStart w:id="818" w:name="_Toc247514000"/>
      <w:bookmarkStart w:id="819" w:name="_Toc152045576"/>
      <w:bookmarkStart w:id="820" w:name="_Toc152042352"/>
      <w:bookmarkStart w:id="821" w:name="_Toc369531565"/>
      <w:bookmarkStart w:id="822" w:name="_Toc247527601"/>
      <w:bookmarkStart w:id="823" w:name="_Toc361508634"/>
      <w:r>
        <w:rPr>
          <w:rFonts w:ascii="Times New Roman" w:hAnsi="Times New Roman"/>
          <w:color w:val="auto"/>
          <w:highlight w:val="none"/>
        </w:rPr>
        <w:t>面形式予以澄清、说明或补正：</w:t>
      </w:r>
    </w:p>
    <w:p>
      <w:pPr>
        <w:spacing w:line="440" w:lineRule="exact"/>
        <w:rPr>
          <w:rFonts w:ascii="Times New Roman" w:hAnsi="Times New Roman"/>
          <w:color w:val="auto"/>
          <w:highlight w:val="none"/>
        </w:rPr>
      </w:pPr>
      <w:r>
        <w:rPr>
          <w:rFonts w:ascii="Times New Roman" w:hAnsi="Times New Roman"/>
          <w:color w:val="auto"/>
          <w:highlight w:val="none"/>
        </w:rPr>
        <w:t>　　</w:t>
      </w:r>
    </w:p>
    <w:bookmarkEnd w:id="813"/>
    <w:bookmarkEnd w:id="814"/>
    <w:bookmarkEnd w:id="815"/>
    <w:bookmarkEnd w:id="816"/>
    <w:bookmarkEnd w:id="817"/>
    <w:bookmarkEnd w:id="818"/>
    <w:bookmarkEnd w:id="819"/>
    <w:bookmarkEnd w:id="820"/>
    <w:bookmarkEnd w:id="821"/>
    <w:bookmarkEnd w:id="822"/>
    <w:bookmarkEnd w:id="823"/>
    <w:p>
      <w:pPr>
        <w:spacing w:line="440" w:lineRule="exact"/>
        <w:rPr>
          <w:rFonts w:ascii="Times New Roman" w:hAnsi="Times New Roman"/>
          <w:color w:val="auto"/>
          <w:highlight w:val="none"/>
        </w:rPr>
      </w:pPr>
      <w:r>
        <w:rPr>
          <w:rFonts w:ascii="Times New Roman" w:hAnsi="Times New Roman"/>
          <w:color w:val="auto"/>
          <w:highlight w:val="none"/>
        </w:rPr>
        <w:t xml:space="preserve">    1.</w:t>
      </w:r>
    </w:p>
    <w:p>
      <w:pPr>
        <w:spacing w:line="440" w:lineRule="exact"/>
        <w:rPr>
          <w:rFonts w:ascii="Times New Roman" w:hAnsi="Times New Roman"/>
          <w:color w:val="auto"/>
          <w:highlight w:val="none"/>
        </w:rPr>
      </w:pPr>
      <w:r>
        <w:rPr>
          <w:rFonts w:ascii="Times New Roman" w:hAnsi="Times New Roman"/>
          <w:color w:val="auto"/>
          <w:highlight w:val="none"/>
        </w:rPr>
        <w:t xml:space="preserve">    2.</w:t>
      </w:r>
    </w:p>
    <w:p>
      <w:pPr>
        <w:spacing w:line="440" w:lineRule="exact"/>
        <w:rPr>
          <w:rFonts w:ascii="Times New Roman" w:hAnsi="Times New Roman"/>
          <w:color w:val="auto"/>
          <w:highlight w:val="none"/>
        </w:rPr>
      </w:pPr>
      <w:r>
        <w:rPr>
          <w:rFonts w:ascii="Times New Roman" w:hAnsi="Times New Roman"/>
          <w:color w:val="auto"/>
          <w:highlight w:val="none"/>
        </w:rPr>
        <w:t xml:space="preserve">     ......   </w:t>
      </w: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440" w:lineRule="exact"/>
        <w:ind w:firstLine="405"/>
        <w:rPr>
          <w:rFonts w:ascii="Times New Roman" w:hAnsi="Times New Roman"/>
          <w:color w:val="auto"/>
          <w:highlight w:val="none"/>
        </w:rPr>
      </w:pPr>
      <w:r>
        <w:rPr>
          <w:rFonts w:ascii="Times New Roman" w:hAnsi="Times New Roman"/>
          <w:color w:val="auto"/>
          <w:highlight w:val="none"/>
        </w:rPr>
        <w:t>请将上述问题的澄清、说明或补正于</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ascii="Times New Roman" w:hAnsi="Times New Roman"/>
          <w:color w:val="auto"/>
          <w:highlight w:val="none"/>
        </w:rPr>
        <w:t>时前递交至</w:t>
      </w:r>
      <w:bookmarkStart w:id="824" w:name="_Toc247514001"/>
      <w:bookmarkStart w:id="825" w:name="_Toc361508635"/>
      <w:bookmarkStart w:id="826" w:name="_Toc384308261"/>
      <w:bookmarkStart w:id="827" w:name="_Toc352691522"/>
      <w:bookmarkStart w:id="828" w:name="_Toc144974545"/>
      <w:bookmarkStart w:id="829" w:name="_Toc300834997"/>
      <w:bookmarkStart w:id="830" w:name="_Toc247527602"/>
      <w:bookmarkStart w:id="831" w:name="_Toc152045577"/>
      <w:bookmarkStart w:id="832" w:name="_Toc369531566"/>
      <w:bookmarkStart w:id="833" w:name="_Toc152042353"/>
      <w:bookmarkStart w:id="834" w:name="_Toc28385"/>
    </w:p>
    <w:p>
      <w:pPr>
        <w:spacing w:line="440" w:lineRule="exac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（详细地址）或传真至</w:t>
      </w:r>
      <w:bookmarkEnd w:id="824"/>
      <w:bookmarkEnd w:id="825"/>
      <w:bookmarkEnd w:id="826"/>
      <w:bookmarkEnd w:id="827"/>
      <w:bookmarkEnd w:id="828"/>
      <w:bookmarkEnd w:id="829"/>
      <w:bookmarkEnd w:id="830"/>
      <w:bookmarkEnd w:id="831"/>
      <w:bookmarkEnd w:id="832"/>
      <w:bookmarkEnd w:id="833"/>
      <w:bookmarkEnd w:id="834"/>
      <w:r>
        <w:rPr>
          <w:rFonts w:ascii="Times New Roman" w:hAnsi="Times New Roman"/>
          <w:color w:val="auto"/>
          <w:highlight w:val="none"/>
          <w:u w:val="single"/>
        </w:rPr>
        <w:t xml:space="preserve">                     </w:t>
      </w:r>
      <w:r>
        <w:rPr>
          <w:rFonts w:ascii="Times New Roman" w:hAnsi="Times New Roman"/>
          <w:color w:val="auto"/>
          <w:highlight w:val="none"/>
        </w:rPr>
        <w:t>（传真号码）或通过下载招标文件的电子招标交易平台上传。采用传真方式的，应在</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p>
    <w:p>
      <w:pPr>
        <w:spacing w:line="440" w:lineRule="exac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ascii="Times New Roman" w:hAnsi="Times New Roman"/>
          <w:color w:val="auto"/>
          <w:highlight w:val="none"/>
        </w:rPr>
        <w:t>时前将原件递交至</w:t>
      </w:r>
      <w:r>
        <w:rPr>
          <w:rFonts w:ascii="Times New Roman" w:hAnsi="Times New Roman"/>
          <w:color w:val="auto"/>
          <w:highlight w:val="none"/>
          <w:u w:val="single"/>
        </w:rPr>
        <w:t xml:space="preserve">                     </w:t>
      </w:r>
      <w:r>
        <w:rPr>
          <w:rFonts w:ascii="Times New Roman" w:hAnsi="Times New Roman"/>
          <w:color w:val="auto"/>
          <w:highlight w:val="none"/>
        </w:rPr>
        <w:t>（详细地址）。</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spacing w:line="440" w:lineRule="exact"/>
        <w:ind w:firstLine="2100" w:firstLineChars="1000"/>
        <w:rPr>
          <w:rFonts w:ascii="Times New Roman" w:hAnsi="Times New Roman"/>
          <w:color w:val="auto"/>
          <w:highlight w:val="none"/>
        </w:rPr>
      </w:pPr>
      <w:r>
        <w:rPr>
          <w:rFonts w:ascii="Times New Roman" w:hAnsi="Times New Roman"/>
          <w:color w:val="auto"/>
          <w:highlight w:val="none"/>
        </w:rPr>
        <w:t>评标委员会授权的招标人或招标代理机构：</w:t>
      </w:r>
      <w:r>
        <w:rPr>
          <w:rFonts w:ascii="Times New Roman" w:hAnsi="Times New Roman" w:eastAsia="黑体"/>
          <w:color w:val="auto"/>
          <w:sz w:val="28"/>
          <w:highlight w:val="none"/>
          <w:u w:val="single"/>
        </w:rPr>
        <w:t xml:space="preserve">      </w:t>
      </w:r>
      <w:r>
        <w:rPr>
          <w:rFonts w:ascii="Times New Roman" w:hAnsi="Times New Roman"/>
          <w:color w:val="auto"/>
          <w:highlight w:val="none"/>
        </w:rPr>
        <w:t>（签字或盖章）</w:t>
      </w:r>
      <w:bookmarkStart w:id="835" w:name="_Toc247527603"/>
      <w:bookmarkStart w:id="836" w:name="_Toc361508636"/>
      <w:bookmarkStart w:id="837" w:name="_Toc152042354"/>
      <w:bookmarkStart w:id="838" w:name="_Toc300834998"/>
      <w:bookmarkStart w:id="839" w:name="_Toc247514002"/>
      <w:bookmarkStart w:id="840" w:name="_Toc6580"/>
      <w:bookmarkStart w:id="841" w:name="_Toc369531567"/>
      <w:bookmarkStart w:id="842" w:name="_Toc152045578"/>
      <w:bookmarkStart w:id="843" w:name="_Toc384308262"/>
      <w:bookmarkStart w:id="844" w:name="_Toc352691523"/>
      <w:bookmarkStart w:id="845" w:name="_Toc144974546"/>
    </w:p>
    <w:bookmarkEnd w:id="835"/>
    <w:bookmarkEnd w:id="836"/>
    <w:bookmarkEnd w:id="837"/>
    <w:bookmarkEnd w:id="838"/>
    <w:bookmarkEnd w:id="839"/>
    <w:bookmarkEnd w:id="840"/>
    <w:bookmarkEnd w:id="841"/>
    <w:bookmarkEnd w:id="842"/>
    <w:bookmarkEnd w:id="843"/>
    <w:bookmarkEnd w:id="844"/>
    <w:p>
      <w:pPr>
        <w:spacing w:line="440" w:lineRule="exact"/>
        <w:rPr>
          <w:rFonts w:ascii="Times New Roman" w:hAnsi="Times New Roman"/>
          <w:color w:val="auto"/>
          <w:highlight w:val="none"/>
        </w:rPr>
      </w:pPr>
      <w:bookmarkStart w:id="846" w:name="_Toc152042355"/>
    </w:p>
    <w:p>
      <w:pPr>
        <w:spacing w:line="440" w:lineRule="exact"/>
        <w:ind w:right="840"/>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pStyle w:val="5"/>
        <w:keepNext w:val="0"/>
        <w:keepLines w:val="0"/>
        <w:ind w:firstLine="0" w:firstLineChars="0"/>
        <w:rPr>
          <w:rFonts w:ascii="Times New Roman" w:hAnsi="Times New Roman"/>
          <w:color w:val="auto"/>
          <w:highlight w:val="none"/>
        </w:rPr>
      </w:pPr>
    </w:p>
    <w:p>
      <w:pPr>
        <w:rPr>
          <w:color w:val="auto"/>
          <w:highlight w:val="none"/>
        </w:rPr>
      </w:pPr>
    </w:p>
    <w:p>
      <w:pPr>
        <w:pStyle w:val="5"/>
        <w:keepNext w:val="0"/>
        <w:keepLines w:val="0"/>
        <w:ind w:firstLine="0" w:firstLineChars="0"/>
        <w:rPr>
          <w:rFonts w:ascii="Times New Roman" w:hAnsi="Times New Roman"/>
          <w:color w:val="auto"/>
          <w:highlight w:val="none"/>
        </w:rPr>
      </w:pPr>
    </w:p>
    <w:p>
      <w:pPr>
        <w:pStyle w:val="5"/>
        <w:keepNext w:val="0"/>
        <w:keepLines w:val="0"/>
        <w:ind w:firstLine="0" w:firstLineChars="0"/>
        <w:rPr>
          <w:rFonts w:ascii="Times New Roman" w:hAnsi="Times New Roman"/>
          <w:color w:val="auto"/>
          <w:highlight w:val="none"/>
        </w:rPr>
      </w:pPr>
      <w:bookmarkStart w:id="847" w:name="_Toc527028505"/>
      <w:bookmarkStart w:id="848" w:name="_Toc28028"/>
      <w:bookmarkStart w:id="849" w:name="_Toc25219"/>
      <w:bookmarkStart w:id="850" w:name="_Toc2491"/>
      <w:bookmarkStart w:id="851" w:name="_Toc31467"/>
      <w:r>
        <w:rPr>
          <w:rFonts w:ascii="Times New Roman" w:hAnsi="Times New Roman"/>
          <w:color w:val="auto"/>
          <w:highlight w:val="none"/>
        </w:rPr>
        <w:t>附件三：问题的澄清</w:t>
      </w:r>
      <w:bookmarkEnd w:id="847"/>
      <w:r>
        <w:rPr>
          <w:rFonts w:hint="eastAsia" w:hAnsi="黑体" w:cs="黑体"/>
          <w:color w:val="auto"/>
          <w:szCs w:val="28"/>
          <w:highlight w:val="none"/>
        </w:rPr>
        <w:t>（按广州公共资源交易中心问题澄清格式）</w:t>
      </w:r>
      <w:bookmarkEnd w:id="848"/>
      <w:bookmarkEnd w:id="849"/>
      <w:bookmarkEnd w:id="850"/>
      <w:bookmarkEnd w:id="851"/>
    </w:p>
    <w:p>
      <w:pPr>
        <w:spacing w:line="400" w:lineRule="exact"/>
        <w:jc w:val="center"/>
        <w:rPr>
          <w:rFonts w:ascii="Times New Roman" w:hAnsi="Times New Roman" w:eastAsia="黑体"/>
          <w:color w:val="auto"/>
          <w:sz w:val="28"/>
          <w:highlight w:val="none"/>
        </w:rPr>
      </w:pPr>
    </w:p>
    <w:p>
      <w:pPr>
        <w:spacing w:line="40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问</w:t>
      </w:r>
      <w:bookmarkEnd w:id="846"/>
      <w:r>
        <w:rPr>
          <w:rFonts w:ascii="Times New Roman" w:hAnsi="Times New Roman" w:eastAsia="黑体"/>
          <w:color w:val="auto"/>
          <w:sz w:val="28"/>
          <w:highlight w:val="none"/>
        </w:rPr>
        <w:t>题</w:t>
      </w:r>
      <w:bookmarkStart w:id="852" w:name="_Toc247527604"/>
      <w:bookmarkStart w:id="853" w:name="_Toc247514003"/>
      <w:bookmarkStart w:id="854" w:name="_Toc3622"/>
      <w:bookmarkStart w:id="855" w:name="_Toc384308263"/>
      <w:bookmarkStart w:id="856" w:name="_Toc369531568"/>
      <w:bookmarkStart w:id="857" w:name="_Toc300834999"/>
      <w:bookmarkStart w:id="858" w:name="_Toc352691524"/>
      <w:bookmarkStart w:id="859" w:name="_Toc152045579"/>
      <w:bookmarkStart w:id="860" w:name="_Toc152042356"/>
      <w:bookmarkStart w:id="861" w:name="_Toc361508637"/>
      <w:r>
        <w:rPr>
          <w:rFonts w:ascii="Times New Roman" w:hAnsi="Times New Roman" w:eastAsia="黑体"/>
          <w:color w:val="auto"/>
          <w:sz w:val="28"/>
          <w:highlight w:val="none"/>
        </w:rPr>
        <w:t>的澄清</w:t>
      </w:r>
    </w:p>
    <w:p>
      <w:pPr>
        <w:spacing w:line="400" w:lineRule="exact"/>
        <w:ind w:firstLine="3465" w:firstLineChars="1650"/>
        <w:rPr>
          <w:rFonts w:ascii="Times New Roman" w:hAnsi="Times New Roman"/>
          <w:color w:val="auto"/>
          <w:highlight w:val="none"/>
        </w:rPr>
      </w:pPr>
      <w:r>
        <w:rPr>
          <w:rFonts w:ascii="Times New Roman" w:hAnsi="Times New Roman"/>
          <w:color w:val="auto"/>
          <w:highlight w:val="none"/>
        </w:rPr>
        <w:t>（编号</w:t>
      </w:r>
      <w:bookmarkEnd w:id="845"/>
      <w:bookmarkEnd w:id="852"/>
      <w:bookmarkEnd w:id="853"/>
      <w:bookmarkEnd w:id="854"/>
      <w:bookmarkEnd w:id="855"/>
      <w:bookmarkEnd w:id="856"/>
      <w:bookmarkEnd w:id="857"/>
      <w:bookmarkEnd w:id="858"/>
      <w:bookmarkEnd w:id="859"/>
      <w:bookmarkEnd w:id="860"/>
      <w:bookmarkEnd w:id="861"/>
      <w:r>
        <w:rPr>
          <w:rFonts w:ascii="Times New Roman" w:hAnsi="Times New Roman"/>
          <w:color w:val="auto"/>
          <w:highlight w:val="none"/>
        </w:rPr>
        <w:t>：</w:t>
      </w:r>
      <w:r>
        <w:rPr>
          <w:rFonts w:ascii="Times New Roman" w:hAnsi="Times New Roman" w:eastAsia="黑体"/>
          <w:color w:val="auto"/>
          <w:sz w:val="28"/>
          <w:highlight w:val="none"/>
          <w:u w:val="single"/>
        </w:rPr>
        <w:t xml:space="preserve">           </w:t>
      </w:r>
      <w:r>
        <w:rPr>
          <w:rFonts w:ascii="Times New Roman" w:hAnsi="Times New Roman"/>
          <w:color w:val="auto"/>
          <w:highlight w:val="none"/>
        </w:rPr>
        <w:t>）</w:t>
      </w:r>
    </w:p>
    <w:p>
      <w:pPr>
        <w:spacing w:line="40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评标委员会：</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　　问题澄清通知（编号：</w:t>
      </w:r>
      <w:r>
        <w:rPr>
          <w:rFonts w:ascii="Times New Roman" w:hAnsi="Times New Roman" w:eastAsia="黑体"/>
          <w:color w:val="auto"/>
          <w:sz w:val="28"/>
          <w:highlight w:val="none"/>
          <w:u w:val="single"/>
        </w:rPr>
        <w:t xml:space="preserve">      </w:t>
      </w:r>
      <w:r>
        <w:rPr>
          <w:rFonts w:ascii="Times New Roman" w:hAnsi="Times New Roman"/>
          <w:color w:val="auto"/>
          <w:highlight w:val="none"/>
        </w:rPr>
        <w:t>）已收悉，现澄清、说明或补正如下：</w:t>
      </w:r>
    </w:p>
    <w:p>
      <w:pPr>
        <w:spacing w:line="440" w:lineRule="exact"/>
        <w:rPr>
          <w:rFonts w:ascii="Times New Roman" w:hAnsi="Times New Roman"/>
          <w:color w:val="auto"/>
          <w:highlight w:val="none"/>
        </w:rPr>
      </w:pPr>
      <w:r>
        <w:rPr>
          <w:rFonts w:ascii="Times New Roman" w:hAnsi="Times New Roman"/>
          <w:color w:val="auto"/>
          <w:highlight w:val="none"/>
        </w:rPr>
        <w:t>　     1.</w:t>
      </w:r>
    </w:p>
    <w:p>
      <w:pPr>
        <w:spacing w:line="440" w:lineRule="exact"/>
        <w:rPr>
          <w:rFonts w:ascii="Times New Roman" w:hAnsi="Times New Roman"/>
          <w:color w:val="auto"/>
          <w:highlight w:val="none"/>
        </w:rPr>
      </w:pPr>
      <w:r>
        <w:rPr>
          <w:rFonts w:ascii="Times New Roman" w:hAnsi="Times New Roman"/>
          <w:color w:val="auto"/>
          <w:highlight w:val="none"/>
        </w:rPr>
        <w:t>　     2.</w:t>
      </w: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440" w:lineRule="exact"/>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上述问题澄清、说明或补正，不改变我方投标文件的实质性内容，构成我方投标文件的组成部分。</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spacing w:line="480" w:lineRule="auto"/>
        <w:rPr>
          <w:rFonts w:ascii="Times New Roman" w:hAnsi="Times New Roman"/>
          <w:color w:val="auto"/>
          <w:highlight w:val="none"/>
        </w:rPr>
      </w:pPr>
      <w:r>
        <w:rPr>
          <w:rFonts w:ascii="Times New Roman" w:hAnsi="Times New Roman"/>
          <w:color w:val="auto"/>
          <w:highlight w:val="none"/>
        </w:rPr>
        <w:t>　　　　　　　　　　　　　　投标人：</w:t>
      </w:r>
      <w:r>
        <w:rPr>
          <w:rFonts w:ascii="Times New Roman" w:hAnsi="Times New Roman" w:eastAsia="黑体"/>
          <w:color w:val="auto"/>
          <w:sz w:val="28"/>
          <w:highlight w:val="none"/>
          <w:u w:val="single"/>
        </w:rPr>
        <w:t xml:space="preserve">                         </w:t>
      </w:r>
      <w:r>
        <w:rPr>
          <w:rFonts w:ascii="Times New Roman" w:hAnsi="Times New Roman"/>
          <w:color w:val="auto"/>
          <w:highlight w:val="none"/>
        </w:rPr>
        <w:t>（盖单位章）</w:t>
      </w:r>
    </w:p>
    <w:p>
      <w:pPr>
        <w:spacing w:line="480" w:lineRule="auto"/>
        <w:ind w:firstLine="2835" w:firstLineChars="1350"/>
        <w:rPr>
          <w:rFonts w:ascii="Times New Roman" w:hAnsi="Times New Roman"/>
          <w:color w:val="auto"/>
          <w:highlight w:val="none"/>
        </w:rPr>
      </w:pPr>
      <w:r>
        <w:rPr>
          <w:rFonts w:hint="eastAsia" w:ascii="Times New Roman" w:hAnsi="Times New Roman"/>
          <w:color w:val="auto"/>
          <w:highlight w:val="none"/>
        </w:rPr>
        <w:t xml:space="preserve"> </w:t>
      </w:r>
      <w:r>
        <w:rPr>
          <w:rFonts w:ascii="Times New Roman" w:hAnsi="Times New Roman"/>
          <w:color w:val="auto"/>
          <w:highlight w:val="none"/>
        </w:rPr>
        <w:t>法定代表人或其委托代理人：</w:t>
      </w:r>
      <w:r>
        <w:rPr>
          <w:rFonts w:ascii="Times New Roman" w:hAnsi="Times New Roman"/>
          <w:color w:val="auto"/>
          <w:highlight w:val="none"/>
          <w:u w:val="single"/>
        </w:rPr>
        <w:t xml:space="preserve">        </w:t>
      </w:r>
      <w:r>
        <w:rPr>
          <w:rFonts w:ascii="Times New Roman" w:hAnsi="Times New Roman"/>
          <w:color w:val="auto"/>
          <w:highlight w:val="none"/>
        </w:rPr>
        <w:t>（签字）</w:t>
      </w: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440" w:lineRule="exact"/>
        <w:jc w:val="right"/>
        <w:rPr>
          <w:rFonts w:ascii="Times New Roman" w:hAnsi="Times New Roman"/>
          <w:color w:val="auto"/>
          <w:highlight w:val="none"/>
        </w:rPr>
      </w:pPr>
      <w:r>
        <w:rPr>
          <w:rFonts w:ascii="Times New Roman" w:hAnsi="Times New Roman"/>
          <w:color w:val="auto"/>
          <w:highlight w:val="none"/>
        </w:rPr>
        <w:t>　　　　　　　　　　　　　　　</w:t>
      </w:r>
      <w:r>
        <w:rPr>
          <w:rFonts w:ascii="Times New Roman" w:hAnsi="Times New Roman"/>
          <w:color w:val="auto"/>
          <w:highlight w:val="none"/>
          <w:u w:val="single"/>
        </w:rPr>
        <w:t xml:space="preserve">        </w:t>
      </w:r>
      <w:r>
        <w:rPr>
          <w:rFonts w:ascii="Times New Roman" w:hAnsi="Times New Roman"/>
          <w:color w:val="auto"/>
          <w:highlight w:val="none"/>
        </w:rPr>
        <w:t>年</w:t>
      </w:r>
      <w:bookmarkStart w:id="862" w:name="_Toc15139"/>
      <w:bookmarkStart w:id="863" w:name="_Toc352691527"/>
      <w:bookmarkStart w:id="864" w:name="_Toc369531571"/>
      <w:bookmarkStart w:id="865" w:name="_Toc152042358"/>
      <w:bookmarkStart w:id="866" w:name="_Toc247527606"/>
      <w:bookmarkStart w:id="867" w:name="_Toc300835002"/>
      <w:bookmarkStart w:id="868" w:name="_Toc144974548"/>
      <w:bookmarkStart w:id="869" w:name="_Toc361508640"/>
      <w:bookmarkStart w:id="870" w:name="_Toc152045581"/>
      <w:bookmarkStart w:id="871" w:name="_Toc384308266"/>
      <w:bookmarkStart w:id="872" w:name="_Toc247514005"/>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bookmarkEnd w:id="862"/>
    <w:bookmarkEnd w:id="863"/>
    <w:bookmarkEnd w:id="864"/>
    <w:bookmarkEnd w:id="865"/>
    <w:bookmarkEnd w:id="866"/>
    <w:bookmarkEnd w:id="867"/>
    <w:bookmarkEnd w:id="868"/>
    <w:bookmarkEnd w:id="869"/>
    <w:bookmarkEnd w:id="870"/>
    <w:bookmarkEnd w:id="871"/>
    <w:bookmarkEnd w:id="872"/>
    <w:p>
      <w:pPr>
        <w:spacing w:line="400" w:lineRule="exact"/>
        <w:rPr>
          <w:rFonts w:ascii="Times New Roman" w:hAnsi="Times New Roman"/>
          <w:color w:val="auto"/>
          <w:highlight w:val="none"/>
        </w:rPr>
      </w:pPr>
    </w:p>
    <w:p>
      <w:pPr>
        <w:pStyle w:val="5"/>
        <w:keepNext w:val="0"/>
        <w:keepLines w:val="0"/>
        <w:ind w:firstLine="137"/>
        <w:rPr>
          <w:rFonts w:ascii="Times New Roman" w:hAnsi="Times New Roman"/>
          <w:color w:val="auto"/>
          <w:highlight w:val="none"/>
        </w:rPr>
      </w:pPr>
      <w:r>
        <w:rPr>
          <w:rFonts w:ascii="Times New Roman" w:hAnsi="Times New Roman"/>
          <w:color w:val="auto"/>
          <w:highlight w:val="none"/>
        </w:rPr>
        <w:br w:type="page"/>
      </w:r>
      <w:bookmarkStart w:id="873" w:name="_Toc26853"/>
      <w:bookmarkStart w:id="874" w:name="_Toc13944"/>
      <w:bookmarkStart w:id="875" w:name="_Toc527028506"/>
      <w:bookmarkStart w:id="876" w:name="_Toc17609"/>
      <w:bookmarkStart w:id="877" w:name="_Toc17658"/>
      <w:r>
        <w:rPr>
          <w:rFonts w:ascii="Times New Roman" w:hAnsi="Times New Roman"/>
          <w:color w:val="auto"/>
          <w:highlight w:val="none"/>
        </w:rPr>
        <w:t>附件</w:t>
      </w:r>
      <w:r>
        <w:rPr>
          <w:rFonts w:hint="eastAsia" w:ascii="Times New Roman" w:hAnsi="Times New Roman"/>
          <w:color w:val="auto"/>
          <w:highlight w:val="none"/>
        </w:rPr>
        <w:t>四</w:t>
      </w:r>
      <w:r>
        <w:rPr>
          <w:rFonts w:ascii="Times New Roman" w:hAnsi="Times New Roman"/>
          <w:color w:val="auto"/>
          <w:highlight w:val="none"/>
        </w:rPr>
        <w:t>：确认通知</w:t>
      </w:r>
      <w:bookmarkEnd w:id="873"/>
      <w:bookmarkEnd w:id="874"/>
      <w:bookmarkEnd w:id="875"/>
      <w:bookmarkEnd w:id="876"/>
      <w:bookmarkEnd w:id="877"/>
    </w:p>
    <w:p>
      <w:pPr>
        <w:spacing w:line="400" w:lineRule="exact"/>
        <w:rPr>
          <w:rFonts w:ascii="Times New Roman" w:hAnsi="Times New Roman"/>
          <w:color w:val="auto"/>
          <w:highlight w:val="none"/>
        </w:rPr>
      </w:pPr>
    </w:p>
    <w:p>
      <w:pPr>
        <w:spacing w:line="40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确认通知</w:t>
      </w:r>
    </w:p>
    <w:p>
      <w:pPr>
        <w:spacing w:line="40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（招标人名称）：</w:t>
      </w: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你方于</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日发出的</w:t>
      </w:r>
      <w:r>
        <w:rPr>
          <w:rFonts w:ascii="Times New Roman" w:hAnsi="Times New Roman"/>
          <w:color w:val="auto"/>
          <w:highlight w:val="none"/>
          <w:u w:val="single"/>
        </w:rPr>
        <w:t xml:space="preserve">         </w:t>
      </w:r>
      <w:r>
        <w:rPr>
          <w:rFonts w:hint="eastAsia" w:ascii="Times New Roman" w:hAnsi="Times New Roman"/>
          <w:color w:val="auto"/>
          <w:highlight w:val="none"/>
        </w:rPr>
        <w:t>（项目名称）</w:t>
      </w:r>
      <w:r>
        <w:rPr>
          <w:rFonts w:ascii="Times New Roman" w:hAnsi="Times New Roman"/>
          <w:color w:val="auto"/>
          <w:highlight w:val="none"/>
        </w:rPr>
        <w:t>招标关于</w:t>
      </w:r>
      <w:r>
        <w:rPr>
          <w:rFonts w:ascii="Times New Roman" w:hAnsi="Times New Roman"/>
          <w:color w:val="auto"/>
          <w:highlight w:val="none"/>
          <w:u w:val="single"/>
        </w:rPr>
        <w:t>招标文件的澄清/修改</w:t>
      </w:r>
      <w:r>
        <w:rPr>
          <w:rFonts w:ascii="Times New Roman" w:hAnsi="Times New Roman"/>
          <w:color w:val="auto"/>
          <w:highlight w:val="none"/>
        </w:rPr>
        <w:t>的通知，我方已于</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日收到。</w:t>
      </w:r>
    </w:p>
    <w:p>
      <w:pPr>
        <w:spacing w:line="440" w:lineRule="exact"/>
        <w:rPr>
          <w:rFonts w:ascii="Times New Roman" w:hAnsi="Times New Roman"/>
          <w:color w:val="auto"/>
          <w:highlight w:val="none"/>
        </w:rPr>
      </w:pPr>
      <w:r>
        <w:rPr>
          <w:rFonts w:ascii="Times New Roman" w:hAnsi="Times New Roman"/>
          <w:color w:val="auto"/>
          <w:highlight w:val="none"/>
        </w:rPr>
        <w:t>　　特此确认。</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spacing w:line="480" w:lineRule="auto"/>
        <w:ind w:firstLine="2415" w:firstLineChars="1150"/>
        <w:jc w:val="left"/>
        <w:rPr>
          <w:rFonts w:ascii="Times New Roman" w:hAnsi="Times New Roman"/>
          <w:color w:val="auto"/>
          <w:highlight w:val="none"/>
        </w:rPr>
      </w:pPr>
      <w:r>
        <w:rPr>
          <w:rFonts w:ascii="Times New Roman" w:hAnsi="Times New Roman"/>
          <w:color w:val="auto"/>
          <w:highlight w:val="none"/>
        </w:rPr>
        <w:t>投标人：</w:t>
      </w:r>
      <w:r>
        <w:rPr>
          <w:rFonts w:ascii="Times New Roman" w:hAnsi="Times New Roman" w:eastAsia="黑体"/>
          <w:color w:val="auto"/>
          <w:sz w:val="28"/>
          <w:highlight w:val="none"/>
          <w:u w:val="single"/>
        </w:rPr>
        <w:t xml:space="preserve">                           </w:t>
      </w:r>
      <w:r>
        <w:rPr>
          <w:rFonts w:ascii="Times New Roman" w:hAnsi="Times New Roman"/>
          <w:color w:val="auto"/>
          <w:highlight w:val="none"/>
        </w:rPr>
        <w:t>（盖单位章）</w:t>
      </w:r>
    </w:p>
    <w:p>
      <w:pPr>
        <w:spacing w:line="480" w:lineRule="auto"/>
        <w:ind w:firstLine="2415" w:firstLineChars="1150"/>
        <w:jc w:val="left"/>
        <w:rPr>
          <w:rFonts w:ascii="Times New Roman" w:hAnsi="Times New Roman"/>
          <w:color w:val="auto"/>
          <w:highlight w:val="none"/>
        </w:rPr>
      </w:pPr>
      <w:r>
        <w:rPr>
          <w:rFonts w:ascii="Times New Roman" w:hAnsi="Times New Roman"/>
          <w:color w:val="auto"/>
          <w:highlight w:val="none"/>
        </w:rPr>
        <w:t>法定代表人或委托代理人：</w:t>
      </w:r>
      <w:r>
        <w:rPr>
          <w:rFonts w:ascii="Times New Roman" w:hAnsi="Times New Roman" w:eastAsia="黑体"/>
          <w:color w:val="auto"/>
          <w:sz w:val="28"/>
          <w:highlight w:val="none"/>
          <w:u w:val="single"/>
        </w:rPr>
        <w:t xml:space="preserve">      </w:t>
      </w:r>
      <w:r>
        <w:rPr>
          <w:rFonts w:ascii="Times New Roman" w:hAnsi="Times New Roman"/>
          <w:color w:val="auto"/>
          <w:highlight w:val="none"/>
        </w:rPr>
        <w:t>（签字）</w:t>
      </w:r>
    </w:p>
    <w:p>
      <w:pPr>
        <w:spacing w:line="440" w:lineRule="exact"/>
        <w:rPr>
          <w:rFonts w:ascii="Times New Roman" w:hAnsi="Times New Roman"/>
          <w:color w:val="auto"/>
          <w:highlight w:val="none"/>
        </w:rPr>
      </w:pPr>
    </w:p>
    <w:p>
      <w:pPr>
        <w:spacing w:line="440" w:lineRule="exact"/>
        <w:ind w:firstLine="105" w:firstLineChars="50"/>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rPr>
          <w:rFonts w:ascii="Times New Roman" w:hAnsi="Times New Roman"/>
          <w:color w:val="auto"/>
          <w:highlight w:val="none"/>
        </w:rPr>
      </w:pPr>
    </w:p>
    <w:p>
      <w:pPr>
        <w:rPr>
          <w:color w:val="auto"/>
          <w:highlight w:val="none"/>
        </w:rPr>
      </w:pPr>
    </w:p>
    <w:p>
      <w:pPr>
        <w:rPr>
          <w:color w:val="auto"/>
          <w:highlight w:val="none"/>
        </w:rPr>
      </w:pPr>
    </w:p>
    <w:p>
      <w:pPr>
        <w:pStyle w:val="3"/>
        <w:keepNext w:val="0"/>
        <w:keepLines w:val="0"/>
        <w:spacing w:line="460" w:lineRule="exact"/>
        <w:jc w:val="center"/>
        <w:rPr>
          <w:color w:val="auto"/>
          <w:highlight w:val="none"/>
        </w:rPr>
      </w:pPr>
      <w:r>
        <w:rPr>
          <w:color w:val="auto"/>
          <w:highlight w:val="none"/>
        </w:rPr>
        <w:br w:type="page"/>
      </w:r>
      <w:bookmarkStart w:id="878" w:name="_Toc25283"/>
      <w:r>
        <w:rPr>
          <w:color w:val="auto"/>
          <w:highlight w:val="none"/>
        </w:rPr>
        <w:t>第三章评标办法（综合评估法）</w:t>
      </w:r>
      <w:bookmarkEnd w:id="878"/>
    </w:p>
    <w:p>
      <w:pPr>
        <w:pStyle w:val="3"/>
        <w:keepNext w:val="0"/>
        <w:keepLines w:val="0"/>
        <w:spacing w:before="0" w:after="0" w:line="240" w:lineRule="auto"/>
        <w:jc w:val="center"/>
        <w:rPr>
          <w:color w:val="auto"/>
          <w:highlight w:val="none"/>
        </w:rPr>
      </w:pPr>
      <w:bookmarkStart w:id="879" w:name="_Toc14731"/>
      <w:bookmarkStart w:id="880" w:name="_Toc15960"/>
      <w:r>
        <w:rPr>
          <w:color w:val="auto"/>
          <w:highlight w:val="none"/>
        </w:rPr>
        <w:t>评标办法前附表</w:t>
      </w:r>
      <w:bookmarkEnd w:id="879"/>
      <w:bookmarkEnd w:id="880"/>
    </w:p>
    <w:tbl>
      <w:tblPr>
        <w:tblStyle w:val="14"/>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89"/>
        <w:gridCol w:w="1098"/>
        <w:gridCol w:w="2132"/>
        <w:gridCol w:w="5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78" w:type="dxa"/>
            <w:gridSpan w:val="3"/>
            <w:vAlign w:val="center"/>
          </w:tcPr>
          <w:p>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条款号</w:t>
            </w: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评审因素</w:t>
            </w:r>
          </w:p>
        </w:tc>
        <w:tc>
          <w:tcPr>
            <w:tcW w:w="5252" w:type="dxa"/>
            <w:vAlign w:val="center"/>
          </w:tcPr>
          <w:p>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r>
              <w:rPr>
                <w:rFonts w:hint="default" w:ascii="Times New Roman" w:hAnsi="Times New Roman"/>
                <w:color w:val="auto"/>
                <w:highlight w:val="none"/>
              </w:rPr>
              <w:t>1</w:t>
            </w:r>
          </w:p>
        </w:tc>
        <w:tc>
          <w:tcPr>
            <w:tcW w:w="1098"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评标方法</w:t>
            </w:r>
          </w:p>
        </w:tc>
        <w:tc>
          <w:tcPr>
            <w:tcW w:w="2132"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中标候选人排序方法</w:t>
            </w:r>
          </w:p>
        </w:tc>
        <w:tc>
          <w:tcPr>
            <w:tcW w:w="5252" w:type="dxa"/>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按总得分由高到低顺序推荐中标候选人，若两家或以上的投标人总得分相同时，则投标报价得分高的排前；若投标人总得分和投标报价得分均相同，则监理大纲得分高的排前；若投标人总得分、投标报价得分和监理大纲得分均相同，则由评标委员会投票表决推荐排名优先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r>
              <w:rPr>
                <w:rFonts w:hint="default" w:ascii="Times New Roman" w:hAnsi="Times New Roman"/>
                <w:color w:val="auto"/>
                <w:highlight w:val="none"/>
              </w:rPr>
              <w:t>2.1.1</w:t>
            </w:r>
          </w:p>
        </w:tc>
        <w:tc>
          <w:tcPr>
            <w:tcW w:w="1098" w:type="dxa"/>
            <w:vMerge w:val="restart"/>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形式评审标准</w:t>
            </w: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投标人名称</w:t>
            </w:r>
          </w:p>
        </w:tc>
        <w:tc>
          <w:tcPr>
            <w:tcW w:w="5252"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1098" w:type="dxa"/>
            <w:vMerge w:val="continue"/>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p>
        </w:tc>
        <w:tc>
          <w:tcPr>
            <w:tcW w:w="2132" w:type="dxa"/>
            <w:vAlign w:val="center"/>
          </w:tcPr>
          <w:p>
            <w:pPr>
              <w:keepNext w:val="0"/>
              <w:keepLines w:val="0"/>
              <w:suppressLineNumbers w:val="0"/>
              <w:adjustRightInd w:val="0"/>
              <w:snapToGrid w:val="0"/>
              <w:spacing w:before="36" w:beforeLines="15" w:beforeAutospacing="0" w:after="36" w:afterLines="15" w:afterAutospacing="0"/>
              <w:ind w:left="42" w:leftChars="20" w:right="42" w:rightChars="20"/>
              <w:jc w:val="center"/>
              <w:rPr>
                <w:rFonts w:hint="default" w:ascii="宋体" w:hAnsi="宋体"/>
                <w:color w:val="auto"/>
                <w:szCs w:val="21"/>
                <w:highlight w:val="none"/>
              </w:rPr>
            </w:pPr>
            <w:r>
              <w:rPr>
                <w:rFonts w:hint="eastAsia"/>
                <w:color w:val="auto"/>
                <w:szCs w:val="21"/>
                <w:highlight w:val="none"/>
              </w:rPr>
              <w:t>投标文件</w:t>
            </w:r>
          </w:p>
        </w:tc>
        <w:tc>
          <w:tcPr>
            <w:tcW w:w="5252" w:type="dxa"/>
            <w:vAlign w:val="center"/>
          </w:tcPr>
          <w:p>
            <w:pPr>
              <w:keepNext w:val="0"/>
              <w:keepLines w:val="0"/>
              <w:suppressLineNumbers w:val="0"/>
              <w:adjustRightInd w:val="0"/>
              <w:snapToGrid w:val="0"/>
              <w:spacing w:before="36" w:beforeLines="15" w:beforeAutospacing="0" w:after="36" w:afterLines="15" w:afterAutospacing="0"/>
              <w:ind w:left="42" w:leftChars="20" w:right="42" w:rightChars="20"/>
              <w:rPr>
                <w:rFonts w:hint="default" w:ascii="宋体" w:hAnsi="宋体"/>
                <w:color w:val="auto"/>
                <w:szCs w:val="21"/>
                <w:highlight w:val="none"/>
              </w:rPr>
            </w:pPr>
            <w:r>
              <w:rPr>
                <w:rFonts w:hint="eastAsia"/>
                <w:color w:val="auto"/>
                <w:szCs w:val="21"/>
                <w:highlight w:val="none"/>
              </w:rPr>
              <w:t>投标文件中的投标人、项目负责人（总监理工程师）与投标登记时的信息一致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1098" w:type="dxa"/>
            <w:vMerge w:val="continue"/>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投标函</w:t>
            </w:r>
            <w:r>
              <w:rPr>
                <w:rFonts w:hint="eastAsia" w:ascii="宋体" w:hAnsi="宋体"/>
                <w:color w:val="auto"/>
                <w:szCs w:val="21"/>
                <w:highlight w:val="none"/>
              </w:rPr>
              <w:t>及投标函附录</w:t>
            </w:r>
            <w:r>
              <w:rPr>
                <w:rFonts w:hint="default" w:ascii="宋体" w:hAnsi="宋体"/>
                <w:color w:val="auto"/>
                <w:szCs w:val="21"/>
                <w:highlight w:val="none"/>
              </w:rPr>
              <w:t>签字盖章</w:t>
            </w:r>
          </w:p>
        </w:tc>
        <w:tc>
          <w:tcPr>
            <w:tcW w:w="5252"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1098" w:type="dxa"/>
            <w:vMerge w:val="continue"/>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投标文件格式</w:t>
            </w:r>
          </w:p>
        </w:tc>
        <w:tc>
          <w:tcPr>
            <w:tcW w:w="5252"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符合第六章“投标文件格式”的规定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1098" w:type="dxa"/>
            <w:vMerge w:val="continue"/>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投标人机器码</w:t>
            </w:r>
          </w:p>
        </w:tc>
        <w:tc>
          <w:tcPr>
            <w:tcW w:w="5252"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投标人与其他投标人加密打包投标文件电脑机器特征码一致的(以广州公共资源交易中心评标系统的检索信息为准)将被否决。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1098" w:type="dxa"/>
            <w:vMerge w:val="continue"/>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备选投标方案</w:t>
            </w:r>
          </w:p>
        </w:tc>
        <w:tc>
          <w:tcPr>
            <w:tcW w:w="5252"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r>
              <w:rPr>
                <w:rFonts w:hint="default" w:ascii="Times New Roman" w:hAnsi="Times New Roman"/>
                <w:color w:val="auto"/>
                <w:highlight w:val="none"/>
              </w:rPr>
              <w:t>2.1.2</w:t>
            </w:r>
          </w:p>
        </w:tc>
        <w:tc>
          <w:tcPr>
            <w:tcW w:w="1098" w:type="dxa"/>
            <w:vMerge w:val="restart"/>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 xml:space="preserve">资格评审标准  </w:t>
            </w: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营业执照和组织机构代码证</w:t>
            </w:r>
          </w:p>
        </w:tc>
        <w:tc>
          <w:tcPr>
            <w:tcW w:w="5252"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符合第二章“投标人须知”第3.5.1项规定，应附投标人营业执照和组织机构代码证的扫描件（按照“三证合一” 或“五证合一”登记制度进行登记的，可仅提供营业执照扫描件。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1098" w:type="dxa"/>
            <w:vMerge w:val="continue"/>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资质要求</w:t>
            </w:r>
          </w:p>
        </w:tc>
        <w:tc>
          <w:tcPr>
            <w:tcW w:w="5252"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符合第二章“投标人须知”第1.4.1项规定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1098" w:type="dxa"/>
            <w:vMerge w:val="continue"/>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总监理工程师</w:t>
            </w:r>
          </w:p>
        </w:tc>
        <w:tc>
          <w:tcPr>
            <w:tcW w:w="5252"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符合第二章“投标人须知”第1.4.1项规定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1098" w:type="dxa"/>
            <w:vMerge w:val="continue"/>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其他要求</w:t>
            </w:r>
          </w:p>
        </w:tc>
        <w:tc>
          <w:tcPr>
            <w:tcW w:w="5252" w:type="dxa"/>
            <w:vAlign w:val="center"/>
          </w:tcPr>
          <w:p>
            <w:pPr>
              <w:pStyle w:val="10"/>
              <w:keepNext w:val="0"/>
              <w:keepLines w:val="0"/>
              <w:suppressLineNumbers w:val="0"/>
              <w:spacing w:before="0" w:beforeAutospacing="0" w:after="0" w:afterAutospacing="0"/>
              <w:ind w:left="0" w:right="0"/>
              <w:rPr>
                <w:rFonts w:hint="default"/>
                <w:color w:val="auto"/>
                <w:highlight w:val="none"/>
              </w:rPr>
            </w:pPr>
            <w:r>
              <w:rPr>
                <w:rFonts w:hint="eastAsia" w:hAnsi="宋体"/>
                <w:color w:val="auto"/>
                <w:highlight w:val="none"/>
              </w:rPr>
              <w:t>符合第二章</w:t>
            </w:r>
            <w:r>
              <w:rPr>
                <w:rFonts w:hint="eastAsia"/>
                <w:color w:val="auto"/>
                <w:highlight w:val="none"/>
              </w:rPr>
              <w:t>“</w:t>
            </w:r>
            <w:r>
              <w:rPr>
                <w:rFonts w:hint="eastAsia" w:hAnsi="宋体"/>
                <w:color w:val="auto"/>
                <w:highlight w:val="none"/>
              </w:rPr>
              <w:t>投标人须知</w:t>
            </w:r>
            <w:r>
              <w:rPr>
                <w:rFonts w:hint="eastAsia"/>
                <w:color w:val="auto"/>
                <w:highlight w:val="none"/>
              </w:rPr>
              <w:t>”</w:t>
            </w:r>
            <w:r>
              <w:rPr>
                <w:rFonts w:hint="eastAsia" w:hAnsi="宋体"/>
                <w:color w:val="auto"/>
                <w:highlight w:val="none"/>
              </w:rPr>
              <w:t>第</w:t>
            </w:r>
            <w:r>
              <w:rPr>
                <w:rFonts w:hint="default" w:hAnsi="宋体"/>
                <w:color w:val="auto"/>
                <w:highlight w:val="none"/>
              </w:rPr>
              <w:t>1.4.1</w:t>
            </w:r>
            <w:r>
              <w:rPr>
                <w:rFonts w:hint="eastAsia" w:hAnsi="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1098" w:type="dxa"/>
            <w:vMerge w:val="continue"/>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联合体投标人</w:t>
            </w:r>
          </w:p>
        </w:tc>
        <w:tc>
          <w:tcPr>
            <w:tcW w:w="5252" w:type="dxa"/>
            <w:vAlign w:val="center"/>
          </w:tcPr>
          <w:p>
            <w:pPr>
              <w:keepNext w:val="0"/>
              <w:keepLines w:val="0"/>
              <w:suppressLineNumbers w:val="0"/>
              <w:snapToGrid w:val="0"/>
              <w:spacing w:before="0" w:beforeAutospacing="0" w:after="0" w:afterAutospacing="0"/>
              <w:ind w:left="0" w:right="0"/>
              <w:rPr>
                <w:rFonts w:hint="default" w:hAnsi="Courier New" w:cs="Arial"/>
                <w:color w:val="auto"/>
                <w:szCs w:val="21"/>
                <w:highlight w:val="none"/>
              </w:rPr>
            </w:pPr>
            <w:r>
              <w:rPr>
                <w:rFonts w:hint="eastAsia"/>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1098"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不存在禁止投标的情形</w:t>
            </w:r>
          </w:p>
        </w:tc>
        <w:tc>
          <w:tcPr>
            <w:tcW w:w="5252"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不存在第二章“投标人须知”第1.4.3项规定的任何一种情形</w:t>
            </w:r>
            <w:r>
              <w:rPr>
                <w:rFonts w:hint="eastAsia" w:ascii="宋体" w:hAnsi="宋体" w:cs="宋体"/>
                <w:color w:val="auto"/>
                <w:highlight w:val="none"/>
              </w:rPr>
              <w:t>（以《投标人声明》为准）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rPr>
                <w:color w:val="auto"/>
                <w:highlight w:val="none"/>
              </w:rPr>
            </w:pPr>
          </w:p>
        </w:tc>
        <w:tc>
          <w:tcPr>
            <w:tcW w:w="1098" w:type="dxa"/>
            <w:vMerge w:val="continue"/>
            <w:vAlign w:val="center"/>
          </w:tcPr>
          <w:p>
            <w:pPr>
              <w:rPr>
                <w:color w:val="auto"/>
                <w:highlight w:val="none"/>
              </w:rPr>
            </w:pPr>
          </w:p>
        </w:tc>
        <w:tc>
          <w:tcPr>
            <w:tcW w:w="2132" w:type="dxa"/>
            <w:vAlign w:val="center"/>
          </w:tcPr>
          <w:p>
            <w:pPr>
              <w:rPr>
                <w:color w:val="auto"/>
                <w:highlight w:val="none"/>
              </w:rPr>
            </w:pPr>
          </w:p>
        </w:tc>
        <w:tc>
          <w:tcPr>
            <w:tcW w:w="52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r>
              <w:rPr>
                <w:rFonts w:hint="default" w:ascii="Times New Roman" w:hAnsi="Times New Roman"/>
                <w:color w:val="auto"/>
                <w:highlight w:val="none"/>
              </w:rPr>
              <w:t>2.1.3</w:t>
            </w:r>
          </w:p>
        </w:tc>
        <w:tc>
          <w:tcPr>
            <w:tcW w:w="109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r>
              <w:rPr>
                <w:rFonts w:hint="default" w:ascii="Times New Roman" w:hAnsi="Times New Roman"/>
                <w:color w:val="auto"/>
                <w:highlight w:val="none"/>
              </w:rPr>
              <w:t>响应性评审标准</w:t>
            </w: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投标报价</w:t>
            </w:r>
          </w:p>
        </w:tc>
        <w:tc>
          <w:tcPr>
            <w:tcW w:w="5252"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符合第二章“投标人须知”第3.2款规定</w:t>
            </w:r>
            <w:r>
              <w:rPr>
                <w:rFonts w:hint="eastAsia" w:ascii="宋体" w:hAnsi="宋体"/>
                <w:color w:val="auto"/>
                <w:szCs w:val="21"/>
                <w:highlight w:val="none"/>
              </w:rPr>
              <w:t>进行投标报价的；对同一招标项目没有出现两个或以上的投标报价，且修正无依据。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109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投标内容</w:t>
            </w:r>
          </w:p>
        </w:tc>
        <w:tc>
          <w:tcPr>
            <w:tcW w:w="5252" w:type="dxa"/>
            <w:vAlign w:val="center"/>
          </w:tcPr>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109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服务期限</w:t>
            </w:r>
          </w:p>
        </w:tc>
        <w:tc>
          <w:tcPr>
            <w:tcW w:w="5252" w:type="dxa"/>
            <w:vAlign w:val="center"/>
          </w:tcPr>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default" w:ascii="宋体" w:hAnsi="宋体"/>
                <w:color w:val="auto"/>
                <w:szCs w:val="21"/>
                <w:highlight w:val="none"/>
              </w:rPr>
              <w:t>符合第二章“投标人须知”第1.3.2项规定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109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质量标准</w:t>
            </w:r>
          </w:p>
        </w:tc>
        <w:tc>
          <w:tcPr>
            <w:tcW w:w="5252" w:type="dxa"/>
            <w:vAlign w:val="center"/>
          </w:tcPr>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109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2132" w:type="dxa"/>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投标有效期</w:t>
            </w:r>
          </w:p>
        </w:tc>
        <w:tc>
          <w:tcPr>
            <w:tcW w:w="5252" w:type="dxa"/>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1098"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投标保证金</w:t>
            </w:r>
          </w:p>
        </w:tc>
        <w:tc>
          <w:tcPr>
            <w:tcW w:w="5252" w:type="dxa"/>
          </w:tcPr>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符合第二章</w:t>
            </w:r>
            <w:r>
              <w:rPr>
                <w:rFonts w:hint="default" w:ascii="宋体" w:hAnsi="宋体"/>
                <w:color w:val="auto"/>
                <w:szCs w:val="21"/>
                <w:highlight w:val="none"/>
              </w:rPr>
              <w:t>“</w:t>
            </w:r>
            <w:r>
              <w:rPr>
                <w:rFonts w:hint="eastAsia" w:ascii="宋体" w:hAnsi="宋体"/>
                <w:color w:val="auto"/>
                <w:szCs w:val="21"/>
                <w:highlight w:val="none"/>
              </w:rPr>
              <w:t>投标人须知</w:t>
            </w:r>
            <w:r>
              <w:rPr>
                <w:rFonts w:hint="default" w:ascii="宋体" w:hAnsi="宋体"/>
                <w:color w:val="auto"/>
                <w:szCs w:val="21"/>
                <w:highlight w:val="none"/>
              </w:rPr>
              <w:t>”</w:t>
            </w:r>
            <w:r>
              <w:rPr>
                <w:rFonts w:hint="eastAsia" w:ascii="宋体" w:hAnsi="宋体"/>
                <w:color w:val="auto"/>
                <w:szCs w:val="21"/>
                <w:highlight w:val="none"/>
              </w:rPr>
              <w:t>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1098"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color w:val="auto"/>
                <w:highlight w:val="none"/>
              </w:rPr>
            </w:pPr>
          </w:p>
        </w:tc>
        <w:tc>
          <w:tcPr>
            <w:tcW w:w="2132" w:type="dxa"/>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串通投标情形</w:t>
            </w:r>
          </w:p>
        </w:tc>
        <w:tc>
          <w:tcPr>
            <w:tcW w:w="5252" w:type="dxa"/>
          </w:tcPr>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8" w:type="dxa"/>
            <w:gridSpan w:val="3"/>
            <w:vAlign w:val="center"/>
          </w:tcPr>
          <w:p>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条款号</w:t>
            </w: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条款内容</w:t>
            </w:r>
          </w:p>
        </w:tc>
        <w:tc>
          <w:tcPr>
            <w:tcW w:w="5252" w:type="dxa"/>
            <w:vAlign w:val="center"/>
          </w:tcPr>
          <w:p>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8"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bookmarkStart w:id="881" w:name="_Hlk136184014"/>
            <w:r>
              <w:rPr>
                <w:rFonts w:hint="default" w:ascii="Times New Roman" w:hAnsi="Times New Roman"/>
                <w:color w:val="auto"/>
                <w:highlight w:val="none"/>
              </w:rPr>
              <w:t>2.2.1</w:t>
            </w: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分值构成</w:t>
            </w:r>
          </w:p>
          <w:p>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(总分100分)</w:t>
            </w:r>
          </w:p>
        </w:tc>
        <w:tc>
          <w:tcPr>
            <w:tcW w:w="5252" w:type="dxa"/>
            <w:vAlign w:val="center"/>
          </w:tcPr>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资信业绩部分：</w:t>
            </w:r>
            <w:r>
              <w:rPr>
                <w:rFonts w:hint="eastAsia"/>
                <w:color w:val="auto"/>
                <w:highlight w:val="none"/>
                <w:lang w:val="en-US" w:eastAsia="zh-CN"/>
              </w:rPr>
              <w:t>40</w:t>
            </w:r>
            <w:r>
              <w:rPr>
                <w:rFonts w:hint="default"/>
                <w:color w:val="auto"/>
                <w:highlight w:val="none"/>
              </w:rPr>
              <w:t>分</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监理大纲部分</w:t>
            </w:r>
            <w:r>
              <w:rPr>
                <w:rFonts w:hint="default"/>
                <w:color w:val="auto"/>
                <w:highlight w:val="none"/>
              </w:rPr>
              <w:t>：</w:t>
            </w:r>
            <w:r>
              <w:rPr>
                <w:rFonts w:hint="eastAsia"/>
                <w:color w:val="auto"/>
                <w:highlight w:val="none"/>
                <w:lang w:val="en-US" w:eastAsia="zh-CN"/>
              </w:rPr>
              <w:t>30</w:t>
            </w:r>
            <w:r>
              <w:rPr>
                <w:rFonts w:hint="default"/>
                <w:color w:val="auto"/>
                <w:highlight w:val="none"/>
              </w:rPr>
              <w:t>分</w:t>
            </w:r>
          </w:p>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投标报价：</w:t>
            </w:r>
            <w:r>
              <w:rPr>
                <w:rFonts w:hint="eastAsia"/>
                <w:color w:val="auto"/>
                <w:highlight w:val="none"/>
                <w:lang w:val="en-US" w:eastAsia="zh-CN"/>
              </w:rPr>
              <w:t>3</w:t>
            </w:r>
            <w:r>
              <w:rPr>
                <w:rFonts w:hint="eastAsia"/>
                <w:color w:val="auto"/>
                <w:highlight w:val="none"/>
              </w:rPr>
              <w:t>0</w:t>
            </w:r>
            <w:r>
              <w:rPr>
                <w:rFonts w:hint="default"/>
                <w:color w:val="auto"/>
                <w:highlight w:val="none"/>
              </w:rPr>
              <w:t>分</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投标人得分＝资信业绩部分+监理大纲部分+投标报价</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资信业绩、监理大纲部分得分为各评委的评分汇总后的算术平均分（分数出现小数点时，保留小数点后二位，第三位小数四舍五入）。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8"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r>
              <w:rPr>
                <w:rFonts w:hint="default" w:ascii="Times New Roman" w:hAnsi="Times New Roman"/>
                <w:color w:val="auto"/>
                <w:highlight w:val="none"/>
              </w:rPr>
              <w:t>2.2.2</w:t>
            </w:r>
          </w:p>
        </w:tc>
        <w:tc>
          <w:tcPr>
            <w:tcW w:w="2132" w:type="dxa"/>
            <w:vAlign w:val="center"/>
          </w:tcPr>
          <w:p>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default" w:ascii="宋体" w:hAnsi="宋体"/>
                <w:color w:val="auto"/>
                <w:szCs w:val="21"/>
                <w:highlight w:val="none"/>
              </w:rPr>
              <w:t>评标基准价计算方法</w:t>
            </w:r>
          </w:p>
        </w:tc>
        <w:tc>
          <w:tcPr>
            <w:tcW w:w="5252" w:type="dxa"/>
            <w:vAlign w:val="center"/>
          </w:tcPr>
          <w:p>
            <w:pPr>
              <w:rPr>
                <w:color w:val="auto"/>
                <w:highlight w:val="none"/>
              </w:rPr>
            </w:pPr>
          </w:p>
          <w:p>
            <w:pPr>
              <w:rPr>
                <w:color w:val="auto"/>
                <w:highlight w:val="none"/>
              </w:rPr>
            </w:pPr>
            <w:r>
              <w:rPr>
                <w:rFonts w:hint="eastAsia" w:ascii="宋体" w:hAnsi="宋体"/>
                <w:color w:val="auto"/>
                <w:spacing w:val="-3"/>
                <w:highlight w:val="none"/>
              </w:rPr>
              <w:t>通过初步评审且经算术校核后投标报价位于[投标最高限价×</w:t>
            </w:r>
            <w:r>
              <w:rPr>
                <w:rFonts w:hint="eastAsia" w:ascii="宋体" w:hAnsi="宋体"/>
                <w:color w:val="auto"/>
                <w:spacing w:val="-3"/>
                <w:highlight w:val="none"/>
                <w:lang w:val="en-US" w:eastAsia="zh-CN"/>
              </w:rPr>
              <w:t>75</w:t>
            </w:r>
            <w:r>
              <w:rPr>
                <w:rFonts w:hint="eastAsia" w:ascii="宋体" w:hAnsi="宋体"/>
                <w:color w:val="auto"/>
                <w:spacing w:val="-3"/>
                <w:highlight w:val="none"/>
              </w:rPr>
              <w:t>%，投标最高限价]区间的投标人家数小于5家的，所有投标人报价的算术平均值为评标基准价；当通过初步评审且经算术校核后投标报价位于[投标最高限价×</w:t>
            </w:r>
            <w:r>
              <w:rPr>
                <w:rFonts w:hint="eastAsia" w:ascii="宋体" w:hAnsi="宋体"/>
                <w:color w:val="auto"/>
                <w:spacing w:val="-3"/>
                <w:highlight w:val="none"/>
                <w:lang w:val="en-US" w:eastAsia="zh-CN"/>
              </w:rPr>
              <w:t>75</w:t>
            </w:r>
            <w:r>
              <w:rPr>
                <w:rFonts w:hint="eastAsia" w:ascii="宋体" w:hAnsi="宋体"/>
                <w:color w:val="auto"/>
                <w:spacing w:val="-3"/>
                <w:highlight w:val="none"/>
              </w:rPr>
              <w:t>%，投标最高限价]区间的投标人家数大于或等于5家的，去一个最高价和一个最低价后，剩余投标报价的算术平均值为评标基准价。</w:t>
            </w:r>
          </w:p>
          <w:p>
            <w:pPr>
              <w:rPr>
                <w:color w:val="auto"/>
                <w:highlight w:val="none"/>
              </w:rPr>
            </w:pPr>
          </w:p>
          <w:p>
            <w:pPr>
              <w:keepNext w:val="0"/>
              <w:keepLines w:val="0"/>
              <w:suppressLineNumbers w:val="0"/>
              <w:snapToGrid w:val="0"/>
              <w:spacing w:before="0" w:beforeAutospacing="0" w:after="0" w:afterAutospacing="0" w:line="360" w:lineRule="auto"/>
              <w:ind w:left="0" w:right="0"/>
              <w:jc w:val="left"/>
              <w:rPr>
                <w:rFonts w:hint="default" w:ascii="宋体" w:hAnsi="宋体"/>
                <w:color w:val="auto"/>
                <w:spacing w:val="-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8"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r>
              <w:rPr>
                <w:rFonts w:hint="default" w:ascii="Times New Roman" w:hAnsi="Times New Roman"/>
                <w:color w:val="auto"/>
                <w:highlight w:val="none"/>
              </w:rPr>
              <w:t>2.2.3</w:t>
            </w:r>
          </w:p>
        </w:tc>
        <w:tc>
          <w:tcPr>
            <w:tcW w:w="2132"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default" w:ascii="宋体" w:hAnsi="宋体"/>
                <w:color w:val="auto"/>
                <w:szCs w:val="21"/>
                <w:highlight w:val="none"/>
              </w:rPr>
              <w:t>投标报价的偏差率计算公式</w:t>
            </w:r>
          </w:p>
        </w:tc>
        <w:tc>
          <w:tcPr>
            <w:tcW w:w="5252" w:type="dxa"/>
            <w:vAlign w:val="center"/>
          </w:tcPr>
          <w:p>
            <w:pPr>
              <w:keepNext w:val="0"/>
              <w:keepLines w:val="0"/>
              <w:suppressLineNumbers w:val="0"/>
              <w:snapToGrid w:val="0"/>
              <w:spacing w:before="0" w:beforeAutospacing="0" w:after="0" w:afterAutospacing="0"/>
              <w:ind w:left="0" w:right="0"/>
              <w:jc w:val="left"/>
              <w:rPr>
                <w:rFonts w:hint="default" w:ascii="宋体" w:hAnsi="宋体"/>
                <w:color w:val="auto"/>
                <w:spacing w:val="-3"/>
                <w:highlight w:val="none"/>
              </w:rPr>
            </w:pPr>
            <w:r>
              <w:rPr>
                <w:rFonts w:hint="default" w:ascii="宋体" w:hAnsi="宋体"/>
                <w:color w:val="auto"/>
                <w:spacing w:val="-3"/>
                <w:highlight w:val="none"/>
              </w:rPr>
              <w:t>偏差率=100% ×|（投标人报价-评标基准价）|/评标基准价（偏差率出现小数点时，保留小数点后2位，第三位小数四舍五入。</w:t>
            </w:r>
            <w:r>
              <w:rPr>
                <w:rFonts w:hint="eastAsia" w:ascii="宋体" w:hAnsi="宋体"/>
                <w:color w:val="auto"/>
                <w:spacing w:val="-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1978" w:type="dxa"/>
            <w:gridSpan w:val="3"/>
          </w:tcPr>
          <w:p>
            <w:pPr>
              <w:pStyle w:val="19"/>
              <w:keepNext w:val="0"/>
              <w:keepLines w:val="0"/>
              <w:suppressLineNumbers w:val="0"/>
              <w:kinsoku w:val="0"/>
              <w:overflowPunct w:val="0"/>
              <w:spacing w:before="71" w:beforeAutospacing="0" w:after="0" w:afterAutospacing="0"/>
              <w:ind w:left="0" w:right="309"/>
              <w:jc w:val="center"/>
              <w:rPr>
                <w:rFonts w:hint="default"/>
                <w:color w:val="auto"/>
                <w:highlight w:val="none"/>
              </w:rPr>
            </w:pPr>
            <w:r>
              <w:rPr>
                <w:rFonts w:ascii="宋体" w:hAnsi="宋体"/>
                <w:color w:val="auto"/>
                <w:highlight w:val="none"/>
              </w:rPr>
              <w:t>条款号</w:t>
            </w:r>
          </w:p>
        </w:tc>
        <w:tc>
          <w:tcPr>
            <w:tcW w:w="2132" w:type="dxa"/>
          </w:tcPr>
          <w:p>
            <w:pPr>
              <w:pStyle w:val="19"/>
              <w:keepNext w:val="0"/>
              <w:keepLines w:val="0"/>
              <w:suppressLineNumbers w:val="0"/>
              <w:kinsoku w:val="0"/>
              <w:overflowPunct w:val="0"/>
              <w:spacing w:before="71" w:beforeAutospacing="0" w:after="0" w:afterAutospacing="0"/>
              <w:ind w:left="0" w:right="0"/>
              <w:rPr>
                <w:rFonts w:hint="default"/>
                <w:color w:val="auto"/>
                <w:highlight w:val="none"/>
              </w:rPr>
            </w:pPr>
            <w:r>
              <w:rPr>
                <w:rFonts w:ascii="宋体" w:hAnsi="宋体"/>
                <w:color w:val="auto"/>
                <w:highlight w:val="none"/>
              </w:rPr>
              <w:t>评分因素（偏差率）</w:t>
            </w:r>
          </w:p>
        </w:tc>
        <w:tc>
          <w:tcPr>
            <w:tcW w:w="5252" w:type="dxa"/>
          </w:tcPr>
          <w:p>
            <w:pPr>
              <w:pStyle w:val="19"/>
              <w:keepNext w:val="0"/>
              <w:keepLines w:val="0"/>
              <w:suppressLineNumbers w:val="0"/>
              <w:kinsoku w:val="0"/>
              <w:overflowPunct w:val="0"/>
              <w:spacing w:before="71" w:beforeAutospacing="0" w:after="0" w:afterAutospacing="0"/>
              <w:ind w:left="1895" w:right="1655"/>
              <w:jc w:val="center"/>
              <w:rPr>
                <w:rFonts w:hint="default"/>
                <w:color w:val="auto"/>
                <w:highlight w:val="none"/>
              </w:rPr>
            </w:pPr>
            <w:r>
              <w:rPr>
                <w:rFonts w:ascii="宋体" w:hAnsi="宋体"/>
                <w:color w:val="auto"/>
                <w:highlight w:val="none"/>
              </w:rPr>
              <w:t xml:space="preserve">评分标准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91" w:type="dxa"/>
            <w:vMerge w:val="restart"/>
            <w:vAlign w:val="center"/>
          </w:tcPr>
          <w:p>
            <w:pPr>
              <w:pStyle w:val="19"/>
              <w:keepNext w:val="0"/>
              <w:keepLines w:val="0"/>
              <w:suppressLineNumbers w:val="0"/>
              <w:kinsoku w:val="0"/>
              <w:overflowPunct w:val="0"/>
              <w:spacing w:before="0" w:beforeAutospacing="0" w:after="0" w:afterAutospacing="0"/>
              <w:ind w:left="-63" w:leftChars="-30" w:right="-111" w:rightChars="-53" w:firstLine="63" w:firstLineChars="30"/>
              <w:jc w:val="center"/>
              <w:rPr>
                <w:rFonts w:hint="default" w:eastAsia="Times New Roman"/>
                <w:color w:val="auto"/>
                <w:highlight w:val="none"/>
              </w:rPr>
            </w:pPr>
            <w:r>
              <w:rPr>
                <w:rFonts w:eastAsia="Times New Roman"/>
                <w:color w:val="auto"/>
                <w:highlight w:val="none"/>
              </w:rPr>
              <w:t>2.2.4</w:t>
            </w:r>
          </w:p>
          <w:p>
            <w:pPr>
              <w:pStyle w:val="19"/>
              <w:keepNext w:val="0"/>
              <w:keepLines w:val="0"/>
              <w:suppressLineNumbers w:val="0"/>
              <w:kinsoku w:val="0"/>
              <w:overflowPunct w:val="0"/>
              <w:spacing w:before="6" w:beforeAutospacing="0" w:after="0" w:afterAutospacing="0" w:line="110" w:lineRule="exact"/>
              <w:ind w:left="-63" w:leftChars="-30" w:right="-111" w:rightChars="-53" w:firstLine="33" w:firstLineChars="30"/>
              <w:jc w:val="center"/>
              <w:rPr>
                <w:rFonts w:hint="default"/>
                <w:color w:val="auto"/>
                <w:sz w:val="11"/>
                <w:highlight w:val="none"/>
              </w:rPr>
            </w:pPr>
          </w:p>
          <w:p>
            <w:pPr>
              <w:pStyle w:val="19"/>
              <w:keepNext w:val="0"/>
              <w:keepLines w:val="0"/>
              <w:suppressLineNumbers w:val="0"/>
              <w:kinsoku w:val="0"/>
              <w:overflowPunct w:val="0"/>
              <w:spacing w:before="0" w:beforeAutospacing="0" w:after="0" w:afterAutospacing="0"/>
              <w:ind w:left="-63" w:leftChars="-30" w:right="-111" w:rightChars="-53" w:firstLine="62" w:firstLineChars="30"/>
              <w:jc w:val="center"/>
              <w:rPr>
                <w:rFonts w:hint="default"/>
                <w:color w:val="auto"/>
                <w:highlight w:val="none"/>
              </w:rPr>
            </w:pPr>
            <w:r>
              <w:rPr>
                <w:rFonts w:ascii="宋体" w:hAnsi="宋体"/>
                <w:color w:val="auto"/>
                <w:spacing w:val="-1"/>
                <w:highlight w:val="none"/>
              </w:rPr>
              <w:t>（</w:t>
            </w:r>
            <w:r>
              <w:rPr>
                <w:rFonts w:eastAsia="Times New Roman"/>
                <w:color w:val="auto"/>
                <w:highlight w:val="none"/>
              </w:rPr>
              <w:t>1</w:t>
            </w:r>
            <w:r>
              <w:rPr>
                <w:rFonts w:ascii="宋体" w:hAnsi="宋体"/>
                <w:color w:val="auto"/>
                <w:highlight w:val="none"/>
              </w:rPr>
              <w:t>）</w:t>
            </w:r>
          </w:p>
        </w:tc>
        <w:tc>
          <w:tcPr>
            <w:tcW w:w="1287" w:type="dxa"/>
            <w:gridSpan w:val="2"/>
            <w:vMerge w:val="restart"/>
            <w:vAlign w:val="center"/>
          </w:tcPr>
          <w:p>
            <w:pPr>
              <w:keepNext w:val="0"/>
              <w:keepLines w:val="0"/>
              <w:suppressLineNumbers w:val="0"/>
              <w:spacing w:before="0" w:beforeAutospacing="0" w:after="0" w:afterAutospacing="0"/>
              <w:ind w:left="315" w:right="0" w:hanging="315" w:hangingChars="150"/>
              <w:jc w:val="center"/>
              <w:rPr>
                <w:rFonts w:hint="default" w:ascii="宋体" w:hAnsi="宋体"/>
                <w:color w:val="auto"/>
                <w:highlight w:val="none"/>
              </w:rPr>
            </w:pPr>
            <w:r>
              <w:rPr>
                <w:rFonts w:hint="eastAsia" w:ascii="宋体" w:hAnsi="宋体"/>
                <w:color w:val="auto"/>
                <w:highlight w:val="none"/>
              </w:rPr>
              <w:t>资信</w:t>
            </w:r>
            <w:r>
              <w:rPr>
                <w:rFonts w:hint="eastAsia" w:ascii="宋体" w:hAnsi="宋体"/>
                <w:color w:val="auto"/>
                <w:spacing w:val="-3"/>
                <w:highlight w:val="none"/>
              </w:rPr>
              <w:t>业</w:t>
            </w:r>
            <w:r>
              <w:rPr>
                <w:rFonts w:hint="eastAsia" w:ascii="宋体" w:hAnsi="宋体"/>
                <w:color w:val="auto"/>
                <w:highlight w:val="none"/>
              </w:rPr>
              <w:t>绩</w:t>
            </w:r>
          </w:p>
          <w:p>
            <w:pPr>
              <w:keepNext w:val="0"/>
              <w:keepLines w:val="0"/>
              <w:suppressLineNumbers w:val="0"/>
              <w:spacing w:before="0" w:beforeAutospacing="0" w:after="0" w:afterAutospacing="0"/>
              <w:ind w:left="315" w:right="0" w:hanging="315" w:hangingChars="150"/>
              <w:jc w:val="center"/>
              <w:rPr>
                <w:rFonts w:hint="default" w:ascii="宋体" w:hAnsi="宋体"/>
                <w:color w:val="auto"/>
                <w:highlight w:val="none"/>
              </w:rPr>
            </w:pPr>
            <w:r>
              <w:rPr>
                <w:rFonts w:hint="eastAsia" w:ascii="宋体" w:hAnsi="宋体"/>
                <w:color w:val="auto"/>
                <w:highlight w:val="none"/>
              </w:rPr>
              <w:t>评分</w:t>
            </w:r>
            <w:r>
              <w:rPr>
                <w:rFonts w:hint="eastAsia" w:ascii="宋体" w:hAnsi="宋体"/>
                <w:color w:val="auto"/>
                <w:spacing w:val="-3"/>
                <w:highlight w:val="none"/>
              </w:rPr>
              <w:t>标</w:t>
            </w:r>
            <w:r>
              <w:rPr>
                <w:rFonts w:hint="eastAsia" w:ascii="宋体" w:hAnsi="宋体"/>
                <w:color w:val="auto"/>
                <w:highlight w:val="none"/>
              </w:rPr>
              <w:t>准</w:t>
            </w:r>
          </w:p>
          <w:p>
            <w:pPr>
              <w:pStyle w:val="19"/>
              <w:keepNext w:val="0"/>
              <w:keepLines w:val="0"/>
              <w:suppressLineNumbers w:val="0"/>
              <w:kinsoku w:val="0"/>
              <w:overflowPunct w:val="0"/>
              <w:spacing w:before="0" w:beforeAutospacing="0" w:after="0" w:afterAutospacing="0" w:line="342" w:lineRule="auto"/>
              <w:ind w:left="-115" w:leftChars="-55" w:right="-122" w:rightChars="-58"/>
              <w:jc w:val="center"/>
              <w:rPr>
                <w:rFonts w:hint="default"/>
                <w:color w:val="auto"/>
                <w:highlight w:val="none"/>
              </w:rPr>
            </w:pPr>
            <w:r>
              <w:rPr>
                <w:rFonts w:ascii="宋体" w:hAnsi="宋体"/>
                <w:color w:val="auto"/>
                <w:highlight w:val="none"/>
              </w:rPr>
              <w:t>（</w:t>
            </w:r>
            <w:r>
              <w:rPr>
                <w:rFonts w:hint="eastAsia" w:ascii="宋体" w:hAnsi="宋体"/>
                <w:color w:val="auto"/>
                <w:highlight w:val="none"/>
                <w:lang w:val="en-US" w:eastAsia="zh-CN"/>
              </w:rPr>
              <w:t>40</w:t>
            </w:r>
            <w:r>
              <w:rPr>
                <w:rFonts w:ascii="宋体" w:hAnsi="宋体"/>
                <w:color w:val="auto"/>
                <w:highlight w:val="none"/>
              </w:rPr>
              <w:t>分）</w:t>
            </w:r>
          </w:p>
        </w:tc>
        <w:tc>
          <w:tcPr>
            <w:tcW w:w="2132" w:type="dxa"/>
            <w:vAlign w:val="center"/>
          </w:tcPr>
          <w:p>
            <w:pPr>
              <w:keepNext w:val="0"/>
              <w:keepLines w:val="0"/>
              <w:suppressLineNumbers w:val="0"/>
              <w:spacing w:before="0" w:beforeAutospacing="0" w:after="0" w:afterAutospacing="0"/>
              <w:ind w:left="0" w:right="0"/>
              <w:contextualSpacing/>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企业类似业绩</w:t>
            </w:r>
          </w:p>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（15分）</w:t>
            </w:r>
          </w:p>
        </w:tc>
        <w:tc>
          <w:tcPr>
            <w:tcW w:w="5252" w:type="dxa"/>
            <w:vAlign w:val="center"/>
          </w:tcPr>
          <w:p>
            <w:pPr>
              <w:keepNext w:val="0"/>
              <w:keepLines w:val="0"/>
              <w:suppressLineNumbers w:val="0"/>
              <w:spacing w:before="0" w:beforeAutospacing="0" w:after="0" w:afterAutospacing="0"/>
              <w:ind w:left="0" w:right="0"/>
              <w:contextualSpacing/>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投标人2019年1月1日至今独立承接过类似监理项目业绩的，每个得3分，最多得15分。</w:t>
            </w:r>
          </w:p>
          <w:p>
            <w:pPr>
              <w:keepNext w:val="0"/>
              <w:keepLines w:val="0"/>
              <w:suppressLineNumbers w:val="0"/>
              <w:spacing w:before="0" w:beforeAutospacing="0" w:after="0" w:afterAutospacing="0"/>
              <w:ind w:left="0" w:right="0"/>
              <w:contextualSpacing/>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注：类似项目业绩指指对污染土壤进行修复的项目业绩，不包括矿山修复、油泥治理、农田修复、垃圾填埋场。需提供合同扫描件，时间以合同签订时间为准，提供的业绩证明材料必须反映出相关数据和内容，否则视为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91" w:type="dxa"/>
            <w:vMerge w:val="continue"/>
          </w:tcPr>
          <w:p>
            <w:pPr>
              <w:pStyle w:val="19"/>
              <w:keepNext w:val="0"/>
              <w:keepLines w:val="0"/>
              <w:suppressLineNumbers w:val="0"/>
              <w:kinsoku w:val="0"/>
              <w:overflowPunct w:val="0"/>
              <w:spacing w:before="0" w:beforeAutospacing="0" w:after="0" w:afterAutospacing="0"/>
              <w:ind w:left="-63" w:leftChars="-30" w:right="-111" w:rightChars="-53" w:firstLine="63" w:firstLineChars="30"/>
              <w:jc w:val="center"/>
              <w:rPr>
                <w:rFonts w:hint="default"/>
                <w:color w:val="auto"/>
                <w:highlight w:val="none"/>
              </w:rPr>
            </w:pPr>
          </w:p>
        </w:tc>
        <w:tc>
          <w:tcPr>
            <w:tcW w:w="1287" w:type="dxa"/>
            <w:gridSpan w:val="2"/>
            <w:vMerge w:val="continue"/>
          </w:tcPr>
          <w:p>
            <w:pPr>
              <w:pStyle w:val="19"/>
              <w:keepNext w:val="0"/>
              <w:keepLines w:val="0"/>
              <w:suppressLineNumbers w:val="0"/>
              <w:kinsoku w:val="0"/>
              <w:overflowPunct w:val="0"/>
              <w:spacing w:before="0" w:beforeAutospacing="0" w:after="0" w:afterAutospacing="0"/>
              <w:ind w:left="-115" w:leftChars="-55" w:right="-122" w:rightChars="-58"/>
              <w:jc w:val="center"/>
              <w:rPr>
                <w:rFonts w:hint="default"/>
                <w:color w:val="auto"/>
                <w:highlight w:val="none"/>
              </w:rPr>
            </w:pPr>
          </w:p>
        </w:tc>
        <w:tc>
          <w:tcPr>
            <w:tcW w:w="2132" w:type="dxa"/>
            <w:vAlign w:val="center"/>
          </w:tcPr>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总监理工程师资历</w:t>
            </w:r>
          </w:p>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（6分）</w:t>
            </w:r>
          </w:p>
        </w:tc>
        <w:tc>
          <w:tcPr>
            <w:tcW w:w="5252" w:type="dxa"/>
            <w:vAlign w:val="center"/>
          </w:tcPr>
          <w:p>
            <w:pPr>
              <w:keepNext w:val="0"/>
              <w:keepLines w:val="0"/>
              <w:numPr>
                <w:ilvl w:val="0"/>
                <w:numId w:val="2"/>
              </w:numPr>
              <w:suppressLineNumbers w:val="0"/>
              <w:spacing w:before="0" w:beforeAutospacing="0" w:after="0" w:afterAutospacing="0"/>
              <w:ind w:left="0" w:right="0"/>
              <w:contextualSpacing/>
              <w:jc w:val="left"/>
              <w:rPr>
                <w:color w:val="auto"/>
                <w:highlight w:val="none"/>
              </w:rPr>
            </w:pPr>
            <w:r>
              <w:rPr>
                <w:rFonts w:hint="eastAsia"/>
                <w:color w:val="auto"/>
                <w:highlight w:val="none"/>
                <w:lang w:val="en-US" w:eastAsia="zh-CN"/>
              </w:rPr>
              <w:t>具有环境或环保类高级或以上技术职称得3分；</w:t>
            </w:r>
          </w:p>
          <w:p>
            <w:pPr>
              <w:keepNext w:val="0"/>
              <w:keepLines w:val="0"/>
              <w:suppressLineNumbers w:val="0"/>
              <w:spacing w:before="0" w:beforeAutospacing="0" w:after="0" w:afterAutospacing="0"/>
              <w:ind w:left="0" w:right="0"/>
              <w:contextualSpacing/>
              <w:jc w:val="left"/>
              <w:rPr>
                <w:rFonts w:hint="eastAsia"/>
                <w:color w:val="auto"/>
                <w:highlight w:val="none"/>
                <w:lang w:val="en-US" w:eastAsia="zh-CN"/>
              </w:rPr>
            </w:pPr>
            <w:r>
              <w:rPr>
                <w:rFonts w:hint="eastAsia"/>
                <w:color w:val="auto"/>
                <w:highlight w:val="none"/>
                <w:lang w:val="en-US" w:eastAsia="zh-CN"/>
              </w:rPr>
              <w:t>2、2019年1月1日至今以项目负责人身份独立承接过</w:t>
            </w:r>
            <w:r>
              <w:rPr>
                <w:rFonts w:hint="eastAsia" w:ascii="宋体" w:hAnsi="宋体" w:cs="宋体"/>
                <w:color w:val="auto"/>
                <w:szCs w:val="21"/>
                <w:highlight w:val="none"/>
                <w:lang w:val="en-US" w:eastAsia="zh-CN"/>
              </w:rPr>
              <w:t>类似监理项目业绩</w:t>
            </w:r>
            <w:r>
              <w:rPr>
                <w:rFonts w:hint="eastAsia"/>
                <w:color w:val="auto"/>
                <w:highlight w:val="none"/>
                <w:lang w:val="en-US" w:eastAsia="zh-CN"/>
              </w:rPr>
              <w:t>得3分。</w:t>
            </w:r>
          </w:p>
          <w:p>
            <w:pPr>
              <w:pStyle w:val="17"/>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注：类似项目业绩指指对污染土壤进行修复的项目业绩，不包括矿山修复、油泥治理、农田修复、垃圾填埋场。需提供合同扫描件，时间以合同签订时间为准</w:t>
            </w:r>
            <w:r>
              <w:rPr>
                <w:rFonts w:hint="eastAsia"/>
                <w:color w:val="auto"/>
                <w:highlight w:val="none"/>
                <w:lang w:eastAsia="zh-CN"/>
              </w:rPr>
              <w:t>，提供的业绩证明材料必须反映出相关数据和内容，否则视为未提供</w:t>
            </w: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vMerge w:val="continue"/>
          </w:tcPr>
          <w:p>
            <w:pPr>
              <w:pStyle w:val="19"/>
              <w:keepNext w:val="0"/>
              <w:keepLines w:val="0"/>
              <w:suppressLineNumbers w:val="0"/>
              <w:kinsoku w:val="0"/>
              <w:overflowPunct w:val="0"/>
              <w:spacing w:before="0" w:beforeAutospacing="0" w:after="0" w:afterAutospacing="0"/>
              <w:ind w:left="-63" w:leftChars="-30" w:right="-111" w:rightChars="-53" w:firstLine="63" w:firstLineChars="30"/>
              <w:jc w:val="center"/>
              <w:rPr>
                <w:rFonts w:hint="default"/>
                <w:color w:val="auto"/>
                <w:highlight w:val="none"/>
              </w:rPr>
            </w:pPr>
          </w:p>
        </w:tc>
        <w:tc>
          <w:tcPr>
            <w:tcW w:w="1287" w:type="dxa"/>
            <w:gridSpan w:val="2"/>
            <w:vMerge w:val="continue"/>
          </w:tcPr>
          <w:p>
            <w:pPr>
              <w:pStyle w:val="19"/>
              <w:keepNext w:val="0"/>
              <w:keepLines w:val="0"/>
              <w:suppressLineNumbers w:val="0"/>
              <w:kinsoku w:val="0"/>
              <w:overflowPunct w:val="0"/>
              <w:spacing w:before="0" w:beforeAutospacing="0" w:after="0" w:afterAutospacing="0"/>
              <w:ind w:left="-115" w:leftChars="-55" w:right="-122" w:rightChars="-58"/>
              <w:jc w:val="center"/>
              <w:rPr>
                <w:rFonts w:hint="default"/>
                <w:color w:val="auto"/>
                <w:highlight w:val="none"/>
              </w:rPr>
            </w:pPr>
          </w:p>
        </w:tc>
        <w:tc>
          <w:tcPr>
            <w:tcW w:w="2132" w:type="dxa"/>
            <w:vAlign w:val="center"/>
          </w:tcPr>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拟投入本项目的其他监理人员（13分）</w:t>
            </w:r>
          </w:p>
        </w:tc>
        <w:tc>
          <w:tcPr>
            <w:tcW w:w="5252" w:type="dxa"/>
            <w:vAlign w:val="center"/>
          </w:tcPr>
          <w:p>
            <w:pPr>
              <w:pStyle w:val="17"/>
              <w:keepNext w:val="0"/>
              <w:keepLines w:val="0"/>
              <w:suppressLineNumbers w:val="0"/>
              <w:spacing w:before="0" w:beforeAutospacing="0" w:after="0" w:afterAutospacing="0"/>
              <w:ind w:left="0" w:right="0"/>
              <w:contextualSpacing/>
              <w:jc w:val="left"/>
              <w:rPr>
                <w:rFonts w:hint="default"/>
                <w:color w:val="auto"/>
                <w:highlight w:val="none"/>
                <w:lang w:val="en-US" w:eastAsia="zh-CN"/>
              </w:rPr>
            </w:pPr>
            <w:r>
              <w:rPr>
                <w:rFonts w:hint="eastAsia"/>
                <w:color w:val="auto"/>
                <w:highlight w:val="none"/>
                <w:lang w:val="en-US" w:eastAsia="zh-CN"/>
              </w:rPr>
              <w:t>1、满足本项目各专业监理人员配备（详见第五章委托人要求中管理人员配备要求表）要求得5分；</w:t>
            </w:r>
          </w:p>
          <w:p>
            <w:pPr>
              <w:pStyle w:val="17"/>
              <w:keepNext w:val="0"/>
              <w:keepLines w:val="0"/>
              <w:suppressLineNumbers w:val="0"/>
              <w:spacing w:before="0" w:beforeAutospacing="0" w:after="0" w:afterAutospacing="0"/>
              <w:ind w:left="0" w:right="0"/>
              <w:contextualSpacing/>
              <w:jc w:val="left"/>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、配备的人员中（不含总监、总监代表）：具有《中华人民共和国注册环保工程师资格证书》的每人得2分，最多得4分。</w:t>
            </w:r>
          </w:p>
          <w:p>
            <w:pPr>
              <w:pStyle w:val="17"/>
              <w:keepNext w:val="0"/>
              <w:keepLines w:val="0"/>
              <w:suppressLineNumbers w:val="0"/>
              <w:spacing w:before="0" w:beforeAutospacing="0" w:after="0" w:afterAutospacing="0"/>
              <w:ind w:left="0" w:right="0"/>
              <w:contextualSpacing/>
              <w:jc w:val="left"/>
              <w:rPr>
                <w:rFonts w:hint="default"/>
                <w:color w:val="auto"/>
                <w:highlight w:val="none"/>
              </w:rPr>
            </w:pPr>
            <w:r>
              <w:rPr>
                <w:rFonts w:hint="eastAsia"/>
                <w:color w:val="auto"/>
                <w:highlight w:val="none"/>
                <w:lang w:val="en-US" w:eastAsia="zh-CN"/>
              </w:rPr>
              <w:t>3、配备的人员中（不含总监、总监代表）：获得过省级或以上土壤修复类科学技术奖项的每人得2分，最多得4分。</w:t>
            </w:r>
          </w:p>
          <w:p>
            <w:pPr>
              <w:pStyle w:val="17"/>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注：（1）不满足本项目各专业监理人员配备（详见第五章委托人要求中管理人员配备要求表）要求的，本项不得分。</w:t>
            </w:r>
          </w:p>
          <w:p>
            <w:pPr>
              <w:pStyle w:val="17"/>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（2）提供相关资格证书或职称证书、科学技术奖项证明文件。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91" w:type="dxa"/>
            <w:vMerge w:val="continue"/>
          </w:tcPr>
          <w:p>
            <w:pPr>
              <w:pStyle w:val="19"/>
              <w:keepNext w:val="0"/>
              <w:keepLines w:val="0"/>
              <w:suppressLineNumbers w:val="0"/>
              <w:kinsoku w:val="0"/>
              <w:overflowPunct w:val="0"/>
              <w:spacing w:before="0" w:beforeAutospacing="0" w:after="0" w:afterAutospacing="0"/>
              <w:ind w:left="-63" w:leftChars="-30" w:right="-111" w:rightChars="-53" w:firstLine="63" w:firstLineChars="30"/>
              <w:jc w:val="center"/>
              <w:rPr>
                <w:rFonts w:hint="default"/>
                <w:color w:val="auto"/>
                <w:highlight w:val="none"/>
              </w:rPr>
            </w:pPr>
          </w:p>
        </w:tc>
        <w:tc>
          <w:tcPr>
            <w:tcW w:w="1287" w:type="dxa"/>
            <w:gridSpan w:val="2"/>
            <w:vMerge w:val="continue"/>
          </w:tcPr>
          <w:p>
            <w:pPr>
              <w:pStyle w:val="19"/>
              <w:keepNext w:val="0"/>
              <w:keepLines w:val="0"/>
              <w:suppressLineNumbers w:val="0"/>
              <w:kinsoku w:val="0"/>
              <w:overflowPunct w:val="0"/>
              <w:spacing w:before="0" w:beforeAutospacing="0" w:after="0" w:afterAutospacing="0"/>
              <w:ind w:left="-115" w:leftChars="-55" w:right="-122" w:rightChars="-58"/>
              <w:jc w:val="center"/>
              <w:rPr>
                <w:rFonts w:hint="default"/>
                <w:color w:val="auto"/>
                <w:highlight w:val="none"/>
              </w:rPr>
            </w:pPr>
          </w:p>
        </w:tc>
        <w:tc>
          <w:tcPr>
            <w:tcW w:w="2132" w:type="dxa"/>
            <w:vAlign w:val="center"/>
          </w:tcPr>
          <w:p>
            <w:pPr>
              <w:keepNext w:val="0"/>
              <w:keepLines w:val="0"/>
              <w:suppressLineNumbers w:val="0"/>
              <w:spacing w:before="0" w:beforeAutospacing="0" w:after="0" w:afterAutospacing="0"/>
              <w:ind w:left="0" w:right="0"/>
              <w:contextualSpacing/>
              <w:jc w:val="center"/>
              <w:rPr>
                <w:rFonts w:hint="default" w:ascii="宋体" w:hAnsi="宋体"/>
                <w:color w:val="auto"/>
                <w:highlight w:val="none"/>
              </w:rPr>
            </w:pPr>
            <w:r>
              <w:rPr>
                <w:rFonts w:hint="eastAsia" w:ascii="宋体" w:hAnsi="宋体"/>
                <w:color w:val="auto"/>
                <w:highlight w:val="none"/>
              </w:rPr>
              <w:t>获奖情况</w:t>
            </w:r>
          </w:p>
          <w:p>
            <w:pPr>
              <w:keepNext w:val="0"/>
              <w:keepLines w:val="0"/>
              <w:suppressLineNumbers w:val="0"/>
              <w:spacing w:before="0" w:beforeAutospacing="0" w:after="0" w:afterAutospacing="0"/>
              <w:ind w:left="0" w:right="0"/>
              <w:contextualSpacing/>
              <w:jc w:val="center"/>
              <w:rPr>
                <w:rFonts w:hint="default"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w:t>
            </w:r>
          </w:p>
        </w:tc>
        <w:tc>
          <w:tcPr>
            <w:tcW w:w="5252" w:type="dxa"/>
            <w:vAlign w:val="center"/>
          </w:tcPr>
          <w:p>
            <w:pPr>
              <w:keepNext w:val="0"/>
              <w:keepLines w:val="0"/>
              <w:suppressLineNumbers w:val="0"/>
              <w:spacing w:before="0" w:beforeAutospacing="0" w:after="0" w:afterAutospacing="0"/>
              <w:ind w:left="0" w:right="0"/>
              <w:contextualSpacing/>
              <w:jc w:val="left"/>
              <w:rPr>
                <w:rFonts w:hint="eastAsia"/>
                <w:color w:val="auto"/>
                <w:highlight w:val="none"/>
              </w:rPr>
            </w:pPr>
            <w:r>
              <w:rPr>
                <w:rFonts w:hint="eastAsia"/>
                <w:color w:val="auto"/>
                <w:highlight w:val="none"/>
                <w:lang w:val="en-US" w:eastAsia="zh-CN"/>
              </w:rPr>
              <w:t>2019</w:t>
            </w:r>
            <w:r>
              <w:rPr>
                <w:rFonts w:hint="eastAsia"/>
                <w:color w:val="auto"/>
                <w:highlight w:val="none"/>
              </w:rPr>
              <w:t>年1月1日至今，投标人获得省级或以上</w:t>
            </w:r>
            <w:r>
              <w:rPr>
                <w:rFonts w:hint="eastAsia"/>
                <w:color w:val="auto"/>
                <w:highlight w:val="none"/>
                <w:lang w:eastAsia="zh-CN"/>
              </w:rPr>
              <w:t>土壤修复</w:t>
            </w:r>
            <w:r>
              <w:rPr>
                <w:rFonts w:hint="eastAsia"/>
                <w:color w:val="auto"/>
                <w:highlight w:val="none"/>
              </w:rPr>
              <w:t>类科学技术奖项的，每个奖项得</w:t>
            </w:r>
            <w:r>
              <w:rPr>
                <w:rFonts w:hint="eastAsia"/>
                <w:color w:val="auto"/>
                <w:highlight w:val="none"/>
                <w:lang w:val="en-US" w:eastAsia="zh-CN"/>
              </w:rPr>
              <w:t>1</w:t>
            </w:r>
            <w:r>
              <w:rPr>
                <w:rFonts w:hint="eastAsia"/>
                <w:color w:val="auto"/>
                <w:highlight w:val="none"/>
              </w:rPr>
              <w:t>分，最多得</w:t>
            </w:r>
            <w:r>
              <w:rPr>
                <w:rFonts w:hint="eastAsia"/>
                <w:color w:val="auto"/>
                <w:highlight w:val="none"/>
                <w:lang w:val="en-US" w:eastAsia="zh-CN"/>
              </w:rPr>
              <w:t>3</w:t>
            </w:r>
            <w:r>
              <w:rPr>
                <w:rFonts w:hint="eastAsia"/>
                <w:color w:val="auto"/>
                <w:highlight w:val="none"/>
              </w:rPr>
              <w:t>分。</w:t>
            </w:r>
          </w:p>
          <w:p>
            <w:pPr>
              <w:keepNext w:val="0"/>
              <w:keepLines w:val="0"/>
              <w:suppressLineNumbers w:val="0"/>
              <w:spacing w:before="0" w:beforeAutospacing="0" w:after="0" w:afterAutospacing="0"/>
              <w:ind w:left="0" w:right="0"/>
              <w:contextualSpacing/>
              <w:jc w:val="left"/>
              <w:rPr>
                <w:rFonts w:hint="default"/>
                <w:color w:val="auto"/>
                <w:highlight w:val="none"/>
              </w:rPr>
            </w:pPr>
            <w:r>
              <w:rPr>
                <w:rFonts w:hint="eastAsia"/>
                <w:color w:val="auto"/>
                <w:highlight w:val="none"/>
              </w:rPr>
              <w:t>注：以证书发放时间为准，须提供上述证书复印件或扫描件。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91" w:type="dxa"/>
            <w:vMerge w:val="continue"/>
          </w:tcPr>
          <w:p>
            <w:pPr>
              <w:pStyle w:val="19"/>
              <w:keepNext w:val="0"/>
              <w:keepLines w:val="0"/>
              <w:suppressLineNumbers w:val="0"/>
              <w:kinsoku w:val="0"/>
              <w:overflowPunct w:val="0"/>
              <w:spacing w:before="0" w:beforeAutospacing="0" w:after="0" w:afterAutospacing="0"/>
              <w:ind w:left="-63" w:leftChars="-30" w:right="-111" w:rightChars="-53" w:firstLine="63" w:firstLineChars="30"/>
              <w:jc w:val="center"/>
              <w:rPr>
                <w:rFonts w:hint="default"/>
                <w:color w:val="auto"/>
                <w:highlight w:val="none"/>
              </w:rPr>
            </w:pPr>
          </w:p>
        </w:tc>
        <w:tc>
          <w:tcPr>
            <w:tcW w:w="1287" w:type="dxa"/>
            <w:gridSpan w:val="2"/>
            <w:vMerge w:val="continue"/>
          </w:tcPr>
          <w:p>
            <w:pPr>
              <w:pStyle w:val="19"/>
              <w:keepNext w:val="0"/>
              <w:keepLines w:val="0"/>
              <w:suppressLineNumbers w:val="0"/>
              <w:kinsoku w:val="0"/>
              <w:overflowPunct w:val="0"/>
              <w:spacing w:before="0" w:beforeAutospacing="0" w:after="0" w:afterAutospacing="0"/>
              <w:ind w:left="-115" w:leftChars="-55" w:right="-122" w:rightChars="-58"/>
              <w:jc w:val="center"/>
              <w:rPr>
                <w:rFonts w:hint="default"/>
                <w:color w:val="auto"/>
                <w:highlight w:val="none"/>
              </w:rPr>
            </w:pPr>
          </w:p>
        </w:tc>
        <w:tc>
          <w:tcPr>
            <w:tcW w:w="2132" w:type="dxa"/>
            <w:vAlign w:val="center"/>
          </w:tcPr>
          <w:p>
            <w:pPr>
              <w:keepNext w:val="0"/>
              <w:keepLines w:val="0"/>
              <w:suppressLineNumbers w:val="0"/>
              <w:spacing w:before="0" w:beforeAutospacing="0" w:after="0" w:afterAutospacing="0"/>
              <w:ind w:left="0" w:right="0"/>
              <w:contextualSpacing/>
              <w:jc w:val="center"/>
              <w:rPr>
                <w:rFonts w:hint="eastAsia" w:ascii="宋体" w:hAnsi="宋体"/>
                <w:color w:val="auto"/>
                <w:highlight w:val="none"/>
                <w:lang w:eastAsia="zh-CN"/>
              </w:rPr>
            </w:pPr>
            <w:r>
              <w:rPr>
                <w:rFonts w:hint="eastAsia" w:ascii="宋体" w:hAnsi="宋体"/>
                <w:color w:val="auto"/>
                <w:highlight w:val="none"/>
                <w:lang w:eastAsia="zh-CN"/>
              </w:rPr>
              <w:t>纳税信用等级</w:t>
            </w:r>
          </w:p>
          <w:p>
            <w:pPr>
              <w:keepNext w:val="0"/>
              <w:keepLines w:val="0"/>
              <w:suppressLineNumbers w:val="0"/>
              <w:spacing w:before="0" w:beforeAutospacing="0" w:after="0" w:afterAutospacing="0"/>
              <w:ind w:left="0" w:right="0"/>
              <w:contextualSpacing/>
              <w:jc w:val="center"/>
              <w:rPr>
                <w:rFonts w:hint="default"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w:t>
            </w:r>
          </w:p>
        </w:tc>
        <w:tc>
          <w:tcPr>
            <w:tcW w:w="5252" w:type="dxa"/>
            <w:vAlign w:val="center"/>
          </w:tcPr>
          <w:p>
            <w:pPr>
              <w:keepNext w:val="0"/>
              <w:keepLines w:val="0"/>
              <w:suppressLineNumbers w:val="0"/>
              <w:spacing w:before="0" w:beforeAutospacing="0" w:after="0" w:afterAutospacing="0"/>
              <w:ind w:left="0" w:right="0"/>
              <w:contextualSpacing/>
              <w:jc w:val="left"/>
              <w:rPr>
                <w:rFonts w:hint="eastAsia"/>
                <w:color w:val="auto"/>
                <w:highlight w:val="none"/>
              </w:rPr>
            </w:pPr>
            <w:r>
              <w:rPr>
                <w:rFonts w:hint="eastAsia"/>
                <w:color w:val="auto"/>
                <w:highlight w:val="none"/>
              </w:rPr>
              <w:t>投标人2020年至2022年获税务部门评定的最新纳税信用等级情况：</w:t>
            </w:r>
          </w:p>
          <w:p>
            <w:pPr>
              <w:keepNext w:val="0"/>
              <w:keepLines w:val="0"/>
              <w:suppressLineNumbers w:val="0"/>
              <w:spacing w:before="0" w:beforeAutospacing="0" w:after="0" w:afterAutospacing="0"/>
              <w:ind w:left="0" w:right="0"/>
              <w:contextualSpacing/>
              <w:jc w:val="left"/>
              <w:rPr>
                <w:rFonts w:hint="eastAsia"/>
                <w:color w:val="auto"/>
                <w:highlight w:val="none"/>
              </w:rPr>
            </w:pPr>
            <w:r>
              <w:rPr>
                <w:rFonts w:hint="eastAsia"/>
                <w:color w:val="auto"/>
                <w:highlight w:val="none"/>
              </w:rPr>
              <w:t>（1）3年内连续获得过纳税信用A级纳税人称号的，得</w:t>
            </w:r>
            <w:r>
              <w:rPr>
                <w:rFonts w:hint="eastAsia"/>
                <w:color w:val="auto"/>
                <w:highlight w:val="none"/>
                <w:lang w:val="en-US" w:eastAsia="zh-CN"/>
              </w:rPr>
              <w:t>3</w:t>
            </w:r>
            <w:r>
              <w:rPr>
                <w:rFonts w:hint="eastAsia"/>
                <w:color w:val="auto"/>
                <w:highlight w:val="none"/>
              </w:rPr>
              <w:t>分；</w:t>
            </w:r>
          </w:p>
          <w:p>
            <w:pPr>
              <w:keepNext w:val="0"/>
              <w:keepLines w:val="0"/>
              <w:suppressLineNumbers w:val="0"/>
              <w:spacing w:before="0" w:beforeAutospacing="0" w:after="0" w:afterAutospacing="0"/>
              <w:ind w:left="0" w:right="0"/>
              <w:contextualSpacing/>
              <w:jc w:val="left"/>
              <w:rPr>
                <w:rFonts w:hint="eastAsia"/>
                <w:color w:val="auto"/>
                <w:highlight w:val="none"/>
              </w:rPr>
            </w:pPr>
            <w:r>
              <w:rPr>
                <w:rFonts w:hint="eastAsia"/>
                <w:color w:val="auto"/>
                <w:highlight w:val="none"/>
              </w:rPr>
              <w:t>（2）3年内连续获得过纳税信用B级或以上纳税人称号的，得1分；</w:t>
            </w:r>
          </w:p>
          <w:p>
            <w:pPr>
              <w:rPr>
                <w:rFonts w:hint="default" w:ascii="宋体" w:hAnsi="宋体"/>
                <w:color w:val="auto"/>
                <w:highlight w:val="none"/>
              </w:rPr>
            </w:pPr>
            <w:r>
              <w:rPr>
                <w:rFonts w:hint="eastAsia"/>
                <w:color w:val="auto"/>
                <w:highlight w:val="none"/>
              </w:rPr>
              <w:t>注：本项最高得</w:t>
            </w:r>
            <w:r>
              <w:rPr>
                <w:rFonts w:hint="eastAsia"/>
                <w:color w:val="auto"/>
                <w:highlight w:val="none"/>
                <w:lang w:val="en-US" w:eastAsia="zh-CN"/>
              </w:rPr>
              <w:t>3</w:t>
            </w:r>
            <w:r>
              <w:rPr>
                <w:rFonts w:hint="eastAsia"/>
                <w:color w:val="auto"/>
                <w:highlight w:val="none"/>
              </w:rPr>
              <w:t>分，提供国家税务总局网站查询截图作为证明材料。子公司的不得分，没有或者不提供得0分。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vMerge w:val="restart"/>
            <w:vAlign w:val="center"/>
          </w:tcPr>
          <w:p>
            <w:pPr>
              <w:pStyle w:val="19"/>
              <w:keepNext w:val="0"/>
              <w:keepLines w:val="0"/>
              <w:suppressLineNumbers w:val="0"/>
              <w:kinsoku w:val="0"/>
              <w:overflowPunct w:val="0"/>
              <w:spacing w:before="0" w:beforeAutospacing="0" w:after="0" w:afterAutospacing="0"/>
              <w:ind w:left="-63" w:leftChars="-30" w:right="-111" w:rightChars="-53" w:firstLine="63" w:firstLineChars="30"/>
              <w:jc w:val="center"/>
              <w:rPr>
                <w:rFonts w:hint="default" w:eastAsia="Times New Roman"/>
                <w:color w:val="auto"/>
                <w:highlight w:val="none"/>
              </w:rPr>
            </w:pPr>
            <w:r>
              <w:rPr>
                <w:rFonts w:eastAsia="Times New Roman"/>
                <w:color w:val="auto"/>
                <w:highlight w:val="none"/>
              </w:rPr>
              <w:t>2.2.4（2）</w:t>
            </w:r>
          </w:p>
        </w:tc>
        <w:tc>
          <w:tcPr>
            <w:tcW w:w="1287" w:type="dxa"/>
            <w:gridSpan w:val="2"/>
            <w:vMerge w:val="restart"/>
            <w:vAlign w:val="center"/>
          </w:tcPr>
          <w:p>
            <w:pPr>
              <w:keepNext w:val="0"/>
              <w:keepLines w:val="0"/>
              <w:suppressLineNumbers w:val="0"/>
              <w:spacing w:before="0" w:beforeAutospacing="0" w:after="0" w:afterAutospacing="0"/>
              <w:ind w:left="315" w:right="0" w:hanging="315" w:hangingChars="150"/>
              <w:jc w:val="center"/>
              <w:rPr>
                <w:rFonts w:hint="default" w:ascii="宋体" w:hAnsi="宋体"/>
                <w:color w:val="auto"/>
                <w:highlight w:val="none"/>
              </w:rPr>
            </w:pPr>
            <w:r>
              <w:rPr>
                <w:rFonts w:hint="eastAsia" w:ascii="宋体" w:hAnsi="宋体"/>
                <w:color w:val="auto"/>
                <w:highlight w:val="none"/>
              </w:rPr>
              <w:t>监理大纲</w:t>
            </w:r>
          </w:p>
          <w:p>
            <w:pPr>
              <w:keepNext w:val="0"/>
              <w:keepLines w:val="0"/>
              <w:suppressLineNumbers w:val="0"/>
              <w:spacing w:before="0" w:beforeAutospacing="0" w:after="0" w:afterAutospacing="0"/>
              <w:ind w:left="315" w:right="0" w:hanging="315" w:hangingChars="150"/>
              <w:jc w:val="center"/>
              <w:rPr>
                <w:rFonts w:hint="default" w:ascii="宋体" w:hAnsi="宋体"/>
                <w:color w:val="auto"/>
                <w:highlight w:val="none"/>
              </w:rPr>
            </w:pPr>
            <w:r>
              <w:rPr>
                <w:rFonts w:hint="eastAsia" w:ascii="宋体" w:hAnsi="宋体"/>
                <w:color w:val="auto"/>
                <w:highlight w:val="none"/>
              </w:rPr>
              <w:t>评分标准</w:t>
            </w:r>
          </w:p>
          <w:p>
            <w:pPr>
              <w:keepNext w:val="0"/>
              <w:keepLines w:val="0"/>
              <w:suppressLineNumbers w:val="0"/>
              <w:spacing w:before="0" w:beforeAutospacing="0" w:after="0" w:afterAutospacing="0"/>
              <w:ind w:left="315" w:right="0" w:hanging="315" w:hangingChars="150"/>
              <w:jc w:val="center"/>
              <w:rPr>
                <w:rFonts w:hint="default"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30</w:t>
            </w:r>
            <w:r>
              <w:rPr>
                <w:rFonts w:hint="eastAsia" w:ascii="宋体" w:hAnsi="宋体"/>
                <w:color w:val="auto"/>
                <w:highlight w:val="none"/>
              </w:rPr>
              <w:t>分）</w:t>
            </w:r>
          </w:p>
        </w:tc>
        <w:tc>
          <w:tcPr>
            <w:tcW w:w="2132" w:type="dxa"/>
            <w:vAlign w:val="center"/>
          </w:tcPr>
          <w:p>
            <w:pPr>
              <w:keepNext w:val="0"/>
              <w:keepLines w:val="0"/>
              <w:suppressLineNumbers w:val="0"/>
              <w:spacing w:before="0" w:beforeAutospacing="0" w:after="0" w:afterAutospacing="0"/>
              <w:ind w:left="0" w:right="0"/>
              <w:contextualSpacing/>
              <w:jc w:val="center"/>
              <w:rPr>
                <w:rFonts w:hint="default" w:ascii="宋体" w:hAnsi="宋体"/>
                <w:color w:val="auto"/>
                <w:highlight w:val="none"/>
              </w:rPr>
            </w:pPr>
            <w:r>
              <w:rPr>
                <w:rFonts w:hint="eastAsia" w:ascii="宋体" w:hAnsi="宋体"/>
                <w:color w:val="auto"/>
                <w:highlight w:val="none"/>
              </w:rPr>
              <w:t>监理范围与内容、监理依据与工作目标（</w:t>
            </w:r>
            <w:r>
              <w:rPr>
                <w:rFonts w:hint="eastAsia" w:ascii="宋体" w:hAnsi="宋体"/>
                <w:color w:val="auto"/>
                <w:highlight w:val="none"/>
                <w:lang w:val="en-US" w:eastAsia="zh-CN"/>
              </w:rPr>
              <w:t>3</w:t>
            </w:r>
            <w:r>
              <w:rPr>
                <w:rFonts w:hint="eastAsia" w:ascii="宋体" w:hAnsi="宋体"/>
                <w:color w:val="auto"/>
                <w:highlight w:val="none"/>
              </w:rPr>
              <w:t>分）</w:t>
            </w:r>
          </w:p>
        </w:tc>
        <w:tc>
          <w:tcPr>
            <w:tcW w:w="5252" w:type="dxa"/>
            <w:vAlign w:val="center"/>
          </w:tcPr>
          <w:p>
            <w:pPr>
              <w:keepNext w:val="0"/>
              <w:keepLines w:val="0"/>
              <w:suppressLineNumbers w:val="0"/>
              <w:spacing w:before="0" w:beforeAutospacing="0" w:after="0" w:afterAutospacing="0"/>
              <w:ind w:left="0" w:right="0"/>
              <w:contextualSpacing/>
              <w:jc w:val="left"/>
              <w:rPr>
                <w:rFonts w:hint="default" w:ascii="宋体" w:hAnsi="宋体"/>
                <w:color w:val="auto"/>
                <w:highlight w:val="none"/>
              </w:rPr>
            </w:pPr>
            <w:r>
              <w:rPr>
                <w:rFonts w:hint="eastAsia" w:ascii="宋体" w:hAnsi="宋体"/>
                <w:color w:val="auto"/>
                <w:highlight w:val="none"/>
              </w:rPr>
              <w:t xml:space="preserve">响应并满足招标文件要求的得 </w:t>
            </w:r>
            <w:r>
              <w:rPr>
                <w:rFonts w:hint="eastAsia" w:ascii="宋体" w:hAnsi="宋体"/>
                <w:color w:val="auto"/>
                <w:highlight w:val="none"/>
                <w:lang w:val="en-US" w:eastAsia="zh-CN"/>
              </w:rPr>
              <w:t>3</w:t>
            </w:r>
            <w:r>
              <w:rPr>
                <w:rFonts w:hint="eastAsia" w:ascii="宋体" w:hAnsi="宋体"/>
                <w:color w:val="auto"/>
                <w:highlight w:val="none"/>
              </w:rPr>
              <w:t>分；不满足的不得分。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vMerge w:val="continue"/>
          </w:tcPr>
          <w:p>
            <w:pPr>
              <w:keepNext w:val="0"/>
              <w:keepLines w:val="0"/>
              <w:suppressLineNumbers w:val="0"/>
              <w:spacing w:before="0" w:beforeAutospacing="0" w:after="0" w:afterAutospacing="0" w:line="440" w:lineRule="exact"/>
              <w:ind w:left="0" w:right="0"/>
              <w:jc w:val="center"/>
              <w:rPr>
                <w:rFonts w:hint="default" w:eastAsia="Times New Roman"/>
                <w:color w:val="auto"/>
                <w:highlight w:val="none"/>
              </w:rPr>
            </w:pPr>
          </w:p>
        </w:tc>
        <w:tc>
          <w:tcPr>
            <w:tcW w:w="1287" w:type="dxa"/>
            <w:gridSpan w:val="2"/>
            <w:vMerge w:val="continue"/>
          </w:tcPr>
          <w:p>
            <w:pPr>
              <w:keepNext w:val="0"/>
              <w:keepLines w:val="0"/>
              <w:suppressLineNumbers w:val="0"/>
              <w:spacing w:before="0" w:beforeAutospacing="0" w:after="0" w:afterAutospacing="0" w:line="440" w:lineRule="exact"/>
              <w:ind w:left="0" w:right="0"/>
              <w:jc w:val="center"/>
              <w:rPr>
                <w:rFonts w:hint="default"/>
                <w:color w:val="auto"/>
                <w:highlight w:val="none"/>
              </w:rPr>
            </w:pPr>
          </w:p>
        </w:tc>
        <w:tc>
          <w:tcPr>
            <w:tcW w:w="2132" w:type="dxa"/>
            <w:vAlign w:val="center"/>
          </w:tcPr>
          <w:p>
            <w:pPr>
              <w:keepNext w:val="0"/>
              <w:keepLines w:val="0"/>
              <w:suppressLineNumbers w:val="0"/>
              <w:spacing w:before="0" w:beforeAutospacing="0" w:after="0" w:afterAutospacing="0"/>
              <w:ind w:left="0" w:right="0"/>
              <w:contextualSpacing/>
              <w:jc w:val="center"/>
              <w:rPr>
                <w:rFonts w:hint="default" w:ascii="宋体" w:hAnsi="宋体"/>
                <w:color w:val="auto"/>
                <w:highlight w:val="none"/>
              </w:rPr>
            </w:pPr>
            <w:r>
              <w:rPr>
                <w:rFonts w:hint="eastAsia" w:ascii="宋体" w:hAnsi="宋体"/>
                <w:color w:val="auto"/>
                <w:highlight w:val="none"/>
              </w:rPr>
              <w:t>土壤修复项目监理工作程序、方法和制度（</w:t>
            </w:r>
            <w:r>
              <w:rPr>
                <w:rFonts w:hint="eastAsia" w:ascii="宋体" w:hAnsi="宋体"/>
                <w:color w:val="auto"/>
                <w:highlight w:val="none"/>
                <w:lang w:val="en-US" w:eastAsia="zh-CN"/>
              </w:rPr>
              <w:t>3</w:t>
            </w:r>
            <w:r>
              <w:rPr>
                <w:rFonts w:hint="eastAsia" w:ascii="宋体" w:hAnsi="宋体"/>
                <w:color w:val="auto"/>
                <w:highlight w:val="none"/>
              </w:rPr>
              <w:t>分）</w:t>
            </w:r>
          </w:p>
        </w:tc>
        <w:tc>
          <w:tcPr>
            <w:tcW w:w="5252" w:type="dxa"/>
            <w:vAlign w:val="center"/>
          </w:tcPr>
          <w:p>
            <w:pPr>
              <w:keepNext w:val="0"/>
              <w:keepLines w:val="0"/>
              <w:suppressLineNumbers w:val="0"/>
              <w:spacing w:before="0" w:beforeAutospacing="0" w:after="0" w:afterAutospacing="0"/>
              <w:ind w:left="0" w:right="0"/>
              <w:contextualSpacing/>
              <w:jc w:val="left"/>
              <w:rPr>
                <w:rFonts w:hint="default" w:ascii="宋体" w:hAnsi="宋体"/>
                <w:color w:val="auto"/>
                <w:highlight w:val="none"/>
              </w:rPr>
            </w:pPr>
            <w:r>
              <w:rPr>
                <w:rFonts w:hint="eastAsia" w:ascii="宋体" w:hAnsi="宋体"/>
                <w:color w:val="auto"/>
                <w:highlight w:val="none"/>
              </w:rPr>
              <w:t>有清晰的工作流程图、工作准则。满足要求得</w:t>
            </w:r>
            <w:r>
              <w:rPr>
                <w:rFonts w:hint="eastAsia" w:ascii="宋体" w:hAnsi="宋体"/>
                <w:color w:val="auto"/>
                <w:highlight w:val="none"/>
                <w:lang w:val="en-US" w:eastAsia="zh-CN"/>
              </w:rPr>
              <w:t>2-3</w:t>
            </w:r>
            <w:r>
              <w:rPr>
                <w:rFonts w:hint="eastAsia" w:ascii="宋体" w:hAnsi="宋体"/>
                <w:color w:val="auto"/>
                <w:highlight w:val="none"/>
              </w:rPr>
              <w:t>分；基本满足要求得</w:t>
            </w:r>
            <w:r>
              <w:rPr>
                <w:rFonts w:hint="eastAsia" w:ascii="宋体" w:hAnsi="宋体"/>
                <w:color w:val="auto"/>
                <w:highlight w:val="none"/>
                <w:lang w:val="en-US" w:eastAsia="zh-CN"/>
              </w:rPr>
              <w:t>1</w:t>
            </w:r>
            <w:r>
              <w:rPr>
                <w:rFonts w:hint="eastAsia" w:ascii="宋体" w:hAnsi="宋体"/>
                <w:color w:val="auto"/>
                <w:highlight w:val="none"/>
              </w:rPr>
              <w:t>分；不满足要求不得分。最高不超过</w:t>
            </w:r>
            <w:r>
              <w:rPr>
                <w:rFonts w:hint="eastAsia" w:ascii="宋体" w:hAnsi="宋体"/>
                <w:color w:val="auto"/>
                <w:highlight w:val="none"/>
                <w:lang w:val="en-US" w:eastAsia="zh-CN"/>
              </w:rPr>
              <w:t>3</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vMerge w:val="continue"/>
          </w:tcPr>
          <w:p>
            <w:pPr>
              <w:keepNext w:val="0"/>
              <w:keepLines w:val="0"/>
              <w:suppressLineNumbers w:val="0"/>
              <w:spacing w:before="0" w:beforeAutospacing="0" w:after="0" w:afterAutospacing="0" w:line="440" w:lineRule="exact"/>
              <w:ind w:left="0" w:right="0"/>
              <w:jc w:val="center"/>
              <w:rPr>
                <w:rFonts w:hint="default" w:ascii="宋体" w:hAnsi="宋体"/>
                <w:color w:val="auto"/>
                <w:spacing w:val="-1"/>
                <w:highlight w:val="none"/>
              </w:rPr>
            </w:pPr>
          </w:p>
        </w:tc>
        <w:tc>
          <w:tcPr>
            <w:tcW w:w="1287" w:type="dxa"/>
            <w:gridSpan w:val="2"/>
            <w:vMerge w:val="continue"/>
          </w:tcPr>
          <w:p>
            <w:pPr>
              <w:keepNext w:val="0"/>
              <w:keepLines w:val="0"/>
              <w:suppressLineNumbers w:val="0"/>
              <w:spacing w:before="0" w:beforeAutospacing="0" w:after="0" w:afterAutospacing="0" w:line="440" w:lineRule="exact"/>
              <w:ind w:left="0" w:right="0"/>
              <w:jc w:val="center"/>
              <w:rPr>
                <w:rFonts w:hint="default" w:ascii="宋体" w:hAnsi="宋体"/>
                <w:color w:val="auto"/>
                <w:highlight w:val="none"/>
              </w:rPr>
            </w:pPr>
          </w:p>
        </w:tc>
        <w:tc>
          <w:tcPr>
            <w:tcW w:w="2132" w:type="dxa"/>
            <w:vAlign w:val="center"/>
          </w:tcPr>
          <w:p>
            <w:pPr>
              <w:keepNext w:val="0"/>
              <w:keepLines w:val="0"/>
              <w:suppressLineNumbers w:val="0"/>
              <w:spacing w:before="0" w:beforeAutospacing="0" w:after="0" w:afterAutospacing="0"/>
              <w:ind w:left="0" w:right="0"/>
              <w:contextualSpacing/>
              <w:jc w:val="center"/>
              <w:rPr>
                <w:rFonts w:hint="default" w:ascii="宋体" w:hAnsi="宋体"/>
                <w:color w:val="auto"/>
                <w:highlight w:val="none"/>
              </w:rPr>
            </w:pPr>
            <w:r>
              <w:rPr>
                <w:rFonts w:hint="eastAsia" w:ascii="宋体" w:hAnsi="宋体"/>
                <w:color w:val="auto"/>
                <w:highlight w:val="none"/>
              </w:rPr>
              <w:t>进度控制措施（</w:t>
            </w:r>
            <w:r>
              <w:rPr>
                <w:rFonts w:hint="eastAsia" w:ascii="宋体" w:hAnsi="宋体"/>
                <w:color w:val="auto"/>
                <w:highlight w:val="none"/>
                <w:lang w:val="en-US" w:eastAsia="zh-CN"/>
              </w:rPr>
              <w:t>5</w:t>
            </w:r>
            <w:r>
              <w:rPr>
                <w:rFonts w:hint="eastAsia" w:ascii="宋体" w:hAnsi="宋体"/>
                <w:color w:val="auto"/>
                <w:highlight w:val="none"/>
              </w:rPr>
              <w:t>分）</w:t>
            </w:r>
          </w:p>
        </w:tc>
        <w:tc>
          <w:tcPr>
            <w:tcW w:w="5252" w:type="dxa"/>
            <w:vAlign w:val="center"/>
          </w:tcPr>
          <w:p>
            <w:pPr>
              <w:keepNext w:val="0"/>
              <w:keepLines w:val="0"/>
              <w:suppressLineNumbers w:val="0"/>
              <w:spacing w:before="0" w:beforeAutospacing="0" w:after="0" w:afterAutospacing="0"/>
              <w:ind w:left="0" w:right="0" w:firstLine="0" w:firstLineChars="0"/>
              <w:contextualSpacing/>
              <w:jc w:val="left"/>
              <w:rPr>
                <w:rFonts w:hint="eastAsia"/>
                <w:color w:val="auto"/>
                <w:highlight w:val="none"/>
              </w:rPr>
            </w:pPr>
            <w:r>
              <w:rPr>
                <w:rFonts w:hint="eastAsia"/>
                <w:color w:val="auto"/>
                <w:highlight w:val="none"/>
                <w:lang w:val="en-US" w:eastAsia="zh-CN"/>
              </w:rPr>
              <w:t>1.</w:t>
            </w:r>
            <w:r>
              <w:rPr>
                <w:rFonts w:hint="eastAsia"/>
                <w:color w:val="auto"/>
                <w:highlight w:val="none"/>
              </w:rPr>
              <w:t>要求目标明确、方法合理可行、措施具体、针对性强。措施为优得</w:t>
            </w:r>
            <w:r>
              <w:rPr>
                <w:rFonts w:hint="eastAsia"/>
                <w:color w:val="auto"/>
                <w:highlight w:val="none"/>
                <w:lang w:val="en-US" w:eastAsia="zh-CN"/>
              </w:rPr>
              <w:t>3</w:t>
            </w:r>
            <w:r>
              <w:rPr>
                <w:rFonts w:hint="eastAsia"/>
                <w:color w:val="auto"/>
                <w:highlight w:val="none"/>
              </w:rPr>
              <w:t>分；措施为良得</w:t>
            </w:r>
            <w:r>
              <w:rPr>
                <w:rFonts w:hint="eastAsia"/>
                <w:color w:val="auto"/>
                <w:highlight w:val="none"/>
                <w:lang w:val="en-US" w:eastAsia="zh-CN"/>
              </w:rPr>
              <w:t>2</w:t>
            </w:r>
            <w:r>
              <w:rPr>
                <w:rFonts w:hint="eastAsia"/>
                <w:color w:val="auto"/>
                <w:highlight w:val="none"/>
              </w:rPr>
              <w:t>分；措施为一般得1分；无措施不得分；</w:t>
            </w:r>
          </w:p>
          <w:p>
            <w:pPr>
              <w:pStyle w:val="2"/>
              <w:keepNext w:val="0"/>
              <w:keepLines w:val="0"/>
              <w:suppressLineNumbers w:val="0"/>
              <w:spacing w:before="0" w:beforeAutospacing="0" w:after="0" w:afterAutospacing="0"/>
              <w:ind w:left="0" w:right="0" w:firstLine="0" w:firstLineChars="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2.承诺中区地块土壤污染修复完成后30个日历天内提供环境监理总结报告的，得2分。其他情况不得分。</w:t>
            </w:r>
          </w:p>
          <w:p>
            <w:pPr>
              <w:pStyle w:val="2"/>
              <w:keepNext w:val="0"/>
              <w:keepLines w:val="0"/>
              <w:suppressLineNumbers w:val="0"/>
              <w:spacing w:before="0" w:beforeAutospacing="0" w:after="0" w:afterAutospacing="0"/>
              <w:ind w:left="0" w:right="0" w:firstLine="0" w:firstLineChars="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vMerge w:val="continue"/>
          </w:tcPr>
          <w:p>
            <w:pPr>
              <w:keepNext w:val="0"/>
              <w:keepLines w:val="0"/>
              <w:suppressLineNumbers w:val="0"/>
              <w:spacing w:before="0" w:beforeAutospacing="0" w:after="0" w:afterAutospacing="0" w:line="440" w:lineRule="exact"/>
              <w:ind w:left="0" w:right="0"/>
              <w:jc w:val="center"/>
              <w:rPr>
                <w:rFonts w:hint="default" w:ascii="宋体" w:hAnsi="宋体"/>
                <w:color w:val="auto"/>
                <w:spacing w:val="-1"/>
                <w:highlight w:val="none"/>
              </w:rPr>
            </w:pPr>
          </w:p>
        </w:tc>
        <w:tc>
          <w:tcPr>
            <w:tcW w:w="1287" w:type="dxa"/>
            <w:gridSpan w:val="2"/>
            <w:vMerge w:val="continue"/>
          </w:tcPr>
          <w:p>
            <w:pPr>
              <w:keepNext w:val="0"/>
              <w:keepLines w:val="0"/>
              <w:suppressLineNumbers w:val="0"/>
              <w:spacing w:before="0" w:beforeAutospacing="0" w:after="0" w:afterAutospacing="0" w:line="440" w:lineRule="exact"/>
              <w:ind w:left="0" w:right="0"/>
              <w:jc w:val="center"/>
              <w:rPr>
                <w:rFonts w:hint="default" w:ascii="宋体" w:hAnsi="宋体"/>
                <w:color w:val="auto"/>
                <w:highlight w:val="none"/>
              </w:rPr>
            </w:pPr>
          </w:p>
        </w:tc>
        <w:tc>
          <w:tcPr>
            <w:tcW w:w="2132" w:type="dxa"/>
            <w:vAlign w:val="center"/>
          </w:tcPr>
          <w:p>
            <w:pPr>
              <w:keepNext w:val="0"/>
              <w:keepLines w:val="0"/>
              <w:suppressLineNumbers w:val="0"/>
              <w:spacing w:before="0" w:beforeAutospacing="0" w:after="0" w:afterAutospacing="0"/>
              <w:ind w:left="0" w:right="0"/>
              <w:contextualSpacing/>
              <w:jc w:val="center"/>
              <w:rPr>
                <w:rFonts w:hint="default" w:ascii="宋体" w:hAnsi="宋体"/>
                <w:color w:val="auto"/>
                <w:highlight w:val="none"/>
              </w:rPr>
            </w:pPr>
            <w:r>
              <w:rPr>
                <w:rFonts w:hint="eastAsia" w:ascii="宋体" w:hAnsi="宋体"/>
                <w:color w:val="auto"/>
                <w:highlight w:val="none"/>
              </w:rPr>
              <w:t>对项目特点关键点的理解及监理对策（</w:t>
            </w:r>
            <w:r>
              <w:rPr>
                <w:rFonts w:hint="eastAsia" w:ascii="宋体" w:hAnsi="宋体"/>
                <w:color w:val="auto"/>
                <w:highlight w:val="none"/>
                <w:lang w:val="en-US" w:eastAsia="zh-CN"/>
              </w:rPr>
              <w:t>5</w:t>
            </w:r>
            <w:r>
              <w:rPr>
                <w:rFonts w:hint="eastAsia" w:ascii="宋体" w:hAnsi="宋体"/>
                <w:color w:val="auto"/>
                <w:highlight w:val="none"/>
              </w:rPr>
              <w:t>分）</w:t>
            </w:r>
          </w:p>
        </w:tc>
        <w:tc>
          <w:tcPr>
            <w:tcW w:w="5252" w:type="dxa"/>
            <w:vAlign w:val="center"/>
          </w:tcPr>
          <w:p>
            <w:pPr>
              <w:keepNext w:val="0"/>
              <w:keepLines w:val="0"/>
              <w:suppressLineNumbers w:val="0"/>
              <w:spacing w:before="0" w:beforeAutospacing="0" w:after="0" w:afterAutospacing="0"/>
              <w:ind w:left="0" w:leftChars="0" w:right="0" w:rightChars="0"/>
              <w:contextualSpacing/>
              <w:jc w:val="left"/>
              <w:rPr>
                <w:rFonts w:hint="default" w:ascii="宋体" w:hAnsi="宋体"/>
                <w:color w:val="auto"/>
                <w:highlight w:val="none"/>
              </w:rPr>
            </w:pPr>
            <w:r>
              <w:rPr>
                <w:rFonts w:hint="eastAsia" w:ascii="宋体" w:hAnsi="宋体"/>
                <w:color w:val="auto"/>
                <w:highlight w:val="none"/>
              </w:rPr>
              <w:t>要求针对性强、措施具体、可操作。优得</w:t>
            </w:r>
            <w:r>
              <w:rPr>
                <w:rFonts w:hint="eastAsia" w:ascii="宋体" w:hAnsi="宋体"/>
                <w:color w:val="auto"/>
                <w:highlight w:val="none"/>
                <w:lang w:val="en-US" w:eastAsia="zh-CN"/>
              </w:rPr>
              <w:t>4-5</w:t>
            </w:r>
            <w:r>
              <w:rPr>
                <w:rFonts w:hint="eastAsia" w:ascii="宋体" w:hAnsi="宋体"/>
                <w:color w:val="auto"/>
                <w:highlight w:val="none"/>
              </w:rPr>
              <w:t>分；良得</w:t>
            </w:r>
            <w:r>
              <w:rPr>
                <w:rFonts w:hint="eastAsia" w:ascii="宋体" w:hAnsi="宋体"/>
                <w:color w:val="auto"/>
                <w:highlight w:val="none"/>
                <w:lang w:val="en-US" w:eastAsia="zh-CN"/>
              </w:rPr>
              <w:t>2-3</w:t>
            </w:r>
            <w:r>
              <w:rPr>
                <w:rFonts w:hint="eastAsia" w:ascii="宋体" w:hAnsi="宋体"/>
                <w:color w:val="auto"/>
                <w:highlight w:val="none"/>
              </w:rPr>
              <w:t>分；中得1分；差及无措施不得分。最高不超过</w:t>
            </w:r>
            <w:r>
              <w:rPr>
                <w:rFonts w:hint="eastAsia" w:ascii="宋体" w:hAnsi="宋体"/>
                <w:color w:val="auto"/>
                <w:highlight w:val="none"/>
                <w:lang w:val="en-US" w:eastAsia="zh-CN"/>
              </w:rPr>
              <w:t>5</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vMerge w:val="continue"/>
          </w:tcPr>
          <w:p>
            <w:pPr>
              <w:keepNext w:val="0"/>
              <w:keepLines w:val="0"/>
              <w:suppressLineNumbers w:val="0"/>
              <w:spacing w:before="0" w:beforeAutospacing="0" w:after="0" w:afterAutospacing="0" w:line="440" w:lineRule="exact"/>
              <w:ind w:left="0" w:right="0"/>
              <w:jc w:val="center"/>
              <w:rPr>
                <w:rFonts w:hint="default" w:ascii="宋体" w:hAnsi="宋体"/>
                <w:color w:val="auto"/>
                <w:spacing w:val="-1"/>
                <w:highlight w:val="none"/>
              </w:rPr>
            </w:pPr>
          </w:p>
        </w:tc>
        <w:tc>
          <w:tcPr>
            <w:tcW w:w="1287" w:type="dxa"/>
            <w:gridSpan w:val="2"/>
            <w:vMerge w:val="continue"/>
          </w:tcPr>
          <w:p>
            <w:pPr>
              <w:keepNext w:val="0"/>
              <w:keepLines w:val="0"/>
              <w:suppressLineNumbers w:val="0"/>
              <w:spacing w:before="0" w:beforeAutospacing="0" w:after="0" w:afterAutospacing="0" w:line="440" w:lineRule="exact"/>
              <w:ind w:left="0" w:right="0"/>
              <w:jc w:val="center"/>
              <w:rPr>
                <w:rFonts w:hint="default" w:ascii="宋体" w:hAnsi="宋体"/>
                <w:color w:val="auto"/>
                <w:highlight w:val="none"/>
              </w:rPr>
            </w:pPr>
          </w:p>
        </w:tc>
        <w:tc>
          <w:tcPr>
            <w:tcW w:w="2132" w:type="dxa"/>
            <w:vAlign w:val="center"/>
          </w:tcPr>
          <w:p>
            <w:pPr>
              <w:keepNext w:val="0"/>
              <w:keepLines w:val="0"/>
              <w:suppressLineNumbers w:val="0"/>
              <w:spacing w:before="0" w:beforeAutospacing="0" w:after="0" w:afterAutospacing="0"/>
              <w:ind w:left="0" w:right="0"/>
              <w:contextualSpacing/>
              <w:jc w:val="center"/>
              <w:rPr>
                <w:rFonts w:hint="default" w:ascii="宋体" w:hAnsi="宋体"/>
                <w:color w:val="auto"/>
                <w:highlight w:val="none"/>
              </w:rPr>
            </w:pPr>
            <w:r>
              <w:rPr>
                <w:rFonts w:hint="eastAsia" w:ascii="宋体" w:hAnsi="宋体"/>
                <w:color w:val="auto"/>
                <w:highlight w:val="none"/>
              </w:rPr>
              <w:t>土壤修复场地安全、环保控制措施（</w:t>
            </w:r>
            <w:r>
              <w:rPr>
                <w:rFonts w:hint="eastAsia" w:ascii="宋体" w:hAnsi="宋体"/>
                <w:color w:val="auto"/>
                <w:highlight w:val="none"/>
                <w:lang w:val="en-US" w:eastAsia="zh-CN"/>
              </w:rPr>
              <w:t>5</w:t>
            </w:r>
            <w:r>
              <w:rPr>
                <w:rFonts w:hint="eastAsia" w:ascii="宋体" w:hAnsi="宋体"/>
                <w:color w:val="auto"/>
                <w:highlight w:val="none"/>
              </w:rPr>
              <w:t>分）</w:t>
            </w:r>
          </w:p>
        </w:tc>
        <w:tc>
          <w:tcPr>
            <w:tcW w:w="5252" w:type="dxa"/>
            <w:vAlign w:val="center"/>
          </w:tcPr>
          <w:p>
            <w:pPr>
              <w:keepNext w:val="0"/>
              <w:keepLines w:val="0"/>
              <w:suppressLineNumbers w:val="0"/>
              <w:spacing w:before="0" w:beforeAutospacing="0" w:after="0" w:afterAutospacing="0"/>
              <w:ind w:left="0" w:right="0"/>
              <w:contextualSpacing/>
              <w:jc w:val="left"/>
              <w:rPr>
                <w:rFonts w:hint="default" w:ascii="宋体" w:hAnsi="宋体"/>
                <w:color w:val="auto"/>
                <w:highlight w:val="none"/>
              </w:rPr>
            </w:pPr>
            <w:r>
              <w:rPr>
                <w:rFonts w:hint="eastAsia" w:ascii="宋体" w:hAnsi="宋体"/>
                <w:color w:val="auto"/>
                <w:highlight w:val="none"/>
              </w:rPr>
              <w:t>管理措施优得</w:t>
            </w:r>
            <w:r>
              <w:rPr>
                <w:rFonts w:hint="eastAsia" w:ascii="宋体" w:hAnsi="宋体"/>
                <w:color w:val="auto"/>
                <w:highlight w:val="none"/>
                <w:lang w:val="en-US" w:eastAsia="zh-CN"/>
              </w:rPr>
              <w:t>4-5</w:t>
            </w:r>
            <w:r>
              <w:rPr>
                <w:rFonts w:hint="eastAsia" w:ascii="宋体" w:hAnsi="宋体"/>
                <w:color w:val="auto"/>
                <w:highlight w:val="none"/>
              </w:rPr>
              <w:t>分；良得</w:t>
            </w:r>
            <w:r>
              <w:rPr>
                <w:rFonts w:hint="eastAsia" w:ascii="宋体" w:hAnsi="宋体"/>
                <w:color w:val="auto"/>
                <w:highlight w:val="none"/>
                <w:lang w:val="en-US" w:eastAsia="zh-CN"/>
              </w:rPr>
              <w:t>2-3</w:t>
            </w:r>
            <w:r>
              <w:rPr>
                <w:rFonts w:hint="eastAsia" w:ascii="宋体" w:hAnsi="宋体"/>
                <w:color w:val="auto"/>
                <w:highlight w:val="none"/>
              </w:rPr>
              <w:t>分；一般得1分；无措施不得分。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vMerge w:val="continue"/>
          </w:tcPr>
          <w:p>
            <w:pPr>
              <w:keepNext w:val="0"/>
              <w:keepLines w:val="0"/>
              <w:suppressLineNumbers w:val="0"/>
              <w:spacing w:before="0" w:beforeAutospacing="0" w:after="0" w:afterAutospacing="0" w:line="440" w:lineRule="exact"/>
              <w:ind w:left="0" w:right="0"/>
              <w:jc w:val="center"/>
              <w:rPr>
                <w:rFonts w:hint="default" w:ascii="宋体" w:hAnsi="宋体"/>
                <w:color w:val="auto"/>
                <w:spacing w:val="-1"/>
                <w:highlight w:val="none"/>
              </w:rPr>
            </w:pPr>
          </w:p>
        </w:tc>
        <w:tc>
          <w:tcPr>
            <w:tcW w:w="1287" w:type="dxa"/>
            <w:gridSpan w:val="2"/>
            <w:vMerge w:val="continue"/>
          </w:tcPr>
          <w:p>
            <w:pPr>
              <w:keepNext w:val="0"/>
              <w:keepLines w:val="0"/>
              <w:suppressLineNumbers w:val="0"/>
              <w:spacing w:before="0" w:beforeAutospacing="0" w:after="0" w:afterAutospacing="0" w:line="440" w:lineRule="exact"/>
              <w:ind w:left="0" w:right="0"/>
              <w:jc w:val="center"/>
              <w:rPr>
                <w:rFonts w:hint="default" w:ascii="宋体" w:hAnsi="宋体"/>
                <w:color w:val="auto"/>
                <w:highlight w:val="none"/>
              </w:rPr>
            </w:pPr>
          </w:p>
        </w:tc>
        <w:tc>
          <w:tcPr>
            <w:tcW w:w="2132" w:type="dxa"/>
            <w:vAlign w:val="center"/>
          </w:tcPr>
          <w:p>
            <w:pPr>
              <w:keepNext w:val="0"/>
              <w:keepLines w:val="0"/>
              <w:suppressLineNumbers w:val="0"/>
              <w:spacing w:before="0" w:beforeAutospacing="0" w:after="0" w:afterAutospacing="0"/>
              <w:ind w:left="0" w:right="0"/>
              <w:contextualSpacing/>
              <w:jc w:val="center"/>
              <w:rPr>
                <w:rFonts w:hint="default" w:ascii="宋体" w:hAnsi="宋体"/>
                <w:color w:val="auto"/>
                <w:highlight w:val="none"/>
              </w:rPr>
            </w:pPr>
            <w:r>
              <w:rPr>
                <w:rFonts w:hint="eastAsia" w:ascii="宋体" w:hAnsi="宋体"/>
                <w:color w:val="auto"/>
                <w:highlight w:val="none"/>
              </w:rPr>
              <w:t>污染事故应急措施（</w:t>
            </w:r>
            <w:r>
              <w:rPr>
                <w:rFonts w:hint="eastAsia" w:ascii="宋体" w:hAnsi="宋体"/>
                <w:color w:val="auto"/>
                <w:highlight w:val="none"/>
                <w:lang w:val="en-US" w:eastAsia="zh-CN"/>
              </w:rPr>
              <w:t>5</w:t>
            </w:r>
            <w:r>
              <w:rPr>
                <w:rFonts w:hint="eastAsia" w:ascii="宋体" w:hAnsi="宋体"/>
                <w:color w:val="auto"/>
                <w:highlight w:val="none"/>
              </w:rPr>
              <w:t>分）</w:t>
            </w:r>
          </w:p>
        </w:tc>
        <w:tc>
          <w:tcPr>
            <w:tcW w:w="5252" w:type="dxa"/>
            <w:vAlign w:val="center"/>
          </w:tcPr>
          <w:p>
            <w:pPr>
              <w:keepNext w:val="0"/>
              <w:keepLines w:val="0"/>
              <w:suppressLineNumbers w:val="0"/>
              <w:spacing w:before="0" w:beforeAutospacing="0" w:after="0" w:afterAutospacing="0"/>
              <w:ind w:left="0" w:right="0"/>
              <w:contextualSpacing/>
              <w:jc w:val="left"/>
              <w:rPr>
                <w:rFonts w:hint="default" w:ascii="宋体" w:hAnsi="宋体"/>
                <w:color w:val="auto"/>
                <w:highlight w:val="none"/>
              </w:rPr>
            </w:pPr>
            <w:r>
              <w:rPr>
                <w:rFonts w:hint="eastAsia"/>
                <w:color w:val="auto"/>
                <w:highlight w:val="none"/>
              </w:rPr>
              <w:t>要求目标明确、方法合理可行、措施具体、针对性强。措施为优得</w:t>
            </w:r>
            <w:r>
              <w:rPr>
                <w:rFonts w:hint="eastAsia"/>
                <w:color w:val="auto"/>
                <w:highlight w:val="none"/>
                <w:lang w:val="en-US" w:eastAsia="zh-CN"/>
              </w:rPr>
              <w:t>4-5</w:t>
            </w:r>
            <w:r>
              <w:rPr>
                <w:rFonts w:hint="eastAsia"/>
                <w:color w:val="auto"/>
                <w:highlight w:val="none"/>
              </w:rPr>
              <w:t>分；措施为良得</w:t>
            </w:r>
            <w:r>
              <w:rPr>
                <w:rFonts w:hint="eastAsia"/>
                <w:color w:val="auto"/>
                <w:highlight w:val="none"/>
                <w:lang w:val="en-US" w:eastAsia="zh-CN"/>
              </w:rPr>
              <w:t>2-3</w:t>
            </w:r>
            <w:r>
              <w:rPr>
                <w:rFonts w:hint="eastAsia"/>
                <w:color w:val="auto"/>
                <w:highlight w:val="none"/>
              </w:rPr>
              <w:t>分；措施为一般得1分；无措施不得分；最高不超过</w:t>
            </w:r>
            <w:r>
              <w:rPr>
                <w:rFonts w:hint="eastAsia"/>
                <w:color w:val="auto"/>
                <w:highlight w:val="none"/>
                <w:lang w:val="en-US" w:eastAsia="zh-CN"/>
              </w:rPr>
              <w:t>5</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vMerge w:val="continue"/>
          </w:tcPr>
          <w:p>
            <w:pPr>
              <w:keepNext w:val="0"/>
              <w:keepLines w:val="0"/>
              <w:suppressLineNumbers w:val="0"/>
              <w:spacing w:before="0" w:beforeAutospacing="0" w:after="0" w:afterAutospacing="0" w:line="440" w:lineRule="exact"/>
              <w:ind w:left="0" w:right="0"/>
              <w:jc w:val="center"/>
              <w:rPr>
                <w:rFonts w:hint="default" w:ascii="宋体" w:hAnsi="宋体"/>
                <w:color w:val="auto"/>
                <w:spacing w:val="-1"/>
                <w:highlight w:val="none"/>
              </w:rPr>
            </w:pPr>
          </w:p>
        </w:tc>
        <w:tc>
          <w:tcPr>
            <w:tcW w:w="1287" w:type="dxa"/>
            <w:gridSpan w:val="2"/>
            <w:vMerge w:val="continue"/>
          </w:tcPr>
          <w:p>
            <w:pPr>
              <w:keepNext w:val="0"/>
              <w:keepLines w:val="0"/>
              <w:suppressLineNumbers w:val="0"/>
              <w:spacing w:before="0" w:beforeAutospacing="0" w:after="0" w:afterAutospacing="0" w:line="440" w:lineRule="exact"/>
              <w:ind w:left="0" w:right="0"/>
              <w:jc w:val="center"/>
              <w:rPr>
                <w:rFonts w:hint="default" w:ascii="宋体" w:hAnsi="宋体"/>
                <w:color w:val="auto"/>
                <w:highlight w:val="none"/>
              </w:rPr>
            </w:pPr>
          </w:p>
        </w:tc>
        <w:tc>
          <w:tcPr>
            <w:tcW w:w="2132" w:type="dxa"/>
            <w:vAlign w:val="center"/>
          </w:tcPr>
          <w:p>
            <w:pPr>
              <w:keepNext w:val="0"/>
              <w:keepLines w:val="0"/>
              <w:suppressLineNumbers w:val="0"/>
              <w:spacing w:before="0" w:beforeAutospacing="0" w:after="0" w:afterAutospacing="0"/>
              <w:ind w:left="0" w:right="0"/>
              <w:contextualSpacing/>
              <w:jc w:val="center"/>
              <w:rPr>
                <w:rFonts w:hint="default" w:ascii="宋体" w:hAnsi="宋体"/>
                <w:color w:val="auto"/>
                <w:highlight w:val="none"/>
              </w:rPr>
            </w:pPr>
            <w:r>
              <w:rPr>
                <w:rFonts w:hint="eastAsia" w:ascii="宋体" w:hAnsi="宋体"/>
                <w:color w:val="auto"/>
                <w:highlight w:val="none"/>
              </w:rPr>
              <w:t>土壤修复项目重点难点监控措施（</w:t>
            </w:r>
            <w:r>
              <w:rPr>
                <w:rFonts w:hint="eastAsia" w:ascii="宋体" w:hAnsi="宋体"/>
                <w:color w:val="auto"/>
                <w:highlight w:val="none"/>
                <w:lang w:val="en-US" w:eastAsia="zh-CN"/>
              </w:rPr>
              <w:t>4</w:t>
            </w:r>
            <w:r>
              <w:rPr>
                <w:rFonts w:hint="eastAsia" w:ascii="宋体" w:hAnsi="宋体"/>
                <w:color w:val="auto"/>
                <w:highlight w:val="none"/>
              </w:rPr>
              <w:t>分）</w:t>
            </w:r>
          </w:p>
        </w:tc>
        <w:tc>
          <w:tcPr>
            <w:tcW w:w="5252" w:type="dxa"/>
            <w:vAlign w:val="center"/>
          </w:tcPr>
          <w:p>
            <w:pPr>
              <w:keepNext w:val="0"/>
              <w:keepLines w:val="0"/>
              <w:suppressLineNumbers w:val="0"/>
              <w:spacing w:before="0" w:beforeAutospacing="0" w:after="0" w:afterAutospacing="0"/>
              <w:ind w:left="0" w:right="0"/>
              <w:contextualSpacing/>
              <w:jc w:val="left"/>
              <w:rPr>
                <w:rFonts w:hint="default" w:ascii="宋体" w:hAnsi="宋体"/>
                <w:color w:val="auto"/>
                <w:highlight w:val="none"/>
              </w:rPr>
            </w:pPr>
            <w:r>
              <w:rPr>
                <w:rFonts w:hint="eastAsia" w:ascii="宋体" w:hAnsi="宋体"/>
                <w:color w:val="auto"/>
                <w:highlight w:val="none"/>
              </w:rPr>
              <w:t>要求针对性强、措施具体、可操作。优得</w:t>
            </w:r>
            <w:r>
              <w:rPr>
                <w:rFonts w:hint="eastAsia" w:ascii="宋体" w:hAnsi="宋体"/>
                <w:color w:val="auto"/>
                <w:highlight w:val="none"/>
                <w:lang w:val="en-US" w:eastAsia="zh-CN"/>
              </w:rPr>
              <w:t>3-4</w:t>
            </w:r>
            <w:r>
              <w:rPr>
                <w:rFonts w:hint="eastAsia" w:ascii="宋体" w:hAnsi="宋体"/>
                <w:color w:val="auto"/>
                <w:highlight w:val="none"/>
              </w:rPr>
              <w:t>分；良得</w:t>
            </w:r>
            <w:r>
              <w:rPr>
                <w:rFonts w:hint="eastAsia" w:ascii="宋体" w:hAnsi="宋体"/>
                <w:color w:val="auto"/>
                <w:highlight w:val="none"/>
                <w:lang w:val="en-US" w:eastAsia="zh-CN"/>
              </w:rPr>
              <w:t>2</w:t>
            </w:r>
            <w:r>
              <w:rPr>
                <w:rFonts w:hint="eastAsia" w:ascii="宋体" w:hAnsi="宋体"/>
                <w:color w:val="auto"/>
                <w:highlight w:val="none"/>
              </w:rPr>
              <w:t>分；中得1分；差及无措施不得分。最高不超过</w:t>
            </w:r>
            <w:r>
              <w:rPr>
                <w:rFonts w:hint="eastAsia" w:ascii="宋体" w:hAnsi="宋体"/>
                <w:color w:val="auto"/>
                <w:highlight w:val="none"/>
                <w:lang w:val="en-US" w:eastAsia="zh-CN"/>
              </w:rPr>
              <w:t>4</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vAlign w:val="center"/>
          </w:tcPr>
          <w:p>
            <w:pPr>
              <w:pStyle w:val="19"/>
              <w:keepNext w:val="0"/>
              <w:keepLines w:val="0"/>
              <w:suppressLineNumbers w:val="0"/>
              <w:kinsoku w:val="0"/>
              <w:overflowPunct w:val="0"/>
              <w:spacing w:before="1" w:beforeAutospacing="0" w:after="0" w:afterAutospacing="0" w:line="160" w:lineRule="exact"/>
              <w:ind w:left="-63" w:leftChars="-30" w:right="-111" w:rightChars="-53" w:firstLine="48" w:firstLineChars="30"/>
              <w:jc w:val="center"/>
              <w:rPr>
                <w:rFonts w:hint="default"/>
                <w:color w:val="auto"/>
                <w:sz w:val="16"/>
                <w:highlight w:val="none"/>
              </w:rPr>
            </w:pPr>
          </w:p>
          <w:p>
            <w:pPr>
              <w:pStyle w:val="19"/>
              <w:keepNext w:val="0"/>
              <w:keepLines w:val="0"/>
              <w:suppressLineNumbers w:val="0"/>
              <w:kinsoku w:val="0"/>
              <w:overflowPunct w:val="0"/>
              <w:spacing w:before="0" w:beforeAutospacing="0" w:after="0" w:afterAutospacing="0"/>
              <w:ind w:left="-63" w:leftChars="-30" w:right="-111" w:rightChars="-53" w:firstLine="63" w:firstLineChars="30"/>
              <w:jc w:val="center"/>
              <w:rPr>
                <w:rFonts w:hint="default" w:eastAsia="Times New Roman"/>
                <w:color w:val="auto"/>
                <w:highlight w:val="none"/>
              </w:rPr>
            </w:pPr>
            <w:r>
              <w:rPr>
                <w:rFonts w:eastAsia="Times New Roman"/>
                <w:color w:val="auto"/>
                <w:highlight w:val="none"/>
              </w:rPr>
              <w:t>2.2.4</w:t>
            </w:r>
          </w:p>
          <w:p>
            <w:pPr>
              <w:pStyle w:val="19"/>
              <w:keepNext w:val="0"/>
              <w:keepLines w:val="0"/>
              <w:suppressLineNumbers w:val="0"/>
              <w:kinsoku w:val="0"/>
              <w:overflowPunct w:val="0"/>
              <w:spacing w:before="6" w:beforeAutospacing="0" w:after="0" w:afterAutospacing="0" w:line="110" w:lineRule="exact"/>
              <w:ind w:left="-63" w:leftChars="-30" w:right="-111" w:rightChars="-53" w:firstLine="33" w:firstLineChars="30"/>
              <w:jc w:val="center"/>
              <w:rPr>
                <w:rFonts w:hint="default"/>
                <w:color w:val="auto"/>
                <w:sz w:val="11"/>
                <w:highlight w:val="none"/>
              </w:rPr>
            </w:pPr>
          </w:p>
          <w:p>
            <w:pPr>
              <w:pStyle w:val="19"/>
              <w:keepNext w:val="0"/>
              <w:keepLines w:val="0"/>
              <w:suppressLineNumbers w:val="0"/>
              <w:kinsoku w:val="0"/>
              <w:overflowPunct w:val="0"/>
              <w:spacing w:before="0" w:beforeAutospacing="0" w:after="0" w:afterAutospacing="0"/>
              <w:ind w:left="-63" w:leftChars="-30" w:right="-111" w:rightChars="-53" w:firstLine="62" w:firstLineChars="30"/>
              <w:jc w:val="center"/>
              <w:rPr>
                <w:rFonts w:hint="default"/>
                <w:color w:val="auto"/>
                <w:highlight w:val="none"/>
              </w:rPr>
            </w:pPr>
            <w:r>
              <w:rPr>
                <w:rFonts w:ascii="宋体" w:hAnsi="宋体"/>
                <w:color w:val="auto"/>
                <w:spacing w:val="-1"/>
                <w:highlight w:val="none"/>
              </w:rPr>
              <w:t>（</w:t>
            </w:r>
            <w:r>
              <w:rPr>
                <w:rFonts w:eastAsia="Times New Roman"/>
                <w:color w:val="auto"/>
                <w:highlight w:val="none"/>
              </w:rPr>
              <w:t>3</w:t>
            </w:r>
            <w:r>
              <w:rPr>
                <w:rFonts w:ascii="宋体" w:hAnsi="宋体"/>
                <w:color w:val="auto"/>
                <w:highlight w:val="none"/>
              </w:rPr>
              <w:t>）</w:t>
            </w:r>
          </w:p>
        </w:tc>
        <w:tc>
          <w:tcPr>
            <w:tcW w:w="1287" w:type="dxa"/>
            <w:gridSpan w:val="2"/>
            <w:vAlign w:val="center"/>
          </w:tcPr>
          <w:p>
            <w:pPr>
              <w:keepNext w:val="0"/>
              <w:keepLines w:val="0"/>
              <w:suppressLineNumbers w:val="0"/>
              <w:spacing w:before="0" w:beforeAutospacing="0" w:after="0" w:afterAutospacing="0"/>
              <w:ind w:left="315" w:right="0" w:hanging="315" w:hangingChars="150"/>
              <w:jc w:val="center"/>
              <w:rPr>
                <w:rFonts w:hint="default" w:ascii="宋体" w:hAnsi="Courier New"/>
                <w:color w:val="auto"/>
                <w:szCs w:val="21"/>
                <w:highlight w:val="none"/>
              </w:rPr>
            </w:pPr>
            <w:r>
              <w:rPr>
                <w:rFonts w:hint="eastAsia" w:ascii="宋体" w:hAnsi="宋体"/>
                <w:color w:val="auto"/>
                <w:highlight w:val="none"/>
              </w:rPr>
              <w:t>投标</w:t>
            </w:r>
            <w:r>
              <w:rPr>
                <w:rFonts w:hint="eastAsia" w:ascii="宋体" w:hAnsi="Courier New"/>
                <w:color w:val="auto"/>
                <w:szCs w:val="21"/>
                <w:highlight w:val="none"/>
              </w:rPr>
              <w:t>报价</w:t>
            </w:r>
          </w:p>
          <w:p>
            <w:pPr>
              <w:keepNext w:val="0"/>
              <w:keepLines w:val="0"/>
              <w:suppressLineNumbers w:val="0"/>
              <w:spacing w:before="0" w:beforeAutospacing="0" w:after="0" w:afterAutospacing="0"/>
              <w:ind w:left="315" w:right="0" w:hanging="315" w:hangingChars="150"/>
              <w:jc w:val="center"/>
              <w:rPr>
                <w:rFonts w:hint="default" w:ascii="宋体" w:hAnsi="宋体"/>
                <w:color w:val="auto"/>
                <w:highlight w:val="none"/>
              </w:rPr>
            </w:pPr>
            <w:r>
              <w:rPr>
                <w:rFonts w:hint="eastAsia" w:ascii="宋体" w:hAnsi="宋体"/>
                <w:color w:val="auto"/>
                <w:highlight w:val="none"/>
              </w:rPr>
              <w:t>评分</w:t>
            </w:r>
            <w:r>
              <w:rPr>
                <w:rFonts w:hint="eastAsia" w:ascii="宋体" w:hAnsi="宋体"/>
                <w:color w:val="auto"/>
                <w:spacing w:val="-3"/>
                <w:highlight w:val="none"/>
              </w:rPr>
              <w:t>标</w:t>
            </w:r>
            <w:r>
              <w:rPr>
                <w:rFonts w:hint="eastAsia" w:ascii="宋体" w:hAnsi="宋体"/>
                <w:color w:val="auto"/>
                <w:highlight w:val="none"/>
              </w:rPr>
              <w:t>准</w:t>
            </w:r>
          </w:p>
          <w:p>
            <w:pPr>
              <w:keepNext w:val="0"/>
              <w:keepLines w:val="0"/>
              <w:suppressLineNumbers w:val="0"/>
              <w:spacing w:before="0" w:beforeAutospacing="0" w:after="0" w:afterAutospacing="0"/>
              <w:ind w:left="315" w:right="0" w:hanging="315" w:hangingChars="150"/>
              <w:jc w:val="center"/>
              <w:rPr>
                <w:rFonts w:hint="default"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30</w:t>
            </w:r>
            <w:r>
              <w:rPr>
                <w:rFonts w:hint="eastAsia" w:ascii="宋体" w:hAnsi="宋体"/>
                <w:color w:val="auto"/>
                <w:highlight w:val="none"/>
              </w:rPr>
              <w:t>分）</w:t>
            </w:r>
          </w:p>
        </w:tc>
        <w:tc>
          <w:tcPr>
            <w:tcW w:w="2132" w:type="dxa"/>
            <w:vAlign w:val="center"/>
          </w:tcPr>
          <w:p>
            <w:pPr>
              <w:pStyle w:val="19"/>
              <w:keepNext w:val="0"/>
              <w:keepLines w:val="0"/>
              <w:suppressLineNumbers w:val="0"/>
              <w:kinsoku w:val="0"/>
              <w:overflowPunct w:val="0"/>
              <w:spacing w:before="14" w:beforeAutospacing="0" w:after="0" w:afterAutospacing="0"/>
              <w:ind w:left="-102" w:leftChars="-49" w:right="0" w:hanging="1"/>
              <w:jc w:val="center"/>
              <w:rPr>
                <w:rFonts w:hint="default" w:ascii="宋体" w:hAnsi="宋体"/>
                <w:color w:val="auto"/>
                <w:highlight w:val="none"/>
              </w:rPr>
            </w:pPr>
            <w:r>
              <w:rPr>
                <w:rFonts w:ascii="宋体" w:hAnsi="宋体"/>
                <w:color w:val="auto"/>
                <w:highlight w:val="none"/>
              </w:rPr>
              <w:t>报价得分</w:t>
            </w:r>
            <w:r>
              <w:rPr>
                <w:rFonts w:ascii="宋体" w:hAnsi="宋体" w:cs="宋体"/>
                <w:color w:val="auto"/>
                <w:szCs w:val="21"/>
                <w:highlight w:val="none"/>
              </w:rPr>
              <w:t>(</w:t>
            </w:r>
            <w:r>
              <w:rPr>
                <w:rFonts w:hint="eastAsia" w:ascii="宋体" w:hAnsi="宋体" w:cs="宋体"/>
                <w:color w:val="auto"/>
                <w:szCs w:val="21"/>
                <w:highlight w:val="none"/>
                <w:lang w:val="en-US" w:eastAsia="zh-CN"/>
              </w:rPr>
              <w:t>30</w:t>
            </w:r>
            <w:r>
              <w:rPr>
                <w:rFonts w:ascii="宋体" w:hAnsi="宋体" w:cs="宋体"/>
                <w:color w:val="auto"/>
                <w:szCs w:val="21"/>
                <w:highlight w:val="none"/>
              </w:rPr>
              <w:t>分)</w:t>
            </w:r>
          </w:p>
        </w:tc>
        <w:tc>
          <w:tcPr>
            <w:tcW w:w="5252" w:type="dxa"/>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以评标基准价作为计算各有效投标价得分的基础，当有效投标报价等于评标基准价时得</w:t>
            </w:r>
            <w:r>
              <w:rPr>
                <w:rFonts w:hint="eastAsia" w:ascii="宋体" w:hAnsi="宋体"/>
                <w:color w:val="auto"/>
                <w:highlight w:val="none"/>
                <w:lang w:val="en-US" w:eastAsia="zh-CN"/>
              </w:rPr>
              <w:t>30</w:t>
            </w:r>
            <w:r>
              <w:rPr>
                <w:rFonts w:hint="eastAsia" w:ascii="宋体" w:hAnsi="宋体"/>
                <w:color w:val="auto"/>
                <w:highlight w:val="none"/>
              </w:rPr>
              <w:t>分；投标有效报价与评标基准价之差，每上偏1%扣</w:t>
            </w:r>
            <w:r>
              <w:rPr>
                <w:rFonts w:hint="eastAsia" w:ascii="宋体" w:hAnsi="宋体"/>
                <w:color w:val="auto"/>
                <w:highlight w:val="none"/>
                <w:lang w:val="en-US" w:eastAsia="zh-CN"/>
              </w:rPr>
              <w:t>1</w:t>
            </w:r>
            <w:r>
              <w:rPr>
                <w:rFonts w:hint="eastAsia" w:ascii="宋体" w:hAnsi="宋体"/>
                <w:color w:val="auto"/>
                <w:highlight w:val="none"/>
              </w:rPr>
              <w:t>分，下偏1%扣</w:t>
            </w:r>
            <w:r>
              <w:rPr>
                <w:rFonts w:hint="eastAsia" w:ascii="宋体" w:hAnsi="宋体"/>
                <w:color w:val="auto"/>
                <w:highlight w:val="none"/>
                <w:lang w:val="en-US" w:eastAsia="zh-CN"/>
              </w:rPr>
              <w:t>0.5</w:t>
            </w:r>
            <w:r>
              <w:rPr>
                <w:rFonts w:hint="eastAsia" w:ascii="宋体" w:hAnsi="宋体"/>
                <w:color w:val="auto"/>
                <w:highlight w:val="none"/>
              </w:rPr>
              <w:t>分。（得分扣至0分止）</w:t>
            </w:r>
          </w:p>
        </w:tc>
      </w:tr>
      <w:bookmarkEnd w:id="881"/>
    </w:tbl>
    <w:p>
      <w:pPr>
        <w:numPr>
          <w:ilvl w:val="-1"/>
          <w:numId w:val="0"/>
        </w:numPr>
        <w:topLinePunct/>
        <w:spacing w:line="300" w:lineRule="auto"/>
        <w:ind w:firstLine="0" w:firstLineChars="0"/>
        <w:rPr>
          <w:color w:val="auto"/>
          <w:highlight w:val="none"/>
        </w:rPr>
      </w:pPr>
      <w:r>
        <w:rPr>
          <w:rFonts w:ascii="Calibri" w:hAnsi="Calibri"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1</w:t>
      </w:r>
      <w:r>
        <w:rPr>
          <w:rFonts w:ascii="Calibri" w:hAnsi="Calibri" w:eastAsia="宋体" w:cs="Times New Roman"/>
          <w:color w:val="auto"/>
          <w:kern w:val="2"/>
          <w:sz w:val="21"/>
          <w:szCs w:val="22"/>
          <w:highlight w:val="none"/>
          <w:lang w:val="en-US" w:eastAsia="zh-CN" w:bidi="ar-SA"/>
        </w:rPr>
        <w:t>）</w:t>
      </w:r>
      <w:r>
        <w:rPr>
          <w:rFonts w:hint="eastAsia"/>
          <w:color w:val="auto"/>
          <w:highlight w:val="none"/>
        </w:rPr>
        <w:t>须提供评分标准中的相关证明文件或证书作为评审依据，否则不得分。</w:t>
      </w:r>
    </w:p>
    <w:p>
      <w:pPr>
        <w:topLinePunct/>
        <w:spacing w:line="300" w:lineRule="auto"/>
        <w:ind w:firstLine="630" w:firstLineChars="3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）评分如出现小数点，则保留小数点后两位，第三位四舍五入。</w:t>
      </w:r>
    </w:p>
    <w:p>
      <w:pPr>
        <w:topLinePunct/>
        <w:spacing w:line="300" w:lineRule="auto"/>
        <w:ind w:firstLine="630" w:firstLineChars="300"/>
        <w:rPr>
          <w:rFonts w:ascii="Times New Roman" w:hAnsi="Times New Roman"/>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）投标人的得分为各评委的评分计取的算术平均分（分数出现小数点时，保留小数点后二位，第三位小数四舍五入）。</w:t>
      </w:r>
    </w:p>
    <w:p>
      <w:pPr>
        <w:pStyle w:val="4"/>
        <w:keepNext w:val="0"/>
        <w:keepLines w:val="0"/>
        <w:spacing w:before="200" w:after="100" w:line="360" w:lineRule="auto"/>
        <w:rPr>
          <w:rFonts w:ascii="Times New Roman" w:hAnsi="Times New Roman"/>
          <w:color w:val="auto"/>
          <w:highlight w:val="none"/>
        </w:rPr>
      </w:pPr>
    </w:p>
    <w:p>
      <w:pPr>
        <w:pStyle w:val="4"/>
        <w:keepNext w:val="0"/>
        <w:keepLines w:val="0"/>
        <w:spacing w:before="200" w:after="100" w:line="360" w:lineRule="auto"/>
        <w:rPr>
          <w:rFonts w:ascii="Times New Roman" w:hAnsi="Times New Roman"/>
          <w:color w:val="auto"/>
          <w:highlight w:val="none"/>
        </w:rPr>
      </w:pPr>
      <w:r>
        <w:rPr>
          <w:rFonts w:ascii="Times New Roman" w:hAnsi="Times New Roman"/>
          <w:color w:val="auto"/>
          <w:highlight w:val="none"/>
        </w:rPr>
        <w:br w:type="page"/>
      </w:r>
      <w:bookmarkStart w:id="882" w:name="_Toc7846"/>
      <w:bookmarkStart w:id="883" w:name="_Toc26040"/>
      <w:r>
        <w:rPr>
          <w:rFonts w:ascii="Times New Roman" w:hAnsi="Times New Roman"/>
          <w:color w:val="auto"/>
          <w:highlight w:val="none"/>
        </w:rPr>
        <w:t>1. 评标方法</w:t>
      </w:r>
      <w:bookmarkEnd w:id="882"/>
      <w:bookmarkEnd w:id="883"/>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本次评标采用综合评估法。评标委员会对满足招标文件实质性要求的投标文件，按照本章第2.2款规定的评分标准进行打分，并</w:t>
      </w:r>
      <w:r>
        <w:rPr>
          <w:rFonts w:hint="eastAsia" w:ascii="Times New Roman" w:hAnsi="Times New Roman"/>
          <w:color w:val="auto"/>
          <w:sz w:val="24"/>
          <w:szCs w:val="24"/>
          <w:highlight w:val="none"/>
        </w:rPr>
        <w:t>按总得分由高到低顺序推荐中标候选人，若两家或以上的投标人总得分相同时，则投标报价得分高的排前；若投标人总得分和投标报价得分均相同，则监理大纲得分高的排前；若投标人总得分、投标报价得分和监理大纲得分均相同，则由评标委员会投票表决推荐排名优先的投标人。</w:t>
      </w:r>
    </w:p>
    <w:p>
      <w:pPr>
        <w:pStyle w:val="4"/>
        <w:keepNext w:val="0"/>
        <w:keepLines w:val="0"/>
        <w:spacing w:line="260" w:lineRule="exact"/>
        <w:rPr>
          <w:rFonts w:ascii="Times New Roman" w:hAnsi="Times New Roman"/>
          <w:color w:val="auto"/>
          <w:highlight w:val="none"/>
        </w:rPr>
      </w:pPr>
      <w:bookmarkStart w:id="884" w:name="_Toc5778"/>
      <w:bookmarkStart w:id="885" w:name="_Toc10040"/>
      <w:r>
        <w:rPr>
          <w:rFonts w:ascii="Times New Roman" w:hAnsi="Times New Roman"/>
          <w:color w:val="auto"/>
          <w:highlight w:val="none"/>
        </w:rPr>
        <w:t>2. 评审标准</w:t>
      </w:r>
      <w:bookmarkEnd w:id="884"/>
      <w:bookmarkEnd w:id="885"/>
    </w:p>
    <w:p>
      <w:pPr>
        <w:pStyle w:val="5"/>
        <w:keepNext w:val="0"/>
        <w:keepLines w:val="0"/>
        <w:spacing w:line="240" w:lineRule="auto"/>
        <w:ind w:firstLine="137"/>
        <w:rPr>
          <w:rFonts w:ascii="Times New Roman" w:hAnsi="Times New Roman"/>
          <w:color w:val="auto"/>
          <w:highlight w:val="none"/>
        </w:rPr>
      </w:pPr>
      <w:bookmarkStart w:id="886" w:name="_Toc20240"/>
      <w:bookmarkStart w:id="887" w:name="_Toc30338"/>
      <w:r>
        <w:rPr>
          <w:rFonts w:ascii="Times New Roman" w:hAnsi="Times New Roman"/>
          <w:color w:val="auto"/>
          <w:highlight w:val="none"/>
        </w:rPr>
        <w:t>2.1 初步评审标准</w:t>
      </w:r>
      <w:bookmarkEnd w:id="886"/>
      <w:bookmarkEnd w:id="887"/>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 形式评审标准：见评标办法前附表。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 资格评审标准：见评标办法前附表。</w:t>
      </w:r>
    </w:p>
    <w:p>
      <w:pPr>
        <w:spacing w:line="400" w:lineRule="exact"/>
        <w:ind w:firstLine="480" w:firstLineChars="200"/>
        <w:rPr>
          <w:rFonts w:ascii="Times New Roman" w:hAnsi="Times New Roman"/>
          <w:color w:val="auto"/>
          <w:highlight w:val="none"/>
        </w:rPr>
      </w:pPr>
      <w:r>
        <w:rPr>
          <w:rFonts w:ascii="Times New Roman" w:hAnsi="Times New Roman"/>
          <w:color w:val="auto"/>
          <w:sz w:val="24"/>
          <w:szCs w:val="24"/>
          <w:highlight w:val="none"/>
        </w:rPr>
        <w:t>2.1.3 响应性评审标准：见评标办法前附表。</w:t>
      </w:r>
    </w:p>
    <w:p>
      <w:pPr>
        <w:pStyle w:val="5"/>
        <w:keepNext w:val="0"/>
        <w:keepLines w:val="0"/>
        <w:spacing w:line="240" w:lineRule="auto"/>
        <w:ind w:firstLine="137"/>
        <w:rPr>
          <w:rFonts w:ascii="Times New Roman" w:hAnsi="Times New Roman"/>
          <w:color w:val="auto"/>
          <w:highlight w:val="none"/>
        </w:rPr>
      </w:pPr>
      <w:bookmarkStart w:id="888" w:name="_Toc17120"/>
      <w:bookmarkStart w:id="889" w:name="_Toc23891"/>
      <w:r>
        <w:rPr>
          <w:rFonts w:ascii="Times New Roman" w:hAnsi="Times New Roman"/>
          <w:color w:val="auto"/>
          <w:highlight w:val="none"/>
        </w:rPr>
        <w:t>2.2 分值构成与评分标准</w:t>
      </w:r>
      <w:bookmarkEnd w:id="888"/>
      <w:bookmarkEnd w:id="889"/>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2.2.1 分值构成</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（1）资信业绩部分：见评标办法前附表；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监理大纲部分</w:t>
      </w:r>
      <w:r>
        <w:rPr>
          <w:rFonts w:ascii="Times New Roman" w:hAnsi="Times New Roman"/>
          <w:color w:val="auto"/>
          <w:sz w:val="24"/>
          <w:szCs w:val="24"/>
          <w:highlight w:val="none"/>
        </w:rPr>
        <w:t>：见评标办法前附表；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（3）投标报价：见评标办法前附表；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2.2.2 评标基准价计算</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评标基准价计算方法：见评标办法前附表。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2.2.3 投标报价的偏差率计算</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投标报价的偏差率计算公式：见评标办法前附表。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2.2.4 评分标准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（1）资信业绩评分标准：见评标办法前附表；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监理大纲</w:t>
      </w:r>
      <w:r>
        <w:rPr>
          <w:rFonts w:ascii="Times New Roman" w:hAnsi="Times New Roman"/>
          <w:color w:val="auto"/>
          <w:sz w:val="24"/>
          <w:szCs w:val="24"/>
          <w:highlight w:val="none"/>
        </w:rPr>
        <w:t>评分标准：见评标办法前附表；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（3）投标报价评分标准：见评标办法前附表；</w:t>
      </w:r>
    </w:p>
    <w:p>
      <w:pPr>
        <w:pStyle w:val="4"/>
        <w:keepNext w:val="0"/>
        <w:keepLines w:val="0"/>
        <w:spacing w:line="260" w:lineRule="exact"/>
        <w:rPr>
          <w:rFonts w:ascii="Times New Roman" w:hAnsi="Times New Roman"/>
          <w:color w:val="auto"/>
          <w:highlight w:val="none"/>
        </w:rPr>
      </w:pPr>
      <w:bookmarkStart w:id="890" w:name="_Toc15297"/>
    </w:p>
    <w:p>
      <w:pPr>
        <w:pStyle w:val="4"/>
        <w:keepNext w:val="0"/>
        <w:keepLines w:val="0"/>
        <w:spacing w:line="260" w:lineRule="exact"/>
        <w:rPr>
          <w:rFonts w:ascii="Times New Roman" w:hAnsi="Times New Roman"/>
          <w:color w:val="auto"/>
          <w:highlight w:val="none"/>
        </w:rPr>
      </w:pPr>
    </w:p>
    <w:p>
      <w:pPr>
        <w:pStyle w:val="4"/>
        <w:keepNext w:val="0"/>
        <w:keepLines w:val="0"/>
        <w:spacing w:line="260" w:lineRule="exact"/>
        <w:rPr>
          <w:rFonts w:ascii="Times New Roman" w:hAnsi="Times New Roman"/>
          <w:color w:val="auto"/>
          <w:highlight w:val="none"/>
        </w:rPr>
      </w:pPr>
    </w:p>
    <w:p>
      <w:pPr>
        <w:pStyle w:val="4"/>
        <w:keepNext w:val="0"/>
        <w:keepLines w:val="0"/>
        <w:spacing w:line="360" w:lineRule="auto"/>
        <w:rPr>
          <w:rFonts w:ascii="Times New Roman" w:hAnsi="Times New Roman"/>
          <w:color w:val="auto"/>
          <w:highlight w:val="none"/>
        </w:rPr>
      </w:pPr>
      <w:bookmarkStart w:id="891" w:name="_Toc21574"/>
      <w:r>
        <w:rPr>
          <w:rFonts w:ascii="Times New Roman" w:hAnsi="Times New Roman"/>
          <w:color w:val="auto"/>
          <w:highlight w:val="none"/>
        </w:rPr>
        <w:t>3. 评标程序</w:t>
      </w:r>
      <w:bookmarkEnd w:id="890"/>
      <w:bookmarkEnd w:id="891"/>
    </w:p>
    <w:p>
      <w:pPr>
        <w:pStyle w:val="5"/>
        <w:keepNext w:val="0"/>
        <w:keepLines w:val="0"/>
        <w:spacing w:line="240" w:lineRule="auto"/>
        <w:ind w:firstLine="0" w:firstLineChars="0"/>
        <w:rPr>
          <w:rFonts w:ascii="Times New Roman" w:hAnsi="Times New Roman"/>
          <w:color w:val="auto"/>
          <w:highlight w:val="none"/>
        </w:rPr>
      </w:pPr>
      <w:bookmarkStart w:id="892" w:name="_Toc19337"/>
      <w:bookmarkStart w:id="893" w:name="_Toc25610"/>
      <w:r>
        <w:rPr>
          <w:rFonts w:ascii="Times New Roman" w:hAnsi="Times New Roman"/>
          <w:color w:val="auto"/>
          <w:highlight w:val="none"/>
        </w:rPr>
        <w:t>3.1 初步评审</w:t>
      </w:r>
      <w:bookmarkEnd w:id="892"/>
      <w:bookmarkEnd w:id="893"/>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 投标人有以下情形之一的，评标委员会应当否决其投标：</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（1）投标文件没有对招标文件的实质性要求和条件作出响应，或者对招标文件的偏差超出招标文件规定的偏差范围或最高项数；</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（2）有串通投标、弄虚作假、行贿等违法行为。</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投标报价有算术错误及其他错误的，评标委员会按以下原则要求投标人对投标报价进</w:t>
      </w:r>
      <w:bookmarkStart w:id="894" w:name="_Toc152045603"/>
      <w:bookmarkStart w:id="895" w:name="_Toc152042380"/>
      <w:bookmarkStart w:id="896" w:name="_Toc144974570"/>
      <w:bookmarkStart w:id="897" w:name="_Toc352691538"/>
      <w:bookmarkStart w:id="898" w:name="_Toc300835013"/>
      <w:bookmarkStart w:id="899" w:name="_Toc361508651"/>
      <w:bookmarkStart w:id="900" w:name="_Toc247527628"/>
      <w:bookmarkStart w:id="901" w:name="_Toc2907"/>
      <w:bookmarkStart w:id="902" w:name="_Toc247514027"/>
      <w:bookmarkStart w:id="903" w:name="_Toc384308277"/>
      <w:bookmarkStart w:id="904" w:name="_Toc369531582"/>
      <w:r>
        <w:rPr>
          <w:rFonts w:ascii="Times New Roman" w:hAnsi="Times New Roman"/>
          <w:color w:val="auto"/>
          <w:sz w:val="24"/>
          <w:szCs w:val="24"/>
          <w:highlight w:val="none"/>
        </w:rPr>
        <w:t>行修正，并要求投标人书面澄清确认。</w:t>
      </w:r>
      <w:bookmarkEnd w:id="894"/>
      <w:bookmarkEnd w:id="895"/>
      <w:bookmarkEnd w:id="896"/>
      <w:bookmarkEnd w:id="897"/>
      <w:bookmarkEnd w:id="898"/>
      <w:bookmarkEnd w:id="899"/>
      <w:bookmarkEnd w:id="900"/>
      <w:bookmarkEnd w:id="901"/>
      <w:bookmarkEnd w:id="902"/>
      <w:bookmarkEnd w:id="903"/>
      <w:bookmarkEnd w:id="904"/>
      <w:r>
        <w:rPr>
          <w:rFonts w:ascii="Times New Roman" w:hAnsi="Times New Roman"/>
          <w:color w:val="auto"/>
          <w:sz w:val="24"/>
          <w:szCs w:val="24"/>
          <w:highlight w:val="none"/>
        </w:rPr>
        <w:t>投标人拒不澄清确认的，评标委员会应当否决其投标：</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（1）投标文件中的大写金额与小写金额不一致的，以大写金额为准；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（2）总价金额与单价金额不一致的，以单价金额为准，但单价金额小数点有明显错误的除外</w:t>
      </w:r>
      <w:r>
        <w:rPr>
          <w:rFonts w:hint="eastAsia" w:ascii="Times New Roman" w:hAnsi="Times New Roman"/>
          <w:color w:val="auto"/>
          <w:sz w:val="24"/>
          <w:szCs w:val="24"/>
          <w:highlight w:val="none"/>
        </w:rPr>
        <w:t>。</w:t>
      </w:r>
    </w:p>
    <w:p>
      <w:pPr>
        <w:pStyle w:val="5"/>
        <w:keepNext w:val="0"/>
        <w:keepLines w:val="0"/>
        <w:spacing w:line="260" w:lineRule="exact"/>
        <w:ind w:firstLine="137"/>
        <w:rPr>
          <w:rFonts w:ascii="Times New Roman" w:hAnsi="Times New Roman"/>
          <w:color w:val="auto"/>
          <w:highlight w:val="none"/>
        </w:rPr>
      </w:pPr>
      <w:bookmarkStart w:id="905" w:name="_Toc19857"/>
      <w:bookmarkStart w:id="906" w:name="_Toc15678"/>
      <w:r>
        <w:rPr>
          <w:rFonts w:ascii="Times New Roman" w:hAnsi="Times New Roman"/>
          <w:color w:val="auto"/>
          <w:highlight w:val="none"/>
        </w:rPr>
        <w:t>3.2 详细评审</w:t>
      </w:r>
      <w:bookmarkEnd w:id="905"/>
      <w:bookmarkEnd w:id="906"/>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3.2.1 评标委员会按本章第2.2款规定的量化因素和分值进行打分，并计算出综合评估得分。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（1）按本章第2.2.4（1）目规定的评审因素和分值对资信业绩部分计算出得分A；</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（2）按本章第2.2.4（2）目规定的评审因素和分值对</w:t>
      </w:r>
      <w:r>
        <w:rPr>
          <w:rFonts w:hint="eastAsia" w:ascii="Times New Roman" w:hAnsi="Times New Roman"/>
          <w:color w:val="auto"/>
          <w:sz w:val="24"/>
          <w:szCs w:val="24"/>
          <w:highlight w:val="none"/>
        </w:rPr>
        <w:t>监理大纲部分</w:t>
      </w:r>
      <w:r>
        <w:rPr>
          <w:rFonts w:ascii="Times New Roman" w:hAnsi="Times New Roman"/>
          <w:color w:val="auto"/>
          <w:sz w:val="24"/>
          <w:szCs w:val="24"/>
          <w:highlight w:val="none"/>
        </w:rPr>
        <w:t>计算出得分B；</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（3）按本章第2.2.4（3）目规定的评审因素和</w:t>
      </w:r>
      <w:bookmarkStart w:id="907" w:name="_Toc352691539"/>
      <w:bookmarkStart w:id="908" w:name="_Toc152042381"/>
      <w:bookmarkStart w:id="909" w:name="_Toc247514028"/>
      <w:bookmarkStart w:id="910" w:name="_Toc384308278"/>
      <w:bookmarkStart w:id="911" w:name="_Toc24330"/>
      <w:bookmarkStart w:id="912" w:name="_Toc300835014"/>
      <w:bookmarkStart w:id="913" w:name="_Toc247527629"/>
      <w:bookmarkStart w:id="914" w:name="_Toc369531583"/>
      <w:bookmarkStart w:id="915" w:name="_Toc361508652"/>
      <w:bookmarkStart w:id="916" w:name="_Toc152045604"/>
      <w:bookmarkStart w:id="917" w:name="_Toc144974571"/>
      <w:r>
        <w:rPr>
          <w:rFonts w:ascii="Times New Roman" w:hAnsi="Times New Roman"/>
          <w:color w:val="auto"/>
          <w:sz w:val="24"/>
          <w:szCs w:val="24"/>
          <w:highlight w:val="none"/>
        </w:rPr>
        <w:t>分值对投标报价</w:t>
      </w:r>
      <w:bookmarkEnd w:id="907"/>
      <w:bookmarkEnd w:id="908"/>
      <w:bookmarkEnd w:id="909"/>
      <w:bookmarkEnd w:id="910"/>
      <w:bookmarkEnd w:id="911"/>
      <w:bookmarkEnd w:id="912"/>
      <w:bookmarkEnd w:id="913"/>
      <w:bookmarkEnd w:id="914"/>
      <w:bookmarkEnd w:id="915"/>
      <w:bookmarkEnd w:id="916"/>
      <w:bookmarkEnd w:id="917"/>
      <w:r>
        <w:rPr>
          <w:rFonts w:ascii="Times New Roman" w:hAnsi="Times New Roman"/>
          <w:color w:val="auto"/>
          <w:sz w:val="24"/>
          <w:szCs w:val="24"/>
          <w:highlight w:val="none"/>
        </w:rPr>
        <w:t>计</w:t>
      </w:r>
      <w:bookmarkStart w:id="918" w:name="_Toc369531584"/>
      <w:bookmarkStart w:id="919" w:name="_Toc384308279"/>
      <w:bookmarkStart w:id="920" w:name="_Toc152045605"/>
      <w:bookmarkStart w:id="921" w:name="_Toc361508653"/>
      <w:bookmarkStart w:id="922" w:name="_Toc18141"/>
      <w:bookmarkStart w:id="923" w:name="_Toc247514029"/>
      <w:bookmarkStart w:id="924" w:name="_Toc352691540"/>
      <w:bookmarkStart w:id="925" w:name="_Toc247527630"/>
      <w:bookmarkStart w:id="926" w:name="_Toc300835015"/>
      <w:bookmarkStart w:id="927" w:name="_Toc152042382"/>
      <w:bookmarkStart w:id="928" w:name="_Toc144974572"/>
      <w:r>
        <w:rPr>
          <w:rFonts w:ascii="Times New Roman" w:hAnsi="Times New Roman"/>
          <w:color w:val="auto"/>
          <w:sz w:val="24"/>
          <w:szCs w:val="24"/>
          <w:highlight w:val="none"/>
        </w:rPr>
        <w:t>算出得分C；</w:t>
      </w:r>
    </w:p>
    <w:bookmarkEnd w:id="918"/>
    <w:bookmarkEnd w:id="919"/>
    <w:bookmarkEnd w:id="920"/>
    <w:bookmarkEnd w:id="921"/>
    <w:bookmarkEnd w:id="922"/>
    <w:bookmarkEnd w:id="923"/>
    <w:bookmarkEnd w:id="924"/>
    <w:bookmarkEnd w:id="925"/>
    <w:bookmarkEnd w:id="926"/>
    <w:bookmarkEnd w:id="927"/>
    <w:bookmarkEnd w:id="928"/>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3.2.2 评分分值计算保留小数点后两位，小数点后第三位“四舍五入”。</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3.2.3 投标人得分=A+B+C。</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keepNext w:val="0"/>
        <w:keepLines w:val="0"/>
        <w:spacing w:line="240" w:lineRule="auto"/>
        <w:ind w:firstLine="137"/>
        <w:rPr>
          <w:rFonts w:ascii="Times New Roman" w:hAnsi="Times New Roman"/>
          <w:color w:val="auto"/>
          <w:highlight w:val="none"/>
        </w:rPr>
      </w:pPr>
      <w:bookmarkStart w:id="929" w:name="_Toc4468"/>
      <w:bookmarkStart w:id="930" w:name="_Toc6847"/>
      <w:r>
        <w:rPr>
          <w:rFonts w:ascii="Times New Roman" w:hAnsi="Times New Roman"/>
          <w:color w:val="auto"/>
          <w:highlight w:val="none"/>
        </w:rPr>
        <w:t>3.3 投标文件的澄清</w:t>
      </w:r>
      <w:bookmarkEnd w:id="929"/>
      <w:bookmarkEnd w:id="930"/>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3.3.2 澄清、说明或补正不得超出投标文件的范围且不得改变投标文件的实质性内容，并构成投标文件的组成部分。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3.3.3 评标委员会对投标人提交的澄清、说明或补正有疑问的，可以要求投标人进一步澄清、说明或补正，直至满足评标委员会的要求。</w:t>
      </w:r>
    </w:p>
    <w:p>
      <w:pPr>
        <w:pStyle w:val="5"/>
        <w:keepNext w:val="0"/>
        <w:keepLines w:val="0"/>
        <w:spacing w:line="240" w:lineRule="auto"/>
        <w:ind w:firstLine="137"/>
        <w:rPr>
          <w:rFonts w:ascii="Times New Roman" w:hAnsi="Times New Roman"/>
          <w:color w:val="auto"/>
          <w:highlight w:val="none"/>
        </w:rPr>
      </w:pPr>
      <w:bookmarkStart w:id="931" w:name="_Toc9097"/>
      <w:bookmarkStart w:id="932" w:name="_Toc21242"/>
      <w:r>
        <w:rPr>
          <w:rFonts w:ascii="Times New Roman" w:hAnsi="Times New Roman"/>
          <w:color w:val="auto"/>
          <w:highlight w:val="none"/>
        </w:rPr>
        <w:t>3.4 评标结果</w:t>
      </w:r>
      <w:bookmarkEnd w:id="931"/>
      <w:bookmarkEnd w:id="932"/>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3.4.1 除第二章“投标人须知”前附表授权直接确定中标人外，评标委员会按照得分由高到低的顺序推荐中标候选人，并标明排序。</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3.4.2 评标委员会完成评标后，应当向招标人提交书面评标报告和中标候选人名单。</w:t>
      </w:r>
    </w:p>
    <w:p>
      <w:pPr>
        <w:rPr>
          <w:rFonts w:ascii="Times New Roman" w:hAnsi="Times New Roman"/>
          <w:b/>
          <w:color w:val="auto"/>
          <w:kern w:val="44"/>
          <w:sz w:val="44"/>
          <w:szCs w:val="20"/>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keepNext w:val="0"/>
        <w:keepLines w:val="0"/>
        <w:jc w:val="center"/>
        <w:rPr>
          <w:color w:val="auto"/>
          <w:highlight w:val="none"/>
        </w:rPr>
      </w:pPr>
      <w:r>
        <w:rPr>
          <w:color w:val="auto"/>
          <w:highlight w:val="none"/>
        </w:rPr>
        <w:br w:type="page"/>
      </w:r>
      <w:bookmarkStart w:id="933" w:name="_Toc24830"/>
      <w:r>
        <w:rPr>
          <w:color w:val="auto"/>
          <w:highlight w:val="none"/>
        </w:rPr>
        <w:t>第四章合同条款及格式</w:t>
      </w:r>
      <w:bookmarkEnd w:id="933"/>
    </w:p>
    <w:p>
      <w:pPr>
        <w:pStyle w:val="20"/>
        <w:spacing w:line="640" w:lineRule="exact"/>
        <w:jc w:val="center"/>
        <w:rPr>
          <w:rFonts w:ascii="宋体"/>
          <w:color w:val="auto"/>
          <w:highlight w:val="none"/>
        </w:rPr>
      </w:pPr>
      <w:r>
        <w:rPr>
          <w:rFonts w:hint="eastAsia"/>
          <w:color w:val="auto"/>
          <w:highlight w:val="none"/>
        </w:rPr>
        <w:t>（监理</w:t>
      </w:r>
      <w:r>
        <w:rPr>
          <w:rFonts w:hint="eastAsia" w:ascii="宋体" w:hAnsi="宋体"/>
          <w:color w:val="auto"/>
          <w:highlight w:val="none"/>
        </w:rPr>
        <w:t>合同另册）。</w:t>
      </w:r>
    </w:p>
    <w:p>
      <w:pPr>
        <w:pStyle w:val="9"/>
        <w:snapToGrid w:val="0"/>
        <w:spacing w:line="400" w:lineRule="atLeast"/>
        <w:ind w:left="0" w:leftChars="0" w:firstLine="420" w:firstLineChars="200"/>
        <w:rPr>
          <w:color w:val="auto"/>
          <w:szCs w:val="21"/>
          <w:highlight w:val="none"/>
        </w:rPr>
      </w:pPr>
    </w:p>
    <w:p>
      <w:pPr>
        <w:rPr>
          <w:color w:val="auto"/>
          <w:highlight w:val="none"/>
        </w:rPr>
      </w:pPr>
    </w:p>
    <w:p>
      <w:pPr>
        <w:rPr>
          <w:rFonts w:ascii="Times New Roman" w:hAnsi="Times New Roman"/>
          <w:b/>
          <w:color w:val="auto"/>
          <w:kern w:val="44"/>
          <w:sz w:val="44"/>
          <w:szCs w:val="20"/>
          <w:highlight w:val="none"/>
        </w:rPr>
      </w:pPr>
      <w:bookmarkStart w:id="934" w:name="_Toc179632787"/>
      <w:bookmarkStart w:id="935" w:name="_Toc247085853"/>
      <w:bookmarkStart w:id="936" w:name="_Toc246996338"/>
      <w:bookmarkStart w:id="937" w:name="_Toc246997081"/>
      <w:bookmarkStart w:id="938" w:name="_Toc152045610"/>
      <w:bookmarkStart w:id="939" w:name="_Toc144974829"/>
      <w:bookmarkStart w:id="940" w:name="_Toc152042549"/>
      <w:bookmarkStart w:id="941" w:name="_Toc300835199"/>
      <w:bookmarkStart w:id="942" w:name="_Toc144974578"/>
      <w:bookmarkStart w:id="943" w:name="_Toc184635122"/>
      <w:bookmarkStart w:id="944" w:name="_Toc247514197"/>
      <w:bookmarkStart w:id="945" w:name="_Toc247527798"/>
      <w:bookmarkStart w:id="946" w:name="_Toc152042388"/>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color w:val="auto"/>
          <w:highlight w:val="none"/>
        </w:rPr>
      </w:pPr>
    </w:p>
    <w:p>
      <w:pPr>
        <w:pStyle w:val="3"/>
        <w:keepNext w:val="0"/>
        <w:keepLines w:val="0"/>
        <w:spacing w:line="520" w:lineRule="exact"/>
        <w:jc w:val="center"/>
        <w:rPr>
          <w:color w:val="auto"/>
          <w:highlight w:val="none"/>
        </w:rPr>
      </w:pPr>
      <w:bookmarkStart w:id="947" w:name="_Toc26291"/>
      <w:r>
        <w:rPr>
          <w:color w:val="auto"/>
          <w:highlight w:val="none"/>
        </w:rPr>
        <w:t>第</w:t>
      </w:r>
      <w:r>
        <w:rPr>
          <w:rFonts w:hint="eastAsia"/>
          <w:color w:val="auto"/>
          <w:highlight w:val="none"/>
        </w:rPr>
        <w:t>二</w:t>
      </w:r>
      <w:r>
        <w:rPr>
          <w:color w:val="auto"/>
          <w:highlight w:val="none"/>
        </w:rPr>
        <w:t>卷</w:t>
      </w:r>
      <w:bookmarkEnd w:id="947"/>
    </w:p>
    <w:p>
      <w:pPr>
        <w:rPr>
          <w:color w:val="auto"/>
          <w:highlight w:val="none"/>
        </w:rPr>
      </w:pPr>
    </w:p>
    <w:p>
      <w:pPr>
        <w:pStyle w:val="3"/>
        <w:jc w:val="center"/>
        <w:rPr>
          <w:color w:val="auto"/>
          <w:highlight w:val="none"/>
        </w:rPr>
      </w:pPr>
      <w:bookmarkStart w:id="948" w:name="_Toc4043"/>
      <w:r>
        <w:rPr>
          <w:color w:val="auto"/>
          <w:highlight w:val="none"/>
        </w:rPr>
        <w:t>第五章委托人要求</w:t>
      </w:r>
      <w:bookmarkEnd w:id="934"/>
      <w:bookmarkEnd w:id="935"/>
      <w:bookmarkEnd w:id="936"/>
      <w:bookmarkEnd w:id="937"/>
      <w:bookmarkEnd w:id="948"/>
    </w:p>
    <w:p>
      <w:pPr>
        <w:keepNext w:val="0"/>
        <w:keepLines w:val="0"/>
        <w:pageBreakBefore w:val="0"/>
        <w:kinsoku/>
        <w:wordWrap/>
        <w:overflowPunct/>
        <w:autoSpaceDE/>
        <w:autoSpaceDN/>
        <w:bidi w:val="0"/>
        <w:spacing w:before="48" w:beforeLines="20" w:after="48" w:afterLines="20" w:line="5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1. 项目概况：</w:t>
      </w:r>
    </w:p>
    <w:p>
      <w:pPr>
        <w:keepNext w:val="0"/>
        <w:keepLines w:val="0"/>
        <w:pageBreakBefore w:val="0"/>
        <w:tabs>
          <w:tab w:val="left" w:pos="7513"/>
        </w:tabs>
        <w:kinsoku/>
        <w:wordWrap/>
        <w:overflowPunct/>
        <w:autoSpaceDE/>
        <w:autoSpaceDN/>
        <w:bidi w:val="0"/>
        <w:spacing w:before="48" w:beforeLines="20" w:after="48" w:afterLines="20" w:line="500" w:lineRule="exact"/>
        <w:ind w:firstLine="424" w:firstLineChars="177"/>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1.1 项目名称：</w:t>
      </w:r>
      <w:r>
        <w:rPr>
          <w:rFonts w:hint="eastAsia" w:ascii="宋体" w:hAnsi="宋体" w:cs="宋体"/>
          <w:color w:val="auto"/>
          <w:sz w:val="24"/>
          <w:highlight w:val="none"/>
          <w:lang w:eastAsia="zh-CN"/>
        </w:rPr>
        <w:t>佛山照明禅城总部厂区（中区、北区）地块土壤修复环境监理服务</w:t>
      </w:r>
    </w:p>
    <w:p>
      <w:pPr>
        <w:spacing w:line="5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1.2 工程建设规模：</w:t>
      </w:r>
      <w:r>
        <w:rPr>
          <w:rFonts w:hint="default" w:ascii="宋体" w:hAnsi="宋体"/>
          <w:color w:val="auto"/>
          <w:sz w:val="24"/>
          <w:highlight w:val="none"/>
          <w:u w:val="none"/>
          <w:lang w:val="en-US"/>
        </w:rPr>
        <w:t>佛山照明禅城总部厂区需土壤修复的地块包括北区地块和中区地块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以下简称“本项目地块”</w:t>
      </w:r>
      <w:r>
        <w:rPr>
          <w:rFonts w:hint="eastAsia" w:ascii="宋体" w:hAnsi="宋体"/>
          <w:color w:val="auto"/>
          <w:sz w:val="24"/>
          <w:highlight w:val="none"/>
          <w:lang w:eastAsia="zh-CN"/>
        </w:rPr>
        <w:t>）</w:t>
      </w:r>
      <w:r>
        <w:rPr>
          <w:rFonts w:hint="default" w:ascii="宋体" w:hAnsi="宋体"/>
          <w:color w:val="auto"/>
          <w:sz w:val="24"/>
          <w:highlight w:val="none"/>
          <w:u w:val="none"/>
          <w:lang w:val="en-US"/>
        </w:rPr>
        <w:t>。北区地块于佛山市禅城区汾江北路东侧、工业路北侧，面积为60462.41m</w:t>
      </w:r>
      <w:r>
        <w:rPr>
          <w:rFonts w:hint="default" w:ascii="宋体" w:hAnsi="宋体"/>
          <w:color w:val="auto"/>
          <w:sz w:val="24"/>
          <w:highlight w:val="none"/>
          <w:u w:val="none"/>
          <w:vertAlign w:val="superscript"/>
          <w:lang w:val="en-US"/>
        </w:rPr>
        <w:t>2</w:t>
      </w:r>
      <w:r>
        <w:rPr>
          <w:rFonts w:hint="default" w:ascii="宋体" w:hAnsi="宋体"/>
          <w:color w:val="auto"/>
          <w:sz w:val="24"/>
          <w:highlight w:val="none"/>
          <w:u w:val="none"/>
          <w:lang w:val="en-US"/>
        </w:rPr>
        <w:t>，场地土壤污染物类型主要为砷、汞、钨、钼、石油烃、乙苯的单一污染和复合污染</w:t>
      </w:r>
      <w:r>
        <w:rPr>
          <w:rFonts w:hint="eastAsia" w:ascii="宋体" w:hAnsi="宋体"/>
          <w:color w:val="auto"/>
          <w:sz w:val="24"/>
          <w:highlight w:val="none"/>
          <w:u w:val="none"/>
          <w:lang w:val="en-US" w:eastAsia="zh-CN"/>
        </w:rPr>
        <w:t>，</w:t>
      </w:r>
      <w:r>
        <w:rPr>
          <w:rFonts w:hint="eastAsia"/>
          <w:color w:val="auto"/>
          <w:sz w:val="24"/>
          <w:szCs w:val="24"/>
          <w:highlight w:val="none"/>
          <w:u w:val="none"/>
          <w:lang w:eastAsia="zh-CN"/>
        </w:rPr>
        <w:t>污染土壤修复总土方量约32736.12m</w:t>
      </w:r>
      <w:r>
        <w:rPr>
          <w:rFonts w:hint="eastAsia"/>
          <w:color w:val="auto"/>
          <w:sz w:val="24"/>
          <w:szCs w:val="24"/>
          <w:highlight w:val="none"/>
          <w:u w:val="none"/>
          <w:vertAlign w:val="superscript"/>
          <w:lang w:eastAsia="zh-CN"/>
        </w:rPr>
        <w:t>3</w:t>
      </w:r>
      <w:r>
        <w:rPr>
          <w:rFonts w:hint="eastAsia"/>
          <w:color w:val="auto"/>
          <w:sz w:val="24"/>
          <w:szCs w:val="24"/>
          <w:highlight w:val="none"/>
          <w:u w:val="none"/>
          <w:lang w:eastAsia="zh-CN"/>
        </w:rPr>
        <w:t>，污染深度最深约8m</w:t>
      </w:r>
      <w:r>
        <w:rPr>
          <w:rFonts w:hint="default" w:ascii="宋体" w:hAnsi="宋体"/>
          <w:color w:val="auto"/>
          <w:sz w:val="24"/>
          <w:highlight w:val="none"/>
          <w:u w:val="none"/>
          <w:lang w:val="en-US"/>
        </w:rPr>
        <w:t>。中区地块西侧为汾江北路，东侧为广湛铁路，面积为75666.8m</w:t>
      </w:r>
      <w:r>
        <w:rPr>
          <w:rFonts w:hint="default" w:ascii="宋体" w:hAnsi="宋体"/>
          <w:color w:val="auto"/>
          <w:sz w:val="24"/>
          <w:highlight w:val="none"/>
          <w:u w:val="none"/>
          <w:vertAlign w:val="superscript"/>
          <w:lang w:val="en-US"/>
        </w:rPr>
        <w:t>2</w:t>
      </w:r>
      <w:r>
        <w:rPr>
          <w:rFonts w:hint="default" w:ascii="宋体" w:hAnsi="宋体"/>
          <w:color w:val="auto"/>
          <w:sz w:val="24"/>
          <w:highlight w:val="none"/>
          <w:u w:val="none"/>
          <w:lang w:val="en-US"/>
        </w:rPr>
        <w:t>，场地土壤污染物类型主要为石油烃、多环芳烃、钨、砷、汞、镍、铅、钼、氟化物的单一污染和复合污染</w:t>
      </w:r>
      <w:r>
        <w:rPr>
          <w:rFonts w:hint="eastAsia" w:ascii="宋体" w:hAnsi="宋体"/>
          <w:color w:val="auto"/>
          <w:sz w:val="24"/>
          <w:highlight w:val="none"/>
          <w:u w:val="none"/>
          <w:lang w:val="en-US" w:eastAsia="zh-CN"/>
        </w:rPr>
        <w:t>，</w:t>
      </w:r>
      <w:r>
        <w:rPr>
          <w:rFonts w:hint="eastAsia"/>
          <w:color w:val="auto"/>
          <w:sz w:val="24"/>
          <w:szCs w:val="24"/>
          <w:highlight w:val="none"/>
          <w:u w:val="none"/>
          <w:lang w:eastAsia="zh-CN"/>
        </w:rPr>
        <w:t>污染土壤修复总土方量约58709.3m</w:t>
      </w:r>
      <w:r>
        <w:rPr>
          <w:rFonts w:hint="eastAsia"/>
          <w:color w:val="auto"/>
          <w:sz w:val="24"/>
          <w:szCs w:val="24"/>
          <w:highlight w:val="none"/>
          <w:u w:val="none"/>
          <w:vertAlign w:val="superscript"/>
          <w:lang w:eastAsia="zh-CN"/>
        </w:rPr>
        <w:t>3</w:t>
      </w:r>
      <w:r>
        <w:rPr>
          <w:rFonts w:hint="eastAsia"/>
          <w:color w:val="auto"/>
          <w:sz w:val="24"/>
          <w:szCs w:val="24"/>
          <w:highlight w:val="none"/>
          <w:u w:val="none"/>
          <w:lang w:eastAsia="zh-CN"/>
        </w:rPr>
        <w:t>，污染深度最深约7m（</w:t>
      </w:r>
      <w:r>
        <w:rPr>
          <w:rFonts w:hint="eastAsia"/>
          <w:color w:val="auto"/>
          <w:sz w:val="24"/>
          <w:szCs w:val="24"/>
          <w:highlight w:val="none"/>
          <w:u w:val="none"/>
          <w:lang w:val="en-US" w:eastAsia="zh-CN"/>
        </w:rPr>
        <w:t>以上</w:t>
      </w:r>
      <w:r>
        <w:rPr>
          <w:rFonts w:hint="eastAsia"/>
          <w:color w:val="auto"/>
          <w:sz w:val="24"/>
          <w:szCs w:val="24"/>
          <w:highlight w:val="none"/>
          <w:u w:val="none"/>
          <w:lang w:eastAsia="zh-CN"/>
        </w:rPr>
        <w:t>污染土壤修复总土方量、污染深度</w:t>
      </w:r>
      <w:r>
        <w:rPr>
          <w:rFonts w:hint="eastAsia"/>
          <w:color w:val="auto"/>
          <w:sz w:val="24"/>
          <w:szCs w:val="24"/>
          <w:highlight w:val="none"/>
          <w:u w:val="none"/>
          <w:lang w:val="en-US" w:eastAsia="zh-CN"/>
        </w:rPr>
        <w:t>等均为预估数据，具体以项目现场实际为准</w:t>
      </w:r>
      <w:r>
        <w:rPr>
          <w:rFonts w:hint="eastAsia"/>
          <w:color w:val="auto"/>
          <w:sz w:val="24"/>
          <w:szCs w:val="24"/>
          <w:highlight w:val="none"/>
          <w:u w:val="none"/>
          <w:lang w:eastAsia="zh-CN"/>
        </w:rPr>
        <w:t>）</w:t>
      </w:r>
      <w:r>
        <w:rPr>
          <w:rFonts w:hint="eastAsia" w:ascii="宋体" w:hAnsi="宋体" w:cs="宋体"/>
          <w:color w:val="auto"/>
          <w:sz w:val="24"/>
          <w:highlight w:val="none"/>
          <w:lang w:val="en-US" w:eastAsia="zh-CN"/>
        </w:rPr>
        <w:t>。</w:t>
      </w:r>
    </w:p>
    <w:p>
      <w:pPr>
        <w:keepNext w:val="0"/>
        <w:keepLines w:val="0"/>
        <w:pageBreakBefore w:val="0"/>
        <w:tabs>
          <w:tab w:val="left" w:pos="7513"/>
        </w:tabs>
        <w:kinsoku/>
        <w:wordWrap/>
        <w:overflowPunct/>
        <w:autoSpaceDE/>
        <w:autoSpaceDN/>
        <w:bidi w:val="0"/>
        <w:spacing w:before="48" w:beforeLines="20" w:after="48" w:afterLines="20" w:line="500" w:lineRule="exact"/>
        <w:ind w:firstLine="424" w:firstLineChars="177"/>
        <w:textAlignment w:val="auto"/>
        <w:rPr>
          <w:rFonts w:ascii="宋体" w:hAnsi="宋体" w:cs="宋体"/>
          <w:color w:val="auto"/>
          <w:sz w:val="24"/>
          <w:highlight w:val="none"/>
          <w:u w:val="single"/>
        </w:rPr>
      </w:pPr>
      <w:r>
        <w:rPr>
          <w:rFonts w:hint="eastAsia" w:ascii="宋体" w:hAnsi="宋体" w:cs="宋体"/>
          <w:color w:val="auto"/>
          <w:sz w:val="24"/>
          <w:highlight w:val="none"/>
        </w:rPr>
        <w:t>1.3 工程建设地点：佛山市禅城区汾江北路64号</w:t>
      </w:r>
    </w:p>
    <w:p>
      <w:pPr>
        <w:keepNext w:val="0"/>
        <w:keepLines w:val="0"/>
        <w:pageBreakBefore w:val="0"/>
        <w:kinsoku/>
        <w:wordWrap/>
        <w:overflowPunct/>
        <w:autoSpaceDE/>
        <w:autoSpaceDN/>
        <w:bidi w:val="0"/>
        <w:spacing w:before="48" w:beforeLines="20" w:after="48" w:afterLines="20" w:line="5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2.招标范围及内容</w:t>
      </w:r>
    </w:p>
    <w:p>
      <w:pPr>
        <w:keepNext w:val="0"/>
        <w:keepLines w:val="0"/>
        <w:pageBreakBefore w:val="0"/>
        <w:kinsoku/>
        <w:wordWrap/>
        <w:overflowPunct/>
        <w:autoSpaceDE/>
        <w:autoSpaceDN/>
        <w:bidi w:val="0"/>
        <w:adjustRightInd w:val="0"/>
        <w:snapToGrid w:val="0"/>
        <w:spacing w:line="500" w:lineRule="exact"/>
        <w:ind w:firstLine="480" w:firstLineChars="200"/>
        <w:jc w:val="left"/>
        <w:textAlignment w:val="auto"/>
        <w:rPr>
          <w:rFonts w:ascii="宋体" w:hAnsi="宋体"/>
          <w:color w:val="auto"/>
          <w:sz w:val="24"/>
          <w:highlight w:val="none"/>
          <w:u w:val="single"/>
        </w:rPr>
      </w:pPr>
      <w:r>
        <w:rPr>
          <w:rFonts w:hint="eastAsia" w:ascii="宋体" w:hAnsi="宋体"/>
          <w:color w:val="auto"/>
          <w:sz w:val="24"/>
          <w:highlight w:val="none"/>
          <w:u w:val="single"/>
        </w:rPr>
        <w:t>结合本</w:t>
      </w:r>
      <w:r>
        <w:rPr>
          <w:rFonts w:hint="eastAsia" w:ascii="宋体" w:hAnsi="宋体"/>
          <w:color w:val="auto"/>
          <w:sz w:val="24"/>
          <w:highlight w:val="none"/>
          <w:u w:val="single"/>
          <w:lang w:val="en-US" w:eastAsia="zh-CN"/>
        </w:rPr>
        <w:t>项目</w:t>
      </w:r>
      <w:r>
        <w:rPr>
          <w:rFonts w:hint="eastAsia" w:ascii="宋体" w:hAnsi="宋体"/>
          <w:color w:val="auto"/>
          <w:sz w:val="24"/>
          <w:highlight w:val="none"/>
          <w:u w:val="single"/>
        </w:rPr>
        <w:t>地块实际情况及</w:t>
      </w:r>
      <w:r>
        <w:rPr>
          <w:rFonts w:hint="eastAsia" w:ascii="宋体" w:hAnsi="宋体"/>
          <w:color w:val="auto"/>
          <w:sz w:val="24"/>
          <w:highlight w:val="none"/>
          <w:u w:val="single"/>
          <w:lang w:val="en-US" w:eastAsia="zh-CN"/>
        </w:rPr>
        <w:t>上述</w:t>
      </w:r>
      <w:r>
        <w:rPr>
          <w:rFonts w:hint="eastAsia" w:ascii="宋体" w:hAnsi="宋体"/>
          <w:color w:val="auto"/>
          <w:sz w:val="24"/>
          <w:highlight w:val="none"/>
          <w:u w:val="single"/>
        </w:rPr>
        <w:t>法律法规</w:t>
      </w:r>
      <w:r>
        <w:rPr>
          <w:rFonts w:hint="eastAsia" w:ascii="宋体" w:hAnsi="宋体"/>
          <w:color w:val="auto"/>
          <w:sz w:val="24"/>
          <w:highlight w:val="none"/>
          <w:u w:val="single"/>
          <w:lang w:val="en-US" w:eastAsia="zh-CN"/>
        </w:rPr>
        <w:t>规定</w:t>
      </w:r>
      <w:r>
        <w:rPr>
          <w:rFonts w:hint="eastAsia" w:ascii="宋体" w:hAnsi="宋体"/>
          <w:color w:val="auto"/>
          <w:sz w:val="24"/>
          <w:highlight w:val="none"/>
          <w:u w:val="single"/>
        </w:rPr>
        <w:t>，实施</w:t>
      </w:r>
      <w:r>
        <w:rPr>
          <w:rFonts w:hint="eastAsia" w:ascii="宋体" w:hAnsi="宋体"/>
          <w:color w:val="auto"/>
          <w:sz w:val="24"/>
          <w:highlight w:val="none"/>
          <w:u w:val="single"/>
          <w:lang w:val="en-US" w:eastAsia="zh-CN"/>
        </w:rPr>
        <w:t>对本</w:t>
      </w:r>
      <w:r>
        <w:rPr>
          <w:rFonts w:hint="eastAsia" w:ascii="宋体" w:hAnsi="宋体"/>
          <w:color w:val="auto"/>
          <w:sz w:val="24"/>
          <w:highlight w:val="none"/>
          <w:u w:val="single"/>
        </w:rPr>
        <w:t>项目临时设施工程、污染土壤清挖（包括基坑支护、土方开挖）以及修复过程、二次污染防治的全过程监理工作</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对质量和进度进行控制，以及对场地修复期间的安全施工进行监理，确保修复工作符合环境保护有关法律法规的要求；土壤修复过程中监测大气、水、噪声等各项数据；</w:t>
      </w:r>
      <w:r>
        <w:rPr>
          <w:rFonts w:hint="eastAsia" w:ascii="宋体" w:hAnsi="宋体"/>
          <w:color w:val="auto"/>
          <w:sz w:val="24"/>
          <w:highlight w:val="none"/>
          <w:u w:val="single"/>
          <w:lang w:val="en-US" w:eastAsia="zh-CN"/>
        </w:rPr>
        <w:t>通过</w:t>
      </w:r>
      <w:r>
        <w:rPr>
          <w:rFonts w:hint="eastAsia" w:ascii="宋体" w:hAnsi="宋体"/>
          <w:color w:val="auto"/>
          <w:sz w:val="24"/>
          <w:highlight w:val="none"/>
          <w:u w:val="single"/>
        </w:rPr>
        <w:t>驻场</w:t>
      </w:r>
      <w:r>
        <w:rPr>
          <w:rFonts w:hint="eastAsia" w:ascii="宋体" w:hAnsi="宋体"/>
          <w:color w:val="auto"/>
          <w:sz w:val="24"/>
          <w:highlight w:val="none"/>
          <w:u w:val="single"/>
          <w:lang w:val="en-US" w:eastAsia="zh-CN"/>
        </w:rPr>
        <w:t>监理</w:t>
      </w:r>
      <w:r>
        <w:rPr>
          <w:rFonts w:hint="eastAsia" w:ascii="宋体" w:hAnsi="宋体"/>
          <w:color w:val="auto"/>
          <w:sz w:val="24"/>
          <w:highlight w:val="none"/>
          <w:u w:val="single"/>
        </w:rPr>
        <w:t>、旁站</w:t>
      </w:r>
      <w:r>
        <w:rPr>
          <w:rFonts w:hint="eastAsia" w:ascii="宋体" w:hAnsi="宋体"/>
          <w:color w:val="auto"/>
          <w:sz w:val="24"/>
          <w:highlight w:val="none"/>
          <w:u w:val="single"/>
          <w:lang w:val="en-US" w:eastAsia="zh-CN"/>
        </w:rPr>
        <w:t>监理</w:t>
      </w:r>
      <w:r>
        <w:rPr>
          <w:rFonts w:hint="eastAsia" w:ascii="宋体" w:hAnsi="宋体"/>
          <w:color w:val="auto"/>
          <w:sz w:val="24"/>
          <w:highlight w:val="none"/>
          <w:u w:val="single"/>
        </w:rPr>
        <w:t>或巡视等</w:t>
      </w:r>
      <w:r>
        <w:rPr>
          <w:rFonts w:hint="eastAsia" w:ascii="宋体" w:hAnsi="宋体"/>
          <w:color w:val="auto"/>
          <w:sz w:val="24"/>
          <w:highlight w:val="none"/>
          <w:u w:val="single"/>
          <w:lang w:val="en-US" w:eastAsia="zh-CN"/>
        </w:rPr>
        <w:t>方式</w:t>
      </w:r>
      <w:r>
        <w:rPr>
          <w:rFonts w:hint="eastAsia" w:ascii="宋体" w:hAnsi="宋体"/>
          <w:color w:val="auto"/>
          <w:sz w:val="24"/>
          <w:highlight w:val="none"/>
          <w:u w:val="single"/>
        </w:rPr>
        <w:t>实施监理，</w:t>
      </w:r>
      <w:r>
        <w:rPr>
          <w:rFonts w:hint="eastAsia" w:ascii="宋体" w:hAnsi="宋体"/>
          <w:color w:val="auto"/>
          <w:sz w:val="24"/>
          <w:highlight w:val="none"/>
          <w:u w:val="single"/>
          <w:lang w:val="en-US" w:eastAsia="zh-CN"/>
        </w:rPr>
        <w:t>及时</w:t>
      </w:r>
      <w:r>
        <w:rPr>
          <w:rFonts w:hint="eastAsia" w:ascii="宋体" w:hAnsi="宋体"/>
          <w:color w:val="auto"/>
          <w:sz w:val="24"/>
          <w:highlight w:val="none"/>
          <w:u w:val="single"/>
        </w:rPr>
        <w:t>提交监理过程有关报告，编制项目的环境监理方案报</w:t>
      </w:r>
      <w:r>
        <w:rPr>
          <w:rFonts w:hint="eastAsia" w:cs="Microsoft JhengHei"/>
          <w:color w:val="auto"/>
          <w:sz w:val="24"/>
          <w:szCs w:val="24"/>
          <w:highlight w:val="none"/>
          <w:u w:val="single"/>
          <w:lang w:val="en-US" w:eastAsia="zh-CN"/>
        </w:rPr>
        <w:t>广东</w:t>
      </w:r>
      <w:r>
        <w:rPr>
          <w:rFonts w:hint="eastAsia" w:ascii="Times New Roman" w:hAnsi="Times New Roman" w:eastAsia="宋体" w:cs="Microsoft JhengHei"/>
          <w:color w:val="auto"/>
          <w:sz w:val="24"/>
          <w:szCs w:val="24"/>
          <w:highlight w:val="none"/>
          <w:u w:val="single"/>
          <w:lang w:val="en-US" w:eastAsia="zh-CN"/>
        </w:rPr>
        <w:t>省、</w:t>
      </w:r>
      <w:r>
        <w:rPr>
          <w:rFonts w:hint="eastAsia" w:cs="Microsoft JhengHei"/>
          <w:color w:val="auto"/>
          <w:sz w:val="24"/>
          <w:szCs w:val="24"/>
          <w:highlight w:val="none"/>
          <w:u w:val="single"/>
          <w:lang w:val="en-US" w:eastAsia="zh-CN"/>
        </w:rPr>
        <w:t>佛山</w:t>
      </w:r>
      <w:r>
        <w:rPr>
          <w:rFonts w:hint="eastAsia" w:ascii="Times New Roman" w:hAnsi="Times New Roman" w:eastAsia="宋体" w:cs="Microsoft JhengHei"/>
          <w:color w:val="auto"/>
          <w:sz w:val="24"/>
          <w:szCs w:val="24"/>
          <w:highlight w:val="none"/>
          <w:u w:val="single"/>
          <w:lang w:val="en-US" w:eastAsia="zh-CN"/>
        </w:rPr>
        <w:t>市</w:t>
      </w:r>
      <w:r>
        <w:rPr>
          <w:rFonts w:hint="eastAsia" w:ascii="宋体" w:hAnsi="宋体"/>
          <w:color w:val="auto"/>
          <w:sz w:val="24"/>
          <w:highlight w:val="none"/>
          <w:u w:val="single"/>
        </w:rPr>
        <w:t>生态环境主管部门备案，并严格按照已备案的环境监理方案和环境保护相关要求，进行</w:t>
      </w:r>
      <w:r>
        <w:rPr>
          <w:rFonts w:hint="eastAsia" w:ascii="宋体" w:hAnsi="宋体"/>
          <w:color w:val="auto"/>
          <w:sz w:val="24"/>
          <w:highlight w:val="none"/>
          <w:u w:val="single"/>
          <w:lang w:eastAsia="zh-CN"/>
        </w:rPr>
        <w:t>项目监理</w:t>
      </w:r>
      <w:r>
        <w:rPr>
          <w:rFonts w:hint="eastAsia" w:ascii="宋体" w:hAnsi="宋体"/>
          <w:color w:val="auto"/>
          <w:sz w:val="24"/>
          <w:highlight w:val="none"/>
          <w:u w:val="single"/>
        </w:rPr>
        <w:t>和环境监理（包括提交相关报告）。包括但不限于：</w:t>
      </w:r>
    </w:p>
    <w:p>
      <w:pPr>
        <w:keepNext w:val="0"/>
        <w:keepLines w:val="0"/>
        <w:pageBreakBefore w:val="0"/>
        <w:kinsoku/>
        <w:wordWrap/>
        <w:overflowPunct/>
        <w:autoSpaceDE/>
        <w:autoSpaceDN/>
        <w:bidi w:val="0"/>
        <w:adjustRightInd w:val="0"/>
        <w:snapToGrid w:val="0"/>
        <w:spacing w:line="500" w:lineRule="exact"/>
        <w:ind w:firstLine="480" w:firstLineChars="200"/>
        <w:jc w:val="left"/>
        <w:textAlignment w:val="auto"/>
        <w:rPr>
          <w:rFonts w:ascii="宋体" w:hAnsi="宋体"/>
          <w:color w:val="auto"/>
          <w:sz w:val="24"/>
          <w:highlight w:val="none"/>
          <w:u w:val="single"/>
        </w:rPr>
      </w:pPr>
      <w:r>
        <w:rPr>
          <w:rFonts w:hint="eastAsia" w:ascii="宋体" w:hAnsi="宋体"/>
          <w:color w:val="auto"/>
          <w:sz w:val="24"/>
          <w:highlight w:val="none"/>
          <w:u w:val="single"/>
        </w:rPr>
        <w:t>（1）负责工程各项环境管理（包括</w:t>
      </w:r>
      <w:r>
        <w:rPr>
          <w:rFonts w:hint="eastAsia" w:ascii="宋体" w:hAnsi="宋体"/>
          <w:color w:val="auto"/>
          <w:sz w:val="24"/>
          <w:highlight w:val="none"/>
          <w:u w:val="single"/>
          <w:lang w:eastAsia="zh-CN"/>
        </w:rPr>
        <w:t>项目监理</w:t>
      </w:r>
      <w:r>
        <w:rPr>
          <w:rFonts w:hint="eastAsia" w:ascii="宋体" w:hAnsi="宋体"/>
          <w:color w:val="auto"/>
          <w:sz w:val="24"/>
          <w:highlight w:val="none"/>
          <w:u w:val="single"/>
        </w:rPr>
        <w:t>）、检查、监测、检测等一切相关工作，若不具备检测资质的，应将此部分任务委托给广东省生态环境主管部门公示的合格检测机构名录中的单位负责，检测费用由</w:t>
      </w:r>
      <w:r>
        <w:rPr>
          <w:rFonts w:hint="eastAsia" w:ascii="宋体" w:hAnsi="宋体"/>
          <w:color w:val="auto"/>
          <w:sz w:val="24"/>
          <w:highlight w:val="none"/>
          <w:u w:val="single"/>
          <w:lang w:val="en-US" w:eastAsia="zh-CN"/>
        </w:rPr>
        <w:t>监理</w:t>
      </w:r>
      <w:r>
        <w:rPr>
          <w:rFonts w:hint="eastAsia" w:ascii="宋体" w:hAnsi="宋体"/>
          <w:color w:val="auto"/>
          <w:sz w:val="24"/>
          <w:highlight w:val="none"/>
          <w:u w:val="single"/>
        </w:rPr>
        <w:t>人承担。</w:t>
      </w:r>
    </w:p>
    <w:p>
      <w:pPr>
        <w:keepNext w:val="0"/>
        <w:keepLines w:val="0"/>
        <w:pageBreakBefore w:val="0"/>
        <w:kinsoku/>
        <w:wordWrap/>
        <w:overflowPunct/>
        <w:autoSpaceDE/>
        <w:autoSpaceDN/>
        <w:bidi w:val="0"/>
        <w:adjustRightInd w:val="0"/>
        <w:snapToGrid w:val="0"/>
        <w:spacing w:line="500" w:lineRule="exact"/>
        <w:ind w:firstLine="480" w:firstLineChars="200"/>
        <w:jc w:val="left"/>
        <w:textAlignment w:val="auto"/>
        <w:rPr>
          <w:rFonts w:ascii="宋体" w:hAnsi="宋体"/>
          <w:color w:val="auto"/>
          <w:sz w:val="24"/>
          <w:highlight w:val="none"/>
          <w:u w:val="single"/>
        </w:rPr>
      </w:pPr>
      <w:r>
        <w:rPr>
          <w:rFonts w:hint="eastAsia" w:ascii="宋体" w:hAnsi="宋体"/>
          <w:color w:val="auto"/>
          <w:sz w:val="24"/>
          <w:highlight w:val="none"/>
          <w:u w:val="single"/>
        </w:rPr>
        <w:t>（2）对</w:t>
      </w:r>
      <w:r>
        <w:rPr>
          <w:rFonts w:hint="eastAsia" w:ascii="宋体" w:hAnsi="宋体"/>
          <w:color w:val="auto"/>
          <w:sz w:val="24"/>
          <w:highlight w:val="none"/>
          <w:u w:val="single"/>
          <w:lang w:val="en-US" w:eastAsia="zh-CN"/>
        </w:rPr>
        <w:t>本项目地块土壤</w:t>
      </w:r>
      <w:r>
        <w:rPr>
          <w:rFonts w:hint="eastAsia" w:ascii="宋体" w:hAnsi="宋体"/>
          <w:color w:val="auto"/>
          <w:sz w:val="24"/>
          <w:highlight w:val="none"/>
          <w:u w:val="single"/>
        </w:rPr>
        <w:t>污染修复工程进行环境监理（包括</w:t>
      </w:r>
      <w:r>
        <w:rPr>
          <w:rFonts w:hint="eastAsia" w:ascii="宋体" w:hAnsi="宋体"/>
          <w:color w:val="auto"/>
          <w:sz w:val="24"/>
          <w:highlight w:val="none"/>
          <w:u w:val="single"/>
          <w:lang w:eastAsia="zh-CN"/>
        </w:rPr>
        <w:t>项目监理</w:t>
      </w:r>
      <w:r>
        <w:rPr>
          <w:rFonts w:hint="eastAsia" w:ascii="宋体" w:hAnsi="宋体"/>
          <w:color w:val="auto"/>
          <w:sz w:val="24"/>
          <w:highlight w:val="none"/>
          <w:u w:val="single"/>
        </w:rPr>
        <w:t>），对</w:t>
      </w:r>
      <w:r>
        <w:rPr>
          <w:rFonts w:hint="eastAsia" w:ascii="宋体" w:hAnsi="宋体"/>
          <w:color w:val="auto"/>
          <w:sz w:val="24"/>
          <w:highlight w:val="none"/>
          <w:u w:val="single"/>
          <w:lang w:val="en-US" w:eastAsia="zh-CN"/>
        </w:rPr>
        <w:t>承包人</w:t>
      </w:r>
      <w:r>
        <w:rPr>
          <w:rFonts w:hint="eastAsia" w:ascii="宋体" w:hAnsi="宋体"/>
          <w:color w:val="auto"/>
          <w:sz w:val="24"/>
          <w:highlight w:val="none"/>
          <w:u w:val="single"/>
        </w:rPr>
        <w:t>实施</w:t>
      </w:r>
      <w:r>
        <w:rPr>
          <w:rFonts w:hint="eastAsia" w:ascii="宋体" w:hAnsi="宋体"/>
          <w:color w:val="auto"/>
          <w:sz w:val="24"/>
          <w:highlight w:val="none"/>
          <w:u w:val="single"/>
          <w:lang w:val="en-US" w:eastAsia="zh-CN"/>
        </w:rPr>
        <w:t>修复过</w:t>
      </w:r>
      <w:r>
        <w:rPr>
          <w:rFonts w:hint="eastAsia" w:ascii="宋体" w:hAnsi="宋体"/>
          <w:color w:val="auto"/>
          <w:sz w:val="24"/>
          <w:highlight w:val="none"/>
          <w:u w:val="single"/>
        </w:rPr>
        <w:t>程中的工程安全、质量、进度及防止二次污染等</w:t>
      </w:r>
      <w:r>
        <w:rPr>
          <w:rFonts w:hint="eastAsia" w:ascii="宋体" w:hAnsi="宋体"/>
          <w:color w:val="auto"/>
          <w:sz w:val="24"/>
          <w:highlight w:val="none"/>
          <w:u w:val="single"/>
          <w:lang w:val="en-US" w:eastAsia="zh-CN"/>
        </w:rPr>
        <w:t>事项</w:t>
      </w:r>
      <w:r>
        <w:rPr>
          <w:rFonts w:hint="eastAsia" w:ascii="宋体" w:hAnsi="宋体"/>
          <w:color w:val="auto"/>
          <w:sz w:val="24"/>
          <w:highlight w:val="none"/>
          <w:u w:val="single"/>
        </w:rPr>
        <w:t>进行监督管理</w:t>
      </w:r>
      <w:r>
        <w:rPr>
          <w:rFonts w:hint="eastAsia" w:ascii="宋体" w:hAnsi="宋体"/>
          <w:color w:val="auto"/>
          <w:sz w:val="24"/>
          <w:highlight w:val="none"/>
          <w:u w:val="single"/>
          <w:lang w:eastAsia="zh-CN"/>
        </w:rPr>
        <w:t>。</w:t>
      </w:r>
    </w:p>
    <w:p>
      <w:pPr>
        <w:keepNext w:val="0"/>
        <w:keepLines w:val="0"/>
        <w:pageBreakBefore w:val="0"/>
        <w:kinsoku/>
        <w:wordWrap/>
        <w:overflowPunct/>
        <w:autoSpaceDE/>
        <w:autoSpaceDN/>
        <w:bidi w:val="0"/>
        <w:adjustRightInd w:val="0"/>
        <w:snapToGrid w:val="0"/>
        <w:spacing w:line="500" w:lineRule="exact"/>
        <w:ind w:firstLine="480" w:firstLineChars="200"/>
        <w:jc w:val="left"/>
        <w:textAlignment w:val="auto"/>
        <w:rPr>
          <w:rFonts w:hint="eastAsia" w:ascii="宋体" w:hAnsi="宋体"/>
          <w:color w:val="auto"/>
          <w:sz w:val="24"/>
          <w:highlight w:val="none"/>
          <w:u w:val="single"/>
        </w:rPr>
      </w:pPr>
      <w:r>
        <w:rPr>
          <w:rFonts w:hint="eastAsia" w:ascii="宋体" w:hAnsi="宋体"/>
          <w:color w:val="auto"/>
          <w:sz w:val="24"/>
          <w:highlight w:val="none"/>
          <w:u w:val="single"/>
        </w:rPr>
        <w:t>（3）配合</w:t>
      </w:r>
      <w:r>
        <w:rPr>
          <w:rFonts w:hint="eastAsia" w:ascii="宋体" w:hAnsi="宋体"/>
          <w:color w:val="auto"/>
          <w:sz w:val="24"/>
          <w:highlight w:val="none"/>
          <w:u w:val="single"/>
          <w:lang w:eastAsia="zh-CN"/>
        </w:rPr>
        <w:t>招标</w:t>
      </w:r>
      <w:r>
        <w:rPr>
          <w:rFonts w:hint="eastAsia" w:ascii="宋体" w:hAnsi="宋体"/>
          <w:color w:val="auto"/>
          <w:sz w:val="24"/>
          <w:highlight w:val="none"/>
          <w:u w:val="single"/>
        </w:rPr>
        <w:t>人、第三方机构、相关职能管理部门</w:t>
      </w:r>
      <w:r>
        <w:rPr>
          <w:rFonts w:hint="eastAsia" w:ascii="宋体" w:hAnsi="宋体"/>
          <w:color w:val="auto"/>
          <w:sz w:val="24"/>
          <w:highlight w:val="none"/>
          <w:u w:val="single"/>
          <w:lang w:val="en-US" w:eastAsia="zh-CN"/>
        </w:rPr>
        <w:t>开展</w:t>
      </w:r>
      <w:r>
        <w:rPr>
          <w:rFonts w:hint="eastAsia" w:ascii="宋体" w:hAnsi="宋体"/>
          <w:color w:val="auto"/>
          <w:sz w:val="24"/>
          <w:highlight w:val="none"/>
          <w:u w:val="single"/>
        </w:rPr>
        <w:t>的各类检查、检测、监测、效果评估等工作，协助</w:t>
      </w:r>
      <w:r>
        <w:rPr>
          <w:rFonts w:hint="eastAsia" w:ascii="宋体" w:hAnsi="宋体"/>
          <w:color w:val="auto"/>
          <w:sz w:val="24"/>
          <w:highlight w:val="none"/>
          <w:u w:val="single"/>
          <w:lang w:eastAsia="zh-CN"/>
        </w:rPr>
        <w:t>招标</w:t>
      </w:r>
      <w:r>
        <w:rPr>
          <w:rFonts w:hint="eastAsia" w:ascii="宋体" w:hAnsi="宋体"/>
          <w:color w:val="auto"/>
          <w:sz w:val="24"/>
          <w:highlight w:val="none"/>
          <w:u w:val="single"/>
        </w:rPr>
        <w:t>人配合好环境保护行政主管部门的日常监督管理、生态环境主管部门监督检查、项目环保审查和环保验收工作。</w:t>
      </w:r>
    </w:p>
    <w:p>
      <w:pPr>
        <w:keepNext w:val="0"/>
        <w:keepLines w:val="0"/>
        <w:pageBreakBefore w:val="0"/>
        <w:kinsoku/>
        <w:wordWrap/>
        <w:overflowPunct/>
        <w:autoSpaceDE/>
        <w:autoSpaceDN/>
        <w:bidi w:val="0"/>
        <w:adjustRightInd w:val="0"/>
        <w:snapToGrid w:val="0"/>
        <w:spacing w:line="500" w:lineRule="exact"/>
        <w:ind w:firstLine="480" w:firstLineChars="200"/>
        <w:jc w:val="left"/>
        <w:textAlignment w:val="auto"/>
        <w:rPr>
          <w:rFonts w:hint="eastAsia" w:ascii="宋体" w:hAnsi="宋体"/>
          <w:color w:val="auto"/>
          <w:sz w:val="24"/>
          <w:highlight w:val="none"/>
          <w:u w:val="single"/>
        </w:rPr>
      </w:pPr>
      <w:r>
        <w:rPr>
          <w:rFonts w:hint="eastAsia" w:ascii="宋体" w:hAnsi="宋体"/>
          <w:color w:val="auto"/>
          <w:sz w:val="24"/>
          <w:highlight w:val="none"/>
          <w:u w:val="single"/>
        </w:rPr>
        <w:t>（4）对</w:t>
      </w:r>
      <w:r>
        <w:rPr>
          <w:rFonts w:hint="eastAsia" w:ascii="宋体" w:hAnsi="宋体"/>
          <w:color w:val="auto"/>
          <w:sz w:val="24"/>
          <w:highlight w:val="none"/>
          <w:u w:val="single"/>
          <w:lang w:val="en-US" w:eastAsia="zh-CN"/>
        </w:rPr>
        <w:t>本项目地块土壤</w:t>
      </w:r>
      <w:r>
        <w:rPr>
          <w:rFonts w:hint="eastAsia" w:ascii="宋体" w:hAnsi="宋体"/>
          <w:color w:val="auto"/>
          <w:sz w:val="24"/>
          <w:highlight w:val="none"/>
          <w:u w:val="single"/>
        </w:rPr>
        <w:t>污染</w:t>
      </w:r>
      <w:r>
        <w:rPr>
          <w:rFonts w:hint="eastAsia" w:ascii="宋体" w:hAnsi="宋体"/>
          <w:color w:val="auto"/>
          <w:sz w:val="24"/>
          <w:highlight w:val="none"/>
          <w:u w:val="single"/>
          <w:lang w:val="en-US" w:eastAsia="zh-CN"/>
        </w:rPr>
        <w:t>修复</w:t>
      </w:r>
      <w:r>
        <w:rPr>
          <w:rFonts w:hint="eastAsia" w:ascii="宋体" w:hAnsi="宋体"/>
          <w:color w:val="auto"/>
          <w:sz w:val="24"/>
          <w:highlight w:val="none"/>
          <w:u w:val="single"/>
        </w:rPr>
        <w:t>过程实施监测、检测，</w:t>
      </w:r>
      <w:r>
        <w:rPr>
          <w:rFonts w:hint="eastAsia" w:ascii="宋体" w:hAnsi="宋体"/>
          <w:color w:val="auto"/>
          <w:sz w:val="24"/>
          <w:highlight w:val="none"/>
          <w:u w:val="single"/>
          <w:lang w:val="en-US" w:eastAsia="zh-CN"/>
        </w:rPr>
        <w:t>保证相关</w:t>
      </w:r>
      <w:r>
        <w:rPr>
          <w:rFonts w:hint="eastAsia" w:ascii="宋体" w:hAnsi="宋体"/>
          <w:color w:val="auto"/>
          <w:sz w:val="24"/>
          <w:highlight w:val="none"/>
          <w:u w:val="single"/>
        </w:rPr>
        <w:t>监测、检测符合国家技术规范，并将</w:t>
      </w:r>
      <w:r>
        <w:rPr>
          <w:rFonts w:hint="eastAsia" w:ascii="宋体" w:hAnsi="宋体"/>
          <w:color w:val="auto"/>
          <w:sz w:val="24"/>
          <w:highlight w:val="none"/>
          <w:u w:val="single"/>
          <w:lang w:val="en-US" w:eastAsia="zh-CN"/>
        </w:rPr>
        <w:t>相关</w:t>
      </w:r>
      <w:r>
        <w:rPr>
          <w:rFonts w:hint="eastAsia" w:ascii="宋体" w:hAnsi="宋体"/>
          <w:color w:val="auto"/>
          <w:sz w:val="24"/>
          <w:highlight w:val="none"/>
          <w:u w:val="single"/>
        </w:rPr>
        <w:t>监测、检测报告附在监理验收报告中</w:t>
      </w:r>
      <w:r>
        <w:rPr>
          <w:rFonts w:hint="eastAsia" w:ascii="宋体" w:hAnsi="宋体"/>
          <w:color w:val="auto"/>
          <w:sz w:val="24"/>
          <w:highlight w:val="none"/>
          <w:u w:val="single"/>
          <w:lang w:eastAsia="zh-CN"/>
        </w:rPr>
        <w:t>。</w:t>
      </w:r>
    </w:p>
    <w:p>
      <w:pPr>
        <w:keepNext w:val="0"/>
        <w:keepLines w:val="0"/>
        <w:pageBreakBefore w:val="0"/>
        <w:kinsoku/>
        <w:wordWrap/>
        <w:overflowPunct/>
        <w:autoSpaceDE/>
        <w:autoSpaceDN/>
        <w:bidi w:val="0"/>
        <w:adjustRightInd w:val="0"/>
        <w:snapToGrid w:val="0"/>
        <w:spacing w:line="500" w:lineRule="exact"/>
        <w:ind w:firstLine="480" w:firstLineChars="200"/>
        <w:jc w:val="left"/>
        <w:textAlignment w:val="auto"/>
        <w:rPr>
          <w:rFonts w:hint="default" w:ascii="宋体" w:hAnsi="宋体"/>
          <w:color w:val="auto"/>
          <w:sz w:val="24"/>
          <w:highlight w:val="none"/>
          <w:u w:val="single"/>
        </w:rPr>
      </w:pPr>
      <w:r>
        <w:rPr>
          <w:rFonts w:hint="eastAsia" w:ascii="宋体" w:hAnsi="宋体"/>
          <w:color w:val="auto"/>
          <w:sz w:val="24"/>
          <w:highlight w:val="none"/>
          <w:u w:val="single"/>
        </w:rPr>
        <w:t>（5）</w:t>
      </w:r>
      <w:r>
        <w:rPr>
          <w:rFonts w:hint="eastAsia" w:ascii="宋体" w:hAnsi="宋体"/>
          <w:color w:val="auto"/>
          <w:sz w:val="24"/>
          <w:highlight w:val="none"/>
          <w:u w:val="single"/>
          <w:lang w:val="en-US" w:eastAsia="zh-CN"/>
        </w:rPr>
        <w:t>本项目地块土壤</w:t>
      </w:r>
      <w:r>
        <w:rPr>
          <w:rFonts w:hint="eastAsia" w:ascii="宋体" w:hAnsi="宋体"/>
          <w:color w:val="auto"/>
          <w:sz w:val="24"/>
          <w:highlight w:val="none"/>
          <w:u w:val="single"/>
        </w:rPr>
        <w:t>污染</w:t>
      </w:r>
      <w:r>
        <w:rPr>
          <w:rFonts w:hint="eastAsia" w:ascii="宋体" w:hAnsi="宋体"/>
          <w:color w:val="auto"/>
          <w:sz w:val="24"/>
          <w:highlight w:val="none"/>
          <w:u w:val="single"/>
          <w:lang w:val="en-US" w:eastAsia="zh-CN"/>
        </w:rPr>
        <w:t>修复</w:t>
      </w:r>
      <w:r>
        <w:rPr>
          <w:rFonts w:hint="eastAsia" w:ascii="宋体" w:hAnsi="宋体"/>
          <w:color w:val="auto"/>
          <w:sz w:val="24"/>
          <w:highlight w:val="none"/>
          <w:u w:val="single"/>
        </w:rPr>
        <w:t>工程竣工后，编制本项目监理总结报告，并协助配合第三方验收，该报告必须通过</w:t>
      </w:r>
      <w:r>
        <w:rPr>
          <w:rFonts w:hint="eastAsia" w:ascii="宋体" w:hAnsi="宋体"/>
          <w:color w:val="auto"/>
          <w:sz w:val="24"/>
          <w:highlight w:val="none"/>
          <w:u w:val="single"/>
          <w:lang w:val="en-US" w:eastAsia="zh-CN"/>
        </w:rPr>
        <w:t>广东省、佛山市</w:t>
      </w:r>
      <w:r>
        <w:rPr>
          <w:rFonts w:hint="eastAsia" w:ascii="宋体" w:hAnsi="宋体"/>
          <w:color w:val="auto"/>
          <w:sz w:val="24"/>
          <w:highlight w:val="none"/>
          <w:u w:val="single"/>
        </w:rPr>
        <w:t>生态环境主管部门的技术评审，并取得同意备案的函复文件。</w:t>
      </w:r>
      <w:r>
        <w:rPr>
          <w:rFonts w:hint="eastAsia" w:ascii="宋体" w:hAnsi="宋体"/>
          <w:color w:val="auto"/>
          <w:sz w:val="24"/>
          <w:highlight w:val="none"/>
          <w:u w:val="single"/>
          <w:lang w:val="en-US" w:eastAsia="zh-CN"/>
        </w:rPr>
        <w:t>如该报告未能通过广东省、佛山市</w:t>
      </w:r>
      <w:r>
        <w:rPr>
          <w:rFonts w:hint="eastAsia" w:ascii="宋体" w:hAnsi="宋体"/>
          <w:color w:val="auto"/>
          <w:sz w:val="24"/>
          <w:highlight w:val="none"/>
          <w:u w:val="single"/>
        </w:rPr>
        <w:t>生态环境主管部门的技术评审</w:t>
      </w:r>
      <w:r>
        <w:rPr>
          <w:rFonts w:hint="eastAsia" w:ascii="宋体" w:hAnsi="宋体"/>
          <w:color w:val="auto"/>
          <w:sz w:val="24"/>
          <w:highlight w:val="none"/>
          <w:u w:val="single"/>
          <w:lang w:eastAsia="zh-CN"/>
        </w:rPr>
        <w:t>，招标</w:t>
      </w:r>
      <w:r>
        <w:rPr>
          <w:rFonts w:hint="eastAsia" w:ascii="宋体" w:hAnsi="宋体"/>
          <w:color w:val="auto"/>
          <w:sz w:val="24"/>
          <w:highlight w:val="none"/>
          <w:u w:val="single"/>
        </w:rPr>
        <w:t>人</w:t>
      </w:r>
      <w:r>
        <w:rPr>
          <w:rFonts w:hint="eastAsia" w:ascii="宋体" w:hAnsi="宋体"/>
          <w:color w:val="auto"/>
          <w:sz w:val="24"/>
          <w:highlight w:val="none"/>
          <w:u w:val="single"/>
          <w:lang w:val="en-US" w:eastAsia="zh-CN"/>
        </w:rPr>
        <w:t>有权解除本合同，监理人应向</w:t>
      </w:r>
      <w:r>
        <w:rPr>
          <w:rFonts w:hint="eastAsia" w:ascii="宋体" w:hAnsi="宋体"/>
          <w:color w:val="auto"/>
          <w:sz w:val="24"/>
          <w:highlight w:val="none"/>
          <w:u w:val="single"/>
          <w:lang w:eastAsia="zh-CN"/>
        </w:rPr>
        <w:t>招标</w:t>
      </w:r>
      <w:r>
        <w:rPr>
          <w:rFonts w:hint="eastAsia" w:ascii="宋体" w:hAnsi="宋体"/>
          <w:color w:val="auto"/>
          <w:sz w:val="24"/>
          <w:highlight w:val="none"/>
          <w:u w:val="single"/>
          <w:lang w:val="en-US" w:eastAsia="zh-CN"/>
        </w:rPr>
        <w:t>人支付本合同监理服务费30%的违约金，赔偿因此给委托人造成的全部损失。</w:t>
      </w:r>
    </w:p>
    <w:p>
      <w:pPr>
        <w:keepNext w:val="0"/>
        <w:keepLines w:val="0"/>
        <w:pageBreakBefore w:val="0"/>
        <w:kinsoku/>
        <w:wordWrap/>
        <w:overflowPunct/>
        <w:autoSpaceDE/>
        <w:autoSpaceDN/>
        <w:bidi w:val="0"/>
        <w:adjustRightInd w:val="0"/>
        <w:snapToGrid w:val="0"/>
        <w:spacing w:line="500" w:lineRule="exact"/>
        <w:ind w:firstLine="480" w:firstLineChars="200"/>
        <w:jc w:val="left"/>
        <w:textAlignment w:val="auto"/>
        <w:rPr>
          <w:rFonts w:hint="eastAsia" w:ascii="宋体" w:hAnsi="宋体"/>
          <w:color w:val="auto"/>
          <w:sz w:val="24"/>
          <w:highlight w:val="none"/>
          <w:u w:val="single"/>
        </w:rPr>
      </w:pPr>
      <w:r>
        <w:rPr>
          <w:rFonts w:hint="eastAsia" w:ascii="宋体" w:hAnsi="宋体"/>
          <w:color w:val="auto"/>
          <w:sz w:val="24"/>
          <w:highlight w:val="none"/>
          <w:u w:val="single"/>
        </w:rPr>
        <w:t>（6）</w:t>
      </w:r>
      <w:r>
        <w:rPr>
          <w:rFonts w:hint="eastAsia" w:ascii="宋体" w:hAnsi="宋体"/>
          <w:color w:val="auto"/>
          <w:sz w:val="24"/>
          <w:highlight w:val="none"/>
          <w:u w:val="single"/>
          <w:lang w:val="en-US" w:eastAsia="zh-CN"/>
        </w:rPr>
        <w:t>协助投</w:t>
      </w:r>
      <w:r>
        <w:rPr>
          <w:rFonts w:hint="eastAsia" w:ascii="宋体" w:hAnsi="宋体"/>
          <w:color w:val="auto"/>
          <w:sz w:val="24"/>
          <w:highlight w:val="none"/>
          <w:u w:val="single"/>
          <w:lang w:eastAsia="zh-CN"/>
        </w:rPr>
        <w:t>标</w:t>
      </w:r>
      <w:r>
        <w:rPr>
          <w:rFonts w:hint="eastAsia" w:ascii="宋体" w:hAnsi="宋体"/>
          <w:color w:val="auto"/>
          <w:sz w:val="24"/>
          <w:highlight w:val="none"/>
          <w:u w:val="single"/>
        </w:rPr>
        <w:t>人对</w:t>
      </w:r>
      <w:r>
        <w:rPr>
          <w:rFonts w:hint="eastAsia" w:ascii="宋体" w:hAnsi="宋体"/>
          <w:color w:val="auto"/>
          <w:sz w:val="24"/>
          <w:highlight w:val="none"/>
          <w:u w:val="single"/>
          <w:lang w:val="en-US" w:eastAsia="zh-CN"/>
        </w:rPr>
        <w:t>承包人</w:t>
      </w:r>
      <w:r>
        <w:rPr>
          <w:rFonts w:hint="eastAsia" w:ascii="宋体" w:hAnsi="宋体"/>
          <w:color w:val="auto"/>
          <w:sz w:val="24"/>
          <w:highlight w:val="none"/>
          <w:u w:val="single"/>
        </w:rPr>
        <w:t>提供的工程量、工程款、变更、索赔、签证、工程结算等工程造价文件进行审核，协助</w:t>
      </w:r>
      <w:r>
        <w:rPr>
          <w:rFonts w:hint="eastAsia" w:ascii="宋体" w:hAnsi="宋体"/>
          <w:color w:val="auto"/>
          <w:sz w:val="24"/>
          <w:highlight w:val="none"/>
          <w:u w:val="single"/>
          <w:lang w:eastAsia="zh-CN"/>
        </w:rPr>
        <w:t>招标</w:t>
      </w:r>
      <w:r>
        <w:rPr>
          <w:rFonts w:hint="eastAsia" w:ascii="宋体" w:hAnsi="宋体"/>
          <w:color w:val="auto"/>
          <w:sz w:val="24"/>
          <w:highlight w:val="none"/>
          <w:u w:val="single"/>
        </w:rPr>
        <w:t>人对监理项目的投资、工程造价进行控制，并于</w:t>
      </w:r>
      <w:r>
        <w:rPr>
          <w:rFonts w:hint="eastAsia" w:ascii="宋体" w:hAnsi="宋体"/>
          <w:color w:val="auto"/>
          <w:sz w:val="24"/>
          <w:highlight w:val="none"/>
          <w:u w:val="single"/>
          <w:lang w:val="en-US" w:eastAsia="zh-CN"/>
        </w:rPr>
        <w:t>每月</w:t>
      </w:r>
      <w:r>
        <w:rPr>
          <w:rFonts w:hint="eastAsia" w:ascii="宋体" w:hAnsi="宋体"/>
          <w:color w:val="auto"/>
          <w:sz w:val="24"/>
          <w:highlight w:val="none"/>
          <w:u w:val="single"/>
        </w:rPr>
        <w:t>5日前应向</w:t>
      </w:r>
      <w:r>
        <w:rPr>
          <w:rFonts w:hint="eastAsia" w:ascii="宋体" w:hAnsi="宋体"/>
          <w:color w:val="auto"/>
          <w:sz w:val="24"/>
          <w:highlight w:val="none"/>
          <w:u w:val="single"/>
          <w:lang w:eastAsia="zh-CN"/>
        </w:rPr>
        <w:t>招标</w:t>
      </w:r>
      <w:r>
        <w:rPr>
          <w:rFonts w:hint="eastAsia" w:ascii="宋体" w:hAnsi="宋体"/>
          <w:color w:val="auto"/>
          <w:sz w:val="24"/>
          <w:highlight w:val="none"/>
          <w:u w:val="single"/>
        </w:rPr>
        <w:t>人提交上一月的监理月报。月报需详细反映月度进度、质量、工程款支付和工程签证等情况，及所采取的对策和措施，对工程的意见和建议及下月监理工作的重点。</w:t>
      </w:r>
    </w:p>
    <w:p>
      <w:pPr>
        <w:keepNext w:val="0"/>
        <w:keepLines w:val="0"/>
        <w:pageBreakBefore w:val="0"/>
        <w:kinsoku/>
        <w:wordWrap/>
        <w:overflowPunct/>
        <w:autoSpaceDE/>
        <w:autoSpaceDN/>
        <w:bidi w:val="0"/>
        <w:adjustRightInd w:val="0"/>
        <w:snapToGrid w:val="0"/>
        <w:spacing w:line="500" w:lineRule="exact"/>
        <w:ind w:firstLine="480" w:firstLineChars="200"/>
        <w:jc w:val="left"/>
        <w:textAlignment w:val="auto"/>
        <w:rPr>
          <w:rFonts w:hint="eastAsia" w:ascii="宋体" w:hAnsi="宋体"/>
          <w:color w:val="auto"/>
          <w:sz w:val="24"/>
          <w:highlight w:val="none"/>
          <w:u w:val="single"/>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）督促和检查</w:t>
      </w:r>
      <w:r>
        <w:rPr>
          <w:rFonts w:hint="eastAsia" w:ascii="宋体" w:hAnsi="宋体"/>
          <w:color w:val="auto"/>
          <w:sz w:val="24"/>
          <w:highlight w:val="none"/>
          <w:u w:val="single"/>
          <w:lang w:val="en-US" w:eastAsia="zh-CN"/>
        </w:rPr>
        <w:t>承包人</w:t>
      </w:r>
      <w:r>
        <w:rPr>
          <w:rFonts w:hint="eastAsia" w:ascii="宋体" w:hAnsi="宋体"/>
          <w:color w:val="auto"/>
          <w:sz w:val="24"/>
          <w:highlight w:val="none"/>
          <w:u w:val="single"/>
        </w:rPr>
        <w:t>文明施工、健全安全生产防护措施，巡查、检查现场安全、文明施工实施情况，审核项目环境保护、安全防护措施</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二次污染防控措施等</w:t>
      </w:r>
      <w:r>
        <w:rPr>
          <w:rFonts w:hint="eastAsia" w:ascii="宋体" w:hAnsi="宋体"/>
          <w:color w:val="auto"/>
          <w:sz w:val="24"/>
          <w:highlight w:val="none"/>
          <w:u w:val="single"/>
        </w:rPr>
        <w:t>是否符合国家法律法规的要求，对于不符合规定的事项向</w:t>
      </w:r>
      <w:r>
        <w:rPr>
          <w:rFonts w:hint="eastAsia" w:ascii="宋体" w:hAnsi="宋体"/>
          <w:color w:val="auto"/>
          <w:sz w:val="24"/>
          <w:highlight w:val="none"/>
          <w:u w:val="single"/>
          <w:lang w:val="en-US" w:eastAsia="zh-CN"/>
        </w:rPr>
        <w:t>承包人</w:t>
      </w:r>
      <w:r>
        <w:rPr>
          <w:rFonts w:hint="eastAsia" w:ascii="宋体" w:hAnsi="宋体"/>
          <w:color w:val="auto"/>
          <w:sz w:val="24"/>
          <w:highlight w:val="none"/>
          <w:u w:val="single"/>
        </w:rPr>
        <w:t>发出整改要求。</w:t>
      </w:r>
    </w:p>
    <w:p>
      <w:pPr>
        <w:pStyle w:val="10"/>
        <w:adjustRightInd w:val="0"/>
        <w:snapToGrid w:val="0"/>
        <w:spacing w:line="560" w:lineRule="exact"/>
        <w:ind w:firstLine="480" w:firstLineChars="200"/>
        <w:rPr>
          <w:rFonts w:hint="eastAsia" w:ascii="宋体" w:hAnsi="宋体" w:cs="宋体"/>
          <w:color w:val="auto"/>
          <w:sz w:val="24"/>
          <w:szCs w:val="24"/>
          <w:highlight w:val="none"/>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）督促并审核</w:t>
      </w:r>
      <w:r>
        <w:rPr>
          <w:rFonts w:hint="eastAsia" w:ascii="宋体" w:hAnsi="宋体"/>
          <w:color w:val="auto"/>
          <w:sz w:val="24"/>
          <w:highlight w:val="none"/>
          <w:u w:val="single"/>
          <w:lang w:val="en-US" w:eastAsia="zh-CN"/>
        </w:rPr>
        <w:t>承包人</w:t>
      </w:r>
      <w:r>
        <w:rPr>
          <w:rFonts w:hint="eastAsia" w:ascii="宋体" w:hAnsi="宋体"/>
          <w:color w:val="auto"/>
          <w:sz w:val="24"/>
          <w:highlight w:val="none"/>
          <w:u w:val="single"/>
        </w:rPr>
        <w:t>编制、整理工程竣工验收及备案文件、技术资料、竣工图纸和各种必须归档的资料，协助</w:t>
      </w:r>
      <w:r>
        <w:rPr>
          <w:rFonts w:hint="eastAsia" w:ascii="宋体" w:hAnsi="宋体"/>
          <w:color w:val="auto"/>
          <w:sz w:val="24"/>
          <w:highlight w:val="none"/>
          <w:u w:val="single"/>
          <w:lang w:eastAsia="zh-CN"/>
        </w:rPr>
        <w:t>招标</w:t>
      </w:r>
      <w:r>
        <w:rPr>
          <w:rFonts w:hint="eastAsia" w:ascii="宋体" w:hAnsi="宋体"/>
          <w:color w:val="auto"/>
          <w:sz w:val="24"/>
          <w:highlight w:val="none"/>
          <w:u w:val="single"/>
        </w:rPr>
        <w:t>人办理各项验收和</w:t>
      </w:r>
      <w:r>
        <w:rPr>
          <w:rFonts w:hint="eastAsia" w:ascii="宋体" w:hAnsi="宋体"/>
          <w:color w:val="auto"/>
          <w:sz w:val="24"/>
          <w:highlight w:val="none"/>
          <w:u w:val="single"/>
          <w:lang w:val="en-US" w:eastAsia="zh-CN"/>
        </w:rPr>
        <w:t>项目</w:t>
      </w:r>
      <w:r>
        <w:rPr>
          <w:rFonts w:hint="eastAsia" w:ascii="宋体" w:hAnsi="宋体"/>
          <w:color w:val="auto"/>
          <w:sz w:val="24"/>
          <w:highlight w:val="none"/>
          <w:u w:val="single"/>
        </w:rPr>
        <w:t>移交工作</w:t>
      </w:r>
      <w:r>
        <w:rPr>
          <w:rFonts w:hint="eastAsia" w:ascii="宋体" w:hAnsi="宋体"/>
          <w:color w:val="auto"/>
          <w:sz w:val="24"/>
          <w:highlight w:val="none"/>
          <w:u w:val="single"/>
          <w:lang w:val="en-US" w:eastAsia="zh-CN"/>
        </w:rPr>
        <w:t>等</w:t>
      </w:r>
      <w:r>
        <w:rPr>
          <w:rFonts w:hint="eastAsia" w:ascii="宋体" w:hAnsi="宋体"/>
          <w:color w:val="auto"/>
          <w:sz w:val="24"/>
          <w:highlight w:val="none"/>
          <w:u w:val="single"/>
        </w:rPr>
        <w:t>。</w:t>
      </w:r>
    </w:p>
    <w:p>
      <w:pPr>
        <w:pStyle w:val="10"/>
        <w:adjustRightInd w:val="0"/>
        <w:snapToGrid w:val="0"/>
        <w:spacing w:line="56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宋体" w:hAnsi="宋体" w:cs="宋体"/>
          <w:color w:val="auto"/>
          <w:sz w:val="24"/>
          <w:szCs w:val="24"/>
          <w:highlight w:val="none"/>
        </w:rPr>
        <w:t>服务期限</w:t>
      </w:r>
      <w:r>
        <w:rPr>
          <w:rFonts w:hint="eastAsia" w:ascii="宋体" w:hAnsi="宋体" w:cs="宋体"/>
          <w:color w:val="auto"/>
          <w:sz w:val="24"/>
          <w:szCs w:val="24"/>
          <w:highlight w:val="none"/>
          <w:lang w:eastAsia="zh-CN"/>
        </w:rPr>
        <w:t>：</w:t>
      </w:r>
      <w:bookmarkStart w:id="949" w:name="_Hlk136249883"/>
      <w:r>
        <w:rPr>
          <w:rFonts w:hint="eastAsia" w:ascii="宋体" w:hAnsi="宋体" w:cs="宋体"/>
          <w:color w:val="auto"/>
          <w:sz w:val="24"/>
          <w:szCs w:val="24"/>
          <w:highlight w:val="none"/>
          <w:lang w:val="en-US" w:eastAsia="zh-CN"/>
        </w:rPr>
        <w:t>监理服务周期为合同签订之日起至本项目通过广东省、佛山市环保主管部门验收及备案且本项目地块完成广东省建设用地土壤污染风险管控和修复名录移出工作之日止。</w:t>
      </w:r>
    </w:p>
    <w:bookmarkEnd w:id="949"/>
    <w:p>
      <w:pPr>
        <w:keepNext w:val="0"/>
        <w:keepLines w:val="0"/>
        <w:pageBreakBefore w:val="0"/>
        <w:kinsoku/>
        <w:wordWrap/>
        <w:overflowPunct/>
        <w:topLinePunct/>
        <w:autoSpaceDE/>
        <w:autoSpaceDN/>
        <w:bidi w:val="0"/>
        <w:adjustRightInd w:val="0"/>
        <w:snapToGrid w:val="0"/>
        <w:spacing w:before="48" w:beforeLines="20" w:after="48" w:afterLines="20" w:line="500" w:lineRule="exact"/>
        <w:ind w:firstLine="480" w:firstLineChars="200"/>
        <w:textAlignment w:val="auto"/>
        <w:rPr>
          <w:rFonts w:hint="eastAsia" w:ascii="宋体" w:hAnsi="宋体" w:cs="宋体"/>
          <w:color w:val="auto"/>
          <w:spacing w:val="0"/>
          <w:sz w:val="24"/>
          <w:szCs w:val="24"/>
          <w:highlight w:val="none"/>
          <w:u w:val="none"/>
        </w:rPr>
      </w:pPr>
      <w:r>
        <w:rPr>
          <w:rFonts w:hint="eastAsia" w:ascii="宋体" w:hAnsi="宋体" w:eastAsia="宋体" w:cs="宋体"/>
          <w:color w:val="auto"/>
          <w:kern w:val="2"/>
          <w:sz w:val="24"/>
          <w:szCs w:val="24"/>
          <w:highlight w:val="none"/>
          <w:lang w:val="en-US" w:eastAsia="zh-CN" w:bidi="ar-SA"/>
        </w:rPr>
        <w:t>质量标准：</w:t>
      </w:r>
      <w:r>
        <w:rPr>
          <w:rFonts w:hint="eastAsia" w:ascii="宋体" w:hAnsi="宋体" w:cs="宋体"/>
          <w:color w:val="auto"/>
          <w:sz w:val="24"/>
          <w:szCs w:val="24"/>
          <w:highlight w:val="none"/>
        </w:rPr>
        <w:t>须完成土壤污染治理与修复的各项工作，确保</w:t>
      </w:r>
      <w:r>
        <w:rPr>
          <w:rFonts w:hint="eastAsia" w:ascii="宋体" w:hAnsi="宋体" w:cs="宋体"/>
          <w:color w:val="auto"/>
          <w:sz w:val="24"/>
          <w:szCs w:val="24"/>
          <w:highlight w:val="none"/>
          <w:lang w:eastAsia="zh-CN"/>
        </w:rPr>
        <w:t>修复实施方案</w:t>
      </w:r>
      <w:r>
        <w:rPr>
          <w:rFonts w:hint="eastAsia" w:ascii="宋体" w:hAnsi="宋体" w:cs="宋体"/>
          <w:color w:val="auto"/>
          <w:sz w:val="24"/>
          <w:szCs w:val="24"/>
          <w:highlight w:val="none"/>
        </w:rPr>
        <w:t>通过生态环境主管部门组织的专家评审会，通过生态环境主管部门审核审查，</w:t>
      </w:r>
      <w:r>
        <w:rPr>
          <w:rFonts w:hint="eastAsia" w:ascii="宋体" w:hAnsi="宋体" w:cs="宋体"/>
          <w:color w:val="auto"/>
          <w:sz w:val="24"/>
          <w:szCs w:val="24"/>
          <w:highlight w:val="none"/>
          <w:lang w:eastAsia="zh-CN"/>
        </w:rPr>
        <w:t>并</w:t>
      </w:r>
      <w:r>
        <w:rPr>
          <w:rFonts w:hint="eastAsia" w:ascii="宋体" w:hAnsi="宋体" w:cs="宋体"/>
          <w:color w:val="auto"/>
          <w:sz w:val="24"/>
          <w:szCs w:val="24"/>
          <w:highlight w:val="none"/>
        </w:rPr>
        <w:t>按广东省、佛山市环境修复管理有关规定报省、市环保主管部门等相关政府部门审批备案。</w:t>
      </w:r>
      <w:r>
        <w:rPr>
          <w:rFonts w:hint="eastAsia" w:ascii="宋体" w:hAnsi="宋体" w:cs="宋体"/>
          <w:color w:val="auto"/>
          <w:sz w:val="24"/>
          <w:szCs w:val="24"/>
          <w:highlight w:val="none"/>
          <w:lang w:eastAsia="zh-CN"/>
        </w:rPr>
        <w:t>确保</w:t>
      </w:r>
      <w:r>
        <w:rPr>
          <w:rFonts w:hint="eastAsia" w:ascii="宋体" w:hAnsi="宋体" w:cs="宋体"/>
          <w:color w:val="auto"/>
          <w:sz w:val="24"/>
          <w:szCs w:val="24"/>
          <w:highlight w:val="none"/>
        </w:rPr>
        <w:t>《修复效果评估报告》达到省、市生态环境主管部门的验收备案条件，并能通过</w:t>
      </w:r>
      <w:r>
        <w:rPr>
          <w:rFonts w:hint="eastAsia" w:ascii="宋体" w:hAnsi="宋体" w:cs="宋体"/>
          <w:color w:val="auto"/>
          <w:sz w:val="24"/>
          <w:szCs w:val="24"/>
          <w:highlight w:val="none"/>
          <w:lang w:val="en-US" w:eastAsia="zh-CN"/>
        </w:rPr>
        <w:t>省、市生态环境</w:t>
      </w:r>
      <w:r>
        <w:rPr>
          <w:rFonts w:hint="eastAsia" w:ascii="宋体" w:hAnsi="宋体" w:cs="宋体"/>
          <w:color w:val="auto"/>
          <w:sz w:val="24"/>
          <w:szCs w:val="24"/>
          <w:highlight w:val="none"/>
        </w:rPr>
        <w:t>主管部门验收，最终完成广东省建设用地土壤污染风险管控和修复名录移</w:t>
      </w:r>
      <w:r>
        <w:rPr>
          <w:rFonts w:hint="eastAsia" w:ascii="宋体" w:hAnsi="宋体" w:cs="宋体"/>
          <w:color w:val="auto"/>
          <w:sz w:val="24"/>
          <w:szCs w:val="24"/>
          <w:highlight w:val="none"/>
          <w:lang w:val="en-US" w:eastAsia="zh-CN"/>
        </w:rPr>
        <w:t>出</w:t>
      </w:r>
      <w:r>
        <w:rPr>
          <w:rFonts w:hint="eastAsia" w:ascii="宋体" w:hAnsi="宋体" w:cs="宋体"/>
          <w:color w:val="auto"/>
          <w:sz w:val="24"/>
          <w:szCs w:val="24"/>
          <w:highlight w:val="none"/>
        </w:rPr>
        <w:t>工作</w:t>
      </w:r>
      <w:r>
        <w:rPr>
          <w:rFonts w:hint="eastAsia" w:ascii="宋体" w:hAnsi="宋体" w:cs="宋体"/>
          <w:color w:val="auto"/>
          <w:sz w:val="24"/>
          <w:szCs w:val="24"/>
          <w:highlight w:val="none"/>
          <w:lang w:eastAsia="zh-CN"/>
        </w:rPr>
        <w:t>。</w:t>
      </w:r>
    </w:p>
    <w:p>
      <w:pPr>
        <w:keepNext w:val="0"/>
        <w:keepLines w:val="0"/>
        <w:pageBreakBefore w:val="0"/>
        <w:kinsoku/>
        <w:wordWrap/>
        <w:overflowPunct/>
        <w:autoSpaceDE/>
        <w:autoSpaceDN/>
        <w:bidi w:val="0"/>
        <w:spacing w:before="48" w:beforeLines="20" w:after="48" w:afterLines="20" w:line="5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3.依据文件</w:t>
      </w:r>
    </w:p>
    <w:p>
      <w:pPr>
        <w:keepNext w:val="0"/>
        <w:keepLines w:val="0"/>
        <w:pageBreakBefore w:val="0"/>
        <w:kinsoku/>
        <w:wordWrap/>
        <w:overflowPunct/>
        <w:autoSpaceDE/>
        <w:autoSpaceDN/>
        <w:bidi w:val="0"/>
        <w:spacing w:before="48" w:beforeLines="20" w:after="48" w:afterLines="20"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（1）国家有关法律、法规、规章及规范性文件；</w:t>
      </w:r>
    </w:p>
    <w:p>
      <w:pPr>
        <w:keepNext w:val="0"/>
        <w:keepLines w:val="0"/>
        <w:pageBreakBefore w:val="0"/>
        <w:kinsoku/>
        <w:wordWrap/>
        <w:overflowPunct/>
        <w:autoSpaceDE/>
        <w:autoSpaceDN/>
        <w:bidi w:val="0"/>
        <w:spacing w:before="48" w:beforeLines="20" w:after="48" w:afterLines="20"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（2）国家有关技术标准、规范及规程；</w:t>
      </w:r>
    </w:p>
    <w:p>
      <w:pPr>
        <w:keepNext w:val="0"/>
        <w:keepLines w:val="0"/>
        <w:pageBreakBefore w:val="0"/>
        <w:kinsoku/>
        <w:wordWrap/>
        <w:overflowPunct/>
        <w:autoSpaceDE/>
        <w:autoSpaceDN/>
        <w:bidi w:val="0"/>
        <w:spacing w:before="48" w:beforeLines="20" w:after="48" w:afterLines="20"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（3）合同及其他有关合同文件；</w:t>
      </w:r>
    </w:p>
    <w:p>
      <w:pPr>
        <w:keepNext w:val="0"/>
        <w:keepLines w:val="0"/>
        <w:pageBreakBefore w:val="0"/>
        <w:kinsoku/>
        <w:wordWrap/>
        <w:overflowPunct/>
        <w:autoSpaceDE/>
        <w:autoSpaceDN/>
        <w:bidi w:val="0"/>
        <w:spacing w:before="48" w:beforeLines="20" w:after="48" w:afterLines="20"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（4）工程勘察、设计文件；</w:t>
      </w:r>
    </w:p>
    <w:p>
      <w:pPr>
        <w:keepNext w:val="0"/>
        <w:keepLines w:val="0"/>
        <w:pageBreakBefore w:val="0"/>
        <w:kinsoku/>
        <w:wordWrap/>
        <w:overflowPunct/>
        <w:autoSpaceDE/>
        <w:autoSpaceDN/>
        <w:bidi w:val="0"/>
        <w:spacing w:before="48" w:beforeLines="20" w:after="48" w:afterLines="20"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（5）与工程项目有关的函件。</w:t>
      </w:r>
    </w:p>
    <w:p>
      <w:pPr>
        <w:keepNext w:val="0"/>
        <w:keepLines w:val="0"/>
        <w:pageBreakBefore w:val="0"/>
        <w:kinsoku/>
        <w:wordWrap/>
        <w:overflowPunct/>
        <w:autoSpaceDE/>
        <w:autoSpaceDN/>
        <w:bidi w:val="0"/>
        <w:spacing w:before="48" w:beforeLines="20" w:after="48" w:afterLines="20" w:line="5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4.其他要求</w:t>
      </w:r>
    </w:p>
    <w:p>
      <w:pPr>
        <w:keepNext w:val="0"/>
        <w:keepLines w:val="0"/>
        <w:pageBreakBefore w:val="0"/>
        <w:kinsoku/>
        <w:wordWrap/>
        <w:overflowPunct/>
        <w:autoSpaceDE/>
        <w:autoSpaceDN/>
        <w:bidi w:val="0"/>
        <w:spacing w:before="48" w:beforeLines="20" w:after="48" w:afterLines="20"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详见本招标文件的第二章投标人须知和本项目合同的相关约定。</w:t>
      </w:r>
    </w:p>
    <w:p>
      <w:pPr>
        <w:keepNext w:val="0"/>
        <w:keepLines w:val="0"/>
        <w:pageBreakBefore w:val="0"/>
        <w:kinsoku/>
        <w:wordWrap/>
        <w:overflowPunct/>
        <w:autoSpaceDE/>
        <w:autoSpaceDN/>
        <w:bidi w:val="0"/>
        <w:spacing w:before="48" w:beforeLines="20" w:after="48" w:afterLines="20" w:line="5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5、适用规范标准</w:t>
      </w:r>
    </w:p>
    <w:p>
      <w:pPr>
        <w:keepNext w:val="0"/>
        <w:keepLines w:val="0"/>
        <w:pageBreakBefore w:val="0"/>
        <w:kinsoku/>
        <w:wordWrap/>
        <w:overflowPunct/>
        <w:autoSpaceDE/>
        <w:autoSpaceDN/>
        <w:bidi w:val="0"/>
        <w:spacing w:before="48" w:beforeLines="20" w:after="48" w:afterLines="20"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国家关于监理和造价咨询的法律、法规、规章及规范性文件。</w:t>
      </w:r>
    </w:p>
    <w:p>
      <w:pPr>
        <w:keepNext w:val="0"/>
        <w:keepLines w:val="0"/>
        <w:pageBreakBefore w:val="0"/>
        <w:kinsoku/>
        <w:wordWrap/>
        <w:overflowPunct/>
        <w:autoSpaceDE/>
        <w:autoSpaceDN/>
        <w:bidi w:val="0"/>
        <w:spacing w:before="48" w:beforeLines="20" w:after="48" w:afterLines="20" w:line="500" w:lineRule="exact"/>
        <w:textAlignment w:val="auto"/>
        <w:rPr>
          <w:b/>
          <w:color w:val="auto"/>
          <w:sz w:val="24"/>
          <w:highlight w:val="none"/>
        </w:rPr>
      </w:pPr>
      <w:r>
        <w:rPr>
          <w:rFonts w:hint="eastAsia"/>
          <w:b/>
          <w:color w:val="auto"/>
          <w:sz w:val="24"/>
          <w:highlight w:val="none"/>
        </w:rPr>
        <w:t>6、管理机构人员配备基本要求</w:t>
      </w:r>
    </w:p>
    <w:p>
      <w:pPr>
        <w:keepNext w:val="0"/>
        <w:keepLines w:val="0"/>
        <w:pageBreakBefore w:val="0"/>
        <w:tabs>
          <w:tab w:val="left" w:pos="105"/>
        </w:tabs>
        <w:kinsoku/>
        <w:wordWrap/>
        <w:overflowPunct/>
        <w:autoSpaceDE/>
        <w:autoSpaceDN/>
        <w:bidi w:val="0"/>
        <w:spacing w:line="500" w:lineRule="exact"/>
        <w:jc w:val="center"/>
        <w:textAlignment w:val="auto"/>
        <w:rPr>
          <w:rFonts w:hint="eastAsia"/>
          <w:b/>
          <w:color w:val="auto"/>
          <w:sz w:val="24"/>
          <w:highlight w:val="none"/>
        </w:rPr>
      </w:pPr>
    </w:p>
    <w:p>
      <w:pPr>
        <w:keepNext w:val="0"/>
        <w:keepLines w:val="0"/>
        <w:pageBreakBefore w:val="0"/>
        <w:tabs>
          <w:tab w:val="left" w:pos="105"/>
        </w:tabs>
        <w:kinsoku/>
        <w:wordWrap/>
        <w:overflowPunct/>
        <w:autoSpaceDE/>
        <w:autoSpaceDN/>
        <w:bidi w:val="0"/>
        <w:spacing w:line="500" w:lineRule="exact"/>
        <w:jc w:val="center"/>
        <w:textAlignment w:val="auto"/>
        <w:rPr>
          <w:rFonts w:hint="eastAsia"/>
          <w:b/>
          <w:color w:val="auto"/>
          <w:sz w:val="24"/>
          <w:highlight w:val="none"/>
        </w:rPr>
      </w:pPr>
    </w:p>
    <w:p>
      <w:pPr>
        <w:keepNext w:val="0"/>
        <w:keepLines w:val="0"/>
        <w:pageBreakBefore w:val="0"/>
        <w:tabs>
          <w:tab w:val="left" w:pos="105"/>
        </w:tabs>
        <w:kinsoku/>
        <w:wordWrap/>
        <w:overflowPunct/>
        <w:autoSpaceDE/>
        <w:autoSpaceDN/>
        <w:bidi w:val="0"/>
        <w:spacing w:line="500" w:lineRule="exact"/>
        <w:jc w:val="center"/>
        <w:textAlignment w:val="auto"/>
        <w:rPr>
          <w:rFonts w:hint="eastAsia"/>
          <w:b/>
          <w:color w:val="auto"/>
          <w:sz w:val="24"/>
          <w:highlight w:val="none"/>
        </w:rPr>
      </w:pPr>
    </w:p>
    <w:p>
      <w:pPr>
        <w:keepNext w:val="0"/>
        <w:keepLines w:val="0"/>
        <w:pageBreakBefore w:val="0"/>
        <w:tabs>
          <w:tab w:val="left" w:pos="105"/>
        </w:tabs>
        <w:kinsoku/>
        <w:wordWrap/>
        <w:overflowPunct/>
        <w:autoSpaceDE/>
        <w:autoSpaceDN/>
        <w:bidi w:val="0"/>
        <w:spacing w:line="500" w:lineRule="exact"/>
        <w:jc w:val="center"/>
        <w:textAlignment w:val="auto"/>
        <w:rPr>
          <w:rFonts w:hint="eastAsia"/>
          <w:b/>
          <w:color w:val="auto"/>
          <w:sz w:val="24"/>
          <w:highlight w:val="none"/>
        </w:rPr>
      </w:pPr>
    </w:p>
    <w:p>
      <w:pPr>
        <w:keepNext w:val="0"/>
        <w:keepLines w:val="0"/>
        <w:pageBreakBefore w:val="0"/>
        <w:tabs>
          <w:tab w:val="left" w:pos="105"/>
        </w:tabs>
        <w:kinsoku/>
        <w:wordWrap/>
        <w:overflowPunct/>
        <w:autoSpaceDE/>
        <w:autoSpaceDN/>
        <w:bidi w:val="0"/>
        <w:spacing w:line="500" w:lineRule="exact"/>
        <w:jc w:val="center"/>
        <w:textAlignment w:val="auto"/>
        <w:rPr>
          <w:rFonts w:hint="eastAsia"/>
          <w:b/>
          <w:color w:val="auto"/>
          <w:sz w:val="24"/>
          <w:highlight w:val="none"/>
        </w:rPr>
      </w:pPr>
    </w:p>
    <w:p>
      <w:pPr>
        <w:keepNext w:val="0"/>
        <w:keepLines w:val="0"/>
        <w:pageBreakBefore w:val="0"/>
        <w:tabs>
          <w:tab w:val="left" w:pos="105"/>
        </w:tabs>
        <w:kinsoku/>
        <w:wordWrap/>
        <w:overflowPunct/>
        <w:autoSpaceDE/>
        <w:autoSpaceDN/>
        <w:bidi w:val="0"/>
        <w:spacing w:line="500" w:lineRule="exact"/>
        <w:jc w:val="center"/>
        <w:textAlignment w:val="auto"/>
        <w:rPr>
          <w:rFonts w:ascii="宋体" w:hAnsi="宋体" w:cs="宋体"/>
          <w:b/>
          <w:bCs/>
          <w:color w:val="auto"/>
          <w:sz w:val="28"/>
          <w:szCs w:val="28"/>
          <w:highlight w:val="none"/>
        </w:rPr>
      </w:pPr>
      <w:r>
        <w:rPr>
          <w:rFonts w:hint="eastAsia"/>
          <w:b/>
          <w:color w:val="auto"/>
          <w:sz w:val="24"/>
          <w:highlight w:val="none"/>
        </w:rPr>
        <w:t>管理人员配备要求表</w:t>
      </w:r>
    </w:p>
    <w:tbl>
      <w:tblPr>
        <w:tblStyle w:val="14"/>
        <w:tblW w:w="917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076"/>
        <w:gridCol w:w="1347"/>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4"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center"/>
              <w:textAlignment w:val="auto"/>
              <w:rPr>
                <w:rFonts w:hint="default" w:asciiTheme="minorEastAsia" w:hAnsiTheme="minorEastAsia" w:eastAsiaTheme="minorEastAsia"/>
                <w:b/>
                <w:color w:val="auto"/>
                <w:kern w:val="44"/>
                <w:sz w:val="18"/>
                <w:highlight w:val="none"/>
              </w:rPr>
            </w:pPr>
            <w:r>
              <w:rPr>
                <w:rFonts w:hint="eastAsia" w:asciiTheme="minorEastAsia" w:hAnsiTheme="minorEastAsia" w:eastAsiaTheme="minorEastAsia"/>
                <w:b/>
                <w:color w:val="auto"/>
                <w:kern w:val="44"/>
                <w:sz w:val="18"/>
                <w:highlight w:val="none"/>
              </w:rPr>
              <w:t>序号</w:t>
            </w:r>
          </w:p>
        </w:tc>
        <w:tc>
          <w:tcPr>
            <w:tcW w:w="2076"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center"/>
              <w:textAlignment w:val="auto"/>
              <w:rPr>
                <w:rFonts w:hint="default" w:asciiTheme="minorEastAsia" w:hAnsiTheme="minorEastAsia" w:eastAsiaTheme="minorEastAsia"/>
                <w:bCs/>
                <w:color w:val="auto"/>
                <w:kern w:val="44"/>
                <w:sz w:val="18"/>
                <w:highlight w:val="none"/>
              </w:rPr>
            </w:pPr>
            <w:r>
              <w:rPr>
                <w:rFonts w:hint="eastAsia" w:asciiTheme="minorEastAsia" w:hAnsiTheme="minorEastAsia" w:eastAsiaTheme="minorEastAsia"/>
                <w:b/>
                <w:color w:val="auto"/>
                <w:kern w:val="44"/>
                <w:sz w:val="18"/>
                <w:highlight w:val="none"/>
              </w:rPr>
              <w:t>岗位名称</w:t>
            </w:r>
          </w:p>
        </w:tc>
        <w:tc>
          <w:tcPr>
            <w:tcW w:w="134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center"/>
              <w:textAlignment w:val="auto"/>
              <w:rPr>
                <w:rFonts w:hint="default" w:asciiTheme="minorEastAsia" w:hAnsiTheme="minorEastAsia" w:eastAsiaTheme="minorEastAsia"/>
                <w:bCs/>
                <w:color w:val="auto"/>
                <w:kern w:val="44"/>
                <w:sz w:val="18"/>
                <w:highlight w:val="none"/>
              </w:rPr>
            </w:pPr>
            <w:r>
              <w:rPr>
                <w:rFonts w:hint="eastAsia" w:asciiTheme="minorEastAsia" w:hAnsiTheme="minorEastAsia" w:eastAsiaTheme="minorEastAsia"/>
                <w:b/>
                <w:color w:val="auto"/>
                <w:kern w:val="44"/>
                <w:sz w:val="18"/>
                <w:highlight w:val="none"/>
              </w:rPr>
              <w:t>数量</w:t>
            </w:r>
          </w:p>
        </w:tc>
        <w:tc>
          <w:tcPr>
            <w:tcW w:w="499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center"/>
              <w:textAlignment w:val="auto"/>
              <w:rPr>
                <w:rFonts w:hint="default" w:asciiTheme="minorEastAsia" w:hAnsiTheme="minorEastAsia" w:eastAsiaTheme="minorEastAsia"/>
                <w:bCs/>
                <w:color w:val="auto"/>
                <w:kern w:val="44"/>
                <w:sz w:val="18"/>
                <w:highlight w:val="none"/>
              </w:rPr>
            </w:pPr>
            <w:r>
              <w:rPr>
                <w:rFonts w:hint="eastAsia" w:asciiTheme="minorEastAsia" w:hAnsiTheme="minorEastAsia" w:eastAsiaTheme="minorEastAsia"/>
                <w:b/>
                <w:color w:val="auto"/>
                <w:kern w:val="44"/>
                <w:sz w:val="18"/>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54" w:type="dxa"/>
            <w:vAlign w:val="center"/>
          </w:tcPr>
          <w:p>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left="-361" w:leftChars="-172" w:right="0" w:firstLine="360" w:firstLineChars="200"/>
              <w:jc w:val="center"/>
              <w:textAlignment w:val="auto"/>
              <w:rPr>
                <w:rFonts w:hint="default" w:cs="宋体" w:asciiTheme="minorEastAsia" w:hAnsiTheme="minorEastAsia" w:eastAsiaTheme="minorEastAsia"/>
                <w:color w:val="auto"/>
                <w:kern w:val="0"/>
                <w:sz w:val="18"/>
                <w:szCs w:val="21"/>
                <w:highlight w:val="none"/>
              </w:rPr>
            </w:pPr>
            <w:r>
              <w:rPr>
                <w:rFonts w:hint="eastAsia" w:cs="宋体" w:asciiTheme="minorEastAsia" w:hAnsiTheme="minorEastAsia" w:eastAsiaTheme="minorEastAsia"/>
                <w:color w:val="auto"/>
                <w:kern w:val="0"/>
                <w:sz w:val="18"/>
                <w:szCs w:val="21"/>
                <w:highlight w:val="none"/>
              </w:rPr>
              <w:t>1</w:t>
            </w:r>
          </w:p>
        </w:tc>
        <w:tc>
          <w:tcPr>
            <w:tcW w:w="2076"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总监理工程师</w:t>
            </w:r>
          </w:p>
        </w:tc>
        <w:tc>
          <w:tcPr>
            <w:tcW w:w="134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center"/>
              <w:textAlignment w:val="auto"/>
              <w:rPr>
                <w:rFonts w:hint="default" w:cs="宋体" w:asciiTheme="minorEastAsia" w:hAnsiTheme="minorEastAsia" w:eastAsiaTheme="minorEastAsia"/>
                <w:color w:val="auto"/>
                <w:szCs w:val="21"/>
                <w:highlight w:val="none"/>
                <w:lang w:val="zh-CN" w:bidi="ar"/>
              </w:rPr>
            </w:pPr>
            <w:r>
              <w:rPr>
                <w:rFonts w:hint="default" w:cs="宋体" w:asciiTheme="minorEastAsia" w:hAnsiTheme="minorEastAsia" w:eastAsiaTheme="minorEastAsia"/>
                <w:color w:val="auto"/>
                <w:szCs w:val="21"/>
                <w:highlight w:val="none"/>
                <w:lang w:val="zh-CN" w:bidi="ar"/>
              </w:rPr>
              <w:t>1</w:t>
            </w:r>
          </w:p>
        </w:tc>
        <w:tc>
          <w:tcPr>
            <w:tcW w:w="499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left"/>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Align w:val="center"/>
          </w:tcPr>
          <w:p>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left="-361" w:leftChars="-172" w:right="0" w:firstLine="360" w:firstLineChars="200"/>
              <w:jc w:val="center"/>
              <w:textAlignment w:val="auto"/>
              <w:rPr>
                <w:rFonts w:hint="default" w:cs="宋体" w:asciiTheme="minorEastAsia" w:hAnsiTheme="minorEastAsia" w:eastAsiaTheme="minorEastAsia"/>
                <w:color w:val="auto"/>
                <w:kern w:val="0"/>
                <w:sz w:val="18"/>
                <w:szCs w:val="21"/>
                <w:highlight w:val="none"/>
              </w:rPr>
            </w:pPr>
            <w:r>
              <w:rPr>
                <w:rFonts w:hint="eastAsia" w:cs="宋体" w:asciiTheme="minorEastAsia" w:hAnsiTheme="minorEastAsia" w:eastAsiaTheme="minorEastAsia"/>
                <w:color w:val="auto"/>
                <w:kern w:val="0"/>
                <w:sz w:val="18"/>
                <w:szCs w:val="21"/>
                <w:highlight w:val="none"/>
              </w:rPr>
              <w:t>2</w:t>
            </w:r>
          </w:p>
        </w:tc>
        <w:tc>
          <w:tcPr>
            <w:tcW w:w="2076"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总监代表</w:t>
            </w:r>
          </w:p>
        </w:tc>
        <w:tc>
          <w:tcPr>
            <w:tcW w:w="134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center"/>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1</w:t>
            </w:r>
          </w:p>
        </w:tc>
        <w:tc>
          <w:tcPr>
            <w:tcW w:w="499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left"/>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必须具有建设部2006年4月1日后颁发的中华人民共和国注册监理工程师注册执业证书，且其注册证书专业为 市政公用工程 ，注册执业单位为本公司。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Align w:val="center"/>
          </w:tcPr>
          <w:p>
            <w:pPr>
              <w:pStyle w:val="21"/>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eastAsia" w:cs="宋体" w:asciiTheme="minorEastAsia" w:hAnsiTheme="minorEastAsia" w:eastAsiaTheme="minorEastAsia"/>
                <w:bCs/>
                <w:color w:val="auto"/>
                <w:kern w:val="44"/>
                <w:sz w:val="18"/>
                <w:szCs w:val="24"/>
                <w:highlight w:val="none"/>
                <w:lang w:val="en-US" w:eastAsia="zh-CN"/>
              </w:rPr>
            </w:pPr>
            <w:r>
              <w:rPr>
                <w:rFonts w:hint="eastAsia" w:cs="宋体" w:asciiTheme="minorEastAsia" w:hAnsiTheme="minorEastAsia" w:eastAsiaTheme="minorEastAsia"/>
                <w:bCs/>
                <w:color w:val="auto"/>
                <w:kern w:val="44"/>
                <w:sz w:val="18"/>
                <w:szCs w:val="24"/>
                <w:highlight w:val="none"/>
                <w:lang w:val="en-US" w:eastAsia="zh-CN"/>
              </w:rPr>
              <w:t>3</w:t>
            </w:r>
          </w:p>
        </w:tc>
        <w:tc>
          <w:tcPr>
            <w:tcW w:w="2076"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leftChars="0" w:right="0" w:rightChars="0"/>
              <w:textAlignment w:val="auto"/>
              <w:rPr>
                <w:rFonts w:hint="eastAsia"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环境监理工程师</w:t>
            </w:r>
          </w:p>
        </w:tc>
        <w:tc>
          <w:tcPr>
            <w:tcW w:w="1347" w:type="dxa"/>
            <w:vAlign w:val="center"/>
          </w:tcPr>
          <w:p>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left="-361" w:leftChars="-172" w:right="0" w:rightChars="0" w:firstLine="420" w:firstLineChars="200"/>
              <w:jc w:val="center"/>
              <w:textAlignment w:val="auto"/>
              <w:rPr>
                <w:rFonts w:hint="eastAsia" w:cs="宋体" w:asciiTheme="minorEastAsia" w:hAnsiTheme="minorEastAsia" w:eastAsiaTheme="minorEastAsia"/>
                <w:color w:val="auto"/>
                <w:szCs w:val="21"/>
                <w:highlight w:val="none"/>
                <w:lang w:val="en-US" w:eastAsia="zh-CN" w:bidi="ar"/>
              </w:rPr>
            </w:pPr>
            <w:r>
              <w:rPr>
                <w:rFonts w:hint="eastAsia" w:cs="宋体" w:asciiTheme="minorEastAsia" w:hAnsiTheme="minorEastAsia" w:eastAsiaTheme="minorEastAsia"/>
                <w:color w:val="auto"/>
                <w:szCs w:val="21"/>
                <w:highlight w:val="none"/>
                <w:lang w:val="en-US" w:eastAsia="zh-CN" w:bidi="ar"/>
              </w:rPr>
              <w:t>2</w:t>
            </w:r>
          </w:p>
        </w:tc>
        <w:tc>
          <w:tcPr>
            <w:tcW w:w="499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leftChars="0" w:right="0" w:rightChars="0"/>
              <w:jc w:val="left"/>
              <w:textAlignment w:val="auto"/>
              <w:rPr>
                <w:rFonts w:hint="eastAsia"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具有环境监理培训证，专业</w:t>
            </w:r>
            <w:r>
              <w:rPr>
                <w:rFonts w:hint="eastAsia" w:cs="宋体" w:asciiTheme="minorEastAsia" w:hAnsiTheme="minorEastAsia" w:eastAsiaTheme="minorEastAsia"/>
                <w:color w:val="auto"/>
                <w:szCs w:val="21"/>
                <w:highlight w:val="none"/>
                <w:lang w:bidi="ar"/>
              </w:rPr>
              <w:t>以</w:t>
            </w:r>
            <w:r>
              <w:rPr>
                <w:rFonts w:hint="eastAsia" w:cs="宋体" w:asciiTheme="minorEastAsia" w:hAnsiTheme="minorEastAsia" w:eastAsiaTheme="minorEastAsia"/>
                <w:color w:val="auto"/>
                <w:szCs w:val="21"/>
                <w:highlight w:val="none"/>
                <w:lang w:val="zh-CN" w:bidi="ar"/>
              </w:rPr>
              <w:t>环境监理培训证或职称证或毕业证中的专业名称（含相近专业）为准。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Align w:val="center"/>
          </w:tcPr>
          <w:p>
            <w:pPr>
              <w:pStyle w:val="21"/>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cs="宋体" w:asciiTheme="minorEastAsia" w:hAnsiTheme="minorEastAsia" w:eastAsiaTheme="minorEastAsia"/>
                <w:bCs/>
                <w:color w:val="auto"/>
                <w:kern w:val="44"/>
                <w:sz w:val="18"/>
                <w:szCs w:val="24"/>
                <w:highlight w:val="none"/>
              </w:rPr>
            </w:pPr>
            <w:r>
              <w:rPr>
                <w:rFonts w:hint="eastAsia" w:cs="宋体" w:asciiTheme="minorEastAsia" w:hAnsiTheme="minorEastAsia" w:eastAsiaTheme="minorEastAsia"/>
                <w:bCs/>
                <w:color w:val="auto"/>
                <w:kern w:val="44"/>
                <w:sz w:val="18"/>
                <w:szCs w:val="24"/>
                <w:highlight w:val="none"/>
              </w:rPr>
              <w:t>4</w:t>
            </w:r>
          </w:p>
        </w:tc>
        <w:tc>
          <w:tcPr>
            <w:tcW w:w="2076"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leftChars="0" w:right="0" w:rightChars="0"/>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市政监理工程师</w:t>
            </w:r>
          </w:p>
        </w:tc>
        <w:tc>
          <w:tcPr>
            <w:tcW w:w="1347" w:type="dxa"/>
            <w:vAlign w:val="center"/>
          </w:tcPr>
          <w:p>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00" w:lineRule="exact"/>
              <w:ind w:left="-361" w:leftChars="-172" w:right="0" w:rightChars="0" w:firstLine="420" w:firstLineChars="200"/>
              <w:jc w:val="center"/>
              <w:textAlignment w:val="auto"/>
              <w:rPr>
                <w:rFonts w:hint="eastAsia" w:cs="宋体" w:asciiTheme="minorEastAsia" w:hAnsiTheme="minorEastAsia" w:eastAsiaTheme="minorEastAsia"/>
                <w:color w:val="auto"/>
                <w:szCs w:val="21"/>
                <w:highlight w:val="none"/>
                <w:lang w:eastAsia="zh-CN" w:bidi="ar"/>
              </w:rPr>
            </w:pPr>
            <w:r>
              <w:rPr>
                <w:rFonts w:hint="eastAsia" w:cs="宋体" w:asciiTheme="minorEastAsia" w:hAnsiTheme="minorEastAsia" w:eastAsiaTheme="minorEastAsia"/>
                <w:color w:val="auto"/>
                <w:szCs w:val="21"/>
                <w:highlight w:val="none"/>
                <w:lang w:bidi="ar"/>
              </w:rPr>
              <w:t>1</w:t>
            </w:r>
          </w:p>
        </w:tc>
        <w:tc>
          <w:tcPr>
            <w:tcW w:w="499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leftChars="0" w:right="0" w:rightChars="0"/>
              <w:jc w:val="left"/>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具有注册监理工程师证或专业监理工程师证，专业以注册监理工程师证或专业监理工程师证或职称证或毕业证中的专业名称（含相近专业）为准。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4"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center"/>
              <w:textAlignment w:val="auto"/>
              <w:rPr>
                <w:rFonts w:hint="eastAsia" w:asciiTheme="minorEastAsia" w:hAnsiTheme="minorEastAsia" w:eastAsiaTheme="minorEastAsia"/>
                <w:bCs/>
                <w:color w:val="auto"/>
                <w:kern w:val="44"/>
                <w:sz w:val="18"/>
                <w:highlight w:val="none"/>
                <w:lang w:eastAsia="zh-CN"/>
              </w:rPr>
            </w:pPr>
            <w:r>
              <w:rPr>
                <w:rFonts w:hint="eastAsia" w:asciiTheme="minorEastAsia" w:hAnsiTheme="minorEastAsia" w:eastAsiaTheme="minorEastAsia"/>
                <w:bCs/>
                <w:color w:val="auto"/>
                <w:kern w:val="44"/>
                <w:sz w:val="18"/>
                <w:highlight w:val="none"/>
                <w:lang w:val="en-US" w:eastAsia="zh-CN"/>
              </w:rPr>
              <w:t>5</w:t>
            </w:r>
          </w:p>
        </w:tc>
        <w:tc>
          <w:tcPr>
            <w:tcW w:w="2076"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监理员</w:t>
            </w:r>
          </w:p>
        </w:tc>
        <w:tc>
          <w:tcPr>
            <w:tcW w:w="134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center"/>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2</w:t>
            </w:r>
          </w:p>
        </w:tc>
        <w:tc>
          <w:tcPr>
            <w:tcW w:w="499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left"/>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具有监理员培训证书或上岗证。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54"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center"/>
              <w:textAlignment w:val="auto"/>
              <w:rPr>
                <w:rFonts w:hint="default" w:asciiTheme="minorEastAsia" w:hAnsiTheme="minorEastAsia" w:eastAsiaTheme="minorEastAsia"/>
                <w:bCs/>
                <w:color w:val="auto"/>
                <w:kern w:val="44"/>
                <w:sz w:val="18"/>
                <w:highlight w:val="none"/>
              </w:rPr>
            </w:pPr>
          </w:p>
        </w:tc>
        <w:tc>
          <w:tcPr>
            <w:tcW w:w="2076"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val="zh-CN" w:bidi="ar"/>
              </w:rPr>
              <w:t>合计</w:t>
            </w:r>
          </w:p>
        </w:tc>
        <w:tc>
          <w:tcPr>
            <w:tcW w:w="134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center"/>
              <w:textAlignment w:val="auto"/>
              <w:rPr>
                <w:rFonts w:hint="default" w:cs="宋体" w:asciiTheme="minorEastAsia" w:hAnsiTheme="minorEastAsia" w:eastAsiaTheme="minorEastAsia"/>
                <w:color w:val="auto"/>
                <w:szCs w:val="21"/>
                <w:highlight w:val="none"/>
                <w:lang w:val="zh-CN" w:bidi="ar"/>
              </w:rPr>
            </w:pPr>
            <w:r>
              <w:rPr>
                <w:rFonts w:hint="eastAsia" w:cs="宋体" w:asciiTheme="minorEastAsia" w:hAnsiTheme="minorEastAsia" w:eastAsiaTheme="minorEastAsia"/>
                <w:color w:val="auto"/>
                <w:szCs w:val="21"/>
                <w:highlight w:val="none"/>
                <w:lang w:bidi="ar"/>
              </w:rPr>
              <w:t>7</w:t>
            </w:r>
          </w:p>
        </w:tc>
        <w:tc>
          <w:tcPr>
            <w:tcW w:w="4997" w:type="dxa"/>
            <w:vAlign w:val="center"/>
          </w:tcPr>
          <w:p>
            <w:pPr>
              <w:keepNext w:val="0"/>
              <w:keepLines w:val="0"/>
              <w:pageBreakBefore w:val="0"/>
              <w:suppressLineNumbers w:val="0"/>
              <w:kinsoku/>
              <w:wordWrap/>
              <w:overflowPunct/>
              <w:autoSpaceDE/>
              <w:autoSpaceDN/>
              <w:bidi w:val="0"/>
              <w:adjustRightInd w:val="0"/>
              <w:snapToGrid w:val="0"/>
              <w:spacing w:before="0" w:beforeAutospacing="0" w:after="0" w:afterAutospacing="0" w:line="500" w:lineRule="exact"/>
              <w:ind w:left="0" w:right="0"/>
              <w:jc w:val="left"/>
              <w:textAlignment w:val="auto"/>
              <w:rPr>
                <w:rFonts w:hint="default" w:cs="宋体" w:asciiTheme="minorEastAsia" w:hAnsiTheme="minorEastAsia" w:eastAsiaTheme="minorEastAsia"/>
                <w:color w:val="auto"/>
                <w:szCs w:val="21"/>
                <w:highlight w:val="none"/>
                <w:lang w:val="zh-CN" w:bidi="ar"/>
              </w:rPr>
            </w:pPr>
          </w:p>
        </w:tc>
      </w:tr>
    </w:tbl>
    <w:p>
      <w:pPr>
        <w:keepNext w:val="0"/>
        <w:keepLines w:val="0"/>
        <w:pageBreakBefore w:val="0"/>
        <w:kinsoku/>
        <w:wordWrap/>
        <w:overflowPunct/>
        <w:autoSpaceDE/>
        <w:autoSpaceDN/>
        <w:bidi w:val="0"/>
        <w:adjustRightInd w:val="0"/>
        <w:snapToGrid w:val="0"/>
        <w:spacing w:line="500" w:lineRule="exact"/>
        <w:textAlignment w:val="auto"/>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管理人员需提供投标截止时间最近</w:t>
      </w:r>
      <w:r>
        <w:rPr>
          <w:rFonts w:hint="eastAsia"/>
          <w:color w:val="auto"/>
          <w:highlight w:val="none"/>
          <w:lang w:eastAsia="zh-CN"/>
        </w:rPr>
        <w:t>三</w:t>
      </w:r>
      <w:r>
        <w:rPr>
          <w:rFonts w:hint="eastAsia"/>
          <w:color w:val="auto"/>
          <w:highlight w:val="none"/>
        </w:rPr>
        <w:t>个月在本单位（不含子公司）交纳的社保证明文件，退休返聘人员需提供退休及返聘证明。社保证明文件以加盖社会保险基金管理中心印章的相关资料为准，退休返聘人员需提供退休及返聘证明。</w:t>
      </w:r>
    </w:p>
    <w:p>
      <w:pPr>
        <w:keepNext w:val="0"/>
        <w:keepLines w:val="0"/>
        <w:pageBreakBefore w:val="0"/>
        <w:kinsoku/>
        <w:wordWrap/>
        <w:overflowPunct/>
        <w:autoSpaceDE/>
        <w:autoSpaceDN/>
        <w:bidi w:val="0"/>
        <w:spacing w:line="500" w:lineRule="exact"/>
        <w:textAlignment w:val="auto"/>
        <w:rPr>
          <w:rFonts w:ascii="宋体" w:hAnsi="宋体" w:cs="宋体"/>
          <w:b/>
          <w:bCs/>
          <w:color w:val="auto"/>
          <w:sz w:val="24"/>
          <w:highlight w:val="none"/>
        </w:rPr>
      </w:pPr>
    </w:p>
    <w:p>
      <w:pPr>
        <w:keepNext w:val="0"/>
        <w:keepLines w:val="0"/>
        <w:pageBreakBefore w:val="0"/>
        <w:kinsoku/>
        <w:wordWrap/>
        <w:overflowPunct/>
        <w:autoSpaceDE/>
        <w:autoSpaceDN/>
        <w:bidi w:val="0"/>
        <w:spacing w:line="500" w:lineRule="exact"/>
        <w:textAlignment w:val="auto"/>
        <w:rPr>
          <w:color w:val="auto"/>
          <w:sz w:val="24"/>
          <w:szCs w:val="28"/>
          <w:highlight w:val="none"/>
        </w:rPr>
      </w:pPr>
      <w:r>
        <w:rPr>
          <w:rFonts w:hint="eastAsia" w:ascii="宋体" w:hAnsi="宋体" w:cs="宋体"/>
          <w:b/>
          <w:bCs/>
          <w:color w:val="auto"/>
          <w:sz w:val="24"/>
          <w:highlight w:val="none"/>
        </w:rPr>
        <w:t>7、拟投入本项目的试验检测设备基本要求</w:t>
      </w:r>
    </w:p>
    <w:p>
      <w:pPr>
        <w:keepNext w:val="0"/>
        <w:keepLines w:val="0"/>
        <w:pageBreakBefore w:val="0"/>
        <w:kinsoku/>
        <w:wordWrap/>
        <w:overflowPunct/>
        <w:autoSpaceDE/>
        <w:autoSpaceDN/>
        <w:bidi w:val="0"/>
        <w:spacing w:line="500" w:lineRule="exact"/>
        <w:ind w:firstLine="424" w:firstLineChars="176"/>
        <w:jc w:val="center"/>
        <w:textAlignment w:val="auto"/>
        <w:rPr>
          <w:rFonts w:ascii="宋体" w:hAnsi="宋体"/>
          <w:b/>
          <w:color w:val="auto"/>
          <w:sz w:val="24"/>
          <w:szCs w:val="24"/>
          <w:highlight w:val="none"/>
        </w:rPr>
      </w:pPr>
      <w:r>
        <w:rPr>
          <w:rFonts w:hint="eastAsia" w:ascii="宋体" w:hAnsi="宋体"/>
          <w:b/>
          <w:color w:val="auto"/>
          <w:sz w:val="24"/>
          <w:szCs w:val="24"/>
          <w:highlight w:val="none"/>
        </w:rPr>
        <w:t>拟投入本项目的试验检测设备基本要求表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52"/>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b/>
                <w:color w:val="auto"/>
                <w:sz w:val="24"/>
                <w:szCs w:val="24"/>
                <w:highlight w:val="none"/>
              </w:rPr>
            </w:pPr>
            <w:r>
              <w:rPr>
                <w:rFonts w:hint="eastAsia" w:ascii="宋体" w:hAnsi="宋体"/>
                <w:b/>
                <w:color w:val="auto"/>
                <w:szCs w:val="21"/>
                <w:highlight w:val="none"/>
              </w:rPr>
              <w:t>序号</w:t>
            </w:r>
          </w:p>
        </w:tc>
        <w:tc>
          <w:tcPr>
            <w:tcW w:w="4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b/>
                <w:color w:val="auto"/>
                <w:sz w:val="24"/>
                <w:szCs w:val="24"/>
                <w:highlight w:val="none"/>
              </w:rPr>
            </w:pPr>
            <w:r>
              <w:rPr>
                <w:rFonts w:hint="eastAsia" w:ascii="宋体" w:hAnsi="宋体"/>
                <w:b/>
                <w:color w:val="auto"/>
                <w:szCs w:val="21"/>
                <w:highlight w:val="none"/>
              </w:rPr>
              <w:t>投入本项目的试验检测设备名称</w:t>
            </w:r>
          </w:p>
        </w:tc>
        <w:tc>
          <w:tcPr>
            <w:tcW w:w="2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b/>
                <w:color w:val="auto"/>
                <w:sz w:val="24"/>
                <w:szCs w:val="24"/>
                <w:highlight w:val="none"/>
              </w:rPr>
            </w:pPr>
            <w:r>
              <w:rPr>
                <w:rFonts w:hint="eastAsia" w:ascii="宋体" w:hAnsi="宋体"/>
                <w:b/>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1</w:t>
            </w:r>
          </w:p>
        </w:tc>
        <w:tc>
          <w:tcPr>
            <w:tcW w:w="4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30米钢卷尺</w:t>
            </w:r>
          </w:p>
        </w:tc>
        <w:tc>
          <w:tcPr>
            <w:tcW w:w="2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2</w:t>
            </w:r>
          </w:p>
        </w:tc>
        <w:tc>
          <w:tcPr>
            <w:tcW w:w="4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5米钢卷尺</w:t>
            </w:r>
          </w:p>
        </w:tc>
        <w:tc>
          <w:tcPr>
            <w:tcW w:w="2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3</w:t>
            </w:r>
          </w:p>
        </w:tc>
        <w:tc>
          <w:tcPr>
            <w:tcW w:w="4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eastAsia" w:ascii="宋体" w:hAnsi="宋体"/>
                <w:color w:val="auto"/>
                <w:szCs w:val="21"/>
                <w:highlight w:val="none"/>
              </w:rPr>
              <w:t>激光垂准仪</w:t>
            </w:r>
          </w:p>
        </w:tc>
        <w:tc>
          <w:tcPr>
            <w:tcW w:w="2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4</w:t>
            </w:r>
          </w:p>
        </w:tc>
        <w:tc>
          <w:tcPr>
            <w:tcW w:w="4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eastAsia" w:ascii="宋体" w:hAnsi="宋体"/>
                <w:color w:val="auto"/>
                <w:szCs w:val="21"/>
                <w:highlight w:val="none"/>
              </w:rPr>
              <w:t>建筑工程检测尺</w:t>
            </w:r>
          </w:p>
        </w:tc>
        <w:tc>
          <w:tcPr>
            <w:tcW w:w="2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5</w:t>
            </w:r>
          </w:p>
        </w:tc>
        <w:tc>
          <w:tcPr>
            <w:tcW w:w="4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eastAsia" w:ascii="宋体" w:hAnsi="宋体"/>
                <w:color w:val="auto"/>
                <w:szCs w:val="21"/>
                <w:highlight w:val="none"/>
              </w:rPr>
              <w:t>焊接检测尺</w:t>
            </w:r>
          </w:p>
        </w:tc>
        <w:tc>
          <w:tcPr>
            <w:tcW w:w="2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6</w:t>
            </w:r>
          </w:p>
        </w:tc>
        <w:tc>
          <w:tcPr>
            <w:tcW w:w="4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eastAsia" w:ascii="宋体" w:hAnsi="宋体"/>
                <w:color w:val="auto"/>
                <w:szCs w:val="21"/>
                <w:highlight w:val="none"/>
              </w:rPr>
              <w:t>读数显微镜</w:t>
            </w:r>
          </w:p>
        </w:tc>
        <w:tc>
          <w:tcPr>
            <w:tcW w:w="2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7</w:t>
            </w:r>
          </w:p>
        </w:tc>
        <w:tc>
          <w:tcPr>
            <w:tcW w:w="4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eastAsia" w:ascii="宋体" w:hAnsi="宋体"/>
                <w:color w:val="auto"/>
                <w:szCs w:val="21"/>
                <w:highlight w:val="none"/>
              </w:rPr>
              <w:t>涂层测厚仪</w:t>
            </w:r>
          </w:p>
        </w:tc>
        <w:tc>
          <w:tcPr>
            <w:tcW w:w="2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8</w:t>
            </w:r>
          </w:p>
        </w:tc>
        <w:tc>
          <w:tcPr>
            <w:tcW w:w="4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eastAsia" w:ascii="宋体" w:hAnsi="宋体"/>
                <w:color w:val="auto"/>
                <w:szCs w:val="21"/>
                <w:highlight w:val="none"/>
              </w:rPr>
              <w:t>游标卡尺</w:t>
            </w:r>
          </w:p>
        </w:tc>
        <w:tc>
          <w:tcPr>
            <w:tcW w:w="2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9</w:t>
            </w:r>
          </w:p>
        </w:tc>
        <w:tc>
          <w:tcPr>
            <w:tcW w:w="4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eastAsia" w:ascii="宋体" w:hAnsi="宋体"/>
                <w:color w:val="auto"/>
                <w:szCs w:val="21"/>
                <w:highlight w:val="none"/>
              </w:rPr>
              <w:t>扭矩扳手</w:t>
            </w:r>
          </w:p>
        </w:tc>
        <w:tc>
          <w:tcPr>
            <w:tcW w:w="2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autoSpaceDE/>
              <w:autoSpaceDN/>
              <w:bidi w:val="0"/>
              <w:spacing w:before="0" w:beforeAutospacing="0" w:after="0" w:afterAutospacing="0" w:line="500" w:lineRule="exact"/>
              <w:ind w:left="0" w:right="0"/>
              <w:jc w:val="center"/>
              <w:textAlignment w:val="auto"/>
              <w:rPr>
                <w:rFonts w:hint="default" w:ascii="宋体" w:hAnsi="宋体"/>
                <w:color w:val="auto"/>
                <w:sz w:val="24"/>
                <w:szCs w:val="24"/>
                <w:highlight w:val="none"/>
              </w:rPr>
            </w:pPr>
            <w:r>
              <w:rPr>
                <w:rFonts w:hint="default" w:ascii="宋体" w:hAnsi="宋体"/>
                <w:color w:val="auto"/>
                <w:szCs w:val="21"/>
                <w:highlight w:val="none"/>
              </w:rPr>
              <w:t>1个</w:t>
            </w:r>
          </w:p>
        </w:tc>
      </w:tr>
    </w:tbl>
    <w:p>
      <w:pPr>
        <w:keepNext w:val="0"/>
        <w:keepLines w:val="0"/>
        <w:pageBreakBefore w:val="0"/>
        <w:tabs>
          <w:tab w:val="left" w:pos="2980"/>
        </w:tabs>
        <w:kinsoku/>
        <w:wordWrap/>
        <w:overflowPunct/>
        <w:topLinePunct/>
        <w:autoSpaceDE/>
        <w:autoSpaceDN/>
        <w:bidi w:val="0"/>
        <w:spacing w:line="500" w:lineRule="exact"/>
        <w:ind w:firstLine="422" w:firstLineChars="176"/>
        <w:jc w:val="left"/>
        <w:textAlignment w:val="auto"/>
        <w:rPr>
          <w:rFonts w:ascii="宋体" w:hAnsi="宋体"/>
          <w:color w:val="auto"/>
          <w:sz w:val="24"/>
          <w:szCs w:val="24"/>
          <w:highlight w:val="none"/>
        </w:rPr>
      </w:pPr>
      <w:r>
        <w:rPr>
          <w:rFonts w:hint="eastAsia" w:ascii="宋体" w:hAnsi="宋体"/>
          <w:color w:val="auto"/>
          <w:sz w:val="24"/>
          <w:szCs w:val="24"/>
          <w:highlight w:val="none"/>
        </w:rPr>
        <w:t>注：上表中为投入本项目的试验检测设备的最低要求。</w:t>
      </w:r>
    </w:p>
    <w:p>
      <w:pPr>
        <w:keepNext w:val="0"/>
        <w:keepLines w:val="0"/>
        <w:pageBreakBefore w:val="0"/>
        <w:tabs>
          <w:tab w:val="left" w:pos="2980"/>
        </w:tabs>
        <w:kinsoku/>
        <w:wordWrap/>
        <w:overflowPunct/>
        <w:topLinePunct/>
        <w:autoSpaceDE/>
        <w:autoSpaceDN/>
        <w:bidi w:val="0"/>
        <w:spacing w:line="500" w:lineRule="exact"/>
        <w:ind w:firstLine="422" w:firstLineChars="176"/>
        <w:jc w:val="left"/>
        <w:textAlignment w:val="auto"/>
        <w:rPr>
          <w:rFonts w:ascii="宋体" w:hAnsi="宋体"/>
          <w:color w:val="auto"/>
          <w:sz w:val="24"/>
          <w:szCs w:val="24"/>
          <w:highlight w:val="none"/>
        </w:rPr>
      </w:pPr>
    </w:p>
    <w:p>
      <w:pPr>
        <w:keepNext w:val="0"/>
        <w:keepLines w:val="0"/>
        <w:pageBreakBefore w:val="0"/>
        <w:kinsoku/>
        <w:wordWrap/>
        <w:overflowPunct/>
        <w:autoSpaceDE/>
        <w:autoSpaceDN/>
        <w:bidi w:val="0"/>
        <w:spacing w:line="500" w:lineRule="exact"/>
        <w:ind w:firstLine="480" w:firstLineChars="200"/>
        <w:textAlignment w:val="auto"/>
        <w:rPr>
          <w:rFonts w:ascii="宋体" w:hAnsi="宋体"/>
          <w:color w:val="auto"/>
          <w:sz w:val="24"/>
          <w:szCs w:val="24"/>
          <w:highlight w:val="none"/>
        </w:rPr>
      </w:pPr>
    </w:p>
    <w:p>
      <w:pPr>
        <w:keepNext w:val="0"/>
        <w:keepLines w:val="0"/>
        <w:pageBreakBefore w:val="0"/>
        <w:kinsoku/>
        <w:wordWrap/>
        <w:overflowPunct/>
        <w:autoSpaceDE/>
        <w:autoSpaceDN/>
        <w:bidi w:val="0"/>
        <w:spacing w:line="500" w:lineRule="exact"/>
        <w:textAlignment w:val="auto"/>
        <w:rPr>
          <w:color w:val="auto"/>
          <w:highlight w:val="none"/>
        </w:rPr>
      </w:pPr>
      <w:r>
        <w:rPr>
          <w:rFonts w:hint="eastAsia"/>
          <w:color w:val="auto"/>
          <w:highlight w:val="none"/>
        </w:rPr>
        <w:br w:type="page"/>
      </w:r>
    </w:p>
    <w:p>
      <w:pPr>
        <w:pStyle w:val="17"/>
        <w:rPr>
          <w:color w:val="auto"/>
          <w:highlight w:val="none"/>
        </w:rPr>
      </w:pPr>
    </w:p>
    <w:p>
      <w:pPr>
        <w:pStyle w:val="3"/>
        <w:keepNext w:val="0"/>
        <w:keepLines w:val="0"/>
        <w:jc w:val="center"/>
        <w:rPr>
          <w:color w:val="auto"/>
          <w:highlight w:val="none"/>
        </w:rPr>
      </w:pPr>
      <w:bookmarkStart w:id="950" w:name="_Toc18567"/>
      <w:r>
        <w:rPr>
          <w:color w:val="auto"/>
          <w:highlight w:val="none"/>
        </w:rPr>
        <w:t>第</w:t>
      </w:r>
      <w:r>
        <w:rPr>
          <w:rFonts w:hint="eastAsia"/>
          <w:color w:val="auto"/>
          <w:highlight w:val="none"/>
        </w:rPr>
        <w:t>三</w:t>
      </w:r>
      <w:r>
        <w:rPr>
          <w:color w:val="auto"/>
          <w:highlight w:val="none"/>
        </w:rPr>
        <w:t>卷</w:t>
      </w:r>
      <w:bookmarkEnd w:id="950"/>
    </w:p>
    <w:p>
      <w:pPr>
        <w:rPr>
          <w:color w:val="auto"/>
          <w:highlight w:val="none"/>
        </w:rPr>
      </w:pPr>
    </w:p>
    <w:p>
      <w:pPr>
        <w:spacing w:line="400" w:lineRule="exact"/>
        <w:jc w:val="center"/>
        <w:rPr>
          <w:rFonts w:ascii="Times New Roman" w:hAnsi="Times New Roman"/>
          <w:color w:val="auto"/>
          <w:highlight w:val="none"/>
        </w:rPr>
      </w:pPr>
    </w:p>
    <w:p>
      <w:pPr>
        <w:pStyle w:val="17"/>
        <w:rPr>
          <w:color w:val="auto"/>
          <w:highlight w:val="none"/>
        </w:rPr>
      </w:pPr>
    </w:p>
    <w:p>
      <w:pPr>
        <w:pStyle w:val="17"/>
        <w:rPr>
          <w:color w:val="auto"/>
          <w:highlight w:val="none"/>
        </w:rPr>
      </w:pPr>
    </w:p>
    <w:p>
      <w:pPr>
        <w:pStyle w:val="3"/>
        <w:keepNext w:val="0"/>
        <w:keepLines w:val="0"/>
        <w:jc w:val="center"/>
        <w:rPr>
          <w:color w:val="auto"/>
          <w:highlight w:val="none"/>
        </w:rPr>
      </w:pPr>
      <w:bookmarkStart w:id="951" w:name="_Toc6708"/>
      <w:r>
        <w:rPr>
          <w:color w:val="auto"/>
          <w:highlight w:val="none"/>
        </w:rPr>
        <w:t>第六章</w:t>
      </w:r>
      <w:r>
        <w:rPr>
          <w:rFonts w:hint="eastAsia"/>
          <w:color w:val="auto"/>
          <w:highlight w:val="none"/>
        </w:rPr>
        <w:t xml:space="preserve"> </w:t>
      </w:r>
      <w:r>
        <w:rPr>
          <w:color w:val="auto"/>
          <w:highlight w:val="none"/>
        </w:rPr>
        <w:t>投标文件格式</w:t>
      </w:r>
      <w:bookmarkEnd w:id="951"/>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pStyle w:val="10"/>
        <w:rPr>
          <w:rFonts w:ascii="Times New Roman" w:hAnsi="Times New Roman"/>
          <w:color w:val="auto"/>
          <w:highlight w:val="none"/>
        </w:rPr>
      </w:pPr>
    </w:p>
    <w:p>
      <w:pPr>
        <w:rPr>
          <w:rFonts w:ascii="Times New Roman" w:hAnsi="Times New Roman"/>
          <w:color w:val="auto"/>
          <w:highlight w:val="none"/>
        </w:rPr>
      </w:pPr>
    </w:p>
    <w:p>
      <w:pPr>
        <w:autoSpaceDE w:val="0"/>
        <w:autoSpaceDN w:val="0"/>
        <w:adjustRightInd w:val="0"/>
        <w:jc w:val="center"/>
        <w:rPr>
          <w:b/>
          <w:color w:val="auto"/>
          <w:sz w:val="44"/>
          <w:szCs w:val="44"/>
          <w:highlight w:val="none"/>
        </w:rPr>
      </w:pPr>
    </w:p>
    <w:p>
      <w:pPr>
        <w:autoSpaceDE w:val="0"/>
        <w:autoSpaceDN w:val="0"/>
        <w:adjustRightInd w:val="0"/>
        <w:jc w:val="center"/>
        <w:rPr>
          <w:b/>
          <w:color w:val="auto"/>
          <w:sz w:val="44"/>
          <w:szCs w:val="44"/>
          <w:highlight w:val="none"/>
        </w:rPr>
      </w:pPr>
      <w:r>
        <w:rPr>
          <w:rFonts w:hint="eastAsia"/>
          <w:b/>
          <w:color w:val="auto"/>
          <w:sz w:val="44"/>
          <w:szCs w:val="44"/>
          <w:highlight w:val="none"/>
          <w:lang w:eastAsia="zh-CN"/>
        </w:rPr>
        <w:t>（项目名称）</w:t>
      </w:r>
    </w:p>
    <w:p>
      <w:pPr>
        <w:pStyle w:val="10"/>
        <w:rPr>
          <w:color w:val="auto"/>
          <w:highlight w:val="none"/>
        </w:rPr>
      </w:pPr>
    </w:p>
    <w:p>
      <w:pPr>
        <w:rPr>
          <w:rFonts w:ascii="Times New Roman" w:hAnsi="Times New Roman" w:eastAsia="黑体"/>
          <w:color w:val="auto"/>
          <w:sz w:val="20"/>
          <w:highlight w:val="none"/>
        </w:rPr>
      </w:pPr>
    </w:p>
    <w:p>
      <w:pPr>
        <w:rPr>
          <w:rFonts w:ascii="Times New Roman" w:hAnsi="Times New Roman" w:eastAsia="黑体"/>
          <w:color w:val="auto"/>
          <w:sz w:val="20"/>
          <w:highlight w:val="none"/>
        </w:rPr>
      </w:pPr>
    </w:p>
    <w:p>
      <w:pPr>
        <w:rPr>
          <w:rFonts w:ascii="Times New Roman" w:hAnsi="Times New Roman" w:eastAsia="黑体"/>
          <w:color w:val="auto"/>
          <w:sz w:val="20"/>
          <w:highlight w:val="none"/>
        </w:rPr>
      </w:pPr>
    </w:p>
    <w:p>
      <w:pPr>
        <w:rPr>
          <w:rFonts w:ascii="Times New Roman" w:hAnsi="Times New Roman" w:eastAsia="黑体"/>
          <w:color w:val="auto"/>
          <w:sz w:val="20"/>
          <w:highlight w:val="none"/>
        </w:rPr>
      </w:pPr>
    </w:p>
    <w:p>
      <w:pPr>
        <w:rPr>
          <w:rFonts w:ascii="Times New Roman" w:hAnsi="Times New Roman" w:eastAsia="黑体"/>
          <w:color w:val="auto"/>
          <w:sz w:val="20"/>
          <w:highlight w:val="none"/>
        </w:rPr>
      </w:pPr>
    </w:p>
    <w:p>
      <w:pPr>
        <w:jc w:val="center"/>
        <w:rPr>
          <w:rFonts w:ascii="Times New Roman" w:hAnsi="Times New Roman" w:eastAsia="黑体"/>
          <w:color w:val="auto"/>
          <w:sz w:val="84"/>
          <w:szCs w:val="84"/>
          <w:highlight w:val="none"/>
        </w:rPr>
      </w:pPr>
    </w:p>
    <w:p>
      <w:pPr>
        <w:jc w:val="center"/>
        <w:rPr>
          <w:rFonts w:ascii="Times New Roman" w:hAnsi="Times New Roman" w:eastAsia="黑体"/>
          <w:color w:val="auto"/>
          <w:sz w:val="84"/>
          <w:szCs w:val="84"/>
          <w:highlight w:val="none"/>
        </w:rPr>
      </w:pPr>
      <w:r>
        <w:rPr>
          <w:rFonts w:ascii="Times New Roman" w:hAnsi="Times New Roman" w:eastAsia="黑体"/>
          <w:color w:val="auto"/>
          <w:sz w:val="84"/>
          <w:szCs w:val="84"/>
          <w:highlight w:val="none"/>
        </w:rPr>
        <w:t>投 标 文 件</w:t>
      </w:r>
    </w:p>
    <w:p>
      <w:pPr>
        <w:jc w:val="center"/>
        <w:rPr>
          <w:rFonts w:ascii="Times New Roman" w:hAnsi="Times New Roman" w:eastAsia="黑体"/>
          <w:color w:val="auto"/>
          <w:sz w:val="44"/>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spacing w:line="360" w:lineRule="auto"/>
        <w:rPr>
          <w:rFonts w:ascii="Times New Roman" w:hAnsi="Times New Roman" w:eastAsia="黑体"/>
          <w:color w:val="auto"/>
          <w:sz w:val="28"/>
          <w:highlight w:val="none"/>
        </w:rPr>
      </w:pPr>
    </w:p>
    <w:p>
      <w:pPr>
        <w:spacing w:line="360" w:lineRule="auto"/>
        <w:ind w:firstLine="1120" w:firstLineChars="400"/>
        <w:rPr>
          <w:rFonts w:ascii="Times New Roman" w:hAnsi="Times New Roman" w:eastAsia="黑体"/>
          <w:color w:val="auto"/>
          <w:sz w:val="28"/>
          <w:highlight w:val="none"/>
          <w:u w:val="single"/>
        </w:rPr>
      </w:pPr>
      <w:r>
        <w:rPr>
          <w:rFonts w:ascii="Times New Roman" w:hAnsi="Times New Roman" w:eastAsia="黑体"/>
          <w:color w:val="auto"/>
          <w:sz w:val="28"/>
          <w:highlight w:val="none"/>
        </w:rPr>
        <w:t>投标人：</w:t>
      </w:r>
      <w:r>
        <w:rPr>
          <w:rFonts w:ascii="Times New Roman" w:hAnsi="Times New Roman"/>
          <w:color w:val="auto"/>
          <w:highlight w:val="none"/>
          <w:u w:val="single"/>
        </w:rPr>
        <w:t xml:space="preserve">                                            </w:t>
      </w:r>
      <w:r>
        <w:rPr>
          <w:rFonts w:ascii="Times New Roman" w:hAnsi="Times New Roman" w:eastAsia="黑体"/>
          <w:color w:val="auto"/>
          <w:sz w:val="28"/>
          <w:highlight w:val="none"/>
        </w:rPr>
        <w:t>（盖单位章）</w:t>
      </w:r>
    </w:p>
    <w:p>
      <w:pPr>
        <w:spacing w:line="360" w:lineRule="auto"/>
        <w:ind w:firstLine="1120" w:firstLineChars="400"/>
        <w:jc w:val="left"/>
        <w:rPr>
          <w:rFonts w:ascii="Times New Roman" w:hAnsi="Times New Roman" w:eastAsia="黑体"/>
          <w:color w:val="auto"/>
          <w:sz w:val="28"/>
          <w:highlight w:val="none"/>
        </w:rPr>
      </w:pPr>
      <w:r>
        <w:rPr>
          <w:rFonts w:ascii="Times New Roman" w:hAnsi="Times New Roman" w:eastAsia="黑体"/>
          <w:color w:val="auto"/>
          <w:sz w:val="28"/>
          <w:highlight w:val="none"/>
        </w:rPr>
        <w:t>法定代表人或其委托代理人：</w:t>
      </w:r>
      <w:r>
        <w:rPr>
          <w:rFonts w:ascii="Times New Roman" w:hAnsi="Times New Roman"/>
          <w:color w:val="auto"/>
          <w:highlight w:val="none"/>
          <w:u w:val="single"/>
        </w:rPr>
        <w:t xml:space="preserve">       </w:t>
      </w:r>
      <w:r>
        <w:rPr>
          <w:rFonts w:ascii="Times New Roman" w:hAnsi="Times New Roman" w:eastAsia="黑体"/>
          <w:color w:val="auto"/>
          <w:sz w:val="28"/>
          <w:highlight w:val="none"/>
        </w:rPr>
        <w:t>（</w:t>
      </w:r>
      <w:r>
        <w:rPr>
          <w:rFonts w:hint="eastAsia" w:ascii="Times New Roman" w:hAnsi="Times New Roman" w:eastAsia="黑体"/>
          <w:color w:val="auto"/>
          <w:sz w:val="28"/>
          <w:highlight w:val="none"/>
        </w:rPr>
        <w:t>签字或盖章</w:t>
      </w:r>
      <w:r>
        <w:rPr>
          <w:rFonts w:ascii="Times New Roman" w:hAnsi="Times New Roman" w:eastAsia="黑体"/>
          <w:color w:val="auto"/>
          <w:sz w:val="28"/>
          <w:highlight w:val="none"/>
        </w:rPr>
        <w:t>）</w:t>
      </w:r>
    </w:p>
    <w:p>
      <w:pPr>
        <w:jc w:val="center"/>
        <w:rPr>
          <w:rFonts w:ascii="Times New Roman" w:hAnsi="Times New Roman" w:eastAsia="黑体"/>
          <w:color w:val="auto"/>
          <w:sz w:val="28"/>
          <w:highlight w:val="none"/>
        </w:rPr>
      </w:pPr>
    </w:p>
    <w:p>
      <w:pPr>
        <w:spacing w:line="400" w:lineRule="exact"/>
        <w:jc w:val="center"/>
        <w:rPr>
          <w:rFonts w:ascii="Times New Roman" w:hAnsi="Times New Roman" w:eastAsia="黑体"/>
          <w:color w:val="auto"/>
          <w:sz w:val="28"/>
          <w:highlight w:val="none"/>
        </w:rPr>
      </w:pPr>
      <w:r>
        <w:rPr>
          <w:rFonts w:ascii="Times New Roman" w:hAnsi="Times New Roman"/>
          <w:color w:val="auto"/>
          <w:highlight w:val="none"/>
          <w:u w:val="single"/>
        </w:rPr>
        <w:t xml:space="preserve">       </w:t>
      </w:r>
      <w:r>
        <w:rPr>
          <w:rFonts w:ascii="Times New Roman" w:hAnsi="Times New Roman" w:eastAsia="黑体"/>
          <w:color w:val="auto"/>
          <w:sz w:val="28"/>
          <w:highlight w:val="none"/>
        </w:rPr>
        <w:t>年</w:t>
      </w:r>
      <w:r>
        <w:rPr>
          <w:rFonts w:ascii="Times New Roman" w:hAnsi="Times New Roman"/>
          <w:color w:val="auto"/>
          <w:highlight w:val="none"/>
          <w:u w:val="single"/>
        </w:rPr>
        <w:t xml:space="preserve">       </w:t>
      </w:r>
      <w:r>
        <w:rPr>
          <w:rFonts w:ascii="Times New Roman" w:hAnsi="Times New Roman" w:eastAsia="黑体"/>
          <w:color w:val="auto"/>
          <w:sz w:val="28"/>
          <w:highlight w:val="none"/>
        </w:rPr>
        <w:t>月</w:t>
      </w:r>
      <w:r>
        <w:rPr>
          <w:rFonts w:ascii="Times New Roman" w:hAnsi="Times New Roman"/>
          <w:color w:val="auto"/>
          <w:highlight w:val="none"/>
          <w:u w:val="single"/>
        </w:rPr>
        <w:t xml:space="preserve">       </w:t>
      </w:r>
      <w:r>
        <w:rPr>
          <w:rFonts w:ascii="Times New Roman" w:hAnsi="Times New Roman" w:eastAsia="黑体"/>
          <w:color w:val="auto"/>
          <w:sz w:val="28"/>
          <w:highlight w:val="none"/>
        </w:rPr>
        <w:t>日</w:t>
      </w:r>
    </w:p>
    <w:p>
      <w:pPr>
        <w:pStyle w:val="4"/>
        <w:keepNext w:val="0"/>
        <w:keepLines w:val="0"/>
        <w:jc w:val="center"/>
        <w:rPr>
          <w:rFonts w:ascii="Times New Roman" w:hAnsi="Times New Roman"/>
          <w:color w:val="auto"/>
          <w:highlight w:val="none"/>
        </w:rPr>
      </w:pPr>
    </w:p>
    <w:p>
      <w:pPr>
        <w:pStyle w:val="4"/>
        <w:keepNext w:val="0"/>
        <w:keepLines w:val="0"/>
        <w:jc w:val="center"/>
        <w:rPr>
          <w:rFonts w:ascii="Times New Roman" w:hAnsi="Times New Roman"/>
          <w:color w:val="auto"/>
          <w:highlight w:val="none"/>
        </w:rPr>
      </w:pPr>
      <w:bookmarkStart w:id="952" w:name="_Toc2862"/>
      <w:bookmarkStart w:id="953" w:name="_Toc29071"/>
      <w:bookmarkStart w:id="954" w:name="_Toc10686"/>
      <w:r>
        <w:rPr>
          <w:rFonts w:ascii="Times New Roman" w:hAnsi="Times New Roman"/>
          <w:color w:val="auto"/>
          <w:highlight w:val="none"/>
        </w:rPr>
        <w:t>目</w:t>
      </w:r>
      <w:r>
        <w:rPr>
          <w:rFonts w:hint="eastAsia" w:ascii="Times New Roman" w:hAnsi="Times New Roman"/>
          <w:color w:val="auto"/>
          <w:highlight w:val="none"/>
        </w:rPr>
        <w:t xml:space="preserve">  </w:t>
      </w:r>
      <w:r>
        <w:rPr>
          <w:rFonts w:ascii="Times New Roman" w:hAnsi="Times New Roman"/>
          <w:color w:val="auto"/>
          <w:highlight w:val="none"/>
        </w:rPr>
        <w:t>录</w:t>
      </w:r>
      <w:bookmarkEnd w:id="952"/>
      <w:bookmarkEnd w:id="953"/>
      <w:bookmarkEnd w:id="954"/>
    </w:p>
    <w:p>
      <w:pPr>
        <w:spacing w:line="540" w:lineRule="exact"/>
        <w:rPr>
          <w:rFonts w:ascii="Times New Roman" w:hAnsi="Times New Roman"/>
          <w:color w:val="auto"/>
          <w:highlight w:val="none"/>
        </w:rPr>
      </w:pPr>
      <w:r>
        <w:rPr>
          <w:rFonts w:ascii="Times New Roman" w:hAnsi="Times New Roman"/>
          <w:color w:val="auto"/>
          <w:highlight w:val="none"/>
        </w:rPr>
        <w:t>一、投标函及投标函附录</w:t>
      </w:r>
    </w:p>
    <w:p>
      <w:pPr>
        <w:spacing w:line="540" w:lineRule="exact"/>
        <w:rPr>
          <w:rFonts w:ascii="Times New Roman" w:hAnsi="Times New Roman"/>
          <w:color w:val="auto"/>
          <w:highlight w:val="none"/>
        </w:rPr>
      </w:pPr>
      <w:r>
        <w:rPr>
          <w:rFonts w:ascii="Times New Roman" w:hAnsi="Times New Roman"/>
          <w:color w:val="auto"/>
          <w:highlight w:val="none"/>
        </w:rPr>
        <w:t>二、法定代表人身份证明（适用于无委托代理人的情况）</w:t>
      </w:r>
      <w:r>
        <w:rPr>
          <w:rFonts w:hint="eastAsia" w:ascii="Times New Roman" w:hAnsi="Times New Roman"/>
          <w:color w:val="auto"/>
          <w:highlight w:val="none"/>
        </w:rPr>
        <w:t>、</w:t>
      </w:r>
      <w:r>
        <w:rPr>
          <w:rFonts w:ascii="Times New Roman" w:hAnsi="Times New Roman"/>
          <w:color w:val="auto"/>
          <w:highlight w:val="none"/>
        </w:rPr>
        <w:t>授权委托书（适用于有委托代理人的情况）</w:t>
      </w:r>
    </w:p>
    <w:p>
      <w:pPr>
        <w:spacing w:line="540" w:lineRule="exact"/>
        <w:rPr>
          <w:rFonts w:ascii="Times New Roman" w:hAnsi="Times New Roman"/>
          <w:color w:val="auto"/>
          <w:highlight w:val="none"/>
        </w:rPr>
      </w:pPr>
      <w:r>
        <w:rPr>
          <w:rFonts w:hint="eastAsia" w:ascii="Times New Roman" w:hAnsi="Times New Roman"/>
          <w:color w:val="auto"/>
          <w:highlight w:val="none"/>
        </w:rPr>
        <w:t>三</w:t>
      </w:r>
      <w:r>
        <w:rPr>
          <w:rFonts w:ascii="Times New Roman" w:hAnsi="Times New Roman"/>
          <w:color w:val="auto"/>
          <w:highlight w:val="none"/>
        </w:rPr>
        <w:t>、投标保证金</w:t>
      </w:r>
    </w:p>
    <w:p>
      <w:pPr>
        <w:spacing w:line="540" w:lineRule="exact"/>
        <w:rPr>
          <w:rFonts w:ascii="Times New Roman" w:hAnsi="Times New Roman"/>
          <w:color w:val="auto"/>
          <w:highlight w:val="none"/>
        </w:rPr>
      </w:pPr>
      <w:r>
        <w:rPr>
          <w:rFonts w:hint="eastAsia" w:ascii="Times New Roman" w:hAnsi="Times New Roman"/>
          <w:color w:val="auto"/>
          <w:highlight w:val="none"/>
        </w:rPr>
        <w:t>四</w:t>
      </w:r>
      <w:r>
        <w:rPr>
          <w:rFonts w:ascii="Times New Roman" w:hAnsi="Times New Roman"/>
          <w:color w:val="auto"/>
          <w:highlight w:val="none"/>
        </w:rPr>
        <w:t>、</w:t>
      </w:r>
      <w:r>
        <w:rPr>
          <w:rFonts w:hint="eastAsia" w:ascii="Times New Roman" w:hAnsi="Times New Roman"/>
          <w:color w:val="auto"/>
          <w:highlight w:val="none"/>
        </w:rPr>
        <w:t>投标报价表</w:t>
      </w:r>
    </w:p>
    <w:p>
      <w:pPr>
        <w:spacing w:line="540" w:lineRule="exact"/>
        <w:rPr>
          <w:rFonts w:ascii="Times New Roman" w:hAnsi="Times New Roman"/>
          <w:color w:val="auto"/>
          <w:highlight w:val="none"/>
        </w:rPr>
      </w:pPr>
      <w:r>
        <w:rPr>
          <w:rFonts w:hint="eastAsia" w:ascii="Times New Roman" w:hAnsi="Times New Roman"/>
          <w:color w:val="auto"/>
          <w:highlight w:val="none"/>
        </w:rPr>
        <w:t>五</w:t>
      </w:r>
      <w:r>
        <w:rPr>
          <w:rFonts w:ascii="Times New Roman" w:hAnsi="Times New Roman"/>
          <w:color w:val="auto"/>
          <w:highlight w:val="none"/>
        </w:rPr>
        <w:t>、资格审查资料</w:t>
      </w:r>
    </w:p>
    <w:p>
      <w:pPr>
        <w:spacing w:line="540" w:lineRule="exact"/>
        <w:rPr>
          <w:rFonts w:ascii="Times New Roman" w:hAnsi="Times New Roman"/>
          <w:color w:val="auto"/>
          <w:highlight w:val="none"/>
        </w:rPr>
      </w:pPr>
      <w:r>
        <w:rPr>
          <w:rFonts w:hint="eastAsia" w:ascii="Times New Roman" w:hAnsi="Times New Roman"/>
          <w:color w:val="auto"/>
          <w:highlight w:val="none"/>
        </w:rPr>
        <w:t>六</w:t>
      </w:r>
      <w:r>
        <w:rPr>
          <w:rFonts w:ascii="Times New Roman" w:hAnsi="Times New Roman"/>
          <w:color w:val="auto"/>
          <w:highlight w:val="none"/>
        </w:rPr>
        <w:t>、</w:t>
      </w:r>
      <w:r>
        <w:rPr>
          <w:rFonts w:hint="eastAsia" w:ascii="Times New Roman" w:hAnsi="Times New Roman"/>
          <w:color w:val="auto"/>
          <w:highlight w:val="none"/>
        </w:rPr>
        <w:t>监理大纲</w:t>
      </w:r>
    </w:p>
    <w:p>
      <w:pPr>
        <w:spacing w:line="540" w:lineRule="exact"/>
        <w:rPr>
          <w:rFonts w:ascii="Times New Roman" w:hAnsi="Times New Roman"/>
          <w:color w:val="auto"/>
          <w:highlight w:val="none"/>
        </w:rPr>
      </w:pPr>
      <w:bookmarkStart w:id="955" w:name="_Toc369531691"/>
      <w:bookmarkStart w:id="956" w:name="_Toc7039"/>
      <w:bookmarkStart w:id="957" w:name="_Toc352691655"/>
      <w:r>
        <w:rPr>
          <w:rFonts w:hint="eastAsia" w:ascii="Times New Roman" w:hAnsi="Times New Roman"/>
          <w:color w:val="auto"/>
          <w:highlight w:val="none"/>
        </w:rPr>
        <w:t>七</w:t>
      </w:r>
      <w:r>
        <w:rPr>
          <w:rFonts w:ascii="Times New Roman" w:hAnsi="Times New Roman"/>
          <w:color w:val="auto"/>
          <w:highlight w:val="none"/>
        </w:rPr>
        <w:t>、其他资料</w:t>
      </w: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bookmarkEnd w:id="955"/>
    <w:bookmarkEnd w:id="956"/>
    <w:bookmarkEnd w:id="957"/>
    <w:p>
      <w:pPr>
        <w:pStyle w:val="4"/>
        <w:keepNext w:val="0"/>
        <w:keepLines w:val="0"/>
        <w:jc w:val="center"/>
        <w:rPr>
          <w:rFonts w:ascii="Times New Roman" w:hAnsi="Times New Roman"/>
          <w:color w:val="auto"/>
          <w:highlight w:val="none"/>
        </w:rPr>
      </w:pPr>
      <w:r>
        <w:rPr>
          <w:rFonts w:ascii="Times New Roman" w:hAnsi="Times New Roman"/>
          <w:color w:val="auto"/>
          <w:highlight w:val="none"/>
        </w:rPr>
        <w:br w:type="page"/>
      </w:r>
      <w:bookmarkStart w:id="958" w:name="_Toc17634"/>
      <w:bookmarkStart w:id="959" w:name="_Toc30909"/>
      <w:r>
        <w:rPr>
          <w:rFonts w:ascii="Times New Roman" w:hAnsi="Times New Roman"/>
          <w:color w:val="auto"/>
          <w:highlight w:val="none"/>
        </w:rPr>
        <w:t>一、投标</w:t>
      </w:r>
      <w:bookmarkStart w:id="960" w:name="_Toc352691656"/>
      <w:bookmarkStart w:id="961" w:name="_Toc6931"/>
      <w:bookmarkStart w:id="962" w:name="_Toc369531692"/>
      <w:r>
        <w:rPr>
          <w:rFonts w:ascii="Times New Roman" w:hAnsi="Times New Roman"/>
          <w:color w:val="auto"/>
          <w:highlight w:val="none"/>
        </w:rPr>
        <w:t>函及投标函附录</w:t>
      </w:r>
      <w:bookmarkEnd w:id="958"/>
      <w:bookmarkEnd w:id="959"/>
    </w:p>
    <w:bookmarkEnd w:id="960"/>
    <w:bookmarkEnd w:id="961"/>
    <w:bookmarkEnd w:id="962"/>
    <w:p>
      <w:pPr>
        <w:pStyle w:val="5"/>
        <w:keepNext w:val="0"/>
        <w:keepLines w:val="0"/>
        <w:ind w:firstLine="137"/>
        <w:rPr>
          <w:rFonts w:ascii="Times New Roman" w:hAnsi="Times New Roman"/>
          <w:color w:val="auto"/>
          <w:highlight w:val="none"/>
        </w:rPr>
      </w:pPr>
      <w:bookmarkStart w:id="963" w:name="_Toc385943065"/>
      <w:bookmarkStart w:id="964" w:name="_Toc20447"/>
      <w:bookmarkStart w:id="965" w:name="_Toc391394111"/>
      <w:bookmarkStart w:id="966" w:name="_Toc16357"/>
      <w:bookmarkStart w:id="967" w:name="_Toc3971"/>
      <w:bookmarkStart w:id="968" w:name="_Toc370676426"/>
      <w:bookmarkStart w:id="969" w:name="_Toc482188651"/>
      <w:bookmarkStart w:id="970" w:name="_Toc359594235"/>
      <w:r>
        <w:rPr>
          <w:rFonts w:ascii="Times New Roman" w:hAnsi="Times New Roman"/>
          <w:color w:val="auto"/>
          <w:highlight w:val="none"/>
        </w:rPr>
        <w:t>（一）投标函</w:t>
      </w:r>
      <w:bookmarkEnd w:id="963"/>
      <w:bookmarkEnd w:id="964"/>
      <w:bookmarkEnd w:id="965"/>
      <w:bookmarkEnd w:id="966"/>
      <w:bookmarkEnd w:id="967"/>
      <w:bookmarkEnd w:id="968"/>
      <w:bookmarkEnd w:id="969"/>
      <w:bookmarkEnd w:id="970"/>
    </w:p>
    <w:p>
      <w:pPr>
        <w:spacing w:line="440" w:lineRule="exact"/>
        <w:rPr>
          <w:rFonts w:ascii="Times New Roman" w:hAnsi="Times New Roman"/>
          <w:color w:val="auto"/>
          <w:szCs w:val="21"/>
          <w:highlight w:val="none"/>
        </w:rPr>
      </w:pPr>
      <w:r>
        <w:rPr>
          <w:rFonts w:ascii="Times New Roman" w:hAnsi="Times New Roman"/>
          <w:color w:val="auto"/>
          <w:szCs w:val="21"/>
          <w:highlight w:val="none"/>
        </w:rPr>
        <w:t>（招标人名称）：</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1．我方已仔细研究了</w:t>
      </w:r>
      <w:r>
        <w:rPr>
          <w:rFonts w:hint="eastAsia" w:ascii="Times New Roman" w:hAnsi="Times New Roman"/>
          <w:color w:val="auto"/>
          <w:szCs w:val="21"/>
          <w:highlight w:val="none"/>
          <w:u w:val="single"/>
          <w:lang w:eastAsia="zh-CN"/>
        </w:rPr>
        <w:t>（项目名称）</w:t>
      </w:r>
      <w:r>
        <w:rPr>
          <w:rFonts w:ascii="Times New Roman" w:hAnsi="Times New Roman"/>
          <w:color w:val="auto"/>
          <w:szCs w:val="21"/>
          <w:highlight w:val="none"/>
        </w:rPr>
        <w:t>招标项目招标文件的全部内容，愿意以人民币（大写）</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）的投标报价</w:t>
      </w:r>
      <w:r>
        <w:rPr>
          <w:rFonts w:ascii="Times New Roman" w:hAnsi="Times New Roman" w:eastAsia="黑体"/>
          <w:color w:val="auto"/>
          <w:szCs w:val="21"/>
          <w:highlight w:val="none"/>
        </w:rPr>
        <w:t>，</w:t>
      </w:r>
      <w:r>
        <w:rPr>
          <w:rFonts w:ascii="Times New Roman" w:hAnsi="Times New Roman"/>
          <w:color w:val="auto"/>
          <w:szCs w:val="21"/>
          <w:highlight w:val="none"/>
        </w:rPr>
        <w:t>服务期限：</w:t>
      </w:r>
      <w:r>
        <w:rPr>
          <w:rFonts w:hint="eastAsia" w:ascii="Times New Roman" w:hAnsi="Times New Roman"/>
          <w:color w:val="auto"/>
          <w:szCs w:val="21"/>
          <w:highlight w:val="none"/>
          <w:u w:val="single"/>
        </w:rPr>
        <w:t>按招标文件要求</w:t>
      </w:r>
      <w:r>
        <w:rPr>
          <w:rFonts w:ascii="Times New Roman" w:hAnsi="Times New Roman"/>
          <w:color w:val="auto"/>
          <w:szCs w:val="21"/>
          <w:highlight w:val="none"/>
        </w:rPr>
        <w:t>，按合同约定完成</w:t>
      </w:r>
      <w:r>
        <w:rPr>
          <w:rFonts w:ascii="Times New Roman" w:hAnsi="Times New Roman"/>
          <w:color w:val="auto"/>
          <w:szCs w:val="21"/>
          <w:highlight w:val="none"/>
          <w:u w:val="single"/>
        </w:rPr>
        <w:t>监理</w:t>
      </w:r>
      <w:r>
        <w:rPr>
          <w:rFonts w:ascii="Times New Roman" w:hAnsi="Times New Roman"/>
          <w:color w:val="auto"/>
          <w:szCs w:val="21"/>
          <w:highlight w:val="none"/>
        </w:rPr>
        <w:t>工作。</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 我方的投标文件包括下列内容：</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（1）投标函</w:t>
      </w:r>
      <w:r>
        <w:rPr>
          <w:rFonts w:ascii="Times New Roman" w:hAnsi="Times New Roman"/>
          <w:color w:val="auto"/>
          <w:highlight w:val="none"/>
        </w:rPr>
        <w:t>及投标函附录</w:t>
      </w:r>
      <w:r>
        <w:rPr>
          <w:rFonts w:ascii="Times New Roman" w:hAnsi="Times New Roman"/>
          <w:color w:val="auto"/>
          <w:szCs w:val="21"/>
          <w:highlight w:val="none"/>
        </w:rPr>
        <w:t>；</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（2）法定代表人身份证明或授权委托书；</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3</w:t>
      </w:r>
      <w:r>
        <w:rPr>
          <w:rFonts w:ascii="Times New Roman" w:hAnsi="Times New Roman"/>
          <w:color w:val="auto"/>
          <w:szCs w:val="21"/>
          <w:highlight w:val="none"/>
        </w:rPr>
        <w:t>）投标保证金；</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4</w:t>
      </w:r>
      <w:r>
        <w:rPr>
          <w:rFonts w:ascii="Times New Roman" w:hAnsi="Times New Roman"/>
          <w:color w:val="auto"/>
          <w:szCs w:val="21"/>
          <w:highlight w:val="none"/>
        </w:rPr>
        <w:t>）</w:t>
      </w:r>
      <w:r>
        <w:rPr>
          <w:rFonts w:hint="eastAsia" w:ascii="Times New Roman" w:hAnsi="Times New Roman"/>
          <w:color w:val="auto"/>
          <w:szCs w:val="21"/>
          <w:highlight w:val="none"/>
        </w:rPr>
        <w:t>投标报价表</w:t>
      </w:r>
      <w:r>
        <w:rPr>
          <w:rFonts w:ascii="Times New Roman" w:hAnsi="Times New Roman"/>
          <w:color w:val="auto"/>
          <w:szCs w:val="21"/>
          <w:highlight w:val="none"/>
        </w:rPr>
        <w:t>；</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5</w:t>
      </w:r>
      <w:r>
        <w:rPr>
          <w:rFonts w:ascii="Times New Roman" w:hAnsi="Times New Roman"/>
          <w:color w:val="auto"/>
          <w:szCs w:val="21"/>
          <w:highlight w:val="none"/>
        </w:rPr>
        <w:t>）资格审查资料；</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6</w:t>
      </w:r>
      <w:r>
        <w:rPr>
          <w:rFonts w:ascii="Times New Roman" w:hAnsi="Times New Roman"/>
          <w:color w:val="auto"/>
          <w:szCs w:val="21"/>
          <w:highlight w:val="none"/>
        </w:rPr>
        <w:t>）</w:t>
      </w:r>
      <w:r>
        <w:rPr>
          <w:rFonts w:hint="eastAsia" w:ascii="Times New Roman" w:hAnsi="Times New Roman"/>
          <w:color w:val="auto"/>
          <w:szCs w:val="21"/>
          <w:highlight w:val="none"/>
        </w:rPr>
        <w:t>监理大纲</w:t>
      </w:r>
      <w:r>
        <w:rPr>
          <w:rFonts w:ascii="Times New Roman" w:hAnsi="Times New Roman"/>
          <w:color w:val="auto"/>
          <w:szCs w:val="21"/>
          <w:highlight w:val="none"/>
        </w:rPr>
        <w:t>；</w:t>
      </w:r>
    </w:p>
    <w:p>
      <w:pPr>
        <w:spacing w:line="44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（7）其他资料。</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投标文件的上述组成部分如存在内容不一致的，以投标函为准。</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3．我方承诺在招标文件规定的投标有效期内不撤销投标文件。</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4．如我方中标，我方承诺：</w:t>
      </w:r>
    </w:p>
    <w:p>
      <w:pPr>
        <w:spacing w:line="440" w:lineRule="exact"/>
        <w:ind w:left="945" w:leftChars="400" w:hanging="105" w:hangingChars="50"/>
        <w:rPr>
          <w:rFonts w:ascii="Times New Roman" w:hAnsi="Times New Roman"/>
          <w:color w:val="auto"/>
          <w:szCs w:val="21"/>
          <w:highlight w:val="none"/>
        </w:rPr>
      </w:pPr>
      <w:r>
        <w:rPr>
          <w:rFonts w:ascii="Times New Roman" w:hAnsi="Times New Roman"/>
          <w:color w:val="auto"/>
          <w:szCs w:val="21"/>
          <w:highlight w:val="none"/>
        </w:rPr>
        <w:t>（1）在收到中标通知书后，在中标通知书规定的期限内与你方签订合同；</w:t>
      </w:r>
    </w:p>
    <w:p>
      <w:pPr>
        <w:spacing w:line="440" w:lineRule="exact"/>
        <w:ind w:left="945" w:leftChars="400" w:hanging="105" w:hangingChars="50"/>
        <w:rPr>
          <w:rFonts w:ascii="Times New Roman" w:hAnsi="Times New Roman"/>
          <w:color w:val="auto"/>
          <w:szCs w:val="21"/>
          <w:highlight w:val="none"/>
        </w:rPr>
      </w:pPr>
      <w:r>
        <w:rPr>
          <w:rFonts w:ascii="Times New Roman" w:hAnsi="Times New Roman"/>
          <w:color w:val="auto"/>
          <w:szCs w:val="21"/>
          <w:highlight w:val="none"/>
        </w:rPr>
        <w:t>（2）在签订合同时不向你方提出附加条件；</w:t>
      </w:r>
    </w:p>
    <w:p>
      <w:pPr>
        <w:spacing w:line="440" w:lineRule="exact"/>
        <w:ind w:left="945" w:leftChars="400" w:hanging="105" w:hangingChars="50"/>
        <w:rPr>
          <w:rFonts w:ascii="Times New Roman" w:hAnsi="Times New Roman"/>
          <w:color w:val="auto"/>
          <w:szCs w:val="21"/>
          <w:highlight w:val="none"/>
        </w:rPr>
      </w:pPr>
      <w:r>
        <w:rPr>
          <w:rFonts w:ascii="Times New Roman" w:hAnsi="Times New Roman"/>
          <w:color w:val="auto"/>
          <w:szCs w:val="21"/>
          <w:highlight w:val="none"/>
        </w:rPr>
        <w:t>（3）按照招标文件要求提交履约保证金；</w:t>
      </w:r>
      <w:bookmarkStart w:id="971" w:name="_Toc352691658"/>
      <w:bookmarkStart w:id="972" w:name="_Toc369531694"/>
      <w:bookmarkStart w:id="973" w:name="_Toc1187"/>
    </w:p>
    <w:p>
      <w:pPr>
        <w:spacing w:line="440" w:lineRule="exact"/>
        <w:ind w:left="945" w:leftChars="400" w:hanging="105" w:hangingChars="50"/>
        <w:rPr>
          <w:rFonts w:ascii="Times New Roman" w:hAnsi="Times New Roman"/>
          <w:color w:val="auto"/>
          <w:szCs w:val="21"/>
          <w:highlight w:val="none"/>
        </w:rPr>
      </w:pPr>
      <w:r>
        <w:rPr>
          <w:rFonts w:ascii="Times New Roman" w:hAnsi="Times New Roman"/>
          <w:color w:val="auto"/>
          <w:szCs w:val="21"/>
          <w:highlight w:val="none"/>
        </w:rPr>
        <w:t>（4）在合</w:t>
      </w:r>
      <w:bookmarkEnd w:id="971"/>
      <w:bookmarkEnd w:id="972"/>
      <w:bookmarkEnd w:id="973"/>
      <w:r>
        <w:rPr>
          <w:rFonts w:ascii="Times New Roman" w:hAnsi="Times New Roman"/>
          <w:color w:val="auto"/>
          <w:szCs w:val="21"/>
          <w:highlight w:val="none"/>
        </w:rPr>
        <w:t>同约定的期限内完成合同规定的全部义务。</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6</w:t>
      </w:r>
      <w:r>
        <w:rPr>
          <w:rFonts w:ascii="Times New Roman" w:hAnsi="Times New Roman"/>
          <w:color w:val="auto"/>
          <w:szCs w:val="21"/>
          <w:highlight w:val="none"/>
        </w:rPr>
        <w:t>．如我方中标，我方承诺：我司提交的所有投标资料真实可靠，并</w:t>
      </w:r>
      <w:r>
        <w:rPr>
          <w:rFonts w:hint="eastAsia" w:ascii="Times New Roman" w:hAnsi="Times New Roman"/>
          <w:color w:val="auto"/>
          <w:szCs w:val="21"/>
          <w:highlight w:val="none"/>
        </w:rPr>
        <w:t>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没收投标保证金、接受行政监督部门的行政处罚等。</w:t>
      </w:r>
    </w:p>
    <w:p>
      <w:pPr>
        <w:spacing w:line="44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7</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（其他补充说明）。</w:t>
      </w:r>
    </w:p>
    <w:bookmarkEnd w:id="938"/>
    <w:bookmarkEnd w:id="939"/>
    <w:bookmarkEnd w:id="940"/>
    <w:bookmarkEnd w:id="941"/>
    <w:bookmarkEnd w:id="942"/>
    <w:bookmarkEnd w:id="943"/>
    <w:bookmarkEnd w:id="944"/>
    <w:bookmarkEnd w:id="945"/>
    <w:bookmarkEnd w:id="946"/>
    <w:p>
      <w:pPr>
        <w:spacing w:line="440" w:lineRule="exact"/>
        <w:ind w:firstLine="2520" w:firstLineChars="1200"/>
        <w:jc w:val="left"/>
        <w:rPr>
          <w:rFonts w:ascii="Times New Roman" w:hAnsi="Times New Roman"/>
          <w:color w:val="auto"/>
          <w:szCs w:val="21"/>
          <w:highlight w:val="none"/>
        </w:rPr>
      </w:pPr>
      <w:bookmarkStart w:id="974" w:name="_Toc369531696"/>
      <w:bookmarkEnd w:id="974"/>
      <w:bookmarkStart w:id="975" w:name="_Toc352691660"/>
      <w:bookmarkEnd w:id="975"/>
      <w:bookmarkStart w:id="976" w:name="_Toc352691659"/>
      <w:bookmarkEnd w:id="976"/>
      <w:bookmarkStart w:id="977" w:name="_Toc369531695"/>
      <w:bookmarkEnd w:id="977"/>
      <w:bookmarkStart w:id="978" w:name="_Toc16824"/>
      <w:bookmarkEnd w:id="978"/>
      <w:bookmarkStart w:id="979" w:name="_Toc16568"/>
      <w:bookmarkEnd w:id="979"/>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（盖单位章）</w:t>
      </w:r>
    </w:p>
    <w:p>
      <w:pPr>
        <w:spacing w:line="440" w:lineRule="exact"/>
        <w:jc w:val="left"/>
        <w:rPr>
          <w:rFonts w:ascii="Times New Roman" w:hAnsi="Times New Roman"/>
          <w:color w:val="auto"/>
          <w:szCs w:val="21"/>
          <w:highlight w:val="none"/>
        </w:rPr>
      </w:pPr>
      <w:r>
        <w:rPr>
          <w:rFonts w:ascii="Times New Roman" w:hAnsi="Times New Roman"/>
          <w:color w:val="auto"/>
          <w:highlight w:val="none"/>
        </w:rPr>
        <w:t xml:space="preserve">                        法定代表人</w:t>
      </w:r>
      <w:r>
        <w:rPr>
          <w:rFonts w:ascii="Times New Roman" w:hAnsi="Times New Roman"/>
          <w:color w:val="auto"/>
          <w:szCs w:val="21"/>
          <w:highlight w:val="none"/>
        </w:rPr>
        <w:t>或其委托代理人：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w:t>
      </w:r>
      <w:r>
        <w:rPr>
          <w:rFonts w:hint="eastAsia" w:ascii="Times New Roman" w:hAnsi="Times New Roman"/>
          <w:color w:val="auto"/>
          <w:szCs w:val="21"/>
          <w:highlight w:val="none"/>
        </w:rPr>
        <w:t>签名或盖章</w:t>
      </w:r>
      <w:r>
        <w:rPr>
          <w:rFonts w:ascii="Times New Roman" w:hAnsi="Times New Roman"/>
          <w:color w:val="auto"/>
          <w:szCs w:val="21"/>
          <w:highlight w:val="none"/>
        </w:rPr>
        <w:t>）</w:t>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地    址：</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网    址：</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电    话：</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传    真：</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邮政编码：</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4725" w:firstLineChars="2250"/>
        <w:jc w:val="right"/>
        <w:rPr>
          <w:rFonts w:ascii="Times New Roman" w:hAnsi="Times New Roman"/>
          <w:color w:val="auto"/>
          <w:szCs w:val="21"/>
          <w:highlight w:val="none"/>
        </w:rPr>
      </w:pPr>
      <w:r>
        <w:rPr>
          <w:rFonts w:ascii="Times New Roman" w:hAnsi="Times New Roman"/>
          <w:color w:val="auto"/>
          <w:highlight w:val="none"/>
          <w:u w:val="single"/>
        </w:rPr>
        <w:t xml:space="preserve">      </w:t>
      </w:r>
      <w:r>
        <w:rPr>
          <w:rFonts w:ascii="Times New Roman" w:hAnsi="Times New Roman"/>
          <w:color w:val="auto"/>
          <w:szCs w:val="21"/>
          <w:highlight w:val="none"/>
        </w:rPr>
        <w:t>年</w:t>
      </w:r>
      <w:r>
        <w:rPr>
          <w:rFonts w:ascii="Times New Roman" w:hAnsi="Times New Roman"/>
          <w:color w:val="auto"/>
          <w:highlight w:val="none"/>
          <w:u w:val="single"/>
        </w:rPr>
        <w:t xml:space="preserve">      </w:t>
      </w:r>
      <w:r>
        <w:rPr>
          <w:rFonts w:ascii="Times New Roman" w:hAnsi="Times New Roman"/>
          <w:color w:val="auto"/>
          <w:szCs w:val="21"/>
          <w:highlight w:val="none"/>
        </w:rPr>
        <w:t>月</w:t>
      </w:r>
      <w:r>
        <w:rPr>
          <w:rFonts w:ascii="Times New Roman" w:hAnsi="Times New Roman"/>
          <w:color w:val="auto"/>
          <w:highlight w:val="none"/>
          <w:u w:val="single"/>
        </w:rPr>
        <w:t xml:space="preserve">      </w:t>
      </w:r>
      <w:r>
        <w:rPr>
          <w:rFonts w:ascii="Times New Roman" w:hAnsi="Times New Roman"/>
          <w:color w:val="auto"/>
          <w:szCs w:val="21"/>
          <w:highlight w:val="none"/>
        </w:rPr>
        <w:t>日</w:t>
      </w:r>
    </w:p>
    <w:p>
      <w:pPr>
        <w:spacing w:line="440" w:lineRule="exact"/>
        <w:rPr>
          <w:rFonts w:ascii="Times New Roman" w:hAnsi="Times New Roman" w:eastAsia="黑体"/>
          <w:color w:val="auto"/>
          <w:sz w:val="20"/>
          <w:highlight w:val="none"/>
        </w:rPr>
      </w:pPr>
      <w:bookmarkStart w:id="980" w:name="_Toc384308375"/>
      <w:bookmarkStart w:id="981" w:name="_Toc247514246"/>
      <w:bookmarkStart w:id="982" w:name="_Toc352691661"/>
      <w:bookmarkStart w:id="983" w:name="_Toc369531697"/>
      <w:bookmarkStart w:id="984" w:name="_Toc144974856"/>
      <w:bookmarkStart w:id="985" w:name="_Toc300835209"/>
      <w:bookmarkStart w:id="986" w:name="_Toc361508752"/>
      <w:bookmarkStart w:id="987" w:name="_Toc152042576"/>
      <w:bookmarkStart w:id="988" w:name="_Toc17960"/>
      <w:bookmarkStart w:id="989" w:name="_Toc152045787"/>
      <w:bookmarkStart w:id="990" w:name="_Toc247527827"/>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pStyle w:val="5"/>
        <w:keepNext w:val="0"/>
        <w:keepLines w:val="0"/>
        <w:ind w:firstLine="137"/>
        <w:jc w:val="center"/>
        <w:rPr>
          <w:rFonts w:ascii="Times New Roman" w:hAnsi="Times New Roman"/>
          <w:color w:val="auto"/>
          <w:highlight w:val="none"/>
        </w:rPr>
      </w:pPr>
      <w:bookmarkStart w:id="991" w:name="_Toc359594236"/>
      <w:bookmarkStart w:id="992" w:name="_Toc391394112"/>
      <w:bookmarkStart w:id="993" w:name="_Toc385943066"/>
      <w:bookmarkStart w:id="994" w:name="_Toc31792"/>
      <w:bookmarkStart w:id="995" w:name="_Toc370676427"/>
      <w:bookmarkStart w:id="996" w:name="_Toc482188652"/>
      <w:bookmarkStart w:id="997" w:name="_Toc11424"/>
      <w:bookmarkStart w:id="998" w:name="_Toc12614"/>
      <w:r>
        <w:rPr>
          <w:rFonts w:ascii="Times New Roman" w:hAnsi="Times New Roman"/>
          <w:color w:val="auto"/>
          <w:highlight w:val="none"/>
        </w:rPr>
        <w:t>（二）投标函附录</w:t>
      </w:r>
      <w:bookmarkEnd w:id="991"/>
      <w:bookmarkEnd w:id="992"/>
      <w:bookmarkEnd w:id="993"/>
      <w:bookmarkEnd w:id="994"/>
      <w:bookmarkEnd w:id="995"/>
      <w:bookmarkEnd w:id="996"/>
      <w:bookmarkEnd w:id="997"/>
      <w:bookmarkEnd w:id="998"/>
    </w:p>
    <w:tbl>
      <w:tblPr>
        <w:tblStyle w:val="14"/>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456"/>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auto"/>
                <w:sz w:val="24"/>
                <w:szCs w:val="28"/>
                <w:highlight w:val="none"/>
              </w:rPr>
            </w:pPr>
            <w:r>
              <w:rPr>
                <w:rFonts w:hint="eastAsia" w:ascii="Times New Roman" w:hAnsi="Times New Roman"/>
                <w:b/>
                <w:color w:val="auto"/>
                <w:sz w:val="24"/>
                <w:szCs w:val="28"/>
                <w:highlight w:val="none"/>
              </w:rPr>
              <w:t>序号</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auto"/>
                <w:sz w:val="24"/>
                <w:szCs w:val="28"/>
                <w:highlight w:val="none"/>
              </w:rPr>
            </w:pPr>
            <w:r>
              <w:rPr>
                <w:rFonts w:hint="eastAsia" w:ascii="Times New Roman" w:hAnsi="Times New Roman"/>
                <w:b/>
                <w:color w:val="auto"/>
                <w:sz w:val="24"/>
                <w:szCs w:val="28"/>
                <w:highlight w:val="none"/>
              </w:rPr>
              <w:t>条款名称</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auto"/>
                <w:sz w:val="24"/>
                <w:szCs w:val="28"/>
                <w:highlight w:val="none"/>
              </w:rPr>
            </w:pPr>
            <w:r>
              <w:rPr>
                <w:rFonts w:hint="eastAsia" w:ascii="Times New Roman" w:hAnsi="Times New Roman"/>
                <w:b/>
                <w:color w:val="auto"/>
                <w:sz w:val="24"/>
                <w:szCs w:val="28"/>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1</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总监理工程师</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姓名：</w:t>
            </w:r>
            <w:r>
              <w:rPr>
                <w:rFonts w:hint="default" w:ascii="Times New Roman" w:hAnsi="Times New Roman"/>
                <w:bCs/>
                <w:color w:val="auto"/>
                <w:sz w:val="24"/>
                <w:szCs w:val="28"/>
                <w:highlight w:val="none"/>
              </w:rPr>
              <w:t xml:space="preserve"> </w:t>
            </w:r>
          </w:p>
          <w:p>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技术职称：</w:t>
            </w:r>
          </w:p>
          <w:p>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2</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服务期限</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default" w:ascii="Times New Roman" w:hAnsi="Times New Roman"/>
                <w:bCs/>
                <w:color w:val="auto"/>
                <w:sz w:val="24"/>
                <w:szCs w:val="28"/>
                <w:highlight w:val="none"/>
              </w:rPr>
              <w:t>3</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合同价款确定方式</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4</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default" w:ascii="Times New Roman" w:hAnsi="Times New Roman"/>
                <w:bCs/>
                <w:color w:val="auto"/>
                <w:sz w:val="24"/>
                <w:szCs w:val="28"/>
                <w:highlight w:val="none"/>
              </w:rPr>
              <w:t>质量</w:t>
            </w:r>
            <w:r>
              <w:rPr>
                <w:rFonts w:hint="eastAsia" w:ascii="Times New Roman" w:hAnsi="Times New Roman"/>
                <w:bCs/>
                <w:color w:val="auto"/>
                <w:sz w:val="24"/>
                <w:szCs w:val="28"/>
                <w:highlight w:val="none"/>
              </w:rPr>
              <w:t>标准</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5</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投标报价（含税）</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 w:val="24"/>
                <w:szCs w:val="28"/>
                <w:highlight w:val="none"/>
                <w:u w:val="single"/>
              </w:rPr>
            </w:pPr>
            <w:r>
              <w:rPr>
                <w:rFonts w:hint="eastAsia" w:ascii="Times New Roman" w:hAnsi="Times New Roman"/>
                <w:bCs/>
                <w:color w:val="auto"/>
                <w:sz w:val="24"/>
                <w:szCs w:val="28"/>
                <w:highlight w:val="none"/>
              </w:rPr>
              <w:t>投标报价：（大写）</w:t>
            </w:r>
            <w:r>
              <w:rPr>
                <w:rFonts w:hint="eastAsia" w:ascii="Times New Roman" w:hAnsi="Times New Roman"/>
                <w:bCs/>
                <w:color w:val="auto"/>
                <w:sz w:val="24"/>
                <w:szCs w:val="28"/>
                <w:highlight w:val="none"/>
                <w:u w:val="single"/>
              </w:rPr>
              <w:t xml:space="preserve">              </w:t>
            </w:r>
          </w:p>
          <w:p>
            <w:pPr>
              <w:keepNext w:val="0"/>
              <w:keepLines w:val="0"/>
              <w:suppressLineNumbers w:val="0"/>
              <w:spacing w:before="0" w:beforeAutospacing="0" w:after="0" w:afterAutospacing="0" w:line="360" w:lineRule="auto"/>
              <w:ind w:left="0" w:right="0" w:firstLine="1200" w:firstLineChars="500"/>
              <w:jc w:val="left"/>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 xml:space="preserve">（小写）¥ </w:t>
            </w:r>
            <w:r>
              <w:rPr>
                <w:rFonts w:hint="eastAsia" w:ascii="Times New Roman" w:hAnsi="Times New Roman"/>
                <w:bCs/>
                <w:color w:val="auto"/>
                <w:sz w:val="24"/>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6</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投标有效期</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7</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法 人 营 业</w:t>
            </w:r>
          </w:p>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执 照 证 号</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bCs/>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8</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资 质 等 级</w:t>
            </w:r>
          </w:p>
          <w:p>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 w:val="24"/>
                <w:szCs w:val="28"/>
                <w:highlight w:val="none"/>
              </w:rPr>
            </w:pPr>
            <w:r>
              <w:rPr>
                <w:rFonts w:hint="eastAsia" w:ascii="Times New Roman" w:hAnsi="Times New Roman"/>
                <w:bCs/>
                <w:color w:val="auto"/>
                <w:sz w:val="24"/>
                <w:szCs w:val="28"/>
                <w:highlight w:val="none"/>
              </w:rPr>
              <w:t>及 证 书 号</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bCs/>
                <w:color w:val="auto"/>
                <w:sz w:val="24"/>
                <w:szCs w:val="28"/>
                <w:highlight w:val="none"/>
              </w:rPr>
            </w:pPr>
            <w:r>
              <w:rPr>
                <w:rFonts w:hint="eastAsia" w:ascii="宋体" w:hAnsi="宋体"/>
                <w:bCs/>
                <w:color w:val="auto"/>
                <w:sz w:val="24"/>
                <w:szCs w:val="24"/>
                <w:highlight w:val="none"/>
              </w:rPr>
              <w:t>监理资质：</w:t>
            </w:r>
          </w:p>
        </w:tc>
      </w:tr>
    </w:tbl>
    <w:p>
      <w:pPr>
        <w:spacing w:line="440" w:lineRule="exact"/>
        <w:ind w:firstLine="2520" w:firstLineChars="1200"/>
        <w:jc w:val="left"/>
        <w:rPr>
          <w:rFonts w:ascii="Times New Roman" w:hAnsi="Times New Roman"/>
          <w:color w:val="auto"/>
          <w:szCs w:val="21"/>
          <w:highlight w:val="none"/>
        </w:rPr>
      </w:pP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（盖单位章）</w:t>
      </w:r>
    </w:p>
    <w:p>
      <w:pPr>
        <w:spacing w:line="440" w:lineRule="exact"/>
        <w:jc w:val="left"/>
        <w:rPr>
          <w:rFonts w:ascii="Times New Roman" w:hAnsi="Times New Roman"/>
          <w:color w:val="auto"/>
          <w:szCs w:val="21"/>
          <w:highlight w:val="none"/>
        </w:rPr>
      </w:pPr>
      <w:r>
        <w:rPr>
          <w:rFonts w:ascii="Times New Roman" w:hAnsi="Times New Roman"/>
          <w:color w:val="auto"/>
          <w:highlight w:val="none"/>
        </w:rPr>
        <w:t xml:space="preserve">                        法定代表人</w:t>
      </w:r>
      <w:r>
        <w:rPr>
          <w:rFonts w:ascii="Times New Roman" w:hAnsi="Times New Roman"/>
          <w:color w:val="auto"/>
          <w:szCs w:val="21"/>
          <w:highlight w:val="none"/>
        </w:rPr>
        <w:t>或其委托代理人：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（签字</w:t>
      </w:r>
      <w:r>
        <w:rPr>
          <w:rFonts w:hint="eastAsia" w:ascii="Times New Roman" w:hAnsi="Times New Roman"/>
          <w:color w:val="auto"/>
          <w:szCs w:val="21"/>
          <w:highlight w:val="none"/>
        </w:rPr>
        <w:t>或盖章</w:t>
      </w:r>
      <w:r>
        <w:rPr>
          <w:rFonts w:ascii="Times New Roman" w:hAnsi="Times New Roman"/>
          <w:color w:val="auto"/>
          <w:szCs w:val="21"/>
          <w:highlight w:val="none"/>
        </w:rPr>
        <w:t>）</w:t>
      </w:r>
    </w:p>
    <w:p>
      <w:pPr>
        <w:spacing w:line="440" w:lineRule="exact"/>
        <w:ind w:firstLine="4725" w:firstLineChars="2250"/>
        <w:jc w:val="right"/>
        <w:rPr>
          <w:rFonts w:ascii="Times New Roman" w:hAnsi="Times New Roman"/>
          <w:color w:val="auto"/>
          <w:szCs w:val="21"/>
          <w:highlight w:val="none"/>
        </w:rPr>
      </w:pPr>
      <w:r>
        <w:rPr>
          <w:rFonts w:ascii="Times New Roman" w:hAnsi="Times New Roman"/>
          <w:color w:val="auto"/>
          <w:highlight w:val="none"/>
          <w:u w:val="single"/>
        </w:rPr>
        <w:t xml:space="preserve">      </w:t>
      </w:r>
      <w:r>
        <w:rPr>
          <w:rFonts w:ascii="Times New Roman" w:hAnsi="Times New Roman"/>
          <w:color w:val="auto"/>
          <w:szCs w:val="21"/>
          <w:highlight w:val="none"/>
        </w:rPr>
        <w:t>年</w:t>
      </w:r>
      <w:r>
        <w:rPr>
          <w:rFonts w:ascii="Times New Roman" w:hAnsi="Times New Roman"/>
          <w:color w:val="auto"/>
          <w:highlight w:val="none"/>
          <w:u w:val="single"/>
        </w:rPr>
        <w:t xml:space="preserve">      </w:t>
      </w:r>
      <w:r>
        <w:rPr>
          <w:rFonts w:ascii="Times New Roman" w:hAnsi="Times New Roman"/>
          <w:color w:val="auto"/>
          <w:szCs w:val="21"/>
          <w:highlight w:val="none"/>
        </w:rPr>
        <w:t>月</w:t>
      </w:r>
      <w:r>
        <w:rPr>
          <w:rFonts w:ascii="Times New Roman" w:hAnsi="Times New Roman"/>
          <w:color w:val="auto"/>
          <w:highlight w:val="none"/>
          <w:u w:val="single"/>
        </w:rPr>
        <w:t xml:space="preserve">      </w:t>
      </w:r>
      <w:r>
        <w:rPr>
          <w:rFonts w:ascii="Times New Roman" w:hAnsi="Times New Roman"/>
          <w:color w:val="auto"/>
          <w:szCs w:val="21"/>
          <w:highlight w:val="none"/>
        </w:rPr>
        <w:t>日</w:t>
      </w:r>
    </w:p>
    <w:p>
      <w:pPr>
        <w:pStyle w:val="10"/>
        <w:rPr>
          <w:rFonts w:ascii="Times New Roman" w:hAnsi="Times New Roman"/>
          <w:color w:val="auto"/>
          <w:szCs w:val="21"/>
          <w:highlight w:val="none"/>
        </w:rPr>
      </w:pPr>
    </w:p>
    <w:p>
      <w:pPr>
        <w:rPr>
          <w:rFonts w:ascii="Times New Roman" w:hAnsi="Times New Roman"/>
          <w:color w:val="auto"/>
          <w:szCs w:val="21"/>
          <w:highlight w:val="none"/>
        </w:rPr>
      </w:pPr>
    </w:p>
    <w:p>
      <w:pPr>
        <w:pStyle w:val="10"/>
        <w:rPr>
          <w:rFonts w:ascii="Times New Roman" w:hAnsi="Times New Roman"/>
          <w:color w:val="auto"/>
          <w:szCs w:val="21"/>
          <w:highlight w:val="none"/>
        </w:rPr>
      </w:pPr>
    </w:p>
    <w:p>
      <w:pPr>
        <w:rPr>
          <w:rFonts w:ascii="Times New Roman" w:hAnsi="Times New Roman"/>
          <w:color w:val="auto"/>
          <w:szCs w:val="21"/>
          <w:highlight w:val="none"/>
        </w:rPr>
      </w:pPr>
    </w:p>
    <w:p>
      <w:pPr>
        <w:pStyle w:val="10"/>
        <w:rPr>
          <w:rFonts w:ascii="Times New Roman" w:hAnsi="Times New Roman"/>
          <w:color w:val="auto"/>
          <w:szCs w:val="21"/>
          <w:highlight w:val="none"/>
        </w:rPr>
      </w:pPr>
    </w:p>
    <w:p>
      <w:pPr>
        <w:rPr>
          <w:color w:val="auto"/>
          <w:highlight w:val="none"/>
        </w:rPr>
      </w:pPr>
    </w:p>
    <w:p>
      <w:pPr>
        <w:pStyle w:val="4"/>
        <w:keepNext w:val="0"/>
        <w:keepLines w:val="0"/>
        <w:jc w:val="center"/>
        <w:rPr>
          <w:rFonts w:ascii="Times New Roman" w:hAnsi="Times New Roman"/>
          <w:color w:val="auto"/>
          <w:highlight w:val="none"/>
        </w:rPr>
      </w:pPr>
    </w:p>
    <w:p>
      <w:pPr>
        <w:pStyle w:val="4"/>
        <w:keepNext w:val="0"/>
        <w:keepLines w:val="0"/>
        <w:jc w:val="center"/>
        <w:rPr>
          <w:rFonts w:ascii="Times New Roman" w:hAnsi="Times New Roman"/>
          <w:color w:val="auto"/>
          <w:sz w:val="20"/>
          <w:highlight w:val="none"/>
        </w:rPr>
      </w:pPr>
      <w:bookmarkStart w:id="999" w:name="_Toc9317"/>
      <w:bookmarkStart w:id="1000" w:name="_Toc12745"/>
      <w:r>
        <w:rPr>
          <w:rFonts w:ascii="Times New Roman" w:hAnsi="Times New Roman"/>
          <w:color w:val="auto"/>
          <w:highlight w:val="none"/>
        </w:rPr>
        <w:t>二</w:t>
      </w:r>
      <w:bookmarkEnd w:id="980"/>
      <w:bookmarkEnd w:id="981"/>
      <w:bookmarkEnd w:id="982"/>
      <w:bookmarkEnd w:id="983"/>
      <w:bookmarkEnd w:id="984"/>
      <w:bookmarkEnd w:id="985"/>
      <w:bookmarkEnd w:id="986"/>
      <w:bookmarkEnd w:id="987"/>
      <w:bookmarkEnd w:id="988"/>
      <w:bookmarkEnd w:id="989"/>
      <w:bookmarkEnd w:id="990"/>
      <w:r>
        <w:rPr>
          <w:rFonts w:ascii="Times New Roman" w:hAnsi="Times New Roman"/>
          <w:color w:val="auto"/>
          <w:highlight w:val="none"/>
        </w:rPr>
        <w:t>、法定代表人身份证明</w:t>
      </w:r>
      <w:r>
        <w:rPr>
          <w:rFonts w:hint="eastAsia" w:ascii="Times New Roman" w:hAnsi="Times New Roman"/>
          <w:color w:val="auto"/>
          <w:highlight w:val="none"/>
        </w:rPr>
        <w:t>或授权委托书（格式可自定）</w:t>
      </w:r>
      <w:bookmarkEnd w:id="999"/>
      <w:bookmarkEnd w:id="1000"/>
    </w:p>
    <w:p>
      <w:pPr>
        <w:spacing w:line="440" w:lineRule="exact"/>
        <w:jc w:val="center"/>
        <w:rPr>
          <w:rFonts w:ascii="宋体" w:hAnsi="宋体"/>
          <w:b/>
          <w:color w:val="auto"/>
          <w:sz w:val="28"/>
          <w:szCs w:val="28"/>
          <w:highlight w:val="none"/>
        </w:rPr>
      </w:pPr>
    </w:p>
    <w:p>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法定代表人身份证明</w:t>
      </w:r>
    </w:p>
    <w:p>
      <w:pPr>
        <w:pStyle w:val="13"/>
        <w:rPr>
          <w:color w:val="auto"/>
          <w:highlight w:val="none"/>
        </w:rPr>
      </w:pP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投标人名称：</w:t>
      </w:r>
      <w:r>
        <w:rPr>
          <w:rFonts w:ascii="Times New Roman" w:hAnsi="Times New Roman"/>
          <w:color w:val="auto"/>
          <w:sz w:val="24"/>
          <w:szCs w:val="24"/>
          <w:highlight w:val="none"/>
          <w:u w:val="single"/>
        </w:rPr>
        <w:t xml:space="preserve">                        </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姓名：</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性别：</w:t>
      </w:r>
      <w:bookmarkStart w:id="1001" w:name="_Toc352691662"/>
      <w:bookmarkStart w:id="1002" w:name="_Toc369531698"/>
      <w:bookmarkStart w:id="1003" w:name="_Toc27897"/>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bookmarkEnd w:id="1001"/>
      <w:bookmarkEnd w:id="1002"/>
      <w:bookmarkEnd w:id="1003"/>
      <w:r>
        <w:rPr>
          <w:rFonts w:ascii="Times New Roman" w:hAnsi="Times New Roman"/>
          <w:color w:val="auto"/>
          <w:sz w:val="24"/>
          <w:szCs w:val="24"/>
          <w:highlight w:val="none"/>
        </w:rPr>
        <w:t>龄</w:t>
      </w:r>
      <w:bookmarkStart w:id="1004" w:name="_Toc15573"/>
      <w:bookmarkStart w:id="1005" w:name="_Toc247514248"/>
      <w:bookmarkStart w:id="1006" w:name="_Toc152042578"/>
      <w:bookmarkStart w:id="1007" w:name="_Toc152045789"/>
      <w:bookmarkStart w:id="1008" w:name="_Toc144974858"/>
      <w:bookmarkStart w:id="1009" w:name="_Toc361508754"/>
      <w:bookmarkStart w:id="1010" w:name="_Toc384308377"/>
      <w:bookmarkStart w:id="1011" w:name="_Toc300835211"/>
      <w:bookmarkStart w:id="1012" w:name="_Toc369531699"/>
      <w:bookmarkStart w:id="1013" w:name="_Toc352691663"/>
      <w:bookmarkStart w:id="1014" w:name="_Toc247527829"/>
      <w:r>
        <w:rPr>
          <w:rFonts w:ascii="Times New Roman" w:hAnsi="Times New Roman"/>
          <w:color w:val="auto"/>
          <w:sz w:val="24"/>
          <w:szCs w:val="24"/>
          <w:highlight w:val="none"/>
        </w:rPr>
        <w:t>：</w:t>
      </w:r>
      <w:bookmarkEnd w:id="1004"/>
      <w:bookmarkEnd w:id="1005"/>
      <w:bookmarkEnd w:id="1006"/>
      <w:bookmarkEnd w:id="1007"/>
      <w:bookmarkEnd w:id="1008"/>
      <w:bookmarkEnd w:id="1009"/>
      <w:bookmarkEnd w:id="1010"/>
      <w:bookmarkEnd w:id="1011"/>
      <w:bookmarkEnd w:id="1012"/>
      <w:bookmarkEnd w:id="1013"/>
      <w:bookmarkEnd w:id="1014"/>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职务：</w:t>
      </w:r>
      <w:r>
        <w:rPr>
          <w:rFonts w:ascii="Times New Roman" w:hAnsi="Times New Roman"/>
          <w:color w:val="auto"/>
          <w:sz w:val="24"/>
          <w:szCs w:val="24"/>
          <w:highlight w:val="none"/>
          <w:u w:val="single"/>
        </w:rPr>
        <w:t xml:space="preserve">        </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系</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（投标人名称）的法定代表人。</w:t>
      </w:r>
    </w:p>
    <w:p>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特此证明。</w:t>
      </w:r>
    </w:p>
    <w:p>
      <w:pPr>
        <w:spacing w:line="440" w:lineRule="exact"/>
        <w:rPr>
          <w:rFonts w:ascii="Times New Roman" w:hAnsi="Times New Roman"/>
          <w:color w:val="auto"/>
          <w:sz w:val="24"/>
          <w:szCs w:val="24"/>
          <w:highlight w:val="none"/>
        </w:rPr>
      </w:pP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附：法定代表人身份证</w:t>
      </w:r>
      <w:r>
        <w:rPr>
          <w:rFonts w:hint="eastAsia" w:ascii="Times New Roman" w:hAnsi="Times New Roman"/>
          <w:color w:val="auto"/>
          <w:sz w:val="24"/>
          <w:szCs w:val="24"/>
          <w:highlight w:val="none"/>
        </w:rPr>
        <w:t>扫描件</w:t>
      </w:r>
      <w:r>
        <w:rPr>
          <w:rFonts w:ascii="Times New Roman" w:hAnsi="Times New Roman"/>
          <w:color w:val="auto"/>
          <w:sz w:val="24"/>
          <w:szCs w:val="24"/>
          <w:highlight w:val="none"/>
        </w:rPr>
        <w:t>。</w:t>
      </w:r>
    </w:p>
    <w:p>
      <w:pPr>
        <w:spacing w:line="440" w:lineRule="exact"/>
        <w:rPr>
          <w:rFonts w:ascii="Times New Roman" w:hAnsi="Times New Roman"/>
          <w:color w:val="auto"/>
          <w:sz w:val="24"/>
          <w:szCs w:val="24"/>
          <w:highlight w:val="none"/>
        </w:rPr>
      </w:pP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注：本身份证明需由投标人加盖单位公章。</w:t>
      </w:r>
    </w:p>
    <w:p>
      <w:pPr>
        <w:spacing w:line="440" w:lineRule="exact"/>
        <w:rPr>
          <w:rFonts w:ascii="Times New Roman" w:hAnsi="Times New Roman"/>
          <w:color w:val="auto"/>
          <w:sz w:val="24"/>
          <w:szCs w:val="24"/>
          <w:highlight w:val="none"/>
        </w:rPr>
      </w:pPr>
    </w:p>
    <w:p>
      <w:pPr>
        <w:spacing w:line="440" w:lineRule="exact"/>
        <w:rPr>
          <w:rFonts w:ascii="Times New Roman" w:hAnsi="Times New Roman"/>
          <w:color w:val="auto"/>
          <w:sz w:val="24"/>
          <w:szCs w:val="24"/>
          <w:highlight w:val="none"/>
        </w:rPr>
      </w:pPr>
    </w:p>
    <w:p>
      <w:pPr>
        <w:spacing w:line="44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 xml:space="preserve">                              投标人</w:t>
      </w:r>
      <w:r>
        <w:rPr>
          <w:rFonts w:hint="eastAsia" w:ascii="Times New Roman" w:hAnsi="Times New Roman"/>
          <w:color w:val="auto"/>
          <w:sz w:val="24"/>
          <w:szCs w:val="24"/>
          <w:highlight w:val="none"/>
        </w:rPr>
        <w:t>名称</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ab/>
      </w:r>
      <w:r>
        <w:rPr>
          <w:rFonts w:ascii="Times New Roman" w:hAnsi="Times New Roman"/>
          <w:color w:val="auto"/>
          <w:sz w:val="24"/>
          <w:szCs w:val="24"/>
          <w:highlight w:val="none"/>
        </w:rPr>
        <w:t>（</w:t>
      </w:r>
      <w:r>
        <w:rPr>
          <w:rFonts w:hint="eastAsia" w:ascii="Times New Roman" w:hAnsi="Times New Roman"/>
          <w:color w:val="auto"/>
          <w:sz w:val="24"/>
          <w:szCs w:val="24"/>
          <w:highlight w:val="none"/>
        </w:rPr>
        <w:t>盖</w:t>
      </w:r>
      <w:r>
        <w:rPr>
          <w:rFonts w:ascii="Times New Roman" w:hAnsi="Times New Roman"/>
          <w:color w:val="auto"/>
          <w:sz w:val="24"/>
          <w:szCs w:val="24"/>
          <w:highlight w:val="none"/>
        </w:rPr>
        <w:t>单位</w:t>
      </w:r>
      <w:r>
        <w:rPr>
          <w:rFonts w:hint="eastAsia" w:ascii="Times New Roman" w:hAnsi="Times New Roman"/>
          <w:color w:val="auto"/>
          <w:sz w:val="24"/>
          <w:szCs w:val="24"/>
          <w:highlight w:val="none"/>
        </w:rPr>
        <w:t>章</w:t>
      </w:r>
      <w:r>
        <w:rPr>
          <w:rFonts w:ascii="Times New Roman" w:hAnsi="Times New Roman"/>
          <w:color w:val="auto"/>
          <w:sz w:val="24"/>
          <w:szCs w:val="24"/>
          <w:highlight w:val="none"/>
        </w:rPr>
        <w:t>）</w:t>
      </w:r>
    </w:p>
    <w:p>
      <w:pPr>
        <w:spacing w:line="440" w:lineRule="exact"/>
        <w:rPr>
          <w:rFonts w:ascii="Times New Roman" w:hAnsi="Times New Roman"/>
          <w:color w:val="auto"/>
          <w:sz w:val="24"/>
          <w:szCs w:val="24"/>
          <w:highlight w:val="none"/>
        </w:rPr>
      </w:pPr>
    </w:p>
    <w:p>
      <w:pPr>
        <w:spacing w:line="440" w:lineRule="exact"/>
        <w:ind w:firstLine="5280" w:firstLineChars="2200"/>
        <w:rPr>
          <w:rFonts w:ascii="Times New Roman" w:hAnsi="Times New Roman"/>
          <w:color w:val="auto"/>
          <w:sz w:val="24"/>
          <w:szCs w:val="24"/>
          <w:highlight w:val="none"/>
        </w:rPr>
      </w:pP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pPr>
        <w:spacing w:line="440" w:lineRule="exact"/>
        <w:rPr>
          <w:rFonts w:ascii="Times New Roman" w:hAnsi="Times New Roman" w:eastAsia="黑体"/>
          <w:color w:val="auto"/>
          <w:sz w:val="24"/>
          <w:szCs w:val="24"/>
          <w:highlight w:val="none"/>
        </w:rPr>
      </w:pPr>
    </w:p>
    <w:p>
      <w:pPr>
        <w:pStyle w:val="17"/>
        <w:rPr>
          <w:color w:val="auto"/>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pStyle w:val="4"/>
        <w:keepNext w:val="0"/>
        <w:keepLines w:val="0"/>
        <w:jc w:val="center"/>
        <w:rPr>
          <w:rFonts w:ascii="宋体" w:hAnsi="宋体" w:eastAsia="宋体"/>
          <w:color w:val="auto"/>
          <w:sz w:val="28"/>
          <w:szCs w:val="28"/>
          <w:highlight w:val="none"/>
        </w:rPr>
      </w:pPr>
      <w:r>
        <w:rPr>
          <w:rFonts w:ascii="Times New Roman" w:hAnsi="Times New Roman"/>
          <w:color w:val="auto"/>
          <w:highlight w:val="none"/>
        </w:rPr>
        <w:br w:type="page"/>
      </w:r>
      <w:bookmarkStart w:id="1015" w:name="_Toc24470"/>
      <w:bookmarkStart w:id="1016" w:name="_Toc15725"/>
      <w:bookmarkStart w:id="1017" w:name="_Toc30395"/>
      <w:bookmarkStart w:id="1018" w:name="_Toc19566"/>
      <w:r>
        <w:rPr>
          <w:rFonts w:hint="eastAsia" w:ascii="宋体" w:hAnsi="宋体" w:eastAsia="宋体"/>
          <w:color w:val="auto"/>
          <w:sz w:val="28"/>
          <w:szCs w:val="28"/>
          <w:highlight w:val="none"/>
        </w:rPr>
        <w:t>授权委托书</w:t>
      </w:r>
      <w:bookmarkEnd w:id="1015"/>
      <w:bookmarkEnd w:id="1016"/>
      <w:bookmarkEnd w:id="1017"/>
      <w:bookmarkEnd w:id="1018"/>
    </w:p>
    <w:p>
      <w:pPr>
        <w:topLinePunct/>
        <w:spacing w:line="440" w:lineRule="exact"/>
        <w:ind w:firstLine="420" w:firstLineChars="200"/>
        <w:rPr>
          <w:rFonts w:ascii="Times New Roman" w:hAnsi="Times New Roman"/>
          <w:color w:val="auto"/>
          <w:highlight w:val="none"/>
        </w:rPr>
      </w:pPr>
      <w:r>
        <w:rPr>
          <w:rFonts w:ascii="Times New Roman" w:hAnsi="Times New Roman"/>
          <w:color w:val="auto"/>
          <w:highlight w:val="none"/>
        </w:rPr>
        <w:t>本人</w:t>
      </w:r>
      <w:r>
        <w:rPr>
          <w:rFonts w:ascii="Times New Roman" w:hAnsi="Times New Roman"/>
          <w:color w:val="auto"/>
          <w:highlight w:val="none"/>
          <w:u w:val="single"/>
        </w:rPr>
        <w:t xml:space="preserve">              </w:t>
      </w:r>
      <w:r>
        <w:rPr>
          <w:rFonts w:ascii="Times New Roman" w:hAnsi="Times New Roman"/>
          <w:color w:val="auto"/>
          <w:highlight w:val="none"/>
        </w:rPr>
        <w:t>（姓名）系</w:t>
      </w:r>
      <w:r>
        <w:rPr>
          <w:rFonts w:ascii="Times New Roman" w:hAnsi="Times New Roman"/>
          <w:color w:val="auto"/>
          <w:highlight w:val="none"/>
          <w:u w:val="single"/>
        </w:rPr>
        <w:t xml:space="preserve">                    </w:t>
      </w:r>
      <w:r>
        <w:rPr>
          <w:rFonts w:ascii="Times New Roman" w:hAnsi="Times New Roman"/>
          <w:color w:val="auto"/>
          <w:highlight w:val="none"/>
        </w:rPr>
        <w:t>（投标人名称）的法定代表人，现委托</w:t>
      </w:r>
      <w:r>
        <w:rPr>
          <w:rFonts w:ascii="Times New Roman" w:hAnsi="Times New Roman"/>
          <w:color w:val="auto"/>
          <w:highlight w:val="none"/>
          <w:u w:val="single"/>
        </w:rPr>
        <w:t xml:space="preserve">            （姓名）</w:t>
      </w:r>
      <w:r>
        <w:rPr>
          <w:rFonts w:ascii="Times New Roman" w:hAnsi="Times New Roman"/>
          <w:color w:val="auto"/>
          <w:highlight w:val="none"/>
        </w:rPr>
        <w:t>为我方代理人。代理人根据授权，以我方名义签署、澄清确认、递交、撤回、修改监理招标项目投标文件、签订合同和处理有关事宜，其法律后果由我方承担。</w:t>
      </w:r>
    </w:p>
    <w:p>
      <w:pPr>
        <w:spacing w:line="440" w:lineRule="exact"/>
        <w:rPr>
          <w:rFonts w:ascii="Times New Roman" w:hAnsi="Times New Roman"/>
          <w:color w:val="auto"/>
          <w:highlight w:val="none"/>
        </w:rPr>
      </w:pPr>
      <w:r>
        <w:rPr>
          <w:rFonts w:ascii="Times New Roman" w:hAnsi="Times New Roman"/>
          <w:color w:val="auto"/>
          <w:highlight w:val="none"/>
        </w:rPr>
        <w:t>委托期限：</w:t>
      </w:r>
      <w:r>
        <w:rPr>
          <w:rFonts w:ascii="Times New Roman" w:hAnsi="Times New Roman"/>
          <w:color w:val="auto"/>
          <w:highlight w:val="none"/>
          <w:u w:val="single"/>
        </w:rPr>
        <w:t xml:space="preserve">                       </w:t>
      </w:r>
      <w:r>
        <w:rPr>
          <w:rFonts w:ascii="Times New Roman" w:hAnsi="Times New Roman"/>
          <w:color w:val="auto"/>
          <w:highlight w:val="none"/>
        </w:rPr>
        <w:t>。</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代理人无转委托权。</w:t>
      </w:r>
    </w:p>
    <w:p>
      <w:pPr>
        <w:spacing w:line="440" w:lineRule="exact"/>
        <w:ind w:firstLine="420" w:firstLineChars="200"/>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附：法定代表人身份证</w:t>
      </w:r>
      <w:r>
        <w:rPr>
          <w:rFonts w:hint="eastAsia" w:ascii="Times New Roman" w:hAnsi="Times New Roman"/>
          <w:color w:val="auto"/>
          <w:highlight w:val="none"/>
        </w:rPr>
        <w:t>扫描件</w:t>
      </w:r>
      <w:r>
        <w:rPr>
          <w:rFonts w:ascii="Times New Roman" w:hAnsi="Times New Roman"/>
          <w:color w:val="auto"/>
          <w:highlight w:val="none"/>
        </w:rPr>
        <w:t>及委托代理人身份证</w:t>
      </w:r>
      <w:r>
        <w:rPr>
          <w:rFonts w:hint="eastAsia" w:ascii="Times New Roman" w:hAnsi="Times New Roman"/>
          <w:color w:val="auto"/>
          <w:highlight w:val="none"/>
        </w:rPr>
        <w:t>扫描件</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注：本授权委托书需由投标人加盖单位公章并由其法定代表人和委托代理人签字。</w:t>
      </w:r>
    </w:p>
    <w:p>
      <w:pPr>
        <w:spacing w:line="440" w:lineRule="exact"/>
        <w:rPr>
          <w:rFonts w:ascii="Times New Roman" w:hAnsi="Times New Roman"/>
          <w:color w:val="auto"/>
          <w:highlight w:val="none"/>
        </w:rPr>
      </w:pPr>
    </w:p>
    <w:p>
      <w:pPr>
        <w:spacing w:line="440" w:lineRule="exact"/>
        <w:ind w:firstLine="2692" w:firstLineChars="1282"/>
        <w:rPr>
          <w:rFonts w:ascii="Times New Roman" w:hAnsi="Times New Roman"/>
          <w:color w:val="auto"/>
          <w:highlight w:val="none"/>
        </w:rPr>
      </w:pPr>
      <w:r>
        <w:rPr>
          <w:rFonts w:ascii="Times New Roman" w:hAnsi="Times New Roman"/>
          <w:color w:val="auto"/>
          <w:highlight w:val="none"/>
        </w:rPr>
        <w:t>投标人</w:t>
      </w:r>
      <w:r>
        <w:rPr>
          <w:rFonts w:hint="eastAsia" w:ascii="Times New Roman" w:hAnsi="Times New Roman"/>
          <w:color w:val="auto"/>
          <w:highlight w:val="none"/>
        </w:rPr>
        <w:t>名称</w:t>
      </w:r>
      <w:r>
        <w:rPr>
          <w:rFonts w:ascii="Times New Roman" w:hAnsi="Times New Roman"/>
          <w:color w:val="auto"/>
          <w:highlight w:val="none"/>
        </w:rPr>
        <w:t>：</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highlight w:val="none"/>
        </w:rPr>
        <w:t>（</w:t>
      </w:r>
      <w:r>
        <w:rPr>
          <w:rFonts w:hint="eastAsia" w:ascii="Times New Roman" w:hAnsi="Times New Roman"/>
          <w:color w:val="auto"/>
          <w:highlight w:val="none"/>
        </w:rPr>
        <w:t>盖</w:t>
      </w:r>
      <w:r>
        <w:rPr>
          <w:rFonts w:ascii="Times New Roman" w:hAnsi="Times New Roman"/>
          <w:color w:val="auto"/>
          <w:highlight w:val="none"/>
        </w:rPr>
        <w:t>单位</w:t>
      </w:r>
      <w:r>
        <w:rPr>
          <w:rFonts w:hint="eastAsia" w:ascii="Times New Roman" w:hAnsi="Times New Roman"/>
          <w:color w:val="auto"/>
          <w:highlight w:val="none"/>
        </w:rPr>
        <w:t>章</w:t>
      </w:r>
      <w:r>
        <w:rPr>
          <w:rFonts w:ascii="Times New Roman" w:hAnsi="Times New Roman"/>
          <w:color w:val="auto"/>
          <w:highlight w:val="none"/>
        </w:rPr>
        <w:t>）</w:t>
      </w:r>
    </w:p>
    <w:p>
      <w:pPr>
        <w:spacing w:line="440" w:lineRule="exact"/>
        <w:ind w:firstLine="2690" w:firstLineChars="1281"/>
        <w:jc w:val="left"/>
        <w:rPr>
          <w:rFonts w:ascii="Times New Roman" w:hAnsi="Times New Roman"/>
          <w:color w:val="auto"/>
          <w:highlight w:val="none"/>
        </w:rPr>
      </w:pPr>
      <w:r>
        <w:rPr>
          <w:rFonts w:ascii="Times New Roman" w:hAnsi="Times New Roman"/>
          <w:color w:val="auto"/>
          <w:highlight w:val="none"/>
        </w:rPr>
        <w:t>法定代表人：</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highlight w:val="none"/>
        </w:rPr>
        <w:t>（</w:t>
      </w:r>
      <w:r>
        <w:rPr>
          <w:rFonts w:ascii="Times New Roman" w:hAnsi="Times New Roman"/>
          <w:color w:val="auto"/>
          <w:szCs w:val="21"/>
          <w:highlight w:val="none"/>
        </w:rPr>
        <w:t>签字</w:t>
      </w:r>
      <w:r>
        <w:rPr>
          <w:rFonts w:hint="eastAsia" w:ascii="Times New Roman" w:hAnsi="Times New Roman"/>
          <w:color w:val="auto"/>
          <w:szCs w:val="21"/>
          <w:highlight w:val="none"/>
        </w:rPr>
        <w:t>或盖章</w:t>
      </w:r>
      <w:r>
        <w:rPr>
          <w:rFonts w:ascii="Times New Roman" w:hAnsi="Times New Roman"/>
          <w:color w:val="auto"/>
          <w:highlight w:val="none"/>
        </w:rPr>
        <w:t>）</w:t>
      </w:r>
    </w:p>
    <w:p>
      <w:pPr>
        <w:spacing w:line="440" w:lineRule="exact"/>
        <w:ind w:firstLine="2692" w:firstLineChars="1282"/>
        <w:rPr>
          <w:rFonts w:ascii="Times New Roman" w:hAnsi="Times New Roman"/>
          <w:color w:val="auto"/>
          <w:highlight w:val="none"/>
        </w:rPr>
      </w:pPr>
      <w:r>
        <w:rPr>
          <w:rFonts w:ascii="Times New Roman" w:hAnsi="Times New Roman"/>
          <w:color w:val="auto"/>
          <w:highlight w:val="none"/>
        </w:rPr>
        <w:t>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440" w:lineRule="exact"/>
        <w:ind w:firstLine="2692" w:firstLineChars="1282"/>
        <w:rPr>
          <w:rFonts w:ascii="Times New Roman" w:hAnsi="Times New Roman"/>
          <w:color w:val="auto"/>
          <w:highlight w:val="none"/>
        </w:rPr>
      </w:pPr>
      <w:r>
        <w:rPr>
          <w:rFonts w:ascii="Times New Roman" w:hAnsi="Times New Roman"/>
          <w:color w:val="auto"/>
          <w:highlight w:val="none"/>
        </w:rPr>
        <w:t>委托代理人：</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highlight w:val="none"/>
        </w:rPr>
        <w:t>（</w:t>
      </w:r>
      <w:r>
        <w:rPr>
          <w:rFonts w:ascii="Times New Roman" w:hAnsi="Times New Roman"/>
          <w:color w:val="auto"/>
          <w:szCs w:val="21"/>
          <w:highlight w:val="none"/>
        </w:rPr>
        <w:t>签字</w:t>
      </w:r>
      <w:r>
        <w:rPr>
          <w:rFonts w:hint="eastAsia" w:ascii="Times New Roman" w:hAnsi="Times New Roman"/>
          <w:color w:val="auto"/>
          <w:szCs w:val="21"/>
          <w:highlight w:val="none"/>
        </w:rPr>
        <w:t>或盖章</w:t>
      </w:r>
      <w:r>
        <w:rPr>
          <w:rFonts w:ascii="Times New Roman" w:hAnsi="Times New Roman"/>
          <w:color w:val="auto"/>
          <w:highlight w:val="none"/>
        </w:rPr>
        <w:t>）</w:t>
      </w:r>
    </w:p>
    <w:p>
      <w:pPr>
        <w:spacing w:line="440" w:lineRule="exact"/>
        <w:ind w:firstLine="2692" w:firstLineChars="1282"/>
        <w:rPr>
          <w:rFonts w:ascii="Times New Roman" w:hAnsi="Times New Roman"/>
          <w:color w:val="auto"/>
          <w:highlight w:val="none"/>
        </w:rPr>
      </w:pPr>
      <w:r>
        <w:rPr>
          <w:rFonts w:ascii="Times New Roman" w:hAnsi="Times New Roman"/>
          <w:color w:val="auto"/>
          <w:highlight w:val="none"/>
        </w:rPr>
        <w:t>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2692" w:firstLineChars="1282"/>
        <w:rPr>
          <w:rFonts w:ascii="Times New Roman" w:hAnsi="Times New Roman"/>
          <w:color w:val="auto"/>
          <w:highlight w:val="none"/>
        </w:rPr>
      </w:pPr>
    </w:p>
    <w:p>
      <w:pPr>
        <w:spacing w:line="440" w:lineRule="exact"/>
        <w:ind w:firstLine="2692" w:firstLineChars="1282"/>
        <w:rPr>
          <w:rFonts w:ascii="Times New Roman" w:hAnsi="Times New Roman"/>
          <w:color w:val="auto"/>
          <w:highlight w:val="none"/>
        </w:rPr>
      </w:pPr>
    </w:p>
    <w:p>
      <w:pPr>
        <w:spacing w:line="440" w:lineRule="exact"/>
        <w:ind w:firstLine="4057" w:firstLineChars="1932"/>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spacing w:line="440" w:lineRule="exact"/>
        <w:ind w:firstLine="4057" w:firstLineChars="1932"/>
        <w:jc w:val="right"/>
        <w:rPr>
          <w:rFonts w:ascii="Times New Roman" w:hAnsi="Times New Roman"/>
          <w:color w:val="auto"/>
          <w:highlight w:val="none"/>
        </w:rPr>
      </w:pPr>
    </w:p>
    <w:p>
      <w:pPr>
        <w:spacing w:line="440" w:lineRule="exact"/>
        <w:rPr>
          <w:rFonts w:ascii="Times New Roman" w:hAnsi="Times New Roman"/>
          <w:color w:val="auto"/>
          <w:highlight w:val="none"/>
        </w:rPr>
      </w:pPr>
    </w:p>
    <w:p>
      <w:pPr>
        <w:pStyle w:val="4"/>
        <w:keepNext w:val="0"/>
        <w:keepLines w:val="0"/>
        <w:jc w:val="center"/>
        <w:rPr>
          <w:rFonts w:ascii="Times New Roman" w:hAnsi="Times New Roman" w:eastAsia="宋体"/>
          <w:b w:val="0"/>
          <w:color w:val="auto"/>
          <w:sz w:val="21"/>
          <w:szCs w:val="22"/>
          <w:highlight w:val="none"/>
        </w:rPr>
      </w:pPr>
      <w:r>
        <w:rPr>
          <w:rFonts w:ascii="Times New Roman" w:hAnsi="Times New Roman"/>
          <w:color w:val="auto"/>
          <w:highlight w:val="none"/>
        </w:rPr>
        <w:br w:type="page"/>
      </w:r>
    </w:p>
    <w:p>
      <w:pPr>
        <w:rPr>
          <w:rFonts w:ascii="Times New Roman" w:hAnsi="Times New Roman"/>
          <w:color w:val="auto"/>
          <w:highlight w:val="none"/>
        </w:rPr>
      </w:pPr>
    </w:p>
    <w:p>
      <w:pPr>
        <w:pStyle w:val="4"/>
        <w:keepNext w:val="0"/>
        <w:keepLines w:val="0"/>
        <w:jc w:val="center"/>
        <w:rPr>
          <w:rFonts w:ascii="Times New Roman" w:hAnsi="Times New Roman"/>
          <w:color w:val="auto"/>
          <w:highlight w:val="none"/>
        </w:rPr>
      </w:pPr>
      <w:bookmarkStart w:id="1019" w:name="_Toc12796"/>
      <w:bookmarkStart w:id="1020" w:name="_Toc18207"/>
      <w:r>
        <w:rPr>
          <w:rFonts w:hint="eastAsia" w:ascii="Times New Roman" w:hAnsi="Times New Roman"/>
          <w:color w:val="auto"/>
          <w:highlight w:val="none"/>
        </w:rPr>
        <w:t>三</w:t>
      </w:r>
      <w:r>
        <w:rPr>
          <w:rFonts w:ascii="Times New Roman" w:hAnsi="Times New Roman"/>
          <w:color w:val="auto"/>
          <w:highlight w:val="none"/>
        </w:rPr>
        <w:t>、</w:t>
      </w:r>
      <w:bookmarkStart w:id="1021" w:name="_Toc352691666"/>
      <w:bookmarkStart w:id="1022" w:name="_Toc152045792"/>
      <w:bookmarkStart w:id="1023" w:name="_Toc361508757"/>
      <w:bookmarkStart w:id="1024" w:name="_Toc247514284"/>
      <w:bookmarkStart w:id="1025" w:name="_Toc13469"/>
      <w:bookmarkStart w:id="1026" w:name="_Toc300835214"/>
      <w:bookmarkStart w:id="1027" w:name="_Toc247527832"/>
      <w:bookmarkStart w:id="1028" w:name="_Toc144974861"/>
      <w:bookmarkStart w:id="1029" w:name="_Toc369531702"/>
      <w:bookmarkStart w:id="1030" w:name="_Toc152042581"/>
      <w:bookmarkStart w:id="1031" w:name="_Toc384308381"/>
      <w:r>
        <w:rPr>
          <w:rFonts w:ascii="Times New Roman" w:hAnsi="Times New Roman"/>
          <w:color w:val="auto"/>
          <w:highlight w:val="none"/>
        </w:rPr>
        <w:t>投标保证金</w:t>
      </w:r>
      <w:r>
        <w:rPr>
          <w:rFonts w:hint="eastAsia" w:ascii="Times New Roman" w:hAnsi="Times New Roman"/>
          <w:color w:val="auto"/>
          <w:highlight w:val="none"/>
        </w:rPr>
        <w:t>（格式可自定）</w:t>
      </w:r>
      <w:bookmarkEnd w:id="1019"/>
      <w:bookmarkEnd w:id="1020"/>
    </w:p>
    <w:bookmarkEnd w:id="1021"/>
    <w:bookmarkEnd w:id="1022"/>
    <w:bookmarkEnd w:id="1023"/>
    <w:bookmarkEnd w:id="1024"/>
    <w:bookmarkEnd w:id="1025"/>
    <w:bookmarkEnd w:id="1026"/>
    <w:bookmarkEnd w:id="1027"/>
    <w:bookmarkEnd w:id="1028"/>
    <w:bookmarkEnd w:id="1029"/>
    <w:bookmarkEnd w:id="1030"/>
    <w:bookmarkEnd w:id="1031"/>
    <w:p>
      <w:pPr>
        <w:spacing w:line="400" w:lineRule="exact"/>
        <w:jc w:val="left"/>
        <w:rPr>
          <w:rFonts w:hint="eastAsia" w:ascii="宋体" w:hAnsi="宋体" w:cs="宋体"/>
          <w:color w:val="auto"/>
          <w:szCs w:val="21"/>
          <w:highlight w:val="none"/>
        </w:rPr>
      </w:pPr>
      <w:bookmarkStart w:id="1032" w:name="_Toc24631"/>
      <w:r>
        <w:rPr>
          <w:rFonts w:hint="eastAsia" w:ascii="宋体" w:hAnsi="宋体" w:cs="宋体"/>
          <w:color w:val="auto"/>
          <w:highlight w:val="none"/>
        </w:rPr>
        <w:t>投标保证金采用</w:t>
      </w:r>
      <w:r>
        <w:rPr>
          <w:rFonts w:hint="eastAsia" w:ascii="宋体" w:hAnsi="宋体" w:cs="宋体"/>
          <w:color w:val="auto"/>
          <w:szCs w:val="21"/>
          <w:highlight w:val="none"/>
        </w:rPr>
        <w:t>转账形式提交的，提交凭证复印件或打印件；</w:t>
      </w:r>
    </w:p>
    <w:p>
      <w:pPr>
        <w:spacing w:line="400" w:lineRule="exact"/>
        <w:jc w:val="left"/>
        <w:rPr>
          <w:rFonts w:hint="eastAsia" w:ascii="宋体" w:hAnsi="宋体" w:cs="宋体"/>
          <w:color w:val="auto"/>
          <w:szCs w:val="21"/>
          <w:highlight w:val="none"/>
        </w:rPr>
      </w:pPr>
      <w:r>
        <w:rPr>
          <w:rFonts w:hint="eastAsia" w:ascii="宋体" w:hAnsi="宋体" w:cs="宋体"/>
          <w:color w:val="auto"/>
          <w:highlight w:val="none"/>
        </w:rPr>
        <w:t>投标保证金采用</w:t>
      </w:r>
      <w:r>
        <w:rPr>
          <w:rFonts w:hint="eastAsia" w:ascii="宋体" w:hAnsi="宋体" w:cs="宋体"/>
          <w:color w:val="auto"/>
          <w:szCs w:val="21"/>
          <w:highlight w:val="none"/>
        </w:rPr>
        <w:t>投标保函或投标保证保险的，提交投标保函或投标保证保险扫描件并加盖投标人公章；</w:t>
      </w:r>
    </w:p>
    <w:p>
      <w:pPr>
        <w:spacing w:line="400" w:lineRule="exact"/>
        <w:jc w:val="left"/>
        <w:rPr>
          <w:rFonts w:hint="eastAsia" w:ascii="宋体" w:hAnsi="宋体" w:cs="宋体"/>
          <w:color w:val="auto"/>
          <w:szCs w:val="21"/>
          <w:highlight w:val="none"/>
        </w:rPr>
      </w:pPr>
      <w:r>
        <w:rPr>
          <w:rFonts w:hint="eastAsia" w:ascii="宋体" w:hAnsi="宋体" w:cs="宋体"/>
          <w:color w:val="auto"/>
          <w:highlight w:val="none"/>
        </w:rPr>
        <w:t>投标保证金采用</w:t>
      </w:r>
      <w:r>
        <w:rPr>
          <w:rFonts w:hint="eastAsia" w:ascii="宋体" w:hAnsi="宋体" w:cs="宋体"/>
          <w:color w:val="auto"/>
          <w:szCs w:val="21"/>
          <w:highlight w:val="none"/>
        </w:rPr>
        <w:t>电子保函的，提交电子投标保函扫描件并加盖投标人公章。</w:t>
      </w:r>
    </w:p>
    <w:p>
      <w:pPr>
        <w:pStyle w:val="4"/>
        <w:keepNext w:val="0"/>
        <w:keepLines w:val="0"/>
        <w:jc w:val="center"/>
        <w:rPr>
          <w:rFonts w:hint="eastAsia" w:ascii="Times New Roman" w:hAnsi="Times New Roman" w:eastAsia="黑体"/>
          <w:color w:val="auto"/>
          <w:highlight w:val="none"/>
          <w:lang w:eastAsia="zh-CN"/>
        </w:rPr>
        <w:sectPr>
          <w:footerReference r:id="rId4" w:type="default"/>
          <w:pgSz w:w="12240" w:h="15840"/>
          <w:pgMar w:top="1627" w:right="1373" w:bottom="1393" w:left="1627" w:header="720" w:footer="720" w:gutter="0"/>
          <w:cols w:space="720" w:num="1"/>
          <w:docGrid w:linePitch="285" w:charSpace="0"/>
        </w:sectPr>
      </w:pPr>
    </w:p>
    <w:p>
      <w:pPr>
        <w:pStyle w:val="4"/>
        <w:keepNext w:val="0"/>
        <w:keepLines w:val="0"/>
        <w:jc w:val="center"/>
        <w:rPr>
          <w:rFonts w:ascii="Times New Roman" w:hAnsi="Times New Roman"/>
          <w:color w:val="auto"/>
          <w:highlight w:val="none"/>
        </w:rPr>
      </w:pPr>
      <w:bookmarkStart w:id="1033" w:name="_Toc30876"/>
      <w:r>
        <w:rPr>
          <w:rFonts w:hint="eastAsia" w:ascii="Times New Roman" w:hAnsi="Times New Roman"/>
          <w:color w:val="auto"/>
          <w:highlight w:val="none"/>
        </w:rPr>
        <w:t>四</w:t>
      </w:r>
      <w:r>
        <w:rPr>
          <w:rFonts w:ascii="Times New Roman" w:hAnsi="Times New Roman"/>
          <w:color w:val="auto"/>
          <w:highlight w:val="none"/>
        </w:rPr>
        <w:t>、</w:t>
      </w:r>
      <w:bookmarkStart w:id="1034" w:name="_Toc361508760"/>
      <w:r>
        <w:rPr>
          <w:rFonts w:hint="eastAsia" w:ascii="Times New Roman" w:hAnsi="Times New Roman"/>
          <w:color w:val="auto"/>
          <w:highlight w:val="none"/>
        </w:rPr>
        <w:t>投标报价表</w:t>
      </w:r>
      <w:bookmarkEnd w:id="1032"/>
      <w:bookmarkEnd w:id="1033"/>
    </w:p>
    <w:p>
      <w:pPr>
        <w:jc w:val="center"/>
        <w:rPr>
          <w:rFonts w:ascii="Times New Roman" w:hAnsi="Times New Roman"/>
          <w:color w:val="auto"/>
          <w:highlight w:val="none"/>
        </w:rPr>
      </w:pPr>
    </w:p>
    <w:p>
      <w:pPr>
        <w:spacing w:line="360" w:lineRule="auto"/>
        <w:ind w:left="1680" w:hanging="1680" w:hangingChars="800"/>
        <w:rPr>
          <w:color w:val="auto"/>
          <w:highlight w:val="none"/>
        </w:rPr>
      </w:pPr>
      <w:r>
        <w:rPr>
          <w:rFonts w:hint="eastAsia" w:ascii="宋体" w:hAnsi="宋体" w:cs="宋体"/>
          <w:color w:val="auto"/>
          <w:szCs w:val="21"/>
          <w:highlight w:val="none"/>
        </w:rPr>
        <w:t>工  程  名  称:</w:t>
      </w:r>
      <w:r>
        <w:rPr>
          <w:rFonts w:hint="eastAsia" w:ascii="宋体" w:hAnsi="宋体" w:cs="宋体"/>
          <w:color w:val="auto"/>
          <w:szCs w:val="21"/>
          <w:highlight w:val="none"/>
          <w:u w:val="single"/>
        </w:rPr>
        <w:t xml:space="preserve">                                    </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080"/>
        <w:gridCol w:w="2235"/>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34" w:type="pct"/>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100" w:type="pct"/>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服务内容</w:t>
            </w:r>
          </w:p>
        </w:tc>
        <w:tc>
          <w:tcPr>
            <w:tcW w:w="1182" w:type="pct"/>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最高投标限价</w:t>
            </w:r>
          </w:p>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color w:val="auto"/>
                <w:highlight w:val="none"/>
                <w:lang w:eastAsia="zh-CN"/>
              </w:rPr>
              <w:t>（</w:t>
            </w:r>
            <w:r>
              <w:rPr>
                <w:rFonts w:hint="eastAsia" w:ascii="宋体" w:hAnsi="宋体" w:cs="宋体"/>
                <w:color w:val="auto"/>
                <w:szCs w:val="21"/>
                <w:highlight w:val="none"/>
                <w:lang w:val="en-US" w:eastAsia="zh-CN"/>
              </w:rPr>
              <w:t>含税</w:t>
            </w:r>
            <w:r>
              <w:rPr>
                <w:rFonts w:hint="eastAsia"/>
                <w:color w:val="auto"/>
                <w:highlight w:val="none"/>
                <w:lang w:eastAsia="zh-CN"/>
              </w:rPr>
              <w:t>）</w:t>
            </w:r>
          </w:p>
        </w:tc>
        <w:tc>
          <w:tcPr>
            <w:tcW w:w="2282" w:type="pct"/>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投标报价（投标人填报）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34" w:type="pct"/>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00" w:type="pct"/>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82" w:type="pct"/>
            <w:vMerge w:val="continue"/>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40" w:type="pct"/>
            <w:vAlign w:val="center"/>
          </w:tcPr>
          <w:p>
            <w:pPr>
              <w:rPr>
                <w:color w:val="auto"/>
                <w:highlight w:val="none"/>
              </w:rPr>
            </w:pPr>
            <w:r>
              <w:rPr>
                <w:rFonts w:hint="eastAsia" w:ascii="宋体" w:hAnsi="宋体" w:cs="宋体"/>
                <w:color w:val="auto"/>
                <w:szCs w:val="21"/>
                <w:highlight w:val="none"/>
              </w:rPr>
              <w:t>投标报价</w:t>
            </w:r>
            <w:r>
              <w:rPr>
                <w:rFonts w:hint="eastAsia"/>
                <w:color w:val="auto"/>
                <w:highlight w:val="none"/>
                <w:lang w:eastAsia="zh-CN"/>
              </w:rPr>
              <w:t>（</w:t>
            </w:r>
            <w:r>
              <w:rPr>
                <w:rFonts w:hint="eastAsia" w:ascii="宋体" w:hAnsi="宋体" w:cs="宋体"/>
                <w:color w:val="auto"/>
                <w:szCs w:val="21"/>
                <w:highlight w:val="none"/>
                <w:lang w:val="en-US" w:eastAsia="zh-CN"/>
              </w:rPr>
              <w:t>不含税</w:t>
            </w:r>
            <w:r>
              <w:rPr>
                <w:rFonts w:hint="eastAsia"/>
                <w:color w:val="auto"/>
                <w:highlight w:val="none"/>
                <w:lang w:eastAsia="zh-CN"/>
              </w:rPr>
              <w:t>）</w:t>
            </w:r>
          </w:p>
          <w:p>
            <w:pPr>
              <w:rPr>
                <w:color w:val="auto"/>
                <w:highlight w:val="none"/>
              </w:rPr>
            </w:pPr>
          </w:p>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41" w:type="pct"/>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投标报价</w:t>
            </w:r>
            <w:r>
              <w:rPr>
                <w:rFonts w:hint="eastAsia"/>
                <w:color w:val="auto"/>
                <w:highlight w:val="none"/>
                <w:lang w:eastAsia="zh-CN"/>
              </w:rPr>
              <w:t>（</w:t>
            </w:r>
            <w:r>
              <w:rPr>
                <w:rFonts w:hint="eastAsia" w:ascii="宋体" w:hAnsi="宋体" w:cs="宋体"/>
                <w:color w:val="auto"/>
                <w:szCs w:val="21"/>
                <w:highlight w:val="none"/>
                <w:lang w:val="en-US" w:eastAsia="zh-CN"/>
              </w:rPr>
              <w:t>含税</w:t>
            </w:r>
            <w:r>
              <w:rPr>
                <w:rFonts w:hint="eastAsia"/>
                <w:color w:val="auto"/>
                <w:highlight w:val="none"/>
                <w:lang w:eastAsia="zh-CN"/>
              </w:rPr>
              <w:t>）</w:t>
            </w:r>
          </w:p>
          <w:p>
            <w:pPr>
              <w:keepNext w:val="0"/>
              <w:keepLines w:val="0"/>
              <w:suppressLineNumbers w:val="0"/>
              <w:spacing w:before="0" w:beforeAutospacing="0" w:after="0" w:afterAutospacing="0"/>
              <w:ind w:left="0" w:right="0"/>
              <w:jc w:val="both"/>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434" w:type="pct"/>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100" w:type="pct"/>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监理</w:t>
            </w:r>
          </w:p>
        </w:tc>
        <w:tc>
          <w:tcPr>
            <w:tcW w:w="1182"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3122910.00</w:t>
            </w:r>
          </w:p>
        </w:tc>
        <w:tc>
          <w:tcPr>
            <w:tcW w:w="1140" w:type="pct"/>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41" w:type="pct"/>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备注：（1）投标报价为人民币，以元为单位，投标报价小数点后保留二位小数，第三位小数四舍五入）。</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投标报价为已含税（增值税税率 6%）价格。</w:t>
      </w:r>
    </w:p>
    <w:p>
      <w:pPr>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）各投标人的投标报价不得超过最高投标限价。</w:t>
      </w:r>
    </w:p>
    <w:p>
      <w:pPr>
        <w:pStyle w:val="17"/>
        <w:rPr>
          <w:rFonts w:hint="eastAsia"/>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color w:val="auto"/>
          <w:highlight w:val="none"/>
        </w:rPr>
        <w:t>本合同采用总价包干，监理服务费包含完成全部监理工作内容所需的全部费用，包括但不限于劳务(含技术人员)费、材料费、机具费(含各种车辆、仪器设备、软件等使用费、进出场费)、试验费、损坏修复费、各项措施费、报告及方案编写费、工作成果报审费、配合协调费、保险费、风险费、管理费、规费、利润、税金、保险费等全部相关费用，以及合同明示或暗示的所有责任、义务和风险等，除合同另有约定外，委托人不需再另行任何支付费用。</w:t>
      </w: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spacing w:line="440" w:lineRule="exact"/>
        <w:ind w:firstLine="2520" w:firstLineChars="1200"/>
        <w:jc w:val="left"/>
        <w:rPr>
          <w:rFonts w:ascii="Times New Roman" w:hAnsi="Times New Roman"/>
          <w:color w:val="auto"/>
          <w:szCs w:val="21"/>
          <w:highlight w:val="none"/>
        </w:rPr>
      </w:pPr>
      <w:bookmarkStart w:id="1035" w:name="_Toc527028748"/>
      <w:bookmarkStart w:id="1036" w:name="_Toc527028920"/>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（盖单位章）</w:t>
      </w:r>
    </w:p>
    <w:p>
      <w:pPr>
        <w:spacing w:line="440" w:lineRule="exact"/>
        <w:jc w:val="left"/>
        <w:rPr>
          <w:rFonts w:ascii="Times New Roman" w:hAnsi="Times New Roman"/>
          <w:color w:val="auto"/>
          <w:szCs w:val="21"/>
          <w:highlight w:val="none"/>
        </w:rPr>
      </w:pPr>
      <w:r>
        <w:rPr>
          <w:rFonts w:ascii="Times New Roman" w:hAnsi="Times New Roman"/>
          <w:color w:val="auto"/>
          <w:highlight w:val="none"/>
        </w:rPr>
        <w:t xml:space="preserve">                        法定代表人</w:t>
      </w:r>
      <w:r>
        <w:rPr>
          <w:rFonts w:ascii="Times New Roman" w:hAnsi="Times New Roman"/>
          <w:color w:val="auto"/>
          <w:szCs w:val="21"/>
          <w:highlight w:val="none"/>
        </w:rPr>
        <w:t>或其委托代理人：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（签字</w:t>
      </w:r>
      <w:r>
        <w:rPr>
          <w:rFonts w:hint="eastAsia" w:ascii="Times New Roman" w:hAnsi="Times New Roman"/>
          <w:color w:val="auto"/>
          <w:szCs w:val="21"/>
          <w:highlight w:val="none"/>
        </w:rPr>
        <w:t>或盖章</w:t>
      </w:r>
      <w:r>
        <w:rPr>
          <w:rFonts w:ascii="Times New Roman" w:hAnsi="Times New Roman"/>
          <w:color w:val="auto"/>
          <w:szCs w:val="21"/>
          <w:highlight w:val="none"/>
        </w:rPr>
        <w:t>）</w:t>
      </w:r>
    </w:p>
    <w:p>
      <w:pPr>
        <w:spacing w:line="440" w:lineRule="exact"/>
        <w:ind w:firstLine="4725" w:firstLineChars="2250"/>
        <w:jc w:val="right"/>
        <w:rPr>
          <w:rFonts w:ascii="Times New Roman" w:hAnsi="Times New Roman"/>
          <w:color w:val="auto"/>
          <w:szCs w:val="21"/>
          <w:highlight w:val="none"/>
        </w:rPr>
        <w:sectPr>
          <w:pgSz w:w="12240" w:h="15840"/>
          <w:pgMar w:top="1627" w:right="1373" w:bottom="1393" w:left="1627" w:header="720" w:footer="720" w:gutter="0"/>
          <w:cols w:space="720" w:num="1"/>
          <w:docGrid w:linePitch="285" w:charSpace="0"/>
        </w:sectPr>
      </w:pPr>
      <w:r>
        <w:rPr>
          <w:rFonts w:ascii="Times New Roman" w:hAnsi="Times New Roman"/>
          <w:color w:val="auto"/>
          <w:highlight w:val="none"/>
          <w:u w:val="single"/>
        </w:rPr>
        <w:t xml:space="preserve">      </w:t>
      </w:r>
      <w:r>
        <w:rPr>
          <w:rFonts w:ascii="Times New Roman" w:hAnsi="Times New Roman"/>
          <w:color w:val="auto"/>
          <w:szCs w:val="21"/>
          <w:highlight w:val="none"/>
        </w:rPr>
        <w:t>年</w:t>
      </w:r>
      <w:r>
        <w:rPr>
          <w:rFonts w:ascii="Times New Roman" w:hAnsi="Times New Roman"/>
          <w:color w:val="auto"/>
          <w:highlight w:val="none"/>
          <w:u w:val="single"/>
        </w:rPr>
        <w:t xml:space="preserve">      </w:t>
      </w:r>
      <w:r>
        <w:rPr>
          <w:rFonts w:ascii="Times New Roman" w:hAnsi="Times New Roman"/>
          <w:color w:val="auto"/>
          <w:szCs w:val="21"/>
          <w:highlight w:val="none"/>
        </w:rPr>
        <w:t>月</w:t>
      </w:r>
      <w:r>
        <w:rPr>
          <w:rFonts w:ascii="Times New Roman" w:hAnsi="Times New Roman"/>
          <w:color w:val="auto"/>
          <w:highlight w:val="none"/>
          <w:u w:val="single"/>
        </w:rPr>
        <w:t xml:space="preserve">      </w:t>
      </w:r>
      <w:r>
        <w:rPr>
          <w:rFonts w:ascii="Times New Roman" w:hAnsi="Times New Roman"/>
          <w:color w:val="auto"/>
          <w:szCs w:val="21"/>
          <w:highlight w:val="none"/>
        </w:rPr>
        <w:t>日</w:t>
      </w:r>
    </w:p>
    <w:bookmarkEnd w:id="1035"/>
    <w:bookmarkEnd w:id="1036"/>
    <w:p>
      <w:pPr>
        <w:pStyle w:val="4"/>
        <w:keepNext w:val="0"/>
        <w:keepLines w:val="0"/>
        <w:spacing w:after="0"/>
        <w:jc w:val="center"/>
        <w:rPr>
          <w:rFonts w:ascii="Times New Roman" w:hAnsi="Times New Roman"/>
          <w:color w:val="auto"/>
          <w:highlight w:val="none"/>
        </w:rPr>
      </w:pPr>
      <w:bookmarkStart w:id="1037" w:name="_Toc6755"/>
      <w:bookmarkStart w:id="1038" w:name="_Toc32340"/>
      <w:r>
        <w:rPr>
          <w:rFonts w:hint="eastAsia" w:ascii="Times New Roman" w:hAnsi="Times New Roman"/>
          <w:color w:val="auto"/>
          <w:highlight w:val="none"/>
        </w:rPr>
        <w:t>五</w:t>
      </w:r>
      <w:r>
        <w:rPr>
          <w:rFonts w:ascii="Times New Roman" w:hAnsi="Times New Roman"/>
          <w:color w:val="auto"/>
          <w:highlight w:val="none"/>
        </w:rPr>
        <w:t>、资格审查资料</w:t>
      </w:r>
      <w:bookmarkEnd w:id="1037"/>
      <w:bookmarkEnd w:id="1038"/>
    </w:p>
    <w:p>
      <w:pPr>
        <w:pStyle w:val="5"/>
        <w:keepNext w:val="0"/>
        <w:keepLines w:val="0"/>
        <w:spacing w:before="20" w:after="0"/>
        <w:ind w:firstLine="137"/>
        <w:jc w:val="center"/>
        <w:rPr>
          <w:rFonts w:ascii="Times New Roman" w:hAnsi="Times New Roman"/>
          <w:color w:val="auto"/>
          <w:highlight w:val="none"/>
        </w:rPr>
      </w:pPr>
      <w:bookmarkStart w:id="1039" w:name="_Toc25680"/>
      <w:bookmarkStart w:id="1040" w:name="_Toc31262"/>
      <w:bookmarkStart w:id="1041" w:name="_Toc14222"/>
      <w:r>
        <w:rPr>
          <w:rFonts w:ascii="Times New Roman" w:hAnsi="Times New Roman"/>
          <w:color w:val="auto"/>
          <w:highlight w:val="none"/>
        </w:rPr>
        <w:t>（一）基本情况表（格式可自定）</w:t>
      </w:r>
      <w:bookmarkEnd w:id="1039"/>
      <w:bookmarkEnd w:id="1040"/>
      <w:bookmarkEnd w:id="1041"/>
    </w:p>
    <w:tbl>
      <w:tblPr>
        <w:tblStyle w:val="14"/>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企业</w:t>
            </w:r>
            <w:r>
              <w:rPr>
                <w:rFonts w:hint="default" w:ascii="Times New Roman" w:hAnsi="Times New Roman"/>
                <w:color w:val="auto"/>
                <w:szCs w:val="21"/>
                <w:highlight w:val="none"/>
              </w:rPr>
              <w:t>监理</w:t>
            </w:r>
            <w:r>
              <w:rPr>
                <w:rFonts w:hint="default" w:ascii="Times New Roman" w:hAnsi="Times New Roman"/>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firstLine="105" w:firstLineChars="50"/>
              <w:jc w:val="center"/>
              <w:rPr>
                <w:rFonts w:hint="default" w:ascii="Times New Roman" w:hAnsi="Times New Roman"/>
                <w:color w:val="auto"/>
                <w:highlight w:val="none"/>
              </w:rPr>
            </w:pPr>
            <w:r>
              <w:rPr>
                <w:rFonts w:hint="default" w:ascii="Times New Roman" w:hAnsi="Times New Roman"/>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firstLine="105" w:firstLineChars="50"/>
              <w:jc w:val="center"/>
              <w:rPr>
                <w:rFonts w:hint="default" w:ascii="Times New Roman" w:hAnsi="Times New Roman"/>
                <w:color w:val="auto"/>
                <w:highlight w:val="none"/>
              </w:rPr>
            </w:pPr>
            <w:r>
              <w:rPr>
                <w:rFonts w:hint="default" w:ascii="Times New Roman" w:hAnsi="Times New Roman"/>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414" w:type="dxa"/>
            <w:vMerge w:val="restart"/>
            <w:tcBorders>
              <w:top w:val="single" w:color="auto" w:sz="4" w:space="0"/>
              <w:left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41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41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c>
          <w:tcPr>
            <w:tcW w:w="41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firstLine="210" w:firstLineChars="100"/>
              <w:jc w:val="center"/>
              <w:rPr>
                <w:rFonts w:hint="default" w:ascii="Times New Roman" w:hAnsi="Times New Roman"/>
                <w:color w:val="auto"/>
                <w:highlight w:val="none"/>
              </w:rPr>
            </w:pPr>
            <w:r>
              <w:rPr>
                <w:rFonts w:hint="default" w:ascii="Times New Roman" w:hAnsi="Times New Roman"/>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p>
        </w:tc>
      </w:tr>
    </w:tbl>
    <w:p>
      <w:pPr>
        <w:spacing w:line="400" w:lineRule="exact"/>
        <w:rPr>
          <w:rFonts w:ascii="Times New Roman" w:hAnsi="Times New Roman"/>
          <w:color w:val="auto"/>
          <w:highlight w:val="none"/>
        </w:rPr>
      </w:pPr>
      <w:r>
        <w:rPr>
          <w:rFonts w:ascii="Times New Roman" w:hAnsi="Times New Roman"/>
          <w:color w:val="auto"/>
          <w:highlight w:val="none"/>
        </w:rPr>
        <w:t>注：</w:t>
      </w:r>
      <w:r>
        <w:rPr>
          <w:rFonts w:hint="eastAsia" w:ascii="宋体" w:hAnsi="宋体" w:cs="宋体"/>
          <w:color w:val="auto"/>
          <w:szCs w:val="20"/>
          <w:highlight w:val="none"/>
        </w:rPr>
        <w:t>在本表后附相关证</w:t>
      </w:r>
      <w:bookmarkStart w:id="1042" w:name="_Toc520184752"/>
      <w:r>
        <w:rPr>
          <w:rFonts w:hint="eastAsia" w:ascii="宋体" w:hAnsi="宋体" w:cs="宋体"/>
          <w:color w:val="auto"/>
          <w:szCs w:val="20"/>
          <w:highlight w:val="none"/>
        </w:rPr>
        <w:t>明材料。</w:t>
      </w:r>
      <w:bookmarkEnd w:id="1042"/>
    </w:p>
    <w:p>
      <w:pPr>
        <w:pStyle w:val="5"/>
        <w:keepNext w:val="0"/>
        <w:keepLines w:val="0"/>
        <w:ind w:firstLine="137"/>
        <w:rPr>
          <w:rFonts w:ascii="Times New Roman" w:hAnsi="Times New Roman"/>
          <w:color w:val="auto"/>
          <w:highlight w:val="none"/>
        </w:rPr>
      </w:pPr>
    </w:p>
    <w:bookmarkEnd w:id="1034"/>
    <w:p>
      <w:pPr>
        <w:pStyle w:val="5"/>
        <w:keepNext w:val="0"/>
        <w:keepLines w:val="0"/>
        <w:spacing w:before="20" w:after="0"/>
        <w:ind w:firstLine="137"/>
        <w:jc w:val="center"/>
        <w:rPr>
          <w:rFonts w:ascii="Times New Roman" w:hAnsi="Times New Roman"/>
          <w:color w:val="auto"/>
          <w:highlight w:val="none"/>
        </w:rPr>
      </w:pPr>
      <w:bookmarkStart w:id="1043" w:name="_Toc300835232"/>
      <w:bookmarkStart w:id="1044" w:name="_Toc9737"/>
      <w:bookmarkStart w:id="1045" w:name="_Toc384308390"/>
      <w:bookmarkStart w:id="1046" w:name="_Toc359594249"/>
      <w:bookmarkStart w:id="1047" w:name="_Toc391394125"/>
      <w:bookmarkStart w:id="1048" w:name="_Toc482188668"/>
      <w:bookmarkStart w:id="1049" w:name="_Toc179632825"/>
      <w:bookmarkStart w:id="1050" w:name="_Toc152045805"/>
      <w:bookmarkStart w:id="1051" w:name="_Toc152042594"/>
      <w:bookmarkStart w:id="1052" w:name="_Toc385943079"/>
      <w:bookmarkStart w:id="1053" w:name="_Toc144974873"/>
      <w:bookmarkStart w:id="1054" w:name="_Toc370676440"/>
      <w:bookmarkStart w:id="1055" w:name="_Toc12423"/>
      <w:bookmarkStart w:id="1056" w:name="_Toc29422"/>
      <w:bookmarkStart w:id="1057" w:name="_Toc12664"/>
      <w:r>
        <w:rPr>
          <w:rFonts w:ascii="Times New Roman" w:hAnsi="Times New Roman"/>
          <w:color w:val="auto"/>
          <w:highlight w:val="none"/>
        </w:rPr>
        <w:t>（</w:t>
      </w:r>
      <w:r>
        <w:rPr>
          <w:rFonts w:hint="eastAsia" w:ascii="Times New Roman" w:hAnsi="Times New Roman"/>
          <w:color w:val="auto"/>
          <w:highlight w:val="none"/>
        </w:rPr>
        <w:t>二</w:t>
      </w:r>
      <w:r>
        <w:rPr>
          <w:rFonts w:ascii="Times New Roman" w:hAnsi="Times New Roman"/>
          <w:color w:val="auto"/>
          <w:highlight w:val="none"/>
        </w:rPr>
        <w:t>）</w:t>
      </w:r>
      <w:r>
        <w:rPr>
          <w:rFonts w:hint="eastAsia" w:ascii="Times New Roman" w:hAnsi="Times New Roman"/>
          <w:color w:val="auto"/>
          <w:highlight w:val="none"/>
        </w:rPr>
        <w:t>总监理工程师</w:t>
      </w:r>
      <w:r>
        <w:rPr>
          <w:rFonts w:ascii="Times New Roman" w:hAnsi="Times New Roman"/>
          <w:color w:val="auto"/>
          <w:highlight w:val="none"/>
        </w:rPr>
        <w:t>简历表</w:t>
      </w:r>
      <w:bookmarkEnd w:id="1043"/>
      <w:bookmarkEnd w:id="1044"/>
      <w:bookmarkEnd w:id="1045"/>
      <w:bookmarkEnd w:id="1046"/>
      <w:bookmarkEnd w:id="1047"/>
      <w:bookmarkEnd w:id="1048"/>
      <w:bookmarkEnd w:id="1049"/>
      <w:bookmarkEnd w:id="1050"/>
      <w:bookmarkEnd w:id="1051"/>
      <w:bookmarkEnd w:id="1052"/>
      <w:bookmarkEnd w:id="1053"/>
      <w:bookmarkEnd w:id="1054"/>
      <w:r>
        <w:rPr>
          <w:rFonts w:ascii="Times New Roman" w:hAnsi="Times New Roman"/>
          <w:color w:val="auto"/>
          <w:highlight w:val="none"/>
        </w:rPr>
        <w:t>（格式可自定）</w:t>
      </w:r>
      <w:bookmarkEnd w:id="1055"/>
      <w:bookmarkEnd w:id="1056"/>
      <w:bookmarkEnd w:id="1057"/>
    </w:p>
    <w:p>
      <w:pPr>
        <w:topLinePunct/>
        <w:spacing w:line="440" w:lineRule="exact"/>
        <w:jc w:val="center"/>
        <w:rPr>
          <w:rFonts w:ascii="Times New Roman" w:hAnsi="Times New Roman"/>
          <w:color w:val="auto"/>
          <w:sz w:val="23"/>
          <w:highlight w:val="none"/>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姓  名</w:t>
            </w:r>
          </w:p>
        </w:tc>
        <w:tc>
          <w:tcPr>
            <w:tcW w:w="1048" w:type="dxa"/>
            <w:gridSpan w:val="2"/>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c>
          <w:tcPr>
            <w:tcW w:w="958"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年龄</w:t>
            </w:r>
          </w:p>
        </w:tc>
        <w:tc>
          <w:tcPr>
            <w:tcW w:w="1065"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c>
          <w:tcPr>
            <w:tcW w:w="2368" w:type="dxa"/>
            <w:gridSpan w:val="3"/>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执业资格证书（或上岗证书）名称</w:t>
            </w:r>
          </w:p>
        </w:tc>
        <w:tc>
          <w:tcPr>
            <w:tcW w:w="1896"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职  称</w:t>
            </w:r>
          </w:p>
        </w:tc>
        <w:tc>
          <w:tcPr>
            <w:tcW w:w="1048" w:type="dxa"/>
            <w:gridSpan w:val="2"/>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c>
          <w:tcPr>
            <w:tcW w:w="958" w:type="dxa"/>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学历</w:t>
            </w:r>
          </w:p>
        </w:tc>
        <w:tc>
          <w:tcPr>
            <w:tcW w:w="1065"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c>
          <w:tcPr>
            <w:tcW w:w="2368" w:type="dxa"/>
            <w:gridSpan w:val="3"/>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拟在本项目任职</w:t>
            </w:r>
          </w:p>
        </w:tc>
        <w:tc>
          <w:tcPr>
            <w:tcW w:w="1896"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工作年限</w:t>
            </w:r>
          </w:p>
        </w:tc>
        <w:tc>
          <w:tcPr>
            <w:tcW w:w="3071" w:type="dxa"/>
            <w:gridSpan w:val="4"/>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c>
          <w:tcPr>
            <w:tcW w:w="2368" w:type="dxa"/>
            <w:gridSpan w:val="3"/>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从事监理工作年限</w:t>
            </w:r>
          </w:p>
        </w:tc>
        <w:tc>
          <w:tcPr>
            <w:tcW w:w="1896"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毕业学校</w:t>
            </w:r>
          </w:p>
        </w:tc>
        <w:tc>
          <w:tcPr>
            <w:tcW w:w="7335" w:type="dxa"/>
            <w:gridSpan w:val="8"/>
            <w:vAlign w:val="center"/>
          </w:tcPr>
          <w:p>
            <w:pPr>
              <w:keepNext w:val="0"/>
              <w:keepLines w:val="0"/>
              <w:suppressLineNumbers w:val="0"/>
              <w:spacing w:before="100" w:beforeAutospacing="1" w:after="100" w:afterAutospacing="1" w:line="440" w:lineRule="exact"/>
              <w:ind w:left="0" w:right="0" w:firstLine="1155" w:firstLineChars="550"/>
              <w:rPr>
                <w:rFonts w:hint="default" w:ascii="Times New Roman" w:hAnsi="Times New Roman"/>
                <w:color w:val="auto"/>
                <w:highlight w:val="none"/>
              </w:rPr>
            </w:pPr>
            <w:r>
              <w:rPr>
                <w:rFonts w:hint="default" w:ascii="Times New Roman" w:hAnsi="Times New Roman"/>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pPr>
              <w:keepNext w:val="0"/>
              <w:keepLines w:val="0"/>
              <w:suppressLineNumbers w:val="0"/>
              <w:spacing w:before="100" w:beforeAutospacing="1" w:after="100" w:afterAutospacing="1" w:line="440" w:lineRule="exact"/>
              <w:ind w:left="0" w:right="0"/>
              <w:jc w:val="left"/>
              <w:rPr>
                <w:rFonts w:hint="default" w:ascii="Times New Roman" w:hAnsi="Times New Roman"/>
                <w:color w:val="auto"/>
                <w:highlight w:val="none"/>
              </w:rPr>
            </w:pPr>
            <w:r>
              <w:rPr>
                <w:rFonts w:hint="default" w:ascii="Times New Roman" w:hAnsi="Times New Roman"/>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时  间</w:t>
            </w:r>
          </w:p>
        </w:tc>
        <w:tc>
          <w:tcPr>
            <w:tcW w:w="3420" w:type="dxa"/>
            <w:gridSpan w:val="4"/>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参加过的类似项目</w:t>
            </w:r>
          </w:p>
        </w:tc>
        <w:tc>
          <w:tcPr>
            <w:tcW w:w="1261" w:type="dxa"/>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担任职务</w:t>
            </w:r>
          </w:p>
        </w:tc>
        <w:tc>
          <w:tcPr>
            <w:tcW w:w="2297" w:type="dxa"/>
            <w:gridSpan w:val="2"/>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bl>
    <w:p>
      <w:pPr>
        <w:spacing w:line="440" w:lineRule="exact"/>
        <w:rPr>
          <w:rFonts w:ascii="Times New Roman" w:hAnsi="Times New Roman"/>
          <w:color w:val="auto"/>
          <w:highlight w:val="none"/>
        </w:rPr>
      </w:pPr>
      <w:r>
        <w:rPr>
          <w:rFonts w:ascii="Times New Roman" w:hAnsi="Times New Roman"/>
          <w:color w:val="auto"/>
          <w:highlight w:val="none"/>
        </w:rPr>
        <w:t>注：</w:t>
      </w:r>
      <w:r>
        <w:rPr>
          <w:rFonts w:hint="eastAsia" w:ascii="Times New Roman" w:hAnsi="Times New Roman"/>
          <w:color w:val="auto"/>
          <w:highlight w:val="none"/>
        </w:rPr>
        <w:t>在本表后附相关证明材料。</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bookmarkStart w:id="1058" w:name="_Toc352703741"/>
      <w:bookmarkStart w:id="1059" w:name="_Toc300835229"/>
    </w:p>
    <w:p>
      <w:pPr>
        <w:spacing w:line="440" w:lineRule="exact"/>
        <w:jc w:val="center"/>
        <w:rPr>
          <w:rFonts w:ascii="Times New Roman" w:hAnsi="Times New Roman" w:eastAsia="黑体"/>
          <w:color w:val="auto"/>
          <w:sz w:val="28"/>
          <w:szCs w:val="20"/>
          <w:highlight w:val="none"/>
        </w:rPr>
      </w:pPr>
    </w:p>
    <w:p>
      <w:pPr>
        <w:pStyle w:val="13"/>
        <w:rPr>
          <w:color w:val="auto"/>
          <w:highlight w:val="none"/>
        </w:rPr>
      </w:pPr>
    </w:p>
    <w:p>
      <w:pPr>
        <w:spacing w:line="440" w:lineRule="exact"/>
        <w:jc w:val="center"/>
        <w:rPr>
          <w:rFonts w:ascii="Times New Roman" w:hAnsi="Times New Roman" w:eastAsia="黑体"/>
          <w:color w:val="auto"/>
          <w:sz w:val="28"/>
          <w:szCs w:val="20"/>
          <w:highlight w:val="none"/>
        </w:rPr>
      </w:pPr>
    </w:p>
    <w:bookmarkEnd w:id="1058"/>
    <w:bookmarkEnd w:id="1059"/>
    <w:p>
      <w:pPr>
        <w:spacing w:line="440" w:lineRule="exact"/>
        <w:jc w:val="center"/>
        <w:rPr>
          <w:rFonts w:ascii="Times New Roman" w:hAnsi="Times New Roman" w:eastAsia="黑体"/>
          <w:color w:val="auto"/>
          <w:sz w:val="28"/>
          <w:szCs w:val="20"/>
          <w:highlight w:val="none"/>
        </w:rPr>
      </w:pPr>
      <w:bookmarkStart w:id="1060" w:name="_Toc482188666"/>
    </w:p>
    <w:p>
      <w:pPr>
        <w:pStyle w:val="5"/>
        <w:keepNext w:val="0"/>
        <w:keepLines w:val="0"/>
        <w:spacing w:before="20" w:after="0"/>
        <w:ind w:firstLine="137"/>
        <w:jc w:val="left"/>
        <w:rPr>
          <w:rFonts w:ascii="Times New Roman" w:hAnsi="Times New Roman"/>
          <w:color w:val="auto"/>
          <w:highlight w:val="none"/>
        </w:rPr>
      </w:pPr>
      <w:bookmarkStart w:id="1061" w:name="_Toc1193"/>
      <w:bookmarkStart w:id="1062" w:name="_Toc168"/>
      <w:bookmarkStart w:id="1063" w:name="_Toc253"/>
      <w:r>
        <w:rPr>
          <w:rFonts w:ascii="Times New Roman" w:hAnsi="Times New Roman"/>
          <w:color w:val="auto"/>
          <w:highlight w:val="none"/>
        </w:rPr>
        <w:t>（</w:t>
      </w:r>
      <w:r>
        <w:rPr>
          <w:rFonts w:hint="eastAsia" w:ascii="Times New Roman" w:hAnsi="Times New Roman"/>
          <w:color w:val="auto"/>
          <w:highlight w:val="none"/>
        </w:rPr>
        <w:t>三</w:t>
      </w:r>
      <w:r>
        <w:rPr>
          <w:rFonts w:ascii="Times New Roman" w:hAnsi="Times New Roman"/>
          <w:color w:val="auto"/>
          <w:highlight w:val="none"/>
        </w:rPr>
        <w:t>）</w:t>
      </w:r>
      <w:r>
        <w:rPr>
          <w:rFonts w:hint="eastAsia" w:ascii="Times New Roman" w:hAnsi="Times New Roman"/>
          <w:color w:val="auto"/>
          <w:highlight w:val="none"/>
        </w:rPr>
        <w:t>资格审查前在广州公共资源交易中心企业库的信息截图</w:t>
      </w:r>
      <w:bookmarkEnd w:id="1061"/>
      <w:bookmarkEnd w:id="1062"/>
      <w:bookmarkEnd w:id="1063"/>
    </w:p>
    <w:p>
      <w:pPr>
        <w:spacing w:line="440" w:lineRule="exact"/>
        <w:rPr>
          <w:rFonts w:ascii="Times New Roman" w:hAnsi="Times New Roman"/>
          <w:color w:val="auto"/>
          <w:highlight w:val="none"/>
        </w:rPr>
      </w:pPr>
    </w:p>
    <w:p>
      <w:pPr>
        <w:spacing w:line="440" w:lineRule="exact"/>
        <w:jc w:val="center"/>
        <w:rPr>
          <w:rFonts w:ascii="Times New Roman" w:hAnsi="Times New Roman"/>
          <w:color w:val="auto"/>
          <w:highlight w:val="none"/>
        </w:rPr>
      </w:pPr>
      <w:r>
        <w:rPr>
          <w:rFonts w:ascii="Times New Roman" w:hAnsi="Times New Roman"/>
          <w:color w:val="auto"/>
          <w:highlight w:val="none"/>
        </w:rPr>
        <w:t>注：附相关证明材料。</w:t>
      </w:r>
    </w:p>
    <w:p>
      <w:pPr>
        <w:pStyle w:val="5"/>
        <w:keepNext w:val="0"/>
        <w:keepLines w:val="0"/>
        <w:spacing w:before="20" w:after="0"/>
        <w:ind w:firstLine="137"/>
        <w:jc w:val="center"/>
        <w:rPr>
          <w:rFonts w:ascii="Times New Roman" w:hAnsi="Times New Roman"/>
          <w:color w:val="auto"/>
          <w:highlight w:val="none"/>
        </w:rPr>
      </w:pPr>
      <w:r>
        <w:rPr>
          <w:rFonts w:ascii="Times New Roman" w:hAnsi="Times New Roman"/>
          <w:color w:val="auto"/>
          <w:highlight w:val="none"/>
        </w:rPr>
        <w:br w:type="page"/>
      </w:r>
      <w:bookmarkEnd w:id="1060"/>
      <w:bookmarkStart w:id="1064" w:name="_Toc27871"/>
      <w:bookmarkStart w:id="1065" w:name="_Toc26812"/>
      <w:bookmarkStart w:id="1066" w:name="_Toc24618"/>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w:t>
      </w:r>
      <w:r>
        <w:rPr>
          <w:rFonts w:hint="eastAsia" w:ascii="Times New Roman" w:hAnsi="Times New Roman"/>
          <w:color w:val="auto"/>
          <w:highlight w:val="none"/>
        </w:rPr>
        <w:t>投标人声明</w:t>
      </w:r>
      <w:bookmarkEnd w:id="1064"/>
      <w:bookmarkEnd w:id="1065"/>
      <w:bookmarkEnd w:id="1066"/>
    </w:p>
    <w:p>
      <w:pPr>
        <w:pStyle w:val="4"/>
        <w:keepNext w:val="0"/>
        <w:keepLines w:val="0"/>
        <w:jc w:val="center"/>
        <w:rPr>
          <w:rFonts w:ascii="Times New Roman" w:hAnsi="Times New Roman" w:eastAsia="宋体"/>
          <w:b w:val="0"/>
          <w:color w:val="auto"/>
          <w:sz w:val="21"/>
          <w:szCs w:val="22"/>
          <w:highlight w:val="none"/>
        </w:rPr>
      </w:pPr>
      <w:bookmarkStart w:id="1067" w:name="_Toc30285"/>
      <w:bookmarkStart w:id="1068" w:name="_Toc571"/>
      <w:bookmarkStart w:id="1069" w:name="_Toc23748"/>
      <w:bookmarkStart w:id="1070" w:name="_Toc5124"/>
      <w:r>
        <w:rPr>
          <w:rFonts w:hint="eastAsia" w:ascii="Times New Roman" w:hAnsi="Times New Roman" w:eastAsia="宋体"/>
          <w:b w:val="0"/>
          <w:color w:val="auto"/>
          <w:sz w:val="21"/>
          <w:szCs w:val="22"/>
          <w:highlight w:val="none"/>
        </w:rPr>
        <w:t>格式详见招标公告附件一</w:t>
      </w:r>
      <w:bookmarkEnd w:id="1067"/>
      <w:bookmarkEnd w:id="1068"/>
      <w:bookmarkEnd w:id="1069"/>
      <w:bookmarkEnd w:id="1070"/>
    </w:p>
    <w:p>
      <w:pPr>
        <w:spacing w:line="360" w:lineRule="auto"/>
        <w:ind w:firstLine="4920" w:firstLineChars="2050"/>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pStyle w:val="8"/>
        <w:rPr>
          <w:rFonts w:ascii="宋体" w:hAnsi="宋体" w:cs="宋体"/>
          <w:color w:val="auto"/>
          <w:kern w:val="0"/>
          <w:sz w:val="24"/>
          <w:szCs w:val="24"/>
          <w:highlight w:val="none"/>
        </w:rPr>
      </w:pPr>
    </w:p>
    <w:p>
      <w:pPr>
        <w:jc w:val="right"/>
        <w:rPr>
          <w:rFonts w:ascii="宋体" w:hAnsi="宋体" w:cs="宋体"/>
          <w:color w:val="auto"/>
          <w:kern w:val="0"/>
          <w:sz w:val="24"/>
          <w:highlight w:val="none"/>
        </w:rPr>
      </w:pPr>
    </w:p>
    <w:p>
      <w:pPr>
        <w:rPr>
          <w:rFonts w:ascii="宋体" w:hAnsi="宋体" w:cs="宋体"/>
          <w:color w:val="auto"/>
          <w:kern w:val="0"/>
          <w:sz w:val="24"/>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jc w:val="center"/>
        <w:rPr>
          <w:rFonts w:ascii="Times New Roman" w:hAnsi="Times New Roman" w:eastAsia="黑体"/>
          <w:color w:val="auto"/>
          <w:sz w:val="28"/>
          <w:szCs w:val="20"/>
          <w:highlight w:val="none"/>
        </w:rPr>
      </w:pPr>
    </w:p>
    <w:p>
      <w:pPr>
        <w:jc w:val="center"/>
        <w:rPr>
          <w:rFonts w:ascii="Times New Roman" w:hAnsi="Times New Roman" w:eastAsia="黑体"/>
          <w:color w:val="auto"/>
          <w:sz w:val="28"/>
          <w:szCs w:val="20"/>
          <w:highlight w:val="none"/>
        </w:rPr>
      </w:pPr>
    </w:p>
    <w:p>
      <w:pPr>
        <w:jc w:val="center"/>
        <w:rPr>
          <w:rFonts w:ascii="Times New Roman" w:hAnsi="Times New Roman" w:eastAsia="黑体"/>
          <w:color w:val="auto"/>
          <w:sz w:val="28"/>
          <w:szCs w:val="20"/>
          <w:highlight w:val="none"/>
        </w:rPr>
      </w:pPr>
    </w:p>
    <w:p>
      <w:pPr>
        <w:jc w:val="center"/>
        <w:rPr>
          <w:rFonts w:ascii="Times New Roman" w:hAnsi="Times New Roman" w:eastAsia="黑体"/>
          <w:color w:val="auto"/>
          <w:sz w:val="28"/>
          <w:szCs w:val="20"/>
          <w:highlight w:val="none"/>
        </w:rPr>
      </w:pPr>
    </w:p>
    <w:p>
      <w:pPr>
        <w:jc w:val="center"/>
        <w:rPr>
          <w:rFonts w:ascii="Times New Roman" w:hAnsi="Times New Roman" w:eastAsia="黑体"/>
          <w:color w:val="auto"/>
          <w:sz w:val="28"/>
          <w:szCs w:val="20"/>
          <w:highlight w:val="none"/>
        </w:rPr>
      </w:pPr>
    </w:p>
    <w:p>
      <w:pPr>
        <w:pStyle w:val="22"/>
        <w:rPr>
          <w:color w:val="auto"/>
          <w:highlight w:val="none"/>
        </w:rPr>
      </w:pPr>
    </w:p>
    <w:p>
      <w:pPr>
        <w:pStyle w:val="4"/>
        <w:keepNext w:val="0"/>
        <w:keepLines w:val="0"/>
        <w:spacing w:after="0"/>
        <w:jc w:val="center"/>
        <w:rPr>
          <w:rFonts w:ascii="Times New Roman" w:hAnsi="Times New Roman"/>
          <w:color w:val="auto"/>
          <w:highlight w:val="none"/>
        </w:rPr>
      </w:pPr>
      <w:r>
        <w:rPr>
          <w:rFonts w:hint="eastAsia" w:ascii="Times New Roman" w:hAnsi="Times New Roman"/>
          <w:color w:val="auto"/>
          <w:sz w:val="28"/>
          <w:highlight w:val="none"/>
        </w:rPr>
        <w:br w:type="page"/>
      </w:r>
      <w:bookmarkStart w:id="1071" w:name="_Toc2183"/>
      <w:bookmarkStart w:id="1072" w:name="_Toc148"/>
      <w:r>
        <w:rPr>
          <w:rFonts w:hint="eastAsia" w:ascii="Times New Roman" w:hAnsi="Times New Roman"/>
          <w:color w:val="auto"/>
          <w:highlight w:val="none"/>
        </w:rPr>
        <w:t>六</w:t>
      </w:r>
      <w:r>
        <w:rPr>
          <w:rFonts w:ascii="Times New Roman" w:hAnsi="Times New Roman"/>
          <w:color w:val="auto"/>
          <w:highlight w:val="none"/>
        </w:rPr>
        <w:t>、</w:t>
      </w:r>
      <w:r>
        <w:rPr>
          <w:rFonts w:hint="eastAsia" w:ascii="Times New Roman" w:hAnsi="Times New Roman"/>
          <w:b w:val="0"/>
          <w:color w:val="auto"/>
          <w:highlight w:val="none"/>
        </w:rPr>
        <w:t>监理大纲</w:t>
      </w:r>
      <w:bookmarkEnd w:id="1071"/>
      <w:bookmarkEnd w:id="1072"/>
    </w:p>
    <w:p>
      <w:pPr>
        <w:spacing w:line="360" w:lineRule="auto"/>
        <w:ind w:firstLine="474" w:firstLineChars="226"/>
        <w:rPr>
          <w:rFonts w:ascii="Times New Roman" w:hAnsi="Times New Roman"/>
          <w:color w:val="auto"/>
          <w:szCs w:val="21"/>
          <w:highlight w:val="none"/>
        </w:rPr>
      </w:pPr>
      <w:r>
        <w:rPr>
          <w:rFonts w:hint="eastAsia" w:ascii="Times New Roman" w:hAnsi="Times New Roman"/>
          <w:color w:val="auto"/>
          <w:szCs w:val="21"/>
          <w:highlight w:val="none"/>
        </w:rPr>
        <w:t>按监理大纲评分标准的要求提供相关内容。</w:t>
      </w:r>
    </w:p>
    <w:p>
      <w:pPr>
        <w:rPr>
          <w:rFonts w:ascii="Times New Roman" w:hAnsi="Times New Roman"/>
          <w:color w:val="auto"/>
          <w:highlight w:val="none"/>
        </w:rPr>
      </w:pPr>
    </w:p>
    <w:p>
      <w:pPr>
        <w:pStyle w:val="4"/>
        <w:keepNext w:val="0"/>
        <w:keepLines w:val="0"/>
        <w:spacing w:line="400" w:lineRule="exact"/>
        <w:jc w:val="center"/>
        <w:rPr>
          <w:rFonts w:ascii="Times New Roman" w:hAnsi="Times New Roman"/>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keepNext w:val="0"/>
        <w:keepLines w:val="0"/>
        <w:spacing w:after="0"/>
        <w:jc w:val="center"/>
        <w:rPr>
          <w:color w:val="auto"/>
          <w:highlight w:val="none"/>
        </w:rPr>
      </w:pPr>
      <w:r>
        <w:rPr>
          <w:rFonts w:hint="eastAsia"/>
          <w:color w:val="auto"/>
          <w:highlight w:val="none"/>
        </w:rPr>
        <w:br w:type="page"/>
      </w:r>
      <w:bookmarkStart w:id="1073" w:name="_Toc20862"/>
      <w:bookmarkStart w:id="1074" w:name="_Toc11133"/>
      <w:r>
        <w:rPr>
          <w:rFonts w:hint="eastAsia"/>
          <w:color w:val="auto"/>
          <w:highlight w:val="none"/>
        </w:rPr>
        <w:t>七、其他资料</w:t>
      </w:r>
      <w:bookmarkEnd w:id="1073"/>
      <w:bookmarkEnd w:id="1074"/>
    </w:p>
    <w:p>
      <w:pPr>
        <w:pStyle w:val="5"/>
        <w:keepNext w:val="0"/>
        <w:keepLines w:val="0"/>
        <w:ind w:firstLine="137"/>
        <w:jc w:val="center"/>
        <w:rPr>
          <w:rFonts w:ascii="Times New Roman" w:hAnsi="Times New Roman"/>
          <w:color w:val="auto"/>
          <w:highlight w:val="none"/>
        </w:rPr>
      </w:pPr>
      <w:bookmarkStart w:id="1075" w:name="_Toc21816"/>
      <w:bookmarkStart w:id="1076" w:name="_Toc9850"/>
      <w:r>
        <w:rPr>
          <w:rFonts w:hint="eastAsia" w:ascii="Times New Roman" w:hAnsi="Times New Roman"/>
          <w:color w:val="auto"/>
          <w:highlight w:val="none"/>
        </w:rPr>
        <w:t>（一）承诺书</w:t>
      </w:r>
      <w:bookmarkEnd w:id="1075"/>
      <w:bookmarkEnd w:id="1076"/>
    </w:p>
    <w:p>
      <w:pPr>
        <w:spacing w:line="360" w:lineRule="auto"/>
        <w:outlineLvl w:val="2"/>
        <w:rPr>
          <w:rFonts w:ascii="宋体" w:hAnsi="宋体"/>
          <w:b/>
          <w:color w:val="auto"/>
          <w:sz w:val="28"/>
          <w:szCs w:val="28"/>
          <w:highlight w:val="none"/>
        </w:rPr>
      </w:pPr>
      <w:bookmarkStart w:id="1077" w:name="_Toc530470653"/>
      <w:bookmarkStart w:id="1078" w:name="_Toc406"/>
      <w:bookmarkStart w:id="1079" w:name="_Toc535938760"/>
      <w:bookmarkStart w:id="1080" w:name="_Toc3473"/>
      <w:r>
        <w:rPr>
          <w:rFonts w:hint="eastAsia" w:ascii="宋体" w:hAnsi="宋体"/>
          <w:b/>
          <w:color w:val="auto"/>
          <w:sz w:val="28"/>
          <w:szCs w:val="28"/>
          <w:highlight w:val="none"/>
        </w:rPr>
        <w:t>①</w:t>
      </w:r>
      <w:r>
        <w:rPr>
          <w:rFonts w:hint="eastAsia" w:ascii="宋体" w:hAnsi="宋体"/>
          <w:b/>
          <w:color w:val="auto"/>
          <w:sz w:val="28"/>
          <w:szCs w:val="28"/>
          <w:highlight w:val="none"/>
          <w:lang w:eastAsia="zh-CN"/>
        </w:rPr>
        <w:t>项目监理</w:t>
      </w:r>
      <w:r>
        <w:rPr>
          <w:rFonts w:hint="eastAsia" w:ascii="宋体" w:hAnsi="宋体"/>
          <w:b/>
          <w:color w:val="auto"/>
          <w:sz w:val="28"/>
          <w:szCs w:val="28"/>
          <w:highlight w:val="none"/>
        </w:rPr>
        <w:t>服务承诺书</w:t>
      </w:r>
      <w:bookmarkEnd w:id="1077"/>
      <w:bookmarkEnd w:id="1078"/>
      <w:bookmarkEnd w:id="1079"/>
      <w:bookmarkEnd w:id="1080"/>
    </w:p>
    <w:p>
      <w:pPr>
        <w:spacing w:line="360" w:lineRule="auto"/>
        <w:jc w:val="center"/>
        <w:rPr>
          <w:rFonts w:ascii="宋体" w:hAnsi="宋体"/>
          <w:b/>
          <w:color w:val="auto"/>
          <w:sz w:val="32"/>
          <w:szCs w:val="30"/>
          <w:highlight w:val="none"/>
        </w:rPr>
      </w:pPr>
      <w:r>
        <w:rPr>
          <w:rFonts w:hint="eastAsia" w:ascii="宋体" w:hAnsi="宋体"/>
          <w:b/>
          <w:color w:val="auto"/>
          <w:sz w:val="32"/>
          <w:szCs w:val="30"/>
          <w:highlight w:val="none"/>
          <w:lang w:eastAsia="zh-CN"/>
        </w:rPr>
        <w:t>项目监理</w:t>
      </w:r>
      <w:r>
        <w:rPr>
          <w:rFonts w:hint="eastAsia" w:ascii="宋体" w:hAnsi="宋体"/>
          <w:b/>
          <w:color w:val="auto"/>
          <w:sz w:val="32"/>
          <w:szCs w:val="30"/>
          <w:highlight w:val="none"/>
        </w:rPr>
        <w:t>服务承诺书</w:t>
      </w:r>
    </w:p>
    <w:p>
      <w:pPr>
        <w:topLinePunct/>
        <w:spacing w:line="360" w:lineRule="auto"/>
        <w:rPr>
          <w:rFonts w:ascii="宋体" w:hAnsi="宋体"/>
          <w:bCs/>
          <w:snapToGrid w:val="0"/>
          <w:color w:val="auto"/>
          <w:spacing w:val="4"/>
          <w:sz w:val="24"/>
          <w:szCs w:val="24"/>
          <w:highlight w:val="none"/>
        </w:rPr>
      </w:pPr>
      <w:r>
        <w:rPr>
          <w:rFonts w:hint="eastAsia" w:ascii="宋体" w:hAnsi="宋体"/>
          <w:bCs/>
          <w:snapToGrid w:val="0"/>
          <w:color w:val="auto"/>
          <w:spacing w:val="4"/>
          <w:sz w:val="24"/>
          <w:szCs w:val="24"/>
          <w:highlight w:val="none"/>
        </w:rPr>
        <w:t>致：</w:t>
      </w:r>
      <w:r>
        <w:rPr>
          <w:rFonts w:hint="eastAsia" w:ascii="宋体" w:hAnsi="宋体" w:cs="宋体"/>
          <w:bCs/>
          <w:snapToGrid w:val="0"/>
          <w:color w:val="auto"/>
          <w:spacing w:val="4"/>
          <w:sz w:val="24"/>
          <w:szCs w:val="24"/>
          <w:highlight w:val="none"/>
          <w:u w:val="single"/>
        </w:rPr>
        <w:t>（招标人名称）</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一旦我方中标，我方愿意做出如下承诺：</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一、我方同意投标有效截止日期之日起的投标有效期内遵守本投标文件。在此期限届满之前，本投标文件将始终对我方有约束力，并可随时按此投标书接受中标。</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二、我方完全愿意接受本项目招标文件中的监理合同条款，如我方中标，我们将在招标人要求的时间内签订监理服务合同。</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三、如果我方中标，我方保证在签订合同后，在合同要求的期限内进驻现场开展工作，并在工程施工准备期、施工期和工程收尾期严格履行合同。</w:t>
      </w:r>
      <w:r>
        <w:rPr>
          <w:rFonts w:hint="eastAsia" w:ascii="宋体" w:hAnsi="宋体"/>
          <w:color w:val="auto"/>
          <w:spacing w:val="4"/>
          <w:sz w:val="24"/>
          <w:szCs w:val="24"/>
          <w:highlight w:val="none"/>
        </w:rPr>
        <w:t>如果我方中标，我方承诺严格按照合同和招投标文件规定履行义务，并同意贵单位将我方履行合同、招投标文件义务的履约情况和不诚信行为（包括但不限于由单位</w:t>
      </w:r>
      <w:r>
        <w:rPr>
          <w:rFonts w:hint="eastAsia" w:ascii="宋体" w:hAnsi="宋体"/>
          <w:color w:val="auto"/>
          <w:sz w:val="24"/>
          <w:highlight w:val="none"/>
        </w:rPr>
        <w:t>组织的考核、考评通报、作</w:t>
      </w:r>
      <w:r>
        <w:rPr>
          <w:rFonts w:hint="eastAsia" w:ascii="宋体" w:hAnsi="宋体"/>
          <w:color w:val="auto"/>
          <w:spacing w:val="4"/>
          <w:sz w:val="24"/>
          <w:szCs w:val="24"/>
          <w:highlight w:val="none"/>
        </w:rPr>
        <w:t>出的违约责任处理决定等）在相关媒体上公开披露，由此造成的一切损失和不利后果均由我方自行承担。</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四、我方承诺按照招标文件和委托合同的规定对监理与相关服务费进行支付和结算。</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五、保证监理服务满足工程的需要，监理人员服务费中包括工资、奖金、补贴、加班费（法定节假日和8小时工作以外）、办公费、差旅费（包括进、退场和探亲交通费）、招待费、因公受伤医疗费，以及监理单位为监理人员提供或承担的住房、医疗、保险、交通等福利待遇。</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六、我方将严格按照监理人员执业守则，按照国家相关法规、规范及我方制定的监理大纲、实施细则进行监理，在保证质量、安全的前提下，确保工程按期交付。</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七、在未正式签订合同前，贵单位的招标文件、中标通知书和本投标文件将构成约束我们双方的法律文书。</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八、如果贵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接受我方投标，我方将按照招标文件中规定的条件，按招标文件写明的金额，提交投标保证金。</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九、我方理解，贵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不一定接受最低标价的投标文件或可能接受任何的投标文件。同时也理解，不论结果如何，贵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不承担我方的任何投标费用。</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十、如果我方在投标有效期内撤回投标文件，或收到中标通知书后未能按招标文件规定的期限签署或拒绝签署合同，或未能或拒绝提交履约担保，贵</w:t>
      </w:r>
      <w:r>
        <w:rPr>
          <w:rFonts w:hint="eastAsia" w:ascii="宋体" w:hAnsi="宋体"/>
          <w:color w:val="auto"/>
          <w:spacing w:val="4"/>
          <w:sz w:val="24"/>
          <w:szCs w:val="24"/>
          <w:highlight w:val="none"/>
        </w:rPr>
        <w:t>单位</w:t>
      </w:r>
      <w:r>
        <w:rPr>
          <w:rFonts w:hint="eastAsia" w:ascii="宋体" w:hAnsi="宋体"/>
          <w:snapToGrid w:val="0"/>
          <w:color w:val="auto"/>
          <w:spacing w:val="4"/>
          <w:sz w:val="24"/>
          <w:szCs w:val="24"/>
          <w:highlight w:val="none"/>
        </w:rPr>
        <w:t>有权视为我方自动放弃中标资格并没收我方提交的投标保证金。</w:t>
      </w:r>
    </w:p>
    <w:p>
      <w:pPr>
        <w:topLinePunct/>
        <w:spacing w:line="360" w:lineRule="auto"/>
        <w:ind w:firstLine="496" w:firstLineChars="200"/>
        <w:rPr>
          <w:rFonts w:ascii="宋体" w:hAnsi="宋体"/>
          <w:snapToGrid w:val="0"/>
          <w:color w:val="auto"/>
          <w:spacing w:val="4"/>
          <w:sz w:val="24"/>
          <w:szCs w:val="24"/>
          <w:highlight w:val="none"/>
        </w:rPr>
      </w:pP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投  标  单  位（盖章）：</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法定代表人或委托代理人（签名或盖章）：</w:t>
      </w:r>
    </w:p>
    <w:p>
      <w:pPr>
        <w:spacing w:line="360" w:lineRule="auto"/>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 xml:space="preserve">    日     期：     年   月   日</w:t>
      </w:r>
    </w:p>
    <w:p>
      <w:pPr>
        <w:spacing w:line="360" w:lineRule="auto"/>
        <w:outlineLvl w:val="2"/>
        <w:rPr>
          <w:rFonts w:ascii="宋体" w:hAnsi="宋体"/>
          <w:b/>
          <w:color w:val="auto"/>
          <w:sz w:val="28"/>
          <w:szCs w:val="28"/>
          <w:highlight w:val="none"/>
        </w:rPr>
      </w:pPr>
      <w:r>
        <w:rPr>
          <w:rFonts w:hint="eastAsia" w:ascii="宋体" w:hAnsi="宋体"/>
          <w:b/>
          <w:color w:val="auto"/>
          <w:sz w:val="28"/>
          <w:szCs w:val="28"/>
          <w:highlight w:val="none"/>
        </w:rPr>
        <w:br w:type="page"/>
      </w:r>
      <w:bookmarkStart w:id="1081" w:name="_Toc530470654"/>
      <w:bookmarkStart w:id="1082" w:name="_Toc535938761"/>
      <w:bookmarkStart w:id="1083" w:name="_Toc17661"/>
      <w:bookmarkStart w:id="1084" w:name="_Toc1305"/>
      <w:r>
        <w:rPr>
          <w:rFonts w:hint="eastAsia" w:ascii="宋体" w:hAnsi="宋体"/>
          <w:b/>
          <w:color w:val="auto"/>
          <w:sz w:val="28"/>
          <w:szCs w:val="28"/>
          <w:highlight w:val="none"/>
        </w:rPr>
        <w:t>②</w:t>
      </w:r>
      <w:r>
        <w:rPr>
          <w:rFonts w:hint="eastAsia" w:ascii="宋体" w:hAnsi="宋体"/>
          <w:b/>
          <w:color w:val="auto"/>
          <w:sz w:val="28"/>
          <w:szCs w:val="28"/>
          <w:highlight w:val="none"/>
          <w:lang w:eastAsia="zh-CN"/>
        </w:rPr>
        <w:t>项目监理</w:t>
      </w:r>
      <w:r>
        <w:rPr>
          <w:rFonts w:hint="eastAsia" w:ascii="宋体" w:hAnsi="宋体"/>
          <w:b/>
          <w:color w:val="auto"/>
          <w:sz w:val="28"/>
          <w:szCs w:val="28"/>
          <w:highlight w:val="none"/>
        </w:rPr>
        <w:t>合同响应承诺书</w:t>
      </w:r>
      <w:bookmarkEnd w:id="1081"/>
      <w:bookmarkEnd w:id="1082"/>
      <w:bookmarkEnd w:id="1083"/>
      <w:bookmarkEnd w:id="1084"/>
    </w:p>
    <w:p>
      <w:pPr>
        <w:topLinePunct/>
        <w:spacing w:line="360" w:lineRule="auto"/>
        <w:jc w:val="center"/>
        <w:rPr>
          <w:rFonts w:ascii="宋体" w:hAnsi="宋体"/>
          <w:color w:val="auto"/>
          <w:sz w:val="32"/>
          <w:szCs w:val="20"/>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项目监理</w:t>
      </w:r>
      <w:r>
        <w:rPr>
          <w:rFonts w:hint="eastAsia" w:ascii="宋体" w:hAnsi="宋体"/>
          <w:b/>
          <w:color w:val="auto"/>
          <w:sz w:val="32"/>
          <w:szCs w:val="32"/>
          <w:highlight w:val="none"/>
        </w:rPr>
        <w:t>合同响应承诺书</w:t>
      </w:r>
    </w:p>
    <w:p>
      <w:pPr>
        <w:topLinePunct/>
        <w:spacing w:line="360" w:lineRule="auto"/>
        <w:ind w:firstLine="496" w:firstLineChars="200"/>
        <w:rPr>
          <w:rFonts w:ascii="宋体" w:hAnsi="宋体"/>
          <w:snapToGrid w:val="0"/>
          <w:color w:val="auto"/>
          <w:spacing w:val="4"/>
          <w:sz w:val="24"/>
          <w:szCs w:val="24"/>
          <w:highlight w:val="none"/>
        </w:rPr>
      </w:pPr>
    </w:p>
    <w:p>
      <w:pPr>
        <w:topLinePunct/>
        <w:spacing w:line="360" w:lineRule="auto"/>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致：（招标人名称）</w:t>
      </w:r>
    </w:p>
    <w:p>
      <w:pPr>
        <w:topLinePunct/>
        <w:spacing w:line="360" w:lineRule="auto"/>
        <w:rPr>
          <w:rFonts w:ascii="宋体" w:hAnsi="宋体"/>
          <w:snapToGrid w:val="0"/>
          <w:color w:val="auto"/>
          <w:spacing w:val="4"/>
          <w:sz w:val="24"/>
          <w:szCs w:val="24"/>
          <w:highlight w:val="none"/>
        </w:rPr>
      </w:pP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我方完全愿意接受本项目招标文件所附合同条款，如我方中标，我们将在贵</w:t>
      </w:r>
      <w:r>
        <w:rPr>
          <w:rFonts w:hint="eastAsia" w:ascii="宋体" w:hAnsi="宋体"/>
          <w:color w:val="auto"/>
          <w:spacing w:val="4"/>
          <w:sz w:val="24"/>
          <w:szCs w:val="24"/>
          <w:highlight w:val="none"/>
        </w:rPr>
        <w:t>单位</w:t>
      </w:r>
      <w:r>
        <w:rPr>
          <w:rFonts w:hint="eastAsia" w:ascii="宋体" w:hAnsi="宋体"/>
          <w:snapToGrid w:val="0"/>
          <w:color w:val="auto"/>
          <w:spacing w:val="4"/>
          <w:sz w:val="24"/>
          <w:szCs w:val="24"/>
          <w:highlight w:val="none"/>
        </w:rPr>
        <w:t>要求的时间内签订监理服务合同。</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特此承诺。</w:t>
      </w:r>
    </w:p>
    <w:p>
      <w:pPr>
        <w:topLinePunct/>
        <w:spacing w:line="360" w:lineRule="auto"/>
        <w:ind w:firstLine="496" w:firstLineChars="200"/>
        <w:rPr>
          <w:rFonts w:ascii="宋体" w:hAnsi="宋体"/>
          <w:snapToGrid w:val="0"/>
          <w:color w:val="auto"/>
          <w:spacing w:val="4"/>
          <w:sz w:val="24"/>
          <w:szCs w:val="24"/>
          <w:highlight w:val="none"/>
        </w:rPr>
      </w:pPr>
    </w:p>
    <w:p>
      <w:pPr>
        <w:topLinePunct/>
        <w:spacing w:line="360" w:lineRule="auto"/>
        <w:ind w:firstLine="496" w:firstLineChars="200"/>
        <w:rPr>
          <w:rFonts w:ascii="宋体" w:hAnsi="宋体"/>
          <w:snapToGrid w:val="0"/>
          <w:color w:val="auto"/>
          <w:spacing w:val="4"/>
          <w:sz w:val="24"/>
          <w:szCs w:val="24"/>
          <w:highlight w:val="none"/>
        </w:rPr>
      </w:pP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投  标  单  位（盖章）：</w:t>
      </w:r>
    </w:p>
    <w:p>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法定代表人或委托代理人（签名或盖章）：</w:t>
      </w:r>
    </w:p>
    <w:p>
      <w:pPr>
        <w:spacing w:line="360" w:lineRule="auto"/>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 xml:space="preserve">    日     期：     年   月   日</w:t>
      </w:r>
    </w:p>
    <w:p>
      <w:pPr>
        <w:rPr>
          <w:rFonts w:ascii="宋体" w:hAnsi="宋体"/>
          <w:color w:val="auto"/>
          <w:sz w:val="28"/>
          <w:szCs w:val="28"/>
          <w:highlight w:val="none"/>
        </w:rPr>
      </w:pPr>
    </w:p>
    <w:p>
      <w:pPr>
        <w:rPr>
          <w:rFonts w:ascii="宋体" w:hAnsi="宋体"/>
          <w:snapToGrid w:val="0"/>
          <w:color w:val="auto"/>
          <w:spacing w:val="4"/>
          <w:sz w:val="24"/>
          <w:szCs w:val="24"/>
          <w:highlight w:val="none"/>
        </w:rPr>
      </w:pPr>
      <w:r>
        <w:rPr>
          <w:rFonts w:hint="eastAsia" w:ascii="宋体" w:hAnsi="宋体"/>
          <w:color w:val="auto"/>
          <w:sz w:val="28"/>
          <w:szCs w:val="28"/>
          <w:highlight w:val="none"/>
        </w:rPr>
        <w:br w:type="page"/>
      </w:r>
    </w:p>
    <w:p>
      <w:pPr>
        <w:rPr>
          <w:color w:val="auto"/>
          <w:highlight w:val="none"/>
        </w:rPr>
      </w:pPr>
    </w:p>
    <w:p>
      <w:pPr>
        <w:pStyle w:val="5"/>
        <w:keepNext w:val="0"/>
        <w:keepLines w:val="0"/>
        <w:ind w:firstLine="137"/>
        <w:jc w:val="center"/>
        <w:rPr>
          <w:rFonts w:ascii="Times New Roman" w:hAnsi="Times New Roman"/>
          <w:color w:val="auto"/>
          <w:highlight w:val="none"/>
        </w:rPr>
      </w:pPr>
      <w:bookmarkStart w:id="1085" w:name="_Toc15174"/>
      <w:bookmarkStart w:id="1086" w:name="_Toc4532"/>
      <w:r>
        <w:rPr>
          <w:rFonts w:hint="eastAsia" w:ascii="Times New Roman" w:hAnsi="Times New Roman"/>
          <w:color w:val="auto"/>
          <w:highlight w:val="none"/>
        </w:rPr>
        <w:t>（二）</w:t>
      </w:r>
      <w:r>
        <w:rPr>
          <w:rFonts w:ascii="Times New Roman" w:hAnsi="Times New Roman"/>
          <w:color w:val="auto"/>
          <w:highlight w:val="none"/>
        </w:rPr>
        <w:t>近年</w:t>
      </w:r>
      <w:r>
        <w:rPr>
          <w:rFonts w:hint="eastAsia" w:ascii="Times New Roman" w:hAnsi="Times New Roman"/>
          <w:color w:val="auto"/>
          <w:highlight w:val="none"/>
        </w:rPr>
        <w:t>承接</w:t>
      </w:r>
      <w:r>
        <w:rPr>
          <w:rFonts w:ascii="Times New Roman" w:hAnsi="Times New Roman"/>
          <w:color w:val="auto"/>
          <w:highlight w:val="none"/>
        </w:rPr>
        <w:t>的类似项目情况表（格式可自定）</w:t>
      </w:r>
      <w:bookmarkEnd w:id="1085"/>
      <w:bookmarkEnd w:id="1086"/>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eastAsia" w:ascii="宋体" w:hAnsi="宋体" w:cs="宋体"/>
                <w:color w:val="auto"/>
                <w:highlight w:val="none"/>
              </w:rPr>
              <w:t>项目名称</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eastAsia" w:ascii="宋体" w:hAnsi="宋体" w:cs="宋体"/>
                <w:color w:val="auto"/>
                <w:highlight w:val="none"/>
              </w:rPr>
              <w:t>项目所在地</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eastAsia" w:ascii="宋体" w:hAnsi="宋体" w:cs="宋体"/>
                <w:color w:val="auto"/>
                <w:highlight w:val="none"/>
              </w:rPr>
              <w:t>委托人名称</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eastAsia" w:ascii="宋体" w:hAnsi="宋体" w:cs="宋体"/>
                <w:color w:val="auto"/>
                <w:highlight w:val="none"/>
              </w:rPr>
              <w:t>委托人地址</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eastAsia" w:ascii="宋体" w:hAnsi="宋体" w:cs="宋体"/>
                <w:color w:val="auto"/>
                <w:highlight w:val="none"/>
              </w:rPr>
              <w:t>委托人电话</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eastAsia" w:ascii="宋体" w:hAnsi="宋体" w:cs="宋体"/>
                <w:color w:val="auto"/>
                <w:highlight w:val="none"/>
              </w:rPr>
              <w:t>合同价格</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eastAsia" w:ascii="宋体" w:hAnsi="宋体" w:cs="宋体"/>
                <w:color w:val="auto"/>
                <w:highlight w:val="none"/>
              </w:rPr>
              <w:t>监理服务期限</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eastAsia" w:ascii="宋体" w:hAnsi="宋体" w:cs="宋体"/>
                <w:color w:val="auto"/>
                <w:highlight w:val="none"/>
              </w:rPr>
              <w:t>监理内容</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eastAsia" w:ascii="宋体" w:hAnsi="宋体" w:cs="宋体"/>
                <w:color w:val="auto"/>
                <w:highlight w:val="none"/>
              </w:rPr>
              <w:t>总监理工程师</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eastAsia" w:ascii="宋体" w:hAnsi="宋体" w:cs="宋体"/>
                <w:color w:val="auto"/>
                <w:highlight w:val="none"/>
              </w:rPr>
              <w:t>项目描述</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color w:val="auto"/>
                <w:highlight w:val="none"/>
              </w:rPr>
            </w:pPr>
            <w:r>
              <w:rPr>
                <w:rFonts w:hint="eastAsia" w:ascii="宋体" w:hAnsi="宋体" w:cs="宋体"/>
                <w:color w:val="auto"/>
                <w:highlight w:val="none"/>
              </w:rPr>
              <w:t>备注</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440" w:lineRule="exact"/>
              <w:ind w:left="0" w:right="0"/>
              <w:rPr>
                <w:rFonts w:hint="default" w:ascii="Times New Roman" w:hAnsi="Times New Roman"/>
                <w:color w:val="auto"/>
                <w:highlight w:val="none"/>
              </w:rPr>
            </w:pPr>
          </w:p>
        </w:tc>
      </w:tr>
    </w:tbl>
    <w:p>
      <w:pPr>
        <w:spacing w:line="440" w:lineRule="exact"/>
        <w:rPr>
          <w:rFonts w:ascii="Times New Roman" w:hAnsi="Times New Roman"/>
          <w:color w:val="auto"/>
          <w:highlight w:val="none"/>
        </w:rPr>
      </w:pPr>
      <w:r>
        <w:rPr>
          <w:rFonts w:ascii="Times New Roman" w:hAnsi="Times New Roman"/>
          <w:color w:val="auto"/>
          <w:highlight w:val="none"/>
        </w:rPr>
        <w:t>注：在本表后附相关证明材料。</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pStyle w:val="5"/>
        <w:ind w:firstLine="137"/>
        <w:jc w:val="center"/>
        <w:rPr>
          <w:rFonts w:ascii="Times New Roman" w:hAnsi="Times New Roman"/>
          <w:color w:val="auto"/>
          <w:highlight w:val="none"/>
        </w:rPr>
      </w:pPr>
    </w:p>
    <w:p>
      <w:pPr>
        <w:pStyle w:val="5"/>
        <w:ind w:firstLine="137"/>
        <w:jc w:val="center"/>
        <w:rPr>
          <w:rFonts w:ascii="Times New Roman" w:hAnsi="Times New Roman"/>
          <w:color w:val="auto"/>
          <w:highlight w:val="none"/>
        </w:rPr>
      </w:pPr>
      <w:bookmarkStart w:id="1087" w:name="_Toc6374"/>
      <w:bookmarkStart w:id="1088" w:name="_Toc21884"/>
      <w:r>
        <w:rPr>
          <w:rFonts w:hint="eastAsia" w:ascii="Times New Roman" w:hAnsi="Times New Roman"/>
          <w:color w:val="auto"/>
          <w:highlight w:val="none"/>
        </w:rPr>
        <w:t>（三）</w:t>
      </w:r>
      <w:r>
        <w:rPr>
          <w:rFonts w:ascii="Times New Roman" w:hAnsi="Times New Roman"/>
          <w:color w:val="auto"/>
          <w:highlight w:val="none"/>
        </w:rPr>
        <w:t>项目管理团队人员信息表</w:t>
      </w:r>
      <w:bookmarkEnd w:id="1087"/>
      <w:bookmarkEnd w:id="1088"/>
    </w:p>
    <w:tbl>
      <w:tblPr>
        <w:tblStyle w:val="14"/>
        <w:tblW w:w="8979" w:type="dxa"/>
        <w:jc w:val="center"/>
        <w:tblLayout w:type="fixed"/>
        <w:tblCellMar>
          <w:top w:w="0" w:type="dxa"/>
          <w:left w:w="0" w:type="dxa"/>
          <w:bottom w:w="0" w:type="dxa"/>
          <w:right w:w="0" w:type="dxa"/>
        </w:tblCellMar>
      </w:tblPr>
      <w:tblGrid>
        <w:gridCol w:w="865"/>
        <w:gridCol w:w="1261"/>
        <w:gridCol w:w="1784"/>
        <w:gridCol w:w="1784"/>
        <w:gridCol w:w="3285"/>
      </w:tblGrid>
      <w:tr>
        <w:tblPrEx>
          <w:tblCellMar>
            <w:top w:w="0" w:type="dxa"/>
            <w:left w:w="0" w:type="dxa"/>
            <w:bottom w:w="0" w:type="dxa"/>
            <w:right w:w="0" w:type="dxa"/>
          </w:tblCellMar>
        </w:tblPrEx>
        <w:trPr>
          <w:trHeight w:val="744" w:hRule="atLeast"/>
          <w:jc w:val="center"/>
        </w:trPr>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kern w:val="0"/>
                <w:sz w:val="28"/>
                <w:szCs w:val="28"/>
                <w:highlight w:val="none"/>
                <w:lang w:bidi="ar"/>
              </w:rPr>
            </w:pPr>
            <w:r>
              <w:rPr>
                <w:rFonts w:hint="eastAsia" w:ascii="仿宋" w:hAnsi="仿宋" w:eastAsia="仿宋" w:cs="仿宋"/>
                <w:b/>
                <w:color w:val="auto"/>
                <w:kern w:val="0"/>
                <w:sz w:val="28"/>
                <w:szCs w:val="28"/>
                <w:highlight w:val="none"/>
                <w:lang w:bidi="ar"/>
              </w:rPr>
              <w:t>序号</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kern w:val="0"/>
                <w:sz w:val="28"/>
                <w:szCs w:val="28"/>
                <w:highlight w:val="none"/>
                <w:lang w:bidi="ar"/>
              </w:rPr>
            </w:pPr>
            <w:r>
              <w:rPr>
                <w:rFonts w:hint="eastAsia" w:ascii="仿宋" w:hAnsi="仿宋" w:eastAsia="仿宋" w:cs="仿宋"/>
                <w:b/>
                <w:color w:val="auto"/>
                <w:kern w:val="0"/>
                <w:sz w:val="28"/>
                <w:szCs w:val="28"/>
                <w:highlight w:val="none"/>
                <w:lang w:bidi="ar"/>
              </w:rPr>
              <w:t>姓名</w:t>
            </w:r>
          </w:p>
        </w:tc>
        <w:tc>
          <w:tcPr>
            <w:tcW w:w="1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bidi="ar"/>
              </w:rPr>
              <w:t>岗位</w:t>
            </w:r>
          </w:p>
        </w:tc>
        <w:tc>
          <w:tcPr>
            <w:tcW w:w="1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bidi="ar"/>
              </w:rPr>
              <w:t>职称</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bidi="ar"/>
              </w:rPr>
              <w:t>职称证书或资格证书编号</w:t>
            </w:r>
          </w:p>
        </w:tc>
      </w:tr>
      <w:tr>
        <w:tblPrEx>
          <w:tblCellMar>
            <w:top w:w="0" w:type="dxa"/>
            <w:left w:w="0" w:type="dxa"/>
            <w:bottom w:w="0" w:type="dxa"/>
            <w:right w:w="0" w:type="dxa"/>
          </w:tblCellMar>
        </w:tblPrEx>
        <w:trPr>
          <w:trHeight w:val="618" w:hRule="atLeast"/>
          <w:jc w:val="center"/>
        </w:trPr>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1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1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r>
      <w:tr>
        <w:tblPrEx>
          <w:tblCellMar>
            <w:top w:w="0" w:type="dxa"/>
            <w:left w:w="0" w:type="dxa"/>
            <w:bottom w:w="0" w:type="dxa"/>
            <w:right w:w="0" w:type="dxa"/>
          </w:tblCellMar>
        </w:tblPrEx>
        <w:trPr>
          <w:trHeight w:val="618" w:hRule="atLeast"/>
          <w:jc w:val="center"/>
        </w:trPr>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2</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1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1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r>
      <w:tr>
        <w:tblPrEx>
          <w:tblCellMar>
            <w:top w:w="0" w:type="dxa"/>
            <w:left w:w="0" w:type="dxa"/>
            <w:bottom w:w="0" w:type="dxa"/>
            <w:right w:w="0" w:type="dxa"/>
          </w:tblCellMar>
        </w:tblPrEx>
        <w:trPr>
          <w:trHeight w:val="618" w:hRule="atLeast"/>
          <w:jc w:val="center"/>
        </w:trPr>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3</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1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1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r>
      <w:tr>
        <w:tblPrEx>
          <w:tblCellMar>
            <w:top w:w="0" w:type="dxa"/>
            <w:left w:w="0" w:type="dxa"/>
            <w:bottom w:w="0" w:type="dxa"/>
            <w:right w:w="0" w:type="dxa"/>
          </w:tblCellMar>
        </w:tblPrEx>
        <w:trPr>
          <w:trHeight w:val="618" w:hRule="atLeast"/>
          <w:jc w:val="center"/>
        </w:trPr>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4</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1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1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r>
      <w:tr>
        <w:tblPrEx>
          <w:tblCellMar>
            <w:top w:w="0" w:type="dxa"/>
            <w:left w:w="0" w:type="dxa"/>
            <w:bottom w:w="0" w:type="dxa"/>
            <w:right w:w="0" w:type="dxa"/>
          </w:tblCellMar>
        </w:tblPrEx>
        <w:trPr>
          <w:trHeight w:val="618" w:hRule="atLeast"/>
          <w:jc w:val="center"/>
        </w:trPr>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1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1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r>
      <w:tr>
        <w:tblPrEx>
          <w:tblCellMar>
            <w:top w:w="0" w:type="dxa"/>
            <w:left w:w="0" w:type="dxa"/>
            <w:bottom w:w="0" w:type="dxa"/>
            <w:right w:w="0" w:type="dxa"/>
          </w:tblCellMar>
        </w:tblPrEx>
        <w:trPr>
          <w:trHeight w:val="5787" w:hRule="atLeast"/>
          <w:jc w:val="center"/>
        </w:trPr>
        <w:tc>
          <w:tcPr>
            <w:tcW w:w="897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23"/>
                <w:rFonts w:hint="default"/>
                <w:color w:val="auto"/>
                <w:highlight w:val="none"/>
                <w:lang w:bidi="ar"/>
              </w:rPr>
            </w:pPr>
            <w:r>
              <w:rPr>
                <w:rStyle w:val="23"/>
                <w:rFonts w:hint="default"/>
                <w:color w:val="auto"/>
                <w:highlight w:val="none"/>
                <w:lang w:bidi="ar"/>
              </w:rPr>
              <w:t>备注：</w:t>
            </w:r>
          </w:p>
          <w:p>
            <w:pPr>
              <w:keepNext w:val="0"/>
              <w:keepLines w:val="0"/>
              <w:widowControl/>
              <w:suppressLineNumbers w:val="0"/>
              <w:spacing w:before="0" w:beforeAutospacing="0" w:after="0" w:afterAutospacing="0"/>
              <w:ind w:left="0" w:right="0"/>
              <w:jc w:val="left"/>
              <w:textAlignment w:val="center"/>
              <w:rPr>
                <w:rStyle w:val="23"/>
                <w:rFonts w:hint="default"/>
                <w:color w:val="auto"/>
                <w:highlight w:val="none"/>
                <w:lang w:bidi="ar"/>
              </w:rPr>
            </w:pPr>
            <w:r>
              <w:rPr>
                <w:rStyle w:val="23"/>
                <w:rFonts w:hint="default"/>
                <w:color w:val="auto"/>
                <w:highlight w:val="none"/>
                <w:lang w:bidi="ar"/>
              </w:rPr>
              <w:t>1、“岗位”要求</w:t>
            </w:r>
            <w:r>
              <w:rPr>
                <w:rStyle w:val="24"/>
                <w:rFonts w:hint="default"/>
                <w:color w:val="auto"/>
                <w:highlight w:val="none"/>
                <w:lang w:bidi="ar"/>
              </w:rPr>
              <w:t>（总监理工程师除外）</w:t>
            </w:r>
            <w:r>
              <w:rPr>
                <w:rStyle w:val="23"/>
                <w:rFonts w:hint="default"/>
                <w:color w:val="auto"/>
                <w:highlight w:val="none"/>
                <w:lang w:bidi="ar"/>
              </w:rPr>
              <w:t>由招标人根据项目管理需要在本表备注中明确提出，如：拟派驻施工现场的总监理工程师代表、专业监理工程师、监理员等。以上项目管理团队人员信息将由交易系统提取后供各相关单位在履约时比对、查核。</w:t>
            </w:r>
          </w:p>
          <w:p>
            <w:pPr>
              <w:keepNext w:val="0"/>
              <w:keepLines w:val="0"/>
              <w:widowControl/>
              <w:suppressLineNumbers w:val="0"/>
              <w:spacing w:before="0" w:beforeAutospacing="0" w:after="0" w:afterAutospacing="0"/>
              <w:ind w:left="0" w:right="0"/>
              <w:jc w:val="left"/>
              <w:textAlignment w:val="center"/>
              <w:rPr>
                <w:rStyle w:val="23"/>
                <w:rFonts w:hint="default"/>
                <w:color w:val="auto"/>
                <w:highlight w:val="none"/>
                <w:lang w:bidi="ar"/>
              </w:rPr>
            </w:pPr>
            <w:r>
              <w:rPr>
                <w:rStyle w:val="23"/>
                <w:rFonts w:hint="default"/>
                <w:color w:val="auto"/>
                <w:highlight w:val="none"/>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sz w:val="28"/>
                <w:szCs w:val="28"/>
                <w:highlight w:val="none"/>
              </w:rPr>
            </w:pPr>
            <w:r>
              <w:rPr>
                <w:rStyle w:val="23"/>
                <w:rFonts w:hint="default"/>
                <w:color w:val="auto"/>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5"/>
        <w:keepNext w:val="0"/>
        <w:keepLines w:val="0"/>
        <w:ind w:firstLine="137"/>
        <w:jc w:val="center"/>
        <w:rPr>
          <w:rFonts w:ascii="Times New Roman" w:hAnsi="Times New Roman"/>
          <w:color w:val="auto"/>
          <w:highlight w:val="none"/>
        </w:rPr>
      </w:pPr>
    </w:p>
    <w:p>
      <w:pPr>
        <w:rPr>
          <w:rFonts w:ascii="Times New Roman" w:hAnsi="Times New Roman"/>
          <w:color w:val="auto"/>
          <w:highlight w:val="none"/>
        </w:rPr>
      </w:pPr>
    </w:p>
    <w:p>
      <w:pPr>
        <w:pStyle w:val="10"/>
        <w:rPr>
          <w:rFonts w:ascii="Times New Roman" w:hAnsi="Times New Roman"/>
          <w:color w:val="auto"/>
          <w:highlight w:val="none"/>
        </w:rPr>
      </w:pPr>
    </w:p>
    <w:p>
      <w:pPr>
        <w:pStyle w:val="5"/>
        <w:keepNext w:val="0"/>
        <w:keepLines w:val="0"/>
        <w:ind w:firstLine="137"/>
        <w:jc w:val="center"/>
        <w:rPr>
          <w:rFonts w:ascii="Times New Roman" w:hAnsi="Times New Roman"/>
          <w:color w:val="auto"/>
          <w:highlight w:val="none"/>
        </w:rPr>
      </w:pPr>
    </w:p>
    <w:p>
      <w:pPr>
        <w:pStyle w:val="5"/>
        <w:keepNext w:val="0"/>
        <w:keepLines w:val="0"/>
        <w:ind w:firstLine="137"/>
        <w:jc w:val="center"/>
        <w:rPr>
          <w:rFonts w:ascii="Times New Roman" w:hAnsi="Times New Roman"/>
          <w:color w:val="auto"/>
          <w:highlight w:val="none"/>
        </w:rPr>
      </w:pPr>
      <w:bookmarkStart w:id="1089" w:name="_Toc79"/>
      <w:bookmarkStart w:id="1090" w:name="_Toc2110"/>
      <w:r>
        <w:rPr>
          <w:rFonts w:hint="eastAsia" w:ascii="Times New Roman" w:hAnsi="Times New Roman"/>
          <w:color w:val="auto"/>
          <w:highlight w:val="none"/>
        </w:rPr>
        <w:t>（四）</w:t>
      </w:r>
      <w:r>
        <w:rPr>
          <w:rFonts w:ascii="Times New Roman" w:hAnsi="Times New Roman"/>
          <w:color w:val="auto"/>
          <w:highlight w:val="none"/>
        </w:rPr>
        <w:t>主要人员简历表（格式可自定）</w:t>
      </w:r>
      <w:bookmarkEnd w:id="1089"/>
      <w:bookmarkEnd w:id="1090"/>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姓  名</w:t>
            </w:r>
          </w:p>
        </w:tc>
        <w:tc>
          <w:tcPr>
            <w:tcW w:w="1048" w:type="dxa"/>
            <w:gridSpan w:val="2"/>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c>
          <w:tcPr>
            <w:tcW w:w="958"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年龄</w:t>
            </w:r>
          </w:p>
        </w:tc>
        <w:tc>
          <w:tcPr>
            <w:tcW w:w="1065"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c>
          <w:tcPr>
            <w:tcW w:w="2368" w:type="dxa"/>
            <w:gridSpan w:val="3"/>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执业资格证书（或上岗证书）名称</w:t>
            </w:r>
          </w:p>
        </w:tc>
        <w:tc>
          <w:tcPr>
            <w:tcW w:w="1896"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职  称</w:t>
            </w:r>
          </w:p>
        </w:tc>
        <w:tc>
          <w:tcPr>
            <w:tcW w:w="1048" w:type="dxa"/>
            <w:gridSpan w:val="2"/>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c>
          <w:tcPr>
            <w:tcW w:w="958" w:type="dxa"/>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学历</w:t>
            </w:r>
          </w:p>
        </w:tc>
        <w:tc>
          <w:tcPr>
            <w:tcW w:w="1065"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c>
          <w:tcPr>
            <w:tcW w:w="2368" w:type="dxa"/>
            <w:gridSpan w:val="3"/>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拟在本项目任职</w:t>
            </w:r>
          </w:p>
        </w:tc>
        <w:tc>
          <w:tcPr>
            <w:tcW w:w="1896"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工作年限</w:t>
            </w:r>
          </w:p>
        </w:tc>
        <w:tc>
          <w:tcPr>
            <w:tcW w:w="3071" w:type="dxa"/>
            <w:gridSpan w:val="4"/>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c>
          <w:tcPr>
            <w:tcW w:w="2368" w:type="dxa"/>
            <w:gridSpan w:val="3"/>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从事监理工作年限</w:t>
            </w:r>
          </w:p>
        </w:tc>
        <w:tc>
          <w:tcPr>
            <w:tcW w:w="1896"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毕业学校</w:t>
            </w:r>
          </w:p>
        </w:tc>
        <w:tc>
          <w:tcPr>
            <w:tcW w:w="7335" w:type="dxa"/>
            <w:gridSpan w:val="8"/>
            <w:vAlign w:val="center"/>
          </w:tcPr>
          <w:p>
            <w:pPr>
              <w:keepNext w:val="0"/>
              <w:keepLines w:val="0"/>
              <w:suppressLineNumbers w:val="0"/>
              <w:spacing w:before="100" w:beforeAutospacing="1" w:after="100" w:afterAutospacing="1" w:line="440" w:lineRule="exact"/>
              <w:ind w:left="0" w:right="0" w:firstLine="1155" w:firstLineChars="550"/>
              <w:rPr>
                <w:rFonts w:hint="default" w:ascii="Times New Roman" w:hAnsi="Times New Roman"/>
                <w:color w:val="auto"/>
                <w:highlight w:val="none"/>
              </w:rPr>
            </w:pPr>
            <w:r>
              <w:rPr>
                <w:rFonts w:hint="default" w:ascii="Times New Roman" w:hAnsi="Times New Roman"/>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pPr>
              <w:keepNext w:val="0"/>
              <w:keepLines w:val="0"/>
              <w:suppressLineNumbers w:val="0"/>
              <w:spacing w:before="100" w:beforeAutospacing="1" w:after="100" w:afterAutospacing="1" w:line="440" w:lineRule="exact"/>
              <w:ind w:left="0" w:right="0"/>
              <w:jc w:val="left"/>
              <w:rPr>
                <w:rFonts w:hint="default" w:ascii="Times New Roman" w:hAnsi="Times New Roman"/>
                <w:color w:val="auto"/>
                <w:highlight w:val="none"/>
              </w:rPr>
            </w:pPr>
            <w:r>
              <w:rPr>
                <w:rFonts w:hint="default" w:ascii="Times New Roman" w:hAnsi="Times New Roman"/>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时  间</w:t>
            </w:r>
          </w:p>
        </w:tc>
        <w:tc>
          <w:tcPr>
            <w:tcW w:w="3420" w:type="dxa"/>
            <w:gridSpan w:val="4"/>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参加过的类似项目</w:t>
            </w:r>
          </w:p>
        </w:tc>
        <w:tc>
          <w:tcPr>
            <w:tcW w:w="1261" w:type="dxa"/>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担任职务</w:t>
            </w:r>
          </w:p>
        </w:tc>
        <w:tc>
          <w:tcPr>
            <w:tcW w:w="2297" w:type="dxa"/>
            <w:gridSpan w:val="2"/>
            <w:vAlign w:val="center"/>
          </w:tcPr>
          <w:p>
            <w:pPr>
              <w:keepNext w:val="0"/>
              <w:keepLines w:val="0"/>
              <w:suppressLineNumbers w:val="0"/>
              <w:spacing w:before="100" w:beforeAutospacing="1" w:after="100" w:afterAutospacing="1" w:line="44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highlight w:val="none"/>
              </w:rPr>
            </w:pPr>
          </w:p>
        </w:tc>
      </w:tr>
    </w:tbl>
    <w:p>
      <w:pPr>
        <w:spacing w:line="440" w:lineRule="exact"/>
        <w:rPr>
          <w:rFonts w:ascii="Times New Roman" w:hAnsi="Times New Roman"/>
          <w:color w:val="auto"/>
          <w:highlight w:val="none"/>
        </w:rPr>
      </w:pPr>
      <w:r>
        <w:rPr>
          <w:rFonts w:ascii="Times New Roman" w:hAnsi="Times New Roman"/>
          <w:color w:val="auto"/>
          <w:highlight w:val="none"/>
        </w:rPr>
        <w:t>注：在本表后附相关证明材料。</w:t>
      </w:r>
    </w:p>
    <w:p>
      <w:pPr>
        <w:pStyle w:val="5"/>
        <w:keepNext w:val="0"/>
        <w:keepLines w:val="0"/>
        <w:ind w:firstLine="137"/>
        <w:rPr>
          <w:rFonts w:ascii="Times New Roman" w:hAnsi="Times New Roman"/>
          <w:color w:val="auto"/>
          <w:highlight w:val="none"/>
        </w:rPr>
      </w:pPr>
    </w:p>
    <w:p>
      <w:pPr>
        <w:rPr>
          <w:rFonts w:ascii="Times New Roman" w:hAnsi="Times New Roman"/>
          <w:color w:val="auto"/>
          <w:highlight w:val="none"/>
        </w:rPr>
      </w:pPr>
    </w:p>
    <w:p>
      <w:pPr>
        <w:pStyle w:val="13"/>
        <w:rPr>
          <w:color w:val="auto"/>
          <w:highlight w:val="none"/>
        </w:rPr>
      </w:pPr>
    </w:p>
    <w:p>
      <w:pPr>
        <w:pStyle w:val="5"/>
        <w:keepNext w:val="0"/>
        <w:keepLines w:val="0"/>
        <w:ind w:firstLine="137"/>
        <w:rPr>
          <w:rFonts w:ascii="Times New Roman" w:hAnsi="Times New Roman"/>
          <w:color w:val="auto"/>
          <w:highlight w:val="none"/>
        </w:rPr>
      </w:pPr>
    </w:p>
    <w:p>
      <w:pPr>
        <w:pStyle w:val="5"/>
        <w:keepNext w:val="0"/>
        <w:keepLines w:val="0"/>
        <w:ind w:firstLine="137"/>
        <w:rPr>
          <w:rFonts w:ascii="Times New Roman" w:hAnsi="Times New Roman"/>
          <w:color w:val="auto"/>
          <w:highlight w:val="none"/>
        </w:rPr>
      </w:pPr>
      <w:bookmarkStart w:id="1091" w:name="_Toc388"/>
      <w:bookmarkStart w:id="1092" w:name="_Toc22556"/>
      <w:r>
        <w:rPr>
          <w:rFonts w:hint="eastAsia" w:ascii="Times New Roman" w:hAnsi="Times New Roman"/>
          <w:color w:val="auto"/>
          <w:highlight w:val="none"/>
        </w:rPr>
        <w:t>（五）拟投入本项目的通讯、办公、检测设备清单</w:t>
      </w:r>
      <w:r>
        <w:rPr>
          <w:rFonts w:ascii="Times New Roman" w:hAnsi="Times New Roman"/>
          <w:color w:val="auto"/>
          <w:highlight w:val="none"/>
        </w:rPr>
        <w:t>（格式可自定）</w:t>
      </w:r>
      <w:bookmarkEnd w:id="1091"/>
      <w:bookmarkEnd w:id="1092"/>
    </w:p>
    <w:tbl>
      <w:tblPr>
        <w:tblStyle w:val="14"/>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5"/>
        <w:gridCol w:w="936"/>
        <w:gridCol w:w="747"/>
        <w:gridCol w:w="850"/>
        <w:gridCol w:w="992"/>
        <w:gridCol w:w="141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28" w:type="dxa"/>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auto"/>
                <w:szCs w:val="21"/>
                <w:highlight w:val="none"/>
              </w:rPr>
            </w:pPr>
            <w:r>
              <w:rPr>
                <w:rFonts w:hint="default" w:ascii="Times New Roman" w:hAnsi="Times New Roman"/>
                <w:color w:val="auto"/>
                <w:szCs w:val="21"/>
                <w:highlight w:val="none"/>
              </w:rPr>
              <w:t>序号</w:t>
            </w:r>
          </w:p>
        </w:tc>
        <w:tc>
          <w:tcPr>
            <w:tcW w:w="1275"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仪器设备</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名称</w:t>
            </w:r>
          </w:p>
        </w:tc>
        <w:tc>
          <w:tcPr>
            <w:tcW w:w="936"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型号</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规格</w:t>
            </w:r>
          </w:p>
        </w:tc>
        <w:tc>
          <w:tcPr>
            <w:tcW w:w="747"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数量</w:t>
            </w:r>
          </w:p>
        </w:tc>
        <w:tc>
          <w:tcPr>
            <w:tcW w:w="850"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国别</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产地</w:t>
            </w:r>
          </w:p>
        </w:tc>
        <w:tc>
          <w:tcPr>
            <w:tcW w:w="992"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制造</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年份</w:t>
            </w:r>
          </w:p>
        </w:tc>
        <w:tc>
          <w:tcPr>
            <w:tcW w:w="1419"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用途</w:t>
            </w:r>
          </w:p>
        </w:tc>
        <w:tc>
          <w:tcPr>
            <w:tcW w:w="1162"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275"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36"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747"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850"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99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419"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c>
          <w:tcPr>
            <w:tcW w:w="1162" w:type="dxa"/>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auto"/>
                <w:szCs w:val="21"/>
                <w:highlight w:val="none"/>
              </w:rPr>
            </w:pPr>
          </w:p>
        </w:tc>
      </w:tr>
    </w:tbl>
    <w:p>
      <w:pPr>
        <w:rPr>
          <w:rFonts w:ascii="Times New Roman" w:hAnsi="Times New Roman"/>
          <w:color w:val="auto"/>
          <w:highlight w:val="none"/>
        </w:rPr>
      </w:pPr>
    </w:p>
    <w:p>
      <w:pPr>
        <w:pStyle w:val="4"/>
        <w:keepNext w:val="0"/>
        <w:keepLines w:val="0"/>
        <w:spacing w:after="0"/>
        <w:jc w:val="center"/>
        <w:rPr>
          <w:color w:val="auto"/>
          <w:highlight w:val="none"/>
        </w:rPr>
      </w:pPr>
    </w:p>
    <w:p>
      <w:pPr>
        <w:rPr>
          <w:color w:val="auto"/>
          <w:highlight w:val="none"/>
        </w:rPr>
      </w:pPr>
    </w:p>
    <w:p>
      <w:pPr>
        <w:pStyle w:val="13"/>
        <w:rPr>
          <w:color w:val="auto"/>
          <w:highlight w:val="none"/>
        </w:rPr>
      </w:pPr>
    </w:p>
    <w:p>
      <w:pPr>
        <w:pStyle w:val="5"/>
        <w:keepNext w:val="0"/>
        <w:keepLines w:val="0"/>
        <w:ind w:firstLine="137"/>
        <w:rPr>
          <w:rFonts w:hint="eastAsia" w:ascii="Times New Roman" w:hAnsi="Times New Roman"/>
          <w:color w:val="auto"/>
          <w:highlight w:val="none"/>
        </w:rPr>
      </w:pPr>
      <w:bookmarkStart w:id="1093" w:name="_Toc17798"/>
      <w:bookmarkStart w:id="1094" w:name="_Toc3146"/>
      <w:r>
        <w:rPr>
          <w:rFonts w:hint="eastAsia" w:ascii="Times New Roman" w:hAnsi="Times New Roman"/>
          <w:color w:val="auto"/>
          <w:highlight w:val="none"/>
        </w:rPr>
        <w:t>（六）投标人认为需要提供的资料（如有）</w:t>
      </w:r>
      <w:bookmarkEnd w:id="1093"/>
      <w:bookmarkEnd w:id="1094"/>
    </w:p>
    <w:p>
      <w:pPr>
        <w:ind w:firstLine="137"/>
        <w:rPr>
          <w:color w:val="auto"/>
          <w:highlight w:val="none"/>
        </w:rPr>
      </w:pPr>
      <w:r>
        <w:rPr>
          <w:rFonts w:hint="eastAsia" w:ascii="Times New Roman" w:hAnsi="Times New Roman"/>
          <w:color w:val="auto"/>
          <w:highlight w:val="none"/>
        </w:rPr>
        <w:br w:type="page"/>
      </w:r>
    </w:p>
    <w:p>
      <w:pPr>
        <w:pStyle w:val="13"/>
        <w:rPr>
          <w:color w:val="auto"/>
          <w:highlight w:val="none"/>
        </w:rPr>
      </w:pPr>
    </w:p>
    <w:p>
      <w:pPr>
        <w:rPr>
          <w:color w:val="auto"/>
          <w:highlight w:val="none"/>
        </w:rPr>
      </w:pPr>
    </w:p>
    <w:p>
      <w:pPr>
        <w:rPr>
          <w:color w:val="auto"/>
          <w:highlight w:val="none"/>
        </w:rPr>
      </w:pPr>
    </w:p>
    <w:p>
      <w:pPr>
        <w:rPr>
          <w:color w:val="auto"/>
          <w:highlight w:val="none"/>
        </w:rPr>
      </w:pPr>
    </w:p>
    <w:sectPr>
      <w:pgSz w:w="12240" w:h="15840"/>
      <w:pgMar w:top="1440" w:right="1425" w:bottom="116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1770" cy="149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1770" cy="149225"/>
                      </a:xfrm>
                      <a:prstGeom prst="rect">
                        <a:avLst/>
                      </a:prstGeom>
                      <a:noFill/>
                      <a:ln>
                        <a:noFill/>
                      </a:ln>
                    </wps:spPr>
                    <wps:txbx>
                      <w:txbxContent>
                        <w:p>
                          <w:pPr>
                            <w:pStyle w:val="11"/>
                            <w:jc w:val="center"/>
                          </w:pPr>
                          <w:r>
                            <w:fldChar w:fldCharType="begin"/>
                          </w:r>
                          <w:r>
                            <w:instrText xml:space="preserve"> PAGE   \* MERGEFORMAT </w:instrText>
                          </w:r>
                          <w:r>
                            <w:fldChar w:fldCharType="separate"/>
                          </w:r>
                          <w:r>
                            <w:rPr>
                              <w:lang w:val="zh-CN"/>
                            </w:rPr>
                            <w:t>36</w:t>
                          </w:r>
                          <w:r>
                            <w:rPr>
                              <w:lang w:val="zh-CN"/>
                            </w:rPr>
                            <w:fldChar w:fldCharType="end"/>
                          </w:r>
                        </w:p>
                      </w:txbxContent>
                    </wps:txbx>
                    <wps:bodyPr lIns="0" tIns="0" rIns="0" bIns="0"/>
                  </wps:wsp>
                </a:graphicData>
              </a:graphic>
            </wp:anchor>
          </w:drawing>
        </mc:Choice>
        <mc:Fallback>
          <w:pict>
            <v:shape id="_x0000_s1026" o:spid="_x0000_s1026" o:spt="202" type="#_x0000_t202" style="position:absolute;left:0pt;margin-top:0pt;height:11.75pt;width:15.1pt;mso-position-horizontal:center;mso-position-horizontal-relative:margin;z-index:251659264;mso-width-relative:page;mso-height-relative:page;" filled="f" stroked="f" coordsize="21600,21600" o:gfxdata="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xs+U7&#10;1AAAAAMBAAAPAAAAAAAAAAEAIAAAACIAAABkcnMvZG93bnJldi54bWxQSwECFAAUAAAACACHTuJA&#10;aMB08bMBAABlAwAADgAAAAAAAAABACAAAAAjAQAAZHJzL2Uyb0RvYy54bWxQSwUGAAAAAAYABgBZ&#10;AQAASAUAAAAA&#10;">
              <v:fill on="f" focussize="0,0"/>
              <v:stroke on="f"/>
              <v:imagedata o:title=""/>
              <o:lock v:ext="edit" aspectratio="f"/>
              <v:textbox inset="0mm,0mm,0mm,0mm">
                <w:txbxContent>
                  <w:p>
                    <w:pPr>
                      <w:pStyle w:val="11"/>
                      <w:jc w:val="center"/>
                    </w:pPr>
                    <w:r>
                      <w:fldChar w:fldCharType="begin"/>
                    </w:r>
                    <w:r>
                      <w:instrText xml:space="preserve"> PAGE   \* MERGEFORMAT </w:instrText>
                    </w:r>
                    <w:r>
                      <w:fldChar w:fldCharType="separate"/>
                    </w:r>
                    <w:r>
                      <w:rPr>
                        <w:lang w:val="zh-CN"/>
                      </w:rPr>
                      <w:t>36</w:t>
                    </w:r>
                    <w:r>
                      <w:rPr>
                        <w:lang w:val="zh-CN"/>
                      </w:rP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8EA01"/>
    <w:multiLevelType w:val="singleLevel"/>
    <w:tmpl w:val="D748EA01"/>
    <w:lvl w:ilvl="0" w:tentative="0">
      <w:start w:val="1"/>
      <w:numFmt w:val="decimal"/>
      <w:suff w:val="nothing"/>
      <w:lvlText w:val="%1、"/>
      <w:lvlJc w:val="left"/>
    </w:lvl>
  </w:abstractNum>
  <w:abstractNum w:abstractNumId="1">
    <w:nsid w:val="6FAA44F7"/>
    <w:multiLevelType w:val="singleLevel"/>
    <w:tmpl w:val="6FAA44F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D0A21"/>
    <w:rsid w:val="118D0A21"/>
    <w:rsid w:val="2BB8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kern w:val="0"/>
      <w:sz w:val="20"/>
      <w:szCs w:val="20"/>
    </w:rPr>
  </w:style>
  <w:style w:type="paragraph" w:styleId="6">
    <w:name w:val="annotation text"/>
    <w:basedOn w:val="1"/>
    <w:qFormat/>
    <w:uiPriority w:val="0"/>
    <w:pPr>
      <w:jc w:val="left"/>
    </w:pPr>
  </w:style>
  <w:style w:type="paragraph" w:styleId="7">
    <w:name w:val="Body Text 3"/>
    <w:basedOn w:val="1"/>
    <w:qFormat/>
    <w:uiPriority w:val="0"/>
    <w:rPr>
      <w:rFonts w:ascii="宋体"/>
      <w:sz w:val="24"/>
      <w:szCs w:val="20"/>
    </w:rPr>
  </w:style>
  <w:style w:type="paragraph" w:styleId="8">
    <w:name w:val="Body Text"/>
    <w:basedOn w:val="1"/>
    <w:next w:val="1"/>
    <w:unhideWhenUsed/>
    <w:qFormat/>
    <w:uiPriority w:val="0"/>
    <w:pPr>
      <w:spacing w:after="120"/>
    </w:pPr>
    <w:rPr>
      <w:rFonts w:ascii="Times New Roman" w:hAnsi="Times New Roman"/>
      <w:szCs w:val="20"/>
    </w:rPr>
  </w:style>
  <w:style w:type="paragraph" w:styleId="9">
    <w:name w:val="Body Text Indent"/>
    <w:basedOn w:val="1"/>
    <w:qFormat/>
    <w:uiPriority w:val="0"/>
    <w:pPr>
      <w:spacing w:after="120"/>
      <w:ind w:left="420" w:leftChars="200"/>
    </w:pPr>
    <w:rPr>
      <w:rFonts w:ascii="Times New Roman" w:hAnsi="Times New Roman"/>
      <w:szCs w:val="20"/>
    </w:rPr>
  </w:style>
  <w:style w:type="paragraph" w:styleId="10">
    <w:name w:val="Plain Text"/>
    <w:basedOn w:val="1"/>
    <w:next w:val="1"/>
    <w:qFormat/>
    <w:uiPriority w:val="99"/>
    <w:rPr>
      <w:rFonts w:ascii="宋体"/>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style>
  <w:style w:type="paragraph" w:styleId="13">
    <w:name w:val="Body Text First Indent"/>
    <w:basedOn w:val="8"/>
    <w:qFormat/>
    <w:uiPriority w:val="0"/>
    <w:pPr>
      <w:spacing w:line="312" w:lineRule="auto"/>
      <w:ind w:firstLine="420"/>
    </w:pPr>
    <w:rPr>
      <w:szCs w:val="24"/>
    </w:rPr>
  </w:style>
  <w:style w:type="character" w:styleId="16">
    <w:name w:val="annotation reference"/>
    <w:qFormat/>
    <w:uiPriority w:val="0"/>
    <w:rPr>
      <w:sz w:val="21"/>
    </w:rPr>
  </w:style>
  <w:style w:type="paragraph" w:customStyle="1" w:styleId="1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9">
    <w:name w:val="Table Paragraph"/>
    <w:basedOn w:val="1"/>
    <w:unhideWhenUsed/>
    <w:qFormat/>
    <w:uiPriority w:val="99"/>
    <w:rPr>
      <w:rFonts w:hint="eastAsia"/>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表格文字"/>
    <w:basedOn w:val="1"/>
    <w:next w:val="1"/>
    <w:qFormat/>
    <w:uiPriority w:val="0"/>
    <w:pPr>
      <w:adjustRightInd w:val="0"/>
      <w:spacing w:line="420" w:lineRule="atLeast"/>
      <w:jc w:val="left"/>
    </w:pPr>
    <w:rPr>
      <w:rFonts w:ascii="Times New Roman" w:hAnsi="Times New Roman" w:cs="Calibri"/>
      <w:kern w:val="0"/>
      <w:szCs w:val="20"/>
    </w:rPr>
  </w:style>
  <w:style w:type="paragraph" w:customStyle="1" w:styleId="22">
    <w:name w:val="样式 宋体 行距: 1.5 倍行距"/>
    <w:basedOn w:val="1"/>
    <w:qFormat/>
    <w:uiPriority w:val="99"/>
    <w:pPr>
      <w:jc w:val="center"/>
    </w:pPr>
    <w:rPr>
      <w:b/>
      <w:bCs/>
    </w:rPr>
  </w:style>
  <w:style w:type="character" w:customStyle="1" w:styleId="23">
    <w:name w:val="font31"/>
    <w:basedOn w:val="15"/>
    <w:qFormat/>
    <w:uiPriority w:val="0"/>
    <w:rPr>
      <w:rFonts w:hint="eastAsia" w:ascii="仿宋" w:hAnsi="仿宋" w:eastAsia="仿宋" w:cs="仿宋"/>
      <w:color w:val="000000"/>
      <w:sz w:val="28"/>
      <w:szCs w:val="28"/>
      <w:u w:val="none"/>
    </w:rPr>
  </w:style>
  <w:style w:type="character" w:customStyle="1" w:styleId="24">
    <w:name w:val="font01"/>
    <w:basedOn w:val="15"/>
    <w:qFormat/>
    <w:uiPriority w:val="0"/>
    <w:rPr>
      <w:rFonts w:hint="eastAsia" w:ascii="仿宋" w:hAnsi="仿宋" w:eastAsia="仿宋" w:cs="仿宋"/>
      <w:b/>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2024-05-15T06:44:00Z</dcterms:created>
  <dc:creator>吴嘉鹏</dc:creator>
  <cp:lastModifiedBy>吴嘉鹏</cp:lastModifiedBy>
  <dcterms:modified xsi:type="dcterms:W3CDTF">2024-05-15T08:01:34Z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A8FFFBFFEB24403599E81C0C0A8E58CC</vt:lpwstr>
  </property>
</Properties>
</file>