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360" w:lineRule="auto"/>
        <w:jc w:val="center"/>
        <w:outlineLvl w:val="0"/>
        <w:rPr>
          <w:rFonts w:hint="eastAsia" w:ascii="仿宋" w:hAnsi="仿宋" w:eastAsia="仿宋" w:cs="仿宋"/>
          <w:b/>
          <w:bCs/>
          <w:snapToGrid w:val="0"/>
          <w:color w:val="auto"/>
          <w:kern w:val="0"/>
          <w:sz w:val="32"/>
          <w:szCs w:val="32"/>
          <w:highlight w:val="none"/>
        </w:rPr>
      </w:pPr>
      <w:bookmarkStart w:id="5" w:name="_GoBack"/>
      <w:bookmarkStart w:id="0" w:name="_Toc8445"/>
      <w:r>
        <w:rPr>
          <w:rFonts w:hint="eastAsia" w:ascii="仿宋" w:hAnsi="仿宋" w:eastAsia="仿宋" w:cs="仿宋"/>
          <w:b/>
          <w:bCs/>
          <w:snapToGrid w:val="0"/>
          <w:color w:val="auto"/>
          <w:kern w:val="0"/>
          <w:sz w:val="32"/>
          <w:szCs w:val="32"/>
          <w:highlight w:val="none"/>
        </w:rPr>
        <w:t>附件A-项目信息清单（</w:t>
      </w:r>
      <w:r>
        <w:rPr>
          <w:rFonts w:hint="eastAsia" w:ascii="仿宋" w:hAnsi="仿宋" w:eastAsia="仿宋" w:cs="仿宋"/>
          <w:b/>
          <w:bCs/>
          <w:snapToGrid w:val="0"/>
          <w:color w:val="FF0000"/>
          <w:kern w:val="0"/>
          <w:sz w:val="32"/>
          <w:szCs w:val="32"/>
          <w:highlight w:val="none"/>
          <w:lang w:val="en-US" w:eastAsia="zh-CN"/>
        </w:rPr>
        <w:t>标的1</w:t>
      </w:r>
      <w:r>
        <w:rPr>
          <w:rFonts w:hint="eastAsia" w:ascii="仿宋" w:hAnsi="仿宋" w:eastAsia="仿宋" w:cs="仿宋"/>
          <w:b/>
          <w:bCs/>
          <w:snapToGrid w:val="0"/>
          <w:color w:val="auto"/>
          <w:kern w:val="0"/>
          <w:sz w:val="32"/>
          <w:szCs w:val="32"/>
          <w:highlight w:val="none"/>
        </w:rPr>
        <w:t>）</w:t>
      </w:r>
    </w:p>
    <w:p>
      <w:pPr>
        <w:pStyle w:val="12"/>
        <w:snapToGrid w:val="0"/>
        <w:spacing w:line="560" w:lineRule="atLeast"/>
        <w:ind w:firstLine="562" w:firstLineChars="200"/>
        <w:jc w:val="left"/>
        <w:outlineLvl w:val="0"/>
        <w:rPr>
          <w:rFonts w:hint="eastAsia" w:ascii="仿宋" w:hAnsi="仿宋" w:eastAsia="仿宋" w:cs="仿宋"/>
          <w:b/>
          <w:bCs/>
          <w:snapToGrid w:val="0"/>
          <w:color w:val="auto"/>
          <w:kern w:val="0"/>
          <w:sz w:val="28"/>
          <w:szCs w:val="28"/>
          <w:highlight w:val="none"/>
        </w:rPr>
      </w:pPr>
      <w:r>
        <w:rPr>
          <w:rFonts w:hint="eastAsia" w:ascii="仿宋" w:hAnsi="仿宋" w:eastAsia="仿宋" w:cs="仿宋"/>
          <w:b/>
          <w:bCs/>
          <w:snapToGrid w:val="0"/>
          <w:color w:val="auto"/>
          <w:kern w:val="0"/>
          <w:sz w:val="28"/>
          <w:szCs w:val="28"/>
          <w:highlight w:val="none"/>
        </w:rPr>
        <w:t>一、标段名称：东莞220千伏百业输变电工程施工（变电站建筑部分）</w:t>
      </w:r>
    </w:p>
    <w:p>
      <w:pPr>
        <w:pStyle w:val="12"/>
        <w:snapToGrid w:val="0"/>
        <w:spacing w:line="560" w:lineRule="atLeast"/>
        <w:ind w:firstLine="562" w:firstLineChars="200"/>
        <w:jc w:val="left"/>
        <w:outlineLvl w:val="0"/>
        <w:rPr>
          <w:rFonts w:hint="eastAsia" w:ascii="仿宋" w:hAnsi="仿宋" w:eastAsia="仿宋" w:cs="仿宋"/>
          <w:b/>
          <w:bCs/>
          <w:snapToGrid w:val="0"/>
          <w:color w:val="auto"/>
          <w:kern w:val="0"/>
          <w:sz w:val="28"/>
          <w:szCs w:val="28"/>
          <w:highlight w:val="none"/>
        </w:rPr>
      </w:pPr>
      <w:r>
        <w:rPr>
          <w:rFonts w:hint="eastAsia" w:ascii="仿宋" w:hAnsi="仿宋" w:eastAsia="仿宋" w:cs="仿宋"/>
          <w:b/>
          <w:bCs/>
          <w:snapToGrid w:val="0"/>
          <w:color w:val="auto"/>
          <w:kern w:val="0"/>
          <w:sz w:val="28"/>
          <w:szCs w:val="28"/>
          <w:highlight w:val="none"/>
        </w:rPr>
        <w:t xml:space="preserve">二、项目立项批复情况及工期安排 </w:t>
      </w:r>
    </w:p>
    <w:tbl>
      <w:tblPr>
        <w:tblStyle w:val="16"/>
        <w:tblW w:w="8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
        <w:gridCol w:w="2911"/>
        <w:gridCol w:w="4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8"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auto"/>
                <w:kern w:val="0"/>
                <w:sz w:val="24"/>
                <w:szCs w:val="24"/>
                <w:highlight w:val="none"/>
                <w:u w:val="none"/>
                <w:vertAlign w:val="baseline"/>
                <w:lang w:val="en-US" w:eastAsia="zh-CN"/>
              </w:rPr>
            </w:pPr>
            <w:r>
              <w:rPr>
                <w:rFonts w:hint="eastAsia" w:ascii="仿宋" w:hAnsi="仿宋" w:eastAsia="仿宋" w:cs="仿宋"/>
                <w:b/>
                <w:bCs/>
                <w:snapToGrid w:val="0"/>
                <w:color w:val="auto"/>
                <w:kern w:val="0"/>
                <w:sz w:val="24"/>
                <w:szCs w:val="24"/>
                <w:highlight w:val="none"/>
              </w:rPr>
              <w:t>序号</w:t>
            </w:r>
          </w:p>
        </w:tc>
        <w:tc>
          <w:tcPr>
            <w:tcW w:w="2911"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auto"/>
                <w:kern w:val="0"/>
                <w:sz w:val="24"/>
                <w:szCs w:val="24"/>
                <w:highlight w:val="none"/>
                <w:u w:val="none"/>
                <w:vertAlign w:val="baseline"/>
                <w:lang w:val="en-US" w:eastAsia="zh-CN"/>
              </w:rPr>
            </w:pPr>
            <w:r>
              <w:rPr>
                <w:rFonts w:hint="eastAsia" w:ascii="仿宋" w:hAnsi="仿宋" w:eastAsia="仿宋" w:cs="仿宋"/>
                <w:b/>
                <w:bCs/>
                <w:snapToGrid w:val="0"/>
                <w:color w:val="auto"/>
                <w:kern w:val="0"/>
                <w:sz w:val="24"/>
                <w:szCs w:val="24"/>
                <w:highlight w:val="none"/>
              </w:rPr>
              <w:t>文件名称</w:t>
            </w:r>
          </w:p>
        </w:tc>
        <w:tc>
          <w:tcPr>
            <w:tcW w:w="4737" w:type="dxa"/>
            <w:vAlign w:val="center"/>
          </w:tcPr>
          <w:p>
            <w:pPr>
              <w:pStyle w:val="12"/>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napToGrid w:val="0"/>
                <w:color w:val="FF0000"/>
                <w:kern w:val="0"/>
                <w:sz w:val="24"/>
                <w:szCs w:val="24"/>
                <w:highlight w:val="none"/>
                <w:u w:val="none"/>
                <w:vertAlign w:val="baseline"/>
                <w:lang w:val="en-US" w:eastAsia="zh-CN"/>
              </w:rPr>
            </w:pPr>
            <w:r>
              <w:rPr>
                <w:rFonts w:hint="eastAsia" w:ascii="仿宋" w:hAnsi="仿宋" w:eastAsia="仿宋" w:cs="仿宋"/>
                <w:b/>
                <w:bCs/>
                <w:snapToGrid w:val="0"/>
                <w:color w:val="auto"/>
                <w:kern w:val="0"/>
                <w:sz w:val="24"/>
                <w:szCs w:val="24"/>
                <w:highlight w:val="none"/>
                <w:u w:val="none"/>
                <w:vertAlign w:val="baseline"/>
                <w:lang w:val="en-US" w:eastAsia="zh-CN"/>
              </w:rPr>
              <w:t>东莞220千伏百业输变电工程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8"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仿宋" w:hAnsi="仿宋" w:eastAsia="仿宋" w:cs="仿宋"/>
                <w:snapToGrid w:val="0"/>
                <w:color w:val="auto"/>
                <w:kern w:val="0"/>
                <w:sz w:val="24"/>
                <w:szCs w:val="24"/>
                <w:highlight w:val="none"/>
              </w:rPr>
              <w:t>1</w:t>
            </w:r>
          </w:p>
        </w:tc>
        <w:tc>
          <w:tcPr>
            <w:tcW w:w="2911"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仿宋" w:hAnsi="仿宋" w:eastAsia="仿宋" w:cs="仿宋"/>
                <w:snapToGrid w:val="0"/>
                <w:color w:val="auto"/>
                <w:kern w:val="0"/>
                <w:sz w:val="24"/>
                <w:szCs w:val="24"/>
                <w:highlight w:val="none"/>
              </w:rPr>
              <w:t>可研批复文号</w:t>
            </w:r>
          </w:p>
        </w:tc>
        <w:tc>
          <w:tcPr>
            <w:tcW w:w="4737" w:type="dxa"/>
            <w:vAlign w:val="center"/>
          </w:tcPr>
          <w:p>
            <w:pPr>
              <w:pStyle w:val="12"/>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仿宋" w:hAnsi="仿宋" w:eastAsia="仿宋" w:cs="仿宋"/>
                <w:b w:val="0"/>
                <w:bCs w:val="0"/>
                <w:snapToGrid w:val="0"/>
                <w:color w:val="auto"/>
                <w:kern w:val="0"/>
                <w:sz w:val="24"/>
                <w:szCs w:val="24"/>
                <w:highlight w:val="none"/>
                <w:u w:val="none"/>
                <w:vertAlign w:val="baseline"/>
                <w:lang w:val="en-US" w:eastAsia="zh-CN"/>
              </w:rPr>
            </w:pPr>
            <w:r>
              <w:rPr>
                <w:rFonts w:hint="eastAsia" w:ascii="仿宋" w:hAnsi="仿宋" w:eastAsia="仿宋" w:cs="仿宋"/>
                <w:b w:val="0"/>
                <w:bCs w:val="0"/>
                <w:snapToGrid w:val="0"/>
                <w:color w:val="auto"/>
                <w:kern w:val="0"/>
                <w:sz w:val="24"/>
                <w:szCs w:val="24"/>
                <w:highlight w:val="none"/>
                <w:u w:val="none"/>
                <w:vertAlign w:val="baseline"/>
                <w:lang w:val="en-US" w:eastAsia="zh-CN"/>
              </w:rPr>
              <w:t>广电规〔2023〕112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8"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仿宋" w:hAnsi="仿宋" w:eastAsia="仿宋" w:cs="仿宋"/>
                <w:snapToGrid w:val="0"/>
                <w:color w:val="auto"/>
                <w:kern w:val="0"/>
                <w:sz w:val="24"/>
                <w:szCs w:val="24"/>
                <w:highlight w:val="none"/>
              </w:rPr>
              <w:t>2</w:t>
            </w:r>
          </w:p>
        </w:tc>
        <w:tc>
          <w:tcPr>
            <w:tcW w:w="2911"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仿宋" w:hAnsi="仿宋" w:eastAsia="仿宋" w:cs="仿宋"/>
                <w:snapToGrid w:val="0"/>
                <w:color w:val="auto"/>
                <w:kern w:val="0"/>
                <w:sz w:val="24"/>
                <w:szCs w:val="24"/>
                <w:highlight w:val="none"/>
              </w:rPr>
              <w:t>项目备案文号</w:t>
            </w:r>
          </w:p>
        </w:tc>
        <w:tc>
          <w:tcPr>
            <w:tcW w:w="4737" w:type="dxa"/>
            <w:vAlign w:val="center"/>
          </w:tcPr>
          <w:p>
            <w:pPr>
              <w:pStyle w:val="12"/>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napToGrid w:val="0"/>
                <w:color w:val="auto"/>
                <w:kern w:val="0"/>
                <w:sz w:val="24"/>
                <w:szCs w:val="24"/>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东发改核准〔2023〕15号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8"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仿宋" w:hAnsi="仿宋" w:eastAsia="仿宋" w:cs="仿宋"/>
                <w:snapToGrid w:val="0"/>
                <w:color w:val="auto"/>
                <w:kern w:val="0"/>
                <w:sz w:val="24"/>
                <w:szCs w:val="24"/>
                <w:highlight w:val="none"/>
              </w:rPr>
              <w:t>3</w:t>
            </w:r>
          </w:p>
        </w:tc>
        <w:tc>
          <w:tcPr>
            <w:tcW w:w="2911"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仿宋" w:hAnsi="仿宋" w:eastAsia="仿宋" w:cs="仿宋"/>
                <w:snapToGrid w:val="0"/>
                <w:color w:val="auto"/>
                <w:kern w:val="0"/>
                <w:sz w:val="24"/>
                <w:szCs w:val="24"/>
                <w:highlight w:val="none"/>
              </w:rPr>
              <w:t>初设批复文号</w:t>
            </w:r>
          </w:p>
        </w:tc>
        <w:tc>
          <w:tcPr>
            <w:tcW w:w="4737" w:type="dxa"/>
            <w:vAlign w:val="center"/>
          </w:tcPr>
          <w:p>
            <w:pPr>
              <w:pStyle w:val="12"/>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00" w:lineRule="exact"/>
              <w:jc w:val="center"/>
              <w:textAlignment w:val="auto"/>
              <w:rPr>
                <w:rFonts w:hint="eastAsia" w:ascii="仿宋" w:hAnsi="仿宋" w:eastAsia="仿宋" w:cs="仿宋"/>
                <w:b w:val="0"/>
                <w:bCs w:val="0"/>
                <w:snapToGrid w:val="0"/>
                <w:color w:val="auto"/>
                <w:kern w:val="0"/>
                <w:sz w:val="24"/>
                <w:szCs w:val="24"/>
                <w:highlight w:val="none"/>
                <w:u w:val="none"/>
                <w:vertAlign w:val="baseline"/>
                <w:lang w:val="en-US" w:eastAsia="zh-CN"/>
              </w:rPr>
            </w:pPr>
            <w:r>
              <w:rPr>
                <w:rFonts w:hint="eastAsia" w:ascii="宋体" w:hAnsi="宋体" w:eastAsia="宋体" w:cs="宋体"/>
                <w:b w:val="0"/>
                <w:bCs w:val="0"/>
                <w:snapToGrid w:val="0"/>
                <w:color w:val="auto"/>
                <w:kern w:val="0"/>
                <w:sz w:val="21"/>
                <w:szCs w:val="21"/>
                <w:highlight w:val="none"/>
                <w:u w:val="none"/>
                <w:vertAlign w:val="baseline"/>
                <w:lang w:val="en-US" w:eastAsia="zh-CN"/>
              </w:rPr>
              <w:t>广电建〔2023〕186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8"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仿宋" w:hAnsi="仿宋" w:eastAsia="仿宋" w:cs="仿宋"/>
                <w:snapToGrid w:val="0"/>
                <w:color w:val="auto"/>
                <w:kern w:val="0"/>
                <w:sz w:val="24"/>
                <w:szCs w:val="24"/>
                <w:highlight w:val="none"/>
              </w:rPr>
              <w:t>4</w:t>
            </w:r>
          </w:p>
        </w:tc>
        <w:tc>
          <w:tcPr>
            <w:tcW w:w="2911"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仿宋" w:hAnsi="仿宋" w:eastAsia="仿宋" w:cs="仿宋"/>
                <w:snapToGrid w:val="0"/>
                <w:color w:val="auto"/>
                <w:kern w:val="0"/>
                <w:sz w:val="24"/>
                <w:szCs w:val="24"/>
                <w:highlight w:val="none"/>
              </w:rPr>
              <w:t>初设批复总投资（万元）</w:t>
            </w:r>
          </w:p>
        </w:tc>
        <w:tc>
          <w:tcPr>
            <w:tcW w:w="4737"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仿宋" w:hAnsi="仿宋" w:eastAsia="仿宋" w:cs="仿宋"/>
                <w:b w:val="0"/>
                <w:bCs w:val="0"/>
                <w:snapToGrid w:val="0"/>
                <w:color w:val="auto"/>
                <w:kern w:val="0"/>
                <w:sz w:val="24"/>
                <w:szCs w:val="24"/>
                <w:highlight w:val="none"/>
                <w:u w:val="none"/>
                <w:vertAlign w:val="baseline"/>
                <w:lang w:val="en-US" w:eastAsia="zh-CN"/>
              </w:rPr>
            </w:pPr>
            <w:r>
              <w:rPr>
                <w:rFonts w:hint="eastAsia" w:ascii="仿宋" w:hAnsi="仿宋" w:eastAsia="仿宋" w:cs="仿宋"/>
                <w:b w:val="0"/>
                <w:bCs w:val="0"/>
                <w:snapToGrid w:val="0"/>
                <w:color w:val="auto"/>
                <w:kern w:val="0"/>
                <w:sz w:val="24"/>
                <w:szCs w:val="24"/>
                <w:highlight w:val="none"/>
                <w:u w:val="none"/>
                <w:vertAlign w:val="baseline"/>
                <w:lang w:val="en-US" w:eastAsia="zh-CN" w:bidi="ar-SA"/>
              </w:rPr>
              <w:t>61446万元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8"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仿宋" w:hAnsi="仿宋" w:eastAsia="仿宋" w:cs="仿宋"/>
                <w:snapToGrid w:val="0"/>
                <w:color w:val="auto"/>
                <w:kern w:val="0"/>
                <w:sz w:val="24"/>
                <w:szCs w:val="24"/>
                <w:highlight w:val="none"/>
              </w:rPr>
              <w:t>5</w:t>
            </w:r>
          </w:p>
        </w:tc>
        <w:tc>
          <w:tcPr>
            <w:tcW w:w="2911"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仿宋" w:hAnsi="仿宋" w:eastAsia="仿宋" w:cs="仿宋"/>
                <w:snapToGrid w:val="0"/>
                <w:color w:val="auto"/>
                <w:kern w:val="0"/>
                <w:sz w:val="24"/>
                <w:szCs w:val="24"/>
                <w:highlight w:val="none"/>
              </w:rPr>
              <w:t>施工图设计批复文号</w:t>
            </w:r>
          </w:p>
        </w:tc>
        <w:tc>
          <w:tcPr>
            <w:tcW w:w="4737" w:type="dxa"/>
            <w:vAlign w:val="center"/>
          </w:tcPr>
          <w:p>
            <w:pPr>
              <w:spacing w:line="240" w:lineRule="atLeast"/>
              <w:jc w:val="center"/>
              <w:rPr>
                <w:rFonts w:hint="eastAsia" w:ascii="仿宋" w:hAnsi="仿宋" w:eastAsia="仿宋" w:cs="仿宋"/>
                <w:b w:val="0"/>
                <w:bCs w:val="0"/>
                <w:snapToGrid w:val="0"/>
                <w:color w:val="auto"/>
                <w:kern w:val="0"/>
                <w:sz w:val="24"/>
                <w:szCs w:val="24"/>
                <w:highlight w:val="none"/>
                <w:u w:val="none"/>
                <w:vertAlign w:val="baseline"/>
                <w:lang w:val="en-US" w:eastAsia="zh-CN"/>
              </w:rPr>
            </w:pPr>
            <w:r>
              <w:rPr>
                <w:rFonts w:hint="eastAsia" w:ascii="仿宋" w:hAnsi="仿宋" w:eastAsia="仿宋" w:cs="仿宋"/>
                <w:b w:val="0"/>
                <w:bCs w:val="0"/>
                <w:snapToGrid w:val="0"/>
                <w:color w:val="auto"/>
                <w:kern w:val="0"/>
                <w:sz w:val="24"/>
                <w:szCs w:val="24"/>
                <w:highlight w:val="none"/>
                <w:u w:val="none"/>
                <w:vertAlign w:val="baseline"/>
                <w:lang w:val="en-US" w:eastAsia="zh-CN" w:bidi="ar-SA"/>
              </w:rPr>
              <w:t>初设下浮招标无需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8"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仿宋" w:hAnsi="仿宋" w:eastAsia="仿宋" w:cs="仿宋"/>
                <w:snapToGrid w:val="0"/>
                <w:color w:val="auto"/>
                <w:kern w:val="0"/>
                <w:sz w:val="24"/>
                <w:szCs w:val="24"/>
                <w:highlight w:val="none"/>
              </w:rPr>
              <w:t>6</w:t>
            </w:r>
          </w:p>
        </w:tc>
        <w:tc>
          <w:tcPr>
            <w:tcW w:w="2911"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仿宋" w:hAnsi="仿宋" w:eastAsia="仿宋" w:cs="仿宋"/>
                <w:snapToGrid w:val="0"/>
                <w:color w:val="auto"/>
                <w:kern w:val="0"/>
                <w:sz w:val="24"/>
                <w:szCs w:val="24"/>
                <w:highlight w:val="none"/>
              </w:rPr>
              <w:t>项目建设单位</w:t>
            </w:r>
          </w:p>
        </w:tc>
        <w:tc>
          <w:tcPr>
            <w:tcW w:w="4737" w:type="dxa"/>
            <w:vAlign w:val="center"/>
          </w:tcPr>
          <w:p>
            <w:pPr>
              <w:pStyle w:val="12"/>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仿宋" w:hAnsi="仿宋" w:eastAsia="仿宋" w:cs="仿宋"/>
                <w:b w:val="0"/>
                <w:bCs w:val="0"/>
                <w:snapToGrid w:val="0"/>
                <w:color w:val="auto"/>
                <w:kern w:val="0"/>
                <w:sz w:val="24"/>
                <w:szCs w:val="24"/>
                <w:highlight w:val="none"/>
                <w:u w:val="none"/>
                <w:vertAlign w:val="baseline"/>
                <w:lang w:val="en-US" w:eastAsia="zh-CN"/>
              </w:rPr>
            </w:pPr>
            <w:r>
              <w:rPr>
                <w:rFonts w:hint="eastAsia" w:ascii="仿宋" w:hAnsi="仿宋" w:eastAsia="仿宋" w:cs="仿宋"/>
                <w:b w:val="0"/>
                <w:bCs w:val="0"/>
                <w:snapToGrid w:val="0"/>
                <w:color w:val="auto"/>
                <w:kern w:val="0"/>
                <w:sz w:val="24"/>
                <w:szCs w:val="24"/>
                <w:highlight w:val="none"/>
                <w:u w:val="none"/>
                <w:vertAlign w:val="baseline"/>
                <w:lang w:val="en-US" w:eastAsia="zh-CN" w:bidi="ar-SA"/>
              </w:rPr>
              <w:t>东莞供电局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8"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仿宋" w:hAnsi="仿宋" w:eastAsia="仿宋" w:cs="仿宋"/>
                <w:snapToGrid w:val="0"/>
                <w:color w:val="auto"/>
                <w:kern w:val="0"/>
                <w:sz w:val="24"/>
                <w:szCs w:val="24"/>
                <w:highlight w:val="none"/>
              </w:rPr>
              <w:t>7</w:t>
            </w:r>
          </w:p>
        </w:tc>
        <w:tc>
          <w:tcPr>
            <w:tcW w:w="2911"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auto"/>
                <w:kern w:val="0"/>
                <w:sz w:val="21"/>
                <w:szCs w:val="21"/>
                <w:highlight w:val="none"/>
                <w:u w:val="none"/>
                <w:vertAlign w:val="baseline"/>
                <w:lang w:val="en-US" w:eastAsia="zh-CN"/>
              </w:rPr>
            </w:pPr>
            <w:r>
              <w:rPr>
                <w:rFonts w:hint="eastAsia" w:ascii="仿宋" w:hAnsi="仿宋" w:eastAsia="仿宋" w:cs="仿宋"/>
                <w:snapToGrid w:val="0"/>
                <w:color w:val="auto"/>
                <w:kern w:val="0"/>
                <w:sz w:val="24"/>
                <w:szCs w:val="24"/>
                <w:highlight w:val="none"/>
              </w:rPr>
              <w:t>项目建设地点</w:t>
            </w:r>
          </w:p>
        </w:tc>
        <w:tc>
          <w:tcPr>
            <w:tcW w:w="4737" w:type="dxa"/>
            <w:vAlign w:val="center"/>
          </w:tcPr>
          <w:p>
            <w:pPr>
              <w:pStyle w:val="12"/>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line="480" w:lineRule="exact"/>
              <w:jc w:val="center"/>
              <w:textAlignment w:val="auto"/>
              <w:rPr>
                <w:rFonts w:hint="eastAsia" w:ascii="仿宋" w:hAnsi="仿宋" w:eastAsia="仿宋" w:cs="仿宋"/>
                <w:b w:val="0"/>
                <w:bCs w:val="0"/>
                <w:snapToGrid w:val="0"/>
                <w:color w:val="auto"/>
                <w:kern w:val="0"/>
                <w:sz w:val="24"/>
                <w:szCs w:val="24"/>
                <w:highlight w:val="none"/>
                <w:u w:val="none"/>
                <w:vertAlign w:val="baseline"/>
                <w:lang w:val="en-US" w:eastAsia="zh-CN"/>
              </w:rPr>
            </w:pPr>
            <w:r>
              <w:rPr>
                <w:rFonts w:hint="eastAsia" w:ascii="仿宋" w:hAnsi="仿宋" w:eastAsia="仿宋" w:cs="仿宋"/>
                <w:b w:val="0"/>
                <w:bCs w:val="0"/>
                <w:snapToGrid w:val="0"/>
                <w:color w:val="auto"/>
                <w:kern w:val="0"/>
                <w:sz w:val="24"/>
                <w:szCs w:val="24"/>
                <w:highlight w:val="none"/>
                <w:u w:val="none"/>
                <w:vertAlign w:val="baseline"/>
                <w:lang w:val="en-US" w:eastAsia="zh-CN" w:bidi="ar-SA"/>
              </w:rPr>
              <w:t>东莞市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8"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FF0000"/>
                <w:kern w:val="0"/>
                <w:sz w:val="21"/>
                <w:szCs w:val="21"/>
                <w:highlight w:val="none"/>
                <w:u w:val="none"/>
                <w:vertAlign w:val="baseline"/>
                <w:lang w:val="en-US" w:eastAsia="zh-CN"/>
              </w:rPr>
            </w:pPr>
            <w:r>
              <w:rPr>
                <w:rFonts w:hint="eastAsia" w:ascii="仿宋" w:hAnsi="仿宋" w:eastAsia="仿宋" w:cs="仿宋"/>
                <w:snapToGrid w:val="0"/>
                <w:color w:val="auto"/>
                <w:kern w:val="0"/>
                <w:sz w:val="24"/>
                <w:szCs w:val="24"/>
                <w:highlight w:val="none"/>
              </w:rPr>
              <w:t>8</w:t>
            </w:r>
          </w:p>
        </w:tc>
        <w:tc>
          <w:tcPr>
            <w:tcW w:w="2911" w:type="dxa"/>
            <w:vAlign w:val="center"/>
          </w:tcPr>
          <w:p>
            <w:pPr>
              <w:pStyle w:val="12"/>
              <w:keepNext w:val="0"/>
              <w:keepLines w:val="0"/>
              <w:pageBreakBefore w:val="0"/>
              <w:widowControl w:val="0"/>
              <w:kinsoku/>
              <w:wordWrap/>
              <w:overflowPunct/>
              <w:topLinePunct w:val="0"/>
              <w:autoSpaceDE/>
              <w:autoSpaceDN/>
              <w:bidi w:val="0"/>
              <w:snapToGrid w:val="0"/>
              <w:spacing w:line="240" w:lineRule="atLeast"/>
              <w:jc w:val="center"/>
              <w:textAlignment w:val="auto"/>
              <w:rPr>
                <w:rFonts w:hint="eastAsia" w:ascii="宋体" w:hAnsi="宋体" w:eastAsia="宋体" w:cs="宋体"/>
                <w:b/>
                <w:bCs/>
                <w:snapToGrid w:val="0"/>
                <w:color w:val="FF0000"/>
                <w:kern w:val="0"/>
                <w:sz w:val="21"/>
                <w:szCs w:val="21"/>
                <w:highlight w:val="none"/>
                <w:u w:val="none"/>
                <w:vertAlign w:val="baseline"/>
                <w:lang w:val="en-US" w:eastAsia="zh-CN"/>
              </w:rPr>
            </w:pPr>
            <w:r>
              <w:rPr>
                <w:rFonts w:hint="eastAsia" w:ascii="仿宋" w:hAnsi="仿宋" w:eastAsia="仿宋" w:cs="仿宋"/>
                <w:snapToGrid w:val="0"/>
                <w:color w:val="auto"/>
                <w:kern w:val="0"/>
                <w:sz w:val="24"/>
                <w:szCs w:val="24"/>
                <w:highlight w:val="none"/>
              </w:rPr>
              <w:t>工   期</w:t>
            </w:r>
          </w:p>
        </w:tc>
        <w:tc>
          <w:tcPr>
            <w:tcW w:w="4737" w:type="dxa"/>
            <w:vAlign w:val="center"/>
          </w:tcPr>
          <w:p>
            <w:pPr>
              <w:pStyle w:val="12"/>
              <w:rPr>
                <w:rFonts w:hint="eastAsia" w:ascii="仿宋" w:hAnsi="仿宋" w:eastAsia="仿宋" w:cs="仿宋"/>
                <w:b w:val="0"/>
                <w:bCs w:val="0"/>
                <w:snapToGrid w:val="0"/>
                <w:color w:val="auto"/>
                <w:kern w:val="0"/>
                <w:sz w:val="24"/>
                <w:szCs w:val="24"/>
                <w:highlight w:val="none"/>
                <w:u w:val="none"/>
                <w:vertAlign w:val="baseline"/>
                <w:lang w:val="en-US" w:eastAsia="zh-CN"/>
              </w:rPr>
            </w:pPr>
            <w:r>
              <w:rPr>
                <w:rFonts w:hint="eastAsia" w:ascii="仿宋" w:hAnsi="仿宋" w:eastAsia="仿宋" w:cs="仿宋"/>
                <w:color w:val="auto"/>
                <w:kern w:val="2"/>
                <w:sz w:val="24"/>
                <w:szCs w:val="24"/>
                <w:highlight w:val="none"/>
                <w:lang w:val="en-US" w:eastAsia="zh-CN" w:bidi="ar-SA"/>
              </w:rPr>
              <w:t>计划工期：153日历天</w:t>
            </w:r>
            <w:r>
              <w:rPr>
                <w:rFonts w:hint="eastAsia" w:ascii="仿宋" w:hAnsi="仿宋" w:eastAsia="仿宋" w:cs="仿宋"/>
                <w:color w:val="auto"/>
                <w:kern w:val="2"/>
                <w:sz w:val="24"/>
                <w:szCs w:val="24"/>
                <w:highlight w:val="none"/>
                <w:lang w:val="en-US" w:eastAsia="zh-CN" w:bidi="ar-SA"/>
              </w:rPr>
              <w:br w:type="textWrapping"/>
            </w:r>
            <w:r>
              <w:rPr>
                <w:rFonts w:hint="eastAsia" w:ascii="仿宋" w:hAnsi="仿宋" w:eastAsia="仿宋" w:cs="仿宋"/>
                <w:color w:val="auto"/>
                <w:kern w:val="2"/>
                <w:sz w:val="24"/>
                <w:szCs w:val="24"/>
                <w:highlight w:val="none"/>
                <w:lang w:val="en-US" w:eastAsia="zh-CN" w:bidi="ar-SA"/>
              </w:rPr>
              <w:t>计划开工日期：2024年6月20日</w:t>
            </w:r>
            <w:r>
              <w:rPr>
                <w:rFonts w:hint="eastAsia" w:ascii="仿宋" w:hAnsi="仿宋" w:eastAsia="仿宋" w:cs="仿宋"/>
                <w:color w:val="auto"/>
                <w:kern w:val="2"/>
                <w:sz w:val="24"/>
                <w:szCs w:val="24"/>
                <w:highlight w:val="none"/>
                <w:lang w:val="en-US" w:eastAsia="zh-CN" w:bidi="ar-SA"/>
              </w:rPr>
              <w:br w:type="textWrapping"/>
            </w:r>
            <w:r>
              <w:rPr>
                <w:rFonts w:hint="eastAsia" w:ascii="仿宋" w:hAnsi="仿宋" w:eastAsia="仿宋" w:cs="仿宋"/>
                <w:color w:val="auto"/>
                <w:kern w:val="2"/>
                <w:sz w:val="24"/>
                <w:szCs w:val="24"/>
                <w:highlight w:val="none"/>
                <w:lang w:val="en-US" w:eastAsia="zh-CN" w:bidi="ar-SA"/>
              </w:rPr>
              <w:t>计划竣工日期：2024年11月20日</w:t>
            </w:r>
            <w:r>
              <w:rPr>
                <w:rFonts w:hint="eastAsia" w:ascii="仿宋" w:hAnsi="仿宋" w:eastAsia="仿宋" w:cs="仿宋"/>
                <w:color w:val="auto"/>
                <w:kern w:val="2"/>
                <w:sz w:val="24"/>
                <w:szCs w:val="24"/>
                <w:highlight w:val="none"/>
                <w:lang w:val="en-US" w:eastAsia="zh-CN" w:bidi="ar-SA"/>
              </w:rPr>
              <w:br w:type="textWrapping"/>
            </w:r>
            <w:r>
              <w:rPr>
                <w:rFonts w:hint="eastAsia" w:ascii="仿宋" w:hAnsi="仿宋" w:eastAsia="仿宋" w:cs="仿宋"/>
                <w:color w:val="auto"/>
                <w:kern w:val="2"/>
                <w:sz w:val="24"/>
                <w:szCs w:val="24"/>
                <w:highlight w:val="none"/>
                <w:lang w:val="en-US" w:eastAsia="zh-CN" w:bidi="ar-SA"/>
              </w:rPr>
              <w:t>注：变电站建筑部分施工进度需满足电气安装要求，以确保东莞220千伏百业输变电工程施工2025年12月30日前整体投产。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8"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FF0000"/>
                <w:kern w:val="0"/>
                <w:sz w:val="21"/>
                <w:szCs w:val="21"/>
                <w:highlight w:val="none"/>
                <w:u w:val="none"/>
                <w:vertAlign w:val="baseline"/>
                <w:lang w:val="en-US" w:eastAsia="zh-CN"/>
              </w:rPr>
            </w:pPr>
            <w:r>
              <w:rPr>
                <w:rFonts w:hint="eastAsia" w:ascii="仿宋" w:hAnsi="仿宋" w:eastAsia="仿宋" w:cs="仿宋"/>
                <w:snapToGrid w:val="0"/>
                <w:color w:val="FF0000"/>
                <w:kern w:val="0"/>
                <w:sz w:val="24"/>
                <w:szCs w:val="24"/>
                <w:highlight w:val="none"/>
              </w:rPr>
              <w:t>9</w:t>
            </w:r>
          </w:p>
        </w:tc>
        <w:tc>
          <w:tcPr>
            <w:tcW w:w="2911"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eastAsia" w:ascii="宋体" w:hAnsi="宋体" w:eastAsia="宋体" w:cs="宋体"/>
                <w:b/>
                <w:bCs/>
                <w:snapToGrid w:val="0"/>
                <w:color w:val="FF0000"/>
                <w:kern w:val="0"/>
                <w:sz w:val="21"/>
                <w:szCs w:val="21"/>
                <w:highlight w:val="none"/>
                <w:u w:val="none"/>
                <w:vertAlign w:val="baseline"/>
                <w:lang w:val="en-US" w:eastAsia="zh-CN"/>
              </w:rPr>
            </w:pPr>
            <w:r>
              <w:rPr>
                <w:rFonts w:hint="eastAsia" w:ascii="仿宋" w:hAnsi="仿宋" w:eastAsia="仿宋" w:cs="仿宋"/>
                <w:snapToGrid w:val="0"/>
                <w:color w:val="FF0000"/>
                <w:kern w:val="0"/>
                <w:sz w:val="24"/>
                <w:szCs w:val="24"/>
                <w:highlight w:val="none"/>
              </w:rPr>
              <w:t>项目可研单位</w:t>
            </w:r>
          </w:p>
        </w:tc>
        <w:tc>
          <w:tcPr>
            <w:tcW w:w="4737" w:type="dxa"/>
            <w:vAlign w:val="center"/>
          </w:tcPr>
          <w:p>
            <w:pPr>
              <w:snapToGrid w:val="0"/>
              <w:spacing w:line="240" w:lineRule="atLeast"/>
              <w:jc w:val="center"/>
              <w:rPr>
                <w:rFonts w:hint="eastAsia" w:ascii="仿宋" w:hAnsi="仿宋" w:eastAsia="仿宋" w:cs="仿宋"/>
                <w:b w:val="0"/>
                <w:bCs w:val="0"/>
                <w:snapToGrid w:val="0"/>
                <w:color w:val="FF0000"/>
                <w:kern w:val="0"/>
                <w:sz w:val="24"/>
                <w:szCs w:val="24"/>
                <w:highlight w:val="none"/>
                <w:u w:val="none"/>
                <w:vertAlign w:val="baseline"/>
                <w:lang w:val="en-US" w:eastAsia="zh-CN"/>
              </w:rPr>
            </w:pPr>
            <w:r>
              <w:rPr>
                <w:rFonts w:hint="eastAsia" w:ascii="仿宋" w:hAnsi="仿宋" w:eastAsia="仿宋" w:cs="仿宋"/>
                <w:color w:val="FF0000"/>
                <w:sz w:val="24"/>
                <w:szCs w:val="24"/>
                <w:highlight w:val="none"/>
              </w:rPr>
              <w:t>东莞电力设计院有限公司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8"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default" w:ascii="仿宋" w:hAnsi="仿宋" w:eastAsia="仿宋" w:cs="仿宋"/>
                <w:snapToGrid w:val="0"/>
                <w:color w:val="FF0000"/>
                <w:kern w:val="0"/>
                <w:sz w:val="24"/>
                <w:szCs w:val="24"/>
                <w:highlight w:val="none"/>
                <w:lang w:val="en-US" w:eastAsia="zh-CN"/>
              </w:rPr>
            </w:pPr>
            <w:r>
              <w:rPr>
                <w:rFonts w:hint="eastAsia" w:ascii="仿宋" w:hAnsi="仿宋" w:eastAsia="仿宋" w:cs="仿宋"/>
                <w:snapToGrid w:val="0"/>
                <w:color w:val="FF0000"/>
                <w:kern w:val="0"/>
                <w:sz w:val="24"/>
                <w:szCs w:val="24"/>
                <w:highlight w:val="none"/>
                <w:lang w:val="en-US" w:eastAsia="zh-CN"/>
              </w:rPr>
              <w:t>10</w:t>
            </w:r>
          </w:p>
        </w:tc>
        <w:tc>
          <w:tcPr>
            <w:tcW w:w="2911"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default" w:ascii="仿宋" w:hAnsi="仿宋" w:eastAsia="仿宋" w:cs="仿宋"/>
                <w:snapToGrid w:val="0"/>
                <w:color w:val="FF0000"/>
                <w:kern w:val="0"/>
                <w:sz w:val="24"/>
                <w:szCs w:val="24"/>
                <w:highlight w:val="none"/>
                <w:lang w:val="en-US" w:eastAsia="zh-CN"/>
              </w:rPr>
            </w:pPr>
            <w:r>
              <w:rPr>
                <w:rFonts w:hint="eastAsia" w:ascii="仿宋" w:hAnsi="仿宋" w:eastAsia="仿宋" w:cs="仿宋"/>
                <w:snapToGrid w:val="0"/>
                <w:color w:val="FF0000"/>
                <w:kern w:val="0"/>
                <w:sz w:val="24"/>
                <w:szCs w:val="24"/>
                <w:highlight w:val="none"/>
                <w:lang w:val="en-US" w:eastAsia="zh-CN"/>
              </w:rPr>
              <w:t>项目勘察设计单位</w:t>
            </w:r>
          </w:p>
        </w:tc>
        <w:tc>
          <w:tcPr>
            <w:tcW w:w="4737" w:type="dxa"/>
            <w:vAlign w:val="center"/>
          </w:tcPr>
          <w:p>
            <w:pPr>
              <w:snapToGrid w:val="0"/>
              <w:spacing w:line="240" w:lineRule="atLeast"/>
              <w:jc w:val="center"/>
              <w:rPr>
                <w:rFonts w:hint="eastAsia" w:ascii="仿宋" w:hAnsi="仿宋" w:eastAsia="仿宋" w:cs="仿宋"/>
                <w:color w:val="FF0000"/>
                <w:sz w:val="24"/>
                <w:szCs w:val="24"/>
                <w:highlight w:val="none"/>
              </w:rPr>
            </w:pPr>
            <w:r>
              <w:rPr>
                <w:rFonts w:hint="eastAsia" w:ascii="仿宋" w:hAnsi="仿宋" w:eastAsia="仿宋" w:cs="仿宋"/>
                <w:color w:val="FF0000"/>
                <w:sz w:val="24"/>
                <w:szCs w:val="24"/>
                <w:highlight w:val="none"/>
              </w:rPr>
              <w:t>东莞电力设计院有限公司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8"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default" w:ascii="仿宋" w:hAnsi="仿宋" w:eastAsia="仿宋" w:cs="仿宋"/>
                <w:snapToGrid w:val="0"/>
                <w:color w:val="FF0000"/>
                <w:kern w:val="0"/>
                <w:sz w:val="24"/>
                <w:szCs w:val="24"/>
                <w:highlight w:val="none"/>
                <w:lang w:val="en-US" w:eastAsia="zh-CN"/>
              </w:rPr>
            </w:pPr>
            <w:r>
              <w:rPr>
                <w:rFonts w:hint="eastAsia" w:ascii="仿宋" w:hAnsi="仿宋" w:eastAsia="仿宋" w:cs="仿宋"/>
                <w:snapToGrid w:val="0"/>
                <w:color w:val="FF0000"/>
                <w:kern w:val="0"/>
                <w:sz w:val="24"/>
                <w:szCs w:val="24"/>
                <w:highlight w:val="none"/>
                <w:lang w:val="en-US" w:eastAsia="zh-CN"/>
              </w:rPr>
              <w:t>11</w:t>
            </w:r>
          </w:p>
        </w:tc>
        <w:tc>
          <w:tcPr>
            <w:tcW w:w="2911" w:type="dxa"/>
            <w:vAlign w:val="center"/>
          </w:tcPr>
          <w:p>
            <w:pPr>
              <w:pStyle w:val="12"/>
              <w:keepNext w:val="0"/>
              <w:keepLines w:val="0"/>
              <w:pageBreakBefore w:val="0"/>
              <w:widowControl w:val="0"/>
              <w:kinsoku/>
              <w:wordWrap/>
              <w:overflowPunct/>
              <w:topLinePunct w:val="0"/>
              <w:autoSpaceDE/>
              <w:autoSpaceDN/>
              <w:bidi w:val="0"/>
              <w:spacing w:line="240" w:lineRule="atLeast"/>
              <w:jc w:val="center"/>
              <w:textAlignment w:val="auto"/>
              <w:rPr>
                <w:rFonts w:hint="default" w:ascii="仿宋" w:hAnsi="仿宋" w:eastAsia="仿宋" w:cs="仿宋"/>
                <w:snapToGrid w:val="0"/>
                <w:color w:val="FF0000"/>
                <w:kern w:val="0"/>
                <w:sz w:val="24"/>
                <w:szCs w:val="24"/>
                <w:highlight w:val="none"/>
                <w:lang w:val="en-US" w:eastAsia="zh-CN"/>
              </w:rPr>
            </w:pPr>
            <w:r>
              <w:rPr>
                <w:rFonts w:hint="eastAsia" w:ascii="仿宋" w:hAnsi="仿宋" w:eastAsia="仿宋" w:cs="仿宋"/>
                <w:snapToGrid w:val="0"/>
                <w:color w:val="FF0000"/>
                <w:kern w:val="0"/>
                <w:sz w:val="24"/>
                <w:szCs w:val="24"/>
                <w:highlight w:val="none"/>
                <w:lang w:val="en-US" w:eastAsia="zh-CN"/>
              </w:rPr>
              <w:t>项目监理单位</w:t>
            </w:r>
          </w:p>
        </w:tc>
        <w:tc>
          <w:tcPr>
            <w:tcW w:w="4737" w:type="dxa"/>
            <w:vAlign w:val="center"/>
          </w:tcPr>
          <w:p>
            <w:pPr>
              <w:snapToGrid w:val="0"/>
              <w:spacing w:line="240" w:lineRule="atLeast"/>
              <w:jc w:val="center"/>
              <w:rPr>
                <w:rFonts w:hint="eastAsia" w:ascii="仿宋" w:hAnsi="仿宋" w:eastAsia="仿宋" w:cs="仿宋"/>
                <w:color w:val="FF0000"/>
                <w:sz w:val="24"/>
                <w:szCs w:val="24"/>
                <w:highlight w:val="none"/>
                <w:lang w:val="en-US" w:eastAsia="zh-CN"/>
              </w:rPr>
            </w:pPr>
            <w:r>
              <w:rPr>
                <w:rFonts w:hint="eastAsia" w:ascii="仿宋" w:hAnsi="仿宋" w:eastAsia="仿宋" w:cs="仿宋"/>
                <w:color w:val="FF0000"/>
                <w:sz w:val="24"/>
                <w:szCs w:val="24"/>
                <w:highlight w:val="none"/>
                <w:lang w:val="en-US" w:eastAsia="zh-CN"/>
              </w:rPr>
              <w:t>采购中</w:t>
            </w:r>
          </w:p>
        </w:tc>
      </w:tr>
      <w:bookmarkEnd w:id="0"/>
    </w:tbl>
    <w:p>
      <w:pPr>
        <w:pStyle w:val="12"/>
        <w:keepNext w:val="0"/>
        <w:keepLines w:val="0"/>
        <w:pageBreakBefore w:val="0"/>
        <w:widowControl w:val="0"/>
        <w:shd w:val="clear" w:color="auto" w:fill="auto"/>
        <w:kinsoku/>
        <w:wordWrap/>
        <w:overflowPunct/>
        <w:topLinePunct w:val="0"/>
        <w:bidi w:val="0"/>
        <w:adjustRightInd w:val="0"/>
        <w:snapToGrid w:val="0"/>
        <w:spacing w:line="560" w:lineRule="exact"/>
        <w:textAlignment w:val="auto"/>
        <w:rPr>
          <w:rFonts w:hint="eastAsia" w:ascii="仿宋" w:hAnsi="仿宋" w:eastAsia="仿宋" w:cs="仿宋"/>
          <w:b/>
          <w:color w:val="auto"/>
          <w:sz w:val="28"/>
          <w:szCs w:val="28"/>
          <w:highlight w:val="none"/>
          <w:lang w:val="en-US" w:eastAsia="zh-CN"/>
        </w:rPr>
        <w:sectPr>
          <w:pgSz w:w="16838" w:h="11906" w:orient="landscape"/>
          <w:pgMar w:top="1599" w:right="1440" w:bottom="1803" w:left="1440" w:header="851" w:footer="992" w:gutter="0"/>
          <w:cols w:space="0" w:num="1"/>
          <w:rtlGutter w:val="0"/>
          <w:docGrid w:type="lines" w:linePitch="314" w:charSpace="0"/>
        </w:sectPr>
      </w:pPr>
    </w:p>
    <w:p>
      <w:pPr>
        <w:pStyle w:val="12"/>
        <w:keepNext w:val="0"/>
        <w:keepLines w:val="0"/>
        <w:pageBreakBefore w:val="0"/>
        <w:widowControl w:val="0"/>
        <w:shd w:val="clear" w:color="auto" w:fill="auto"/>
        <w:kinsoku/>
        <w:wordWrap/>
        <w:overflowPunct/>
        <w:topLinePunct w:val="0"/>
        <w:bidi w:val="0"/>
        <w:adjustRightInd w:val="0"/>
        <w:snapToGrid w:val="0"/>
        <w:spacing w:line="560" w:lineRule="exact"/>
        <w:textAlignment w:val="auto"/>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一、项目概况</w:t>
      </w:r>
      <w:bookmarkStart w:id="1" w:name="_Toc28718"/>
      <w:bookmarkStart w:id="2" w:name="_Toc13498"/>
      <w:bookmarkStart w:id="3" w:name="_Toc4755"/>
    </w:p>
    <w:bookmarkEnd w:id="1"/>
    <w:bookmarkEnd w:id="2"/>
    <w:bookmarkEnd w:id="3"/>
    <w:p>
      <w:pPr>
        <w:pStyle w:val="12"/>
        <w:keepNext w:val="0"/>
        <w:keepLines w:val="0"/>
        <w:pageBreakBefore w:val="0"/>
        <w:widowControl w:val="0"/>
        <w:shd w:val="clear" w:color="auto" w:fill="auto"/>
        <w:kinsoku/>
        <w:wordWrap/>
        <w:overflowPunct/>
        <w:topLinePunct w:val="0"/>
        <w:bidi w:val="0"/>
        <w:adjustRightInd w:val="0"/>
        <w:snapToGrid w:val="0"/>
        <w:spacing w:line="560" w:lineRule="exact"/>
        <w:ind w:firstLine="562" w:firstLineChars="200"/>
        <w:textAlignment w:val="auto"/>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（一）东莞220千伏百业输变电工程施工（变电站建筑部分）</w:t>
      </w:r>
    </w:p>
    <w:p>
      <w:pPr>
        <w:pStyle w:val="12"/>
        <w:keepNext w:val="0"/>
        <w:keepLines w:val="0"/>
        <w:pageBreakBefore w:val="0"/>
        <w:widowControl w:val="0"/>
        <w:kinsoku/>
        <w:wordWrap/>
        <w:overflowPunct/>
        <w:topLinePunct w:val="0"/>
        <w:autoSpaceDE/>
        <w:autoSpaceDN/>
        <w:bidi w:val="0"/>
        <w:adjustRightInd w:val="0"/>
        <w:snapToGrid w:val="0"/>
        <w:spacing w:line="560" w:lineRule="exact"/>
        <w:ind w:firstLine="562" w:firstLineChars="200"/>
        <w:jc w:val="left"/>
        <w:textAlignment w:val="auto"/>
        <w:outlineLvl w:val="9"/>
        <w:rPr>
          <w:rFonts w:hint="eastAsia" w:ascii="仿宋" w:hAnsi="仿宋" w:eastAsia="仿宋" w:cs="仿宋"/>
          <w:b/>
          <w:bCs w:val="0"/>
          <w:color w:val="auto"/>
          <w:sz w:val="28"/>
          <w:szCs w:val="28"/>
          <w:highlight w:val="none"/>
          <w:lang w:val="en-US" w:eastAsia="zh-CN"/>
        </w:rPr>
      </w:pPr>
      <w:r>
        <w:rPr>
          <w:rFonts w:hint="eastAsia" w:ascii="仿宋" w:hAnsi="仿宋" w:eastAsia="仿宋" w:cs="仿宋"/>
          <w:b/>
          <w:color w:val="auto"/>
          <w:sz w:val="28"/>
          <w:szCs w:val="28"/>
          <w:highlight w:val="none"/>
        </w:rPr>
        <w:t xml:space="preserve"> </w:t>
      </w:r>
      <w:r>
        <w:rPr>
          <w:rFonts w:hint="eastAsia" w:ascii="仿宋" w:hAnsi="仿宋" w:eastAsia="仿宋" w:cs="仿宋"/>
          <w:b/>
          <w:bCs w:val="0"/>
          <w:color w:val="auto"/>
          <w:sz w:val="28"/>
          <w:szCs w:val="28"/>
          <w:highlight w:val="none"/>
          <w:lang w:val="en-US" w:eastAsia="zh-CN"/>
        </w:rPr>
        <w:t xml:space="preserve">※变电部分: </w:t>
      </w:r>
    </w:p>
    <w:p>
      <w:pPr>
        <w:keepNext w:val="0"/>
        <w:keepLines w:val="0"/>
        <w:pageBreakBefore w:val="0"/>
        <w:widowControl w:val="0"/>
        <w:shd w:val="clear" w:color="auto" w:fill="auto"/>
        <w:tabs>
          <w:tab w:val="left" w:pos="1146"/>
        </w:tabs>
        <w:kinsoku/>
        <w:wordWrap/>
        <w:overflowPunct/>
        <w:topLinePunct w:val="0"/>
        <w:autoSpaceDE/>
        <w:autoSpaceDN/>
        <w:bidi w:val="0"/>
        <w:spacing w:line="560" w:lineRule="exact"/>
        <w:ind w:firstLine="560" w:firstLineChars="200"/>
        <w:jc w:val="left"/>
        <w:textAlignment w:val="auto"/>
        <w:outlineLvl w:val="9"/>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1、220kV百业（良平）变电站工程（建筑部分）：围墙内用地面积1.0673 公顷（16.00 亩），全站总建筑面积11356.87 平方米，其中配电装置楼建筑面积11167.00平方米。</w:t>
      </w:r>
    </w:p>
    <w:p>
      <w:pPr>
        <w:keepNext w:val="0"/>
        <w:keepLines w:val="0"/>
        <w:pageBreakBefore w:val="0"/>
        <w:widowControl w:val="0"/>
        <w:shd w:val="clear" w:color="auto" w:fill="auto"/>
        <w:tabs>
          <w:tab w:val="left" w:pos="1146"/>
        </w:tabs>
        <w:kinsoku/>
        <w:wordWrap/>
        <w:overflowPunct/>
        <w:topLinePunct w:val="0"/>
        <w:autoSpaceDE/>
        <w:autoSpaceDN/>
        <w:bidi w:val="0"/>
        <w:spacing w:line="560" w:lineRule="exact"/>
        <w:ind w:firstLine="560" w:firstLineChars="200"/>
        <w:jc w:val="left"/>
        <w:textAlignment w:val="auto"/>
        <w:outlineLvl w:val="9"/>
        <w:rPr>
          <w:rFonts w:hint="eastAsia" w:ascii="仿宋" w:hAnsi="仿宋" w:eastAsia="仿宋" w:cs="仿宋"/>
          <w:b w:val="0"/>
          <w:bCs/>
          <w:color w:val="auto"/>
          <w:kern w:val="2"/>
          <w:sz w:val="28"/>
          <w:szCs w:val="28"/>
          <w:highlight w:val="none"/>
          <w:lang w:val="en-US" w:eastAsia="zh-CN" w:bidi="ar-SA"/>
        </w:rPr>
      </w:pPr>
      <w:r>
        <w:rPr>
          <w:rFonts w:hint="eastAsia" w:ascii="仿宋" w:hAnsi="仿宋" w:eastAsia="仿宋" w:cs="仿宋"/>
          <w:b w:val="0"/>
          <w:bCs/>
          <w:color w:val="auto"/>
          <w:sz w:val="28"/>
          <w:szCs w:val="28"/>
          <w:highlight w:val="none"/>
          <w:lang w:val="en-US" w:eastAsia="zh-CN"/>
        </w:rPr>
        <w:t>2、巡检中心工程：建设巡检楼1座，巡检楼建筑面积为1495.00平方米。</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line="560" w:lineRule="exact"/>
        <w:ind w:firstLine="562" w:firstLineChars="200"/>
        <w:textAlignment w:val="auto"/>
        <w:rPr>
          <w:rFonts w:hint="eastAsia" w:ascii="宋体" w:hAnsi="宋体" w:eastAsia="宋体" w:cs="宋体"/>
          <w:b/>
          <w:bCs/>
          <w:snapToGrid w:val="0"/>
          <w:color w:val="auto"/>
          <w:kern w:val="0"/>
          <w:sz w:val="21"/>
          <w:szCs w:val="21"/>
          <w:highlight w:val="none"/>
          <w:u w:val="none"/>
          <w:lang w:val="en-US" w:eastAsia="zh-CN"/>
        </w:rPr>
      </w:pPr>
      <w:r>
        <w:rPr>
          <w:rFonts w:hint="eastAsia" w:ascii="仿宋" w:hAnsi="仿宋" w:eastAsia="仿宋" w:cs="仿宋"/>
          <w:b/>
          <w:bCs w:val="0"/>
          <w:color w:val="auto"/>
          <w:sz w:val="28"/>
          <w:szCs w:val="28"/>
          <w:highlight w:val="none"/>
          <w:u w:val="single"/>
          <w:lang w:val="en-US" w:eastAsia="zh-CN"/>
        </w:rPr>
        <w:t>具体建设规模以施工图纸为准。</w:t>
      </w:r>
    </w:p>
    <w:p>
      <w:pPr>
        <w:pStyle w:val="12"/>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jc w:val="left"/>
        <w:textAlignment w:val="auto"/>
        <w:outlineLvl w:val="0"/>
        <w:rPr>
          <w:rFonts w:hint="eastAsia" w:ascii="仿宋" w:hAnsi="仿宋" w:eastAsia="仿宋" w:cs="仿宋"/>
          <w:b/>
          <w:bCs/>
          <w:snapToGrid w:val="0"/>
          <w:color w:val="auto"/>
          <w:kern w:val="0"/>
          <w:sz w:val="28"/>
          <w:szCs w:val="28"/>
          <w:highlight w:val="none"/>
          <w:u w:val="none"/>
          <w:lang w:val="en-US" w:eastAsia="zh-CN"/>
        </w:rPr>
      </w:pPr>
      <w:r>
        <w:rPr>
          <w:rFonts w:hint="eastAsia" w:ascii="仿宋" w:hAnsi="仿宋" w:eastAsia="仿宋" w:cs="仿宋"/>
          <w:b/>
          <w:bCs/>
          <w:snapToGrid w:val="0"/>
          <w:color w:val="auto"/>
          <w:kern w:val="0"/>
          <w:sz w:val="28"/>
          <w:szCs w:val="28"/>
          <w:highlight w:val="none"/>
          <w:u w:val="none"/>
          <w:lang w:val="en-US" w:eastAsia="zh-CN"/>
        </w:rPr>
        <w:t>二、采购范围</w:t>
      </w:r>
      <w:bookmarkStart w:id="4" w:name="施工招标范围综合"/>
    </w:p>
    <w:p>
      <w:pPr>
        <w:pStyle w:val="12"/>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firstLine="562" w:firstLineChars="200"/>
        <w:jc w:val="left"/>
        <w:textAlignment w:val="auto"/>
        <w:outlineLvl w:val="0"/>
        <w:rPr>
          <w:rFonts w:hint="eastAsia" w:ascii="仿宋" w:hAnsi="仿宋" w:eastAsia="仿宋" w:cs="仿宋"/>
          <w:b/>
          <w:bCs/>
          <w:snapToGrid w:val="0"/>
          <w:color w:val="auto"/>
          <w:kern w:val="0"/>
          <w:sz w:val="28"/>
          <w:szCs w:val="28"/>
          <w:highlight w:val="none"/>
          <w:u w:val="single"/>
        </w:rPr>
      </w:pPr>
      <w:r>
        <w:rPr>
          <w:rFonts w:hint="eastAsia" w:ascii="仿宋" w:hAnsi="仿宋" w:eastAsia="仿宋" w:cs="仿宋"/>
          <w:b/>
          <w:bCs/>
          <w:snapToGrid w:val="0"/>
          <w:color w:val="auto"/>
          <w:kern w:val="0"/>
          <w:sz w:val="28"/>
          <w:szCs w:val="28"/>
          <w:highlight w:val="none"/>
          <w:u w:val="none"/>
        </w:rPr>
        <w:t>包括施工图范围内的建筑、安装及调试工程。施工图范围内的下列工作内容，无□及</w:t>
      </w:r>
      <w:r>
        <w:rPr>
          <w:rFonts w:hint="eastAsia" w:ascii="仿宋" w:hAnsi="仿宋" w:eastAsia="仿宋" w:cs="仿宋"/>
          <w:color w:val="auto"/>
          <w:sz w:val="28"/>
          <w:szCs w:val="28"/>
          <w:highlight w:val="none"/>
          <w:lang w:eastAsia="zh-CN"/>
        </w:rPr>
        <w:t>☑</w:t>
      </w:r>
      <w:r>
        <w:rPr>
          <w:rFonts w:hint="eastAsia" w:ascii="仿宋" w:hAnsi="仿宋" w:eastAsia="仿宋" w:cs="仿宋"/>
          <w:b/>
          <w:bCs/>
          <w:snapToGrid w:val="0"/>
          <w:color w:val="auto"/>
          <w:kern w:val="0"/>
          <w:sz w:val="28"/>
          <w:szCs w:val="28"/>
          <w:highlight w:val="none"/>
          <w:u w:val="none"/>
        </w:rPr>
        <w:t>的为本次报价范围；□未打√的，不在本次报价范围内</w:t>
      </w:r>
      <w:bookmarkEnd w:id="4"/>
      <w:r>
        <w:rPr>
          <w:rFonts w:hint="eastAsia" w:ascii="仿宋" w:hAnsi="仿宋" w:eastAsia="仿宋" w:cs="仿宋"/>
          <w:b/>
          <w:bCs/>
          <w:snapToGrid w:val="0"/>
          <w:color w:val="auto"/>
          <w:kern w:val="0"/>
          <w:sz w:val="28"/>
          <w:szCs w:val="28"/>
          <w:highlight w:val="none"/>
          <w:u w:val="none"/>
        </w:rPr>
        <w:t>，特殊情况在“其他”中说明。</w:t>
      </w:r>
    </w:p>
    <w:p>
      <w:pPr>
        <w:pStyle w:val="12"/>
        <w:keepNext w:val="0"/>
        <w:keepLines w:val="0"/>
        <w:pageBreakBefore w:val="0"/>
        <w:widowControl w:val="0"/>
        <w:shd w:val="clear" w:color="auto" w:fill="auto"/>
        <w:kinsoku/>
        <w:wordWrap/>
        <w:overflowPunct/>
        <w:topLinePunct w:val="0"/>
        <w:bidi w:val="0"/>
        <w:adjustRightInd w:val="0"/>
        <w:snapToGrid w:val="0"/>
        <w:spacing w:line="560" w:lineRule="exact"/>
        <w:ind w:firstLine="562" w:firstLineChars="200"/>
        <w:textAlignment w:val="auto"/>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（1）东莞220千伏百业（良平）输变电工程施工（变电站建筑部分）</w:t>
      </w:r>
    </w:p>
    <w:p>
      <w:pPr>
        <w:keepNext w:val="0"/>
        <w:keepLines w:val="0"/>
        <w:pageBreakBefore w:val="0"/>
        <w:widowControl w:val="0"/>
        <w:kinsoku/>
        <w:wordWrap/>
        <w:overflowPunct/>
        <w:topLinePunct w:val="0"/>
        <w:autoSpaceDE w:val="0"/>
        <w:autoSpaceDN w:val="0"/>
        <w:bidi w:val="0"/>
        <w:adjustRightInd w:val="0"/>
        <w:spacing w:line="560" w:lineRule="exact"/>
        <w:ind w:firstLine="562" w:firstLineChars="200"/>
        <w:jc w:val="left"/>
        <w:textAlignment w:val="auto"/>
        <w:outlineLvl w:val="9"/>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rPr>
        <w:t>※变电部分</w:t>
      </w:r>
      <w:r>
        <w:rPr>
          <w:rFonts w:hint="eastAsia" w:ascii="仿宋" w:hAnsi="仿宋" w:eastAsia="仿宋" w:cs="仿宋"/>
          <w:b/>
          <w:bCs/>
          <w:color w:val="auto"/>
          <w:sz w:val="28"/>
          <w:szCs w:val="28"/>
          <w:highlight w:val="none"/>
          <w:lang w:eastAsia="zh-CN"/>
        </w:rPr>
        <w:t>：</w:t>
      </w:r>
    </w:p>
    <w:p>
      <w:pPr>
        <w:keepNext w:val="0"/>
        <w:keepLines w:val="0"/>
        <w:pageBreakBefore w:val="0"/>
        <w:widowControl w:val="0"/>
        <w:kinsoku/>
        <w:wordWrap/>
        <w:overflowPunct/>
        <w:topLinePunct w:val="0"/>
        <w:autoSpaceDE w:val="0"/>
        <w:autoSpaceDN w:val="0"/>
        <w:bidi w:val="0"/>
        <w:adjustRightInd w:val="0"/>
        <w:spacing w:line="560" w:lineRule="exact"/>
        <w:ind w:firstLine="562" w:firstLineChars="200"/>
        <w:jc w:val="left"/>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color w:val="auto"/>
          <w:sz w:val="28"/>
          <w:szCs w:val="28"/>
          <w:highlight w:val="none"/>
        </w:rPr>
        <w:t>变电</w:t>
      </w:r>
      <w:r>
        <w:rPr>
          <w:rFonts w:hint="eastAsia" w:ascii="仿宋" w:hAnsi="仿宋" w:eastAsia="仿宋" w:cs="仿宋"/>
          <w:b/>
          <w:bCs/>
          <w:color w:val="auto"/>
          <w:sz w:val="28"/>
          <w:szCs w:val="28"/>
          <w:highlight w:val="none"/>
        </w:rPr>
        <w:t>建筑</w:t>
      </w:r>
      <w:r>
        <w:rPr>
          <w:rFonts w:hint="eastAsia" w:ascii="仿宋" w:hAnsi="仿宋" w:eastAsia="仿宋" w:cs="仿宋"/>
          <w:b/>
          <w:bCs/>
          <w:color w:val="auto"/>
          <w:sz w:val="28"/>
          <w:szCs w:val="28"/>
          <w:highlight w:val="none"/>
          <w:lang w:eastAsia="zh-CN"/>
        </w:rPr>
        <w:t>工程</w:t>
      </w:r>
      <w:r>
        <w:rPr>
          <w:rFonts w:hint="eastAsia" w:ascii="仿宋" w:hAnsi="仿宋" w:eastAsia="仿宋" w:cs="仿宋"/>
          <w:b/>
          <w:bCs/>
          <w:color w:val="auto"/>
          <w:sz w:val="28"/>
          <w:szCs w:val="28"/>
          <w:highlight w:val="none"/>
        </w:rPr>
        <w:t>：</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562" w:firstLineChars="200"/>
        <w:jc w:val="left"/>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b/>
          <w:bCs/>
          <w:color w:val="auto"/>
          <w:sz w:val="28"/>
          <w:szCs w:val="28"/>
          <w:highlight w:val="none"/>
          <w:lang w:eastAsia="zh-CN"/>
        </w:rPr>
        <w:t>（一）主要生产工程：</w:t>
      </w:r>
      <w:r>
        <w:rPr>
          <w:rFonts w:hint="eastAsia" w:ascii="仿宋" w:hAnsi="仿宋" w:eastAsia="仿宋" w:cs="仿宋"/>
          <w:color w:val="auto"/>
          <w:sz w:val="28"/>
          <w:szCs w:val="28"/>
          <w:highlight w:val="none"/>
        </w:rPr>
        <w:t>主要生产建筑</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color w:val="auto"/>
          <w:sz w:val="28"/>
          <w:szCs w:val="28"/>
          <w:highlight w:val="none"/>
        </w:rPr>
        <w:t>配电装置建筑</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color w:val="auto"/>
          <w:sz w:val="28"/>
          <w:szCs w:val="28"/>
          <w:highlight w:val="none"/>
        </w:rPr>
        <w:t>供水系统</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color w:val="auto"/>
          <w:sz w:val="28"/>
          <w:szCs w:val="28"/>
          <w:highlight w:val="none"/>
          <w:lang w:eastAsia="zh-CN"/>
        </w:rPr>
        <w:t>消防系统；</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562" w:firstLineChars="200"/>
        <w:jc w:val="left"/>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b/>
          <w:bCs/>
          <w:color w:val="auto"/>
          <w:sz w:val="28"/>
          <w:szCs w:val="28"/>
          <w:highlight w:val="none"/>
          <w:lang w:eastAsia="zh-CN"/>
        </w:rPr>
        <w:t>（二）辅助生产工程：</w:t>
      </w:r>
      <w:r>
        <w:rPr>
          <w:rFonts w:hint="eastAsia" w:ascii="仿宋" w:hAnsi="仿宋" w:eastAsia="仿宋" w:cs="仿宋"/>
          <w:color w:val="auto"/>
          <w:sz w:val="28"/>
          <w:szCs w:val="28"/>
          <w:highlight w:val="none"/>
          <w:lang w:eastAsia="zh-CN"/>
        </w:rPr>
        <w:t>辅助生产建筑</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color w:val="auto"/>
          <w:sz w:val="28"/>
          <w:szCs w:val="28"/>
          <w:highlight w:val="none"/>
          <w:lang w:eastAsia="zh-CN"/>
        </w:rPr>
        <w:t>站区性建筑</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color w:val="auto"/>
          <w:sz w:val="28"/>
          <w:szCs w:val="28"/>
          <w:highlight w:val="none"/>
          <w:lang w:eastAsia="zh-CN"/>
        </w:rPr>
        <w:t>特殊构筑物</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color w:val="auto"/>
          <w:sz w:val="28"/>
          <w:szCs w:val="28"/>
          <w:highlight w:val="none"/>
          <w:lang w:eastAsia="zh-CN"/>
        </w:rPr>
        <w:t>全站沉降观测点，站区绿化；</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562" w:firstLineChars="200"/>
        <w:jc w:val="left"/>
        <w:textAlignment w:val="auto"/>
        <w:outlineLvl w:val="9"/>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（三）与站址有关的单项工程</w:t>
      </w:r>
      <w:r>
        <w:rPr>
          <w:rFonts w:hint="eastAsia" w:ascii="仿宋" w:hAnsi="仿宋" w:eastAsia="仿宋" w:cs="仿宋"/>
          <w:b/>
          <w:bCs/>
          <w:color w:val="auto"/>
          <w:sz w:val="28"/>
          <w:szCs w:val="28"/>
          <w:highlight w:val="none"/>
          <w:lang w:val="en-US" w:eastAsia="zh-CN"/>
        </w:rPr>
        <w:t>：</w:t>
      </w:r>
    </w:p>
    <w:p>
      <w:pPr>
        <w:keepNext w:val="0"/>
        <w:keepLines w:val="0"/>
        <w:pageBreakBefore w:val="0"/>
        <w:widowControl w:val="0"/>
        <w:kinsoku/>
        <w:wordWrap/>
        <w:overflowPunct/>
        <w:topLinePunct w:val="0"/>
        <w:autoSpaceDE w:val="0"/>
        <w:autoSpaceDN w:val="0"/>
        <w:bidi w:val="0"/>
        <w:adjustRightInd w:val="0"/>
        <w:spacing w:line="560" w:lineRule="exact"/>
        <w:ind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地基处理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站外道路（</w:t>
      </w:r>
      <w:r>
        <w:rPr>
          <w:rFonts w:hint="eastAsia" w:ascii="仿宋" w:hAnsi="仿宋" w:eastAsia="仿宋" w:cs="仿宋"/>
          <w:color w:val="auto"/>
          <w:sz w:val="28"/>
          <w:szCs w:val="28"/>
          <w:highlight w:val="none"/>
          <w:lang w:eastAsia="zh-CN"/>
        </w:rPr>
        <w:t>其中</w:t>
      </w:r>
      <w:r>
        <w:rPr>
          <w:rFonts w:hint="eastAsia" w:ascii="仿宋" w:hAnsi="仿宋" w:eastAsia="仿宋" w:cs="仿宋"/>
          <w:color w:val="auto"/>
          <w:sz w:val="28"/>
          <w:szCs w:val="28"/>
          <w:highlight w:val="none"/>
        </w:rPr>
        <w:t>□桥涵），</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站外水源，</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站外排水，□</w:t>
      </w:r>
      <w:r>
        <w:rPr>
          <w:rFonts w:hint="eastAsia" w:ascii="仿宋" w:hAnsi="仿宋" w:eastAsia="仿宋" w:cs="仿宋"/>
          <w:color w:val="auto"/>
          <w:sz w:val="28"/>
          <w:szCs w:val="28"/>
          <w:highlight w:val="none"/>
          <w:lang w:eastAsia="zh-CN"/>
        </w:rPr>
        <w:t>站外蒸发池</w:t>
      </w:r>
      <w:r>
        <w:rPr>
          <w:rFonts w:hint="eastAsia" w:ascii="仿宋" w:hAnsi="仿宋" w:eastAsia="仿宋" w:cs="仿宋"/>
          <w:color w:val="auto"/>
          <w:sz w:val="28"/>
          <w:szCs w:val="28"/>
          <w:highlight w:val="none"/>
        </w:rPr>
        <w:t>，□施工降水，</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临时施工电源，</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临时施工水源，□临时施工道路，□</w:t>
      </w:r>
      <w:r>
        <w:rPr>
          <w:rFonts w:hint="eastAsia" w:ascii="仿宋" w:hAnsi="仿宋" w:eastAsia="仿宋" w:cs="仿宋"/>
          <w:bCs/>
          <w:color w:val="auto"/>
          <w:sz w:val="28"/>
          <w:szCs w:val="28"/>
          <w:highlight w:val="none"/>
        </w:rPr>
        <w:t>临时</w:t>
      </w:r>
      <w:r>
        <w:rPr>
          <w:rFonts w:hint="eastAsia" w:ascii="仿宋" w:hAnsi="仿宋" w:eastAsia="仿宋" w:cs="仿宋"/>
          <w:bCs/>
          <w:color w:val="auto"/>
          <w:sz w:val="28"/>
          <w:szCs w:val="28"/>
          <w:highlight w:val="none"/>
          <w:lang w:eastAsia="zh-CN"/>
        </w:rPr>
        <w:t>施工</w:t>
      </w:r>
      <w:r>
        <w:rPr>
          <w:rFonts w:hint="eastAsia" w:ascii="仿宋" w:hAnsi="仿宋" w:eastAsia="仿宋" w:cs="仿宋"/>
          <w:bCs/>
          <w:color w:val="auto"/>
          <w:sz w:val="28"/>
          <w:szCs w:val="28"/>
          <w:highlight w:val="none"/>
        </w:rPr>
        <w:t>通信线路</w:t>
      </w:r>
      <w:r>
        <w:rPr>
          <w:rFonts w:hint="eastAsia" w:ascii="仿宋" w:hAnsi="仿宋" w:eastAsia="仿宋" w:cs="仿宋"/>
          <w:color w:val="auto"/>
          <w:sz w:val="28"/>
          <w:szCs w:val="28"/>
          <w:highlight w:val="none"/>
        </w:rPr>
        <w:t>，□临时施工防护工程</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val="0"/>
        <w:autoSpaceDN w:val="0"/>
        <w:bidi w:val="0"/>
        <w:adjustRightInd w:val="0"/>
        <w:spacing w:line="560" w:lineRule="exact"/>
        <w:ind w:firstLine="562"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eastAsia="zh-CN"/>
        </w:rPr>
        <w:t>（四）</w:t>
      </w:r>
      <w:r>
        <w:rPr>
          <w:rFonts w:hint="eastAsia" w:ascii="仿宋" w:hAnsi="仿宋" w:eastAsia="仿宋" w:cs="仿宋"/>
          <w:b/>
          <w:color w:val="auto"/>
          <w:sz w:val="28"/>
          <w:szCs w:val="28"/>
          <w:highlight w:val="none"/>
        </w:rPr>
        <w:t>其他</w:t>
      </w:r>
      <w:r>
        <w:rPr>
          <w:rFonts w:hint="eastAsia" w:ascii="仿宋" w:hAnsi="仿宋" w:eastAsia="仿宋" w:cs="仿宋"/>
          <w:b/>
          <w:color w:val="auto"/>
          <w:sz w:val="28"/>
          <w:szCs w:val="28"/>
          <w:highlight w:val="none"/>
          <w:lang w:eastAsia="zh-CN"/>
        </w:rPr>
        <w:t>费用工程</w:t>
      </w:r>
      <w:r>
        <w:rPr>
          <w:rFonts w:hint="eastAsia" w:ascii="仿宋" w:hAnsi="仿宋" w:eastAsia="仿宋" w:cs="仿宋"/>
          <w:b/>
          <w:color w:val="auto"/>
          <w:sz w:val="28"/>
          <w:szCs w:val="28"/>
          <w:highlight w:val="none"/>
        </w:rPr>
        <w:t>：</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u w:val="none"/>
        </w:rPr>
        <w:t>白蚁防治</w:t>
      </w:r>
      <w:r>
        <w:rPr>
          <w:rFonts w:hint="eastAsia" w:ascii="仿宋" w:hAnsi="仿宋" w:eastAsia="仿宋" w:cs="仿宋"/>
          <w:color w:val="auto"/>
          <w:sz w:val="28"/>
          <w:szCs w:val="28"/>
          <w:highlight w:val="none"/>
          <w:u w:val="none"/>
          <w:lang w:eastAsia="zh-CN"/>
        </w:rPr>
        <w:t>，</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u w:val="none"/>
          <w:lang w:eastAsia="zh-CN"/>
        </w:rPr>
        <w:t>拆除工程</w:t>
      </w:r>
      <w:r>
        <w:rPr>
          <w:rFonts w:hint="eastAsia" w:ascii="仿宋" w:hAnsi="仿宋" w:eastAsia="仿宋" w:cs="仿宋"/>
          <w:color w:val="auto"/>
          <w:sz w:val="28"/>
          <w:szCs w:val="28"/>
          <w:highlight w:val="none"/>
          <w:u w:val="none"/>
          <w:lang w:val="en-US" w:eastAsia="zh-CN"/>
        </w:rPr>
        <w:t>；</w:t>
      </w:r>
    </w:p>
    <w:p>
      <w:pPr>
        <w:keepNext w:val="0"/>
        <w:keepLines w:val="0"/>
        <w:pageBreakBefore w:val="0"/>
        <w:widowControl w:val="0"/>
        <w:kinsoku/>
        <w:wordWrap/>
        <w:overflowPunct/>
        <w:topLinePunct w:val="0"/>
        <w:autoSpaceDE w:val="0"/>
        <w:autoSpaceDN w:val="0"/>
        <w:bidi w:val="0"/>
        <w:adjustRightInd w:val="0"/>
        <w:spacing w:line="560" w:lineRule="exact"/>
        <w:ind w:firstLine="562"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eastAsia="zh-CN"/>
        </w:rPr>
        <w:t>（五）</w:t>
      </w:r>
      <w:r>
        <w:rPr>
          <w:rFonts w:hint="eastAsia" w:ascii="仿宋" w:hAnsi="仿宋" w:eastAsia="仿宋" w:cs="仿宋"/>
          <w:b/>
          <w:color w:val="auto"/>
          <w:sz w:val="28"/>
          <w:szCs w:val="28"/>
          <w:highlight w:val="none"/>
        </w:rPr>
        <w:t>其他：</w:t>
      </w:r>
      <w:r>
        <w:rPr>
          <w:rFonts w:hint="eastAsia" w:ascii="仿宋" w:hAnsi="仿宋" w:eastAsia="仿宋" w:cs="仿宋"/>
          <w:color w:val="auto"/>
          <w:sz w:val="28"/>
          <w:szCs w:val="28"/>
          <w:highlight w:val="none"/>
          <w:u w:val="single"/>
          <w:lang w:val="en-US" w:eastAsia="zh-CN"/>
        </w:rPr>
        <w:t>☑与吊车、电梯有关的建筑及安装；☑渣土消纳费执行《广东省电力建设定额站关于东莞电力建设项目余泥渣土运输及消纳费计价请示的复函》（粤电定〔2022〕3号）。</w:t>
      </w:r>
    </w:p>
    <w:p>
      <w:pPr>
        <w:keepNext w:val="0"/>
        <w:keepLines w:val="0"/>
        <w:pageBreakBefore w:val="0"/>
        <w:widowControl w:val="0"/>
        <w:kinsoku/>
        <w:wordWrap/>
        <w:overflowPunct/>
        <w:topLinePunct w:val="0"/>
        <w:autoSpaceDE w:val="0"/>
        <w:autoSpaceDN w:val="0"/>
        <w:bidi w:val="0"/>
        <w:adjustRightInd w:val="0"/>
        <w:spacing w:line="560" w:lineRule="exact"/>
        <w:ind w:firstLine="562" w:firstLineChars="200"/>
        <w:jc w:val="lef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变电</w:t>
      </w:r>
      <w:r>
        <w:rPr>
          <w:rFonts w:hint="eastAsia" w:ascii="仿宋" w:hAnsi="仿宋" w:eastAsia="仿宋" w:cs="仿宋"/>
          <w:b/>
          <w:bCs/>
          <w:color w:val="auto"/>
          <w:sz w:val="28"/>
          <w:szCs w:val="28"/>
          <w:highlight w:val="none"/>
        </w:rPr>
        <w:t>安装</w:t>
      </w:r>
      <w:r>
        <w:rPr>
          <w:rFonts w:hint="eastAsia" w:ascii="仿宋" w:hAnsi="仿宋" w:eastAsia="仿宋" w:cs="仿宋"/>
          <w:b/>
          <w:bCs/>
          <w:color w:val="auto"/>
          <w:sz w:val="28"/>
          <w:szCs w:val="28"/>
          <w:highlight w:val="none"/>
          <w:lang w:eastAsia="zh-CN"/>
        </w:rPr>
        <w:t>工程</w:t>
      </w:r>
      <w:r>
        <w:rPr>
          <w:rFonts w:hint="eastAsia" w:ascii="仿宋" w:hAnsi="仿宋" w:eastAsia="仿宋" w:cs="仿宋"/>
          <w:b/>
          <w:bCs/>
          <w:color w:val="auto"/>
          <w:sz w:val="28"/>
          <w:szCs w:val="28"/>
          <w:highlight w:val="none"/>
        </w:rPr>
        <w:t>：</w:t>
      </w:r>
    </w:p>
    <w:p>
      <w:pPr>
        <w:keepNext w:val="0"/>
        <w:keepLines w:val="0"/>
        <w:pageBreakBefore w:val="0"/>
        <w:widowControl w:val="0"/>
        <w:numPr>
          <w:ilvl w:val="0"/>
          <w:numId w:val="1"/>
        </w:numPr>
        <w:kinsoku/>
        <w:wordWrap/>
        <w:overflowPunct/>
        <w:topLinePunct w:val="0"/>
        <w:bidi w:val="0"/>
        <w:spacing w:line="560" w:lineRule="exact"/>
        <w:ind w:firstLine="562" w:firstLineChars="200"/>
        <w:jc w:val="left"/>
        <w:textAlignment w:val="auto"/>
        <w:outlineLvl w:val="9"/>
        <w:rPr>
          <w:rFonts w:hint="eastAsia" w:ascii="仿宋" w:hAnsi="仿宋" w:eastAsia="仿宋" w:cs="仿宋"/>
          <w:b/>
          <w:bCs/>
          <w:color w:val="auto"/>
          <w:kern w:val="0"/>
          <w:sz w:val="28"/>
          <w:szCs w:val="28"/>
          <w:highlight w:val="none"/>
          <w:lang w:eastAsia="zh-CN"/>
        </w:rPr>
      </w:pPr>
      <w:r>
        <w:rPr>
          <w:rFonts w:hint="eastAsia" w:ascii="仿宋" w:hAnsi="仿宋" w:eastAsia="仿宋" w:cs="仿宋"/>
          <w:b/>
          <w:bCs/>
          <w:color w:val="auto"/>
          <w:sz w:val="28"/>
          <w:szCs w:val="28"/>
          <w:highlight w:val="none"/>
          <w:lang w:eastAsia="zh-CN"/>
        </w:rPr>
        <w:t>主要生产工程：</w:t>
      </w:r>
      <w:r>
        <w:rPr>
          <w:rFonts w:hint="eastAsia" w:ascii="仿宋" w:hAnsi="仿宋" w:eastAsia="仿宋" w:cs="仿宋"/>
          <w:b w:val="0"/>
          <w:bCs w:val="0"/>
          <w:color w:val="auto"/>
          <w:sz w:val="28"/>
          <w:szCs w:val="28"/>
          <w:highlight w:val="none"/>
          <w:u w:val="single"/>
          <w:lang w:val="en-US" w:eastAsia="zh-CN"/>
        </w:rPr>
        <w:t>站区照明（含其连接电缆、电线、埋管），全站接地（含接地网阻抗测试，不含二次接地），综合布线</w:t>
      </w:r>
      <w:r>
        <w:rPr>
          <w:rFonts w:hint="eastAsia" w:ascii="仿宋" w:hAnsi="仿宋" w:eastAsia="仿宋" w:cs="仿宋"/>
          <w:b w:val="0"/>
          <w:bCs w:val="0"/>
          <w:color w:val="auto"/>
          <w:kern w:val="0"/>
          <w:sz w:val="28"/>
          <w:szCs w:val="28"/>
          <w:highlight w:val="none"/>
          <w:u w:val="single"/>
          <w:lang w:eastAsia="zh-CN"/>
        </w:rPr>
        <w:t>。</w:t>
      </w:r>
    </w:p>
    <w:p>
      <w:pPr>
        <w:pStyle w:val="12"/>
        <w:keepNext w:val="0"/>
        <w:keepLines w:val="0"/>
        <w:pageBreakBefore w:val="0"/>
        <w:widowControl w:val="0"/>
        <w:numPr>
          <w:ilvl w:val="0"/>
          <w:numId w:val="0"/>
        </w:numPr>
        <w:kinsoku/>
        <w:wordWrap/>
        <w:overflowPunct/>
        <w:topLinePunct w:val="0"/>
        <w:autoSpaceDE/>
        <w:autoSpaceDN/>
        <w:bidi w:val="0"/>
        <w:spacing w:line="560" w:lineRule="exact"/>
        <w:ind w:left="420" w:leftChars="0"/>
        <w:textAlignment w:val="auto"/>
        <w:rPr>
          <w:rFonts w:hint="eastAsia" w:ascii="仿宋" w:hAnsi="仿宋" w:eastAsia="仿宋" w:cs="仿宋"/>
          <w:b/>
          <w:bCs/>
          <w:snapToGrid w:val="0"/>
          <w:color w:val="auto"/>
          <w:kern w:val="0"/>
          <w:sz w:val="28"/>
          <w:szCs w:val="28"/>
          <w:highlight w:val="none"/>
          <w:u w:val="none"/>
        </w:rPr>
      </w:pPr>
      <w:r>
        <w:rPr>
          <w:rFonts w:hint="eastAsia" w:ascii="仿宋" w:hAnsi="仿宋" w:eastAsia="仿宋" w:cs="仿宋"/>
          <w:b/>
          <w:bCs/>
          <w:snapToGrid w:val="0"/>
          <w:color w:val="auto"/>
          <w:kern w:val="0"/>
          <w:sz w:val="28"/>
          <w:szCs w:val="28"/>
          <w:highlight w:val="none"/>
          <w:u w:val="none"/>
          <w:lang w:eastAsia="zh-CN"/>
        </w:rPr>
        <w:t>三、</w:t>
      </w:r>
      <w:r>
        <w:rPr>
          <w:rFonts w:hint="eastAsia" w:ascii="仿宋" w:hAnsi="仿宋" w:eastAsia="仿宋" w:cs="仿宋"/>
          <w:b/>
          <w:bCs/>
          <w:snapToGrid w:val="0"/>
          <w:color w:val="auto"/>
          <w:kern w:val="0"/>
          <w:sz w:val="28"/>
          <w:szCs w:val="28"/>
          <w:highlight w:val="none"/>
          <w:u w:val="none"/>
        </w:rPr>
        <w:t>承包方式</w:t>
      </w:r>
    </w:p>
    <w:p>
      <w:pPr>
        <w:pStyle w:val="12"/>
        <w:keepNext w:val="0"/>
        <w:keepLines w:val="0"/>
        <w:pageBreakBefore w:val="0"/>
        <w:widowControl w:val="0"/>
        <w:numPr>
          <w:ilvl w:val="0"/>
          <w:numId w:val="0"/>
        </w:numPr>
        <w:kinsoku/>
        <w:wordWrap/>
        <w:overflowPunct/>
        <w:topLinePunct w:val="0"/>
        <w:autoSpaceDE/>
        <w:autoSpaceDN/>
        <w:bidi w:val="0"/>
        <w:spacing w:line="560" w:lineRule="exact"/>
        <w:ind w:leftChars="0" w:firstLine="562" w:firstLineChars="200"/>
        <w:textAlignment w:val="auto"/>
        <w:rPr>
          <w:rFonts w:hint="eastAsia" w:ascii="仿宋" w:hAnsi="仿宋" w:eastAsia="仿宋" w:cs="仿宋"/>
          <w:b/>
          <w:bCs/>
          <w:snapToGrid w:val="0"/>
          <w:color w:val="auto"/>
          <w:kern w:val="0"/>
          <w:sz w:val="28"/>
          <w:szCs w:val="28"/>
          <w:highlight w:val="none"/>
          <w:u w:val="none"/>
        </w:rPr>
      </w:pPr>
      <w:r>
        <w:rPr>
          <w:rFonts w:hint="eastAsia" w:ascii="仿宋" w:hAnsi="仿宋" w:eastAsia="仿宋" w:cs="仿宋"/>
          <w:b/>
          <w:bCs/>
          <w:snapToGrid w:val="0"/>
          <w:color w:val="auto"/>
          <w:kern w:val="0"/>
          <w:sz w:val="28"/>
          <w:szCs w:val="28"/>
          <w:highlight w:val="none"/>
          <w:u w:val="none"/>
        </w:rPr>
        <w:t>包工、部分包料，施工图纸范围内如有下列设备、材料，无□及</w:t>
      </w:r>
      <w:r>
        <w:rPr>
          <w:rFonts w:hint="eastAsia" w:ascii="仿宋" w:hAnsi="仿宋" w:eastAsia="仿宋" w:cs="仿宋"/>
          <w:b/>
          <w:bCs/>
          <w:snapToGrid w:val="0"/>
          <w:color w:val="auto"/>
          <w:kern w:val="0"/>
          <w:sz w:val="28"/>
          <w:szCs w:val="28"/>
          <w:highlight w:val="none"/>
          <w:u w:val="none"/>
        </w:rPr>
        <w:fldChar w:fldCharType="begin"/>
      </w:r>
      <w:r>
        <w:rPr>
          <w:rFonts w:hint="eastAsia" w:ascii="仿宋" w:hAnsi="仿宋" w:eastAsia="仿宋" w:cs="仿宋"/>
          <w:b/>
          <w:bCs/>
          <w:snapToGrid w:val="0"/>
          <w:color w:val="auto"/>
          <w:kern w:val="0"/>
          <w:sz w:val="28"/>
          <w:szCs w:val="28"/>
          <w:highlight w:val="none"/>
          <w:u w:val="none"/>
        </w:rPr>
        <w:instrText xml:space="preserve"> EQ \o\ac(</w:instrText>
      </w:r>
      <w:r>
        <w:rPr>
          <w:rFonts w:hint="eastAsia" w:ascii="仿宋" w:hAnsi="仿宋" w:eastAsia="仿宋" w:cs="仿宋"/>
          <w:b/>
          <w:bCs/>
          <w:snapToGrid w:val="0"/>
          <w:color w:val="auto"/>
          <w:kern w:val="0"/>
          <w:position w:val="-5"/>
          <w:sz w:val="42"/>
          <w:szCs w:val="28"/>
          <w:highlight w:val="none"/>
          <w:u w:val="none"/>
        </w:rPr>
        <w:instrText xml:space="preserve">□</w:instrText>
      </w:r>
      <w:r>
        <w:rPr>
          <w:rFonts w:hint="eastAsia" w:ascii="仿宋" w:hAnsi="仿宋" w:eastAsia="仿宋" w:cs="仿宋"/>
          <w:b/>
          <w:bCs/>
          <w:snapToGrid w:val="0"/>
          <w:color w:val="auto"/>
          <w:kern w:val="0"/>
          <w:position w:val="0"/>
          <w:sz w:val="28"/>
          <w:szCs w:val="28"/>
          <w:highlight w:val="none"/>
          <w:u w:val="none"/>
        </w:rPr>
        <w:instrText xml:space="preserve">,√)</w:instrText>
      </w:r>
      <w:r>
        <w:rPr>
          <w:rFonts w:hint="eastAsia" w:ascii="仿宋" w:hAnsi="仿宋" w:eastAsia="仿宋" w:cs="仿宋"/>
          <w:b/>
          <w:bCs/>
          <w:snapToGrid w:val="0"/>
          <w:color w:val="auto"/>
          <w:kern w:val="0"/>
          <w:sz w:val="28"/>
          <w:szCs w:val="28"/>
          <w:highlight w:val="none"/>
          <w:u w:val="none"/>
        </w:rPr>
        <w:fldChar w:fldCharType="end"/>
      </w:r>
      <w:r>
        <w:rPr>
          <w:rFonts w:hint="eastAsia" w:ascii="仿宋" w:hAnsi="仿宋" w:eastAsia="仿宋" w:cs="仿宋"/>
          <w:b/>
          <w:bCs/>
          <w:snapToGrid w:val="0"/>
          <w:color w:val="auto"/>
          <w:kern w:val="0"/>
          <w:sz w:val="28"/>
          <w:szCs w:val="28"/>
          <w:highlight w:val="none"/>
          <w:u w:val="none"/>
        </w:rPr>
        <w:t>的为甲供，□未打√的及不在下列的为乙供。</w:t>
      </w:r>
    </w:p>
    <w:p>
      <w:pPr>
        <w:pStyle w:val="12"/>
        <w:keepNext w:val="0"/>
        <w:keepLines w:val="0"/>
        <w:pageBreakBefore w:val="0"/>
        <w:widowControl w:val="0"/>
        <w:shd w:val="clear" w:color="auto" w:fill="auto"/>
        <w:kinsoku/>
        <w:wordWrap/>
        <w:overflowPunct/>
        <w:topLinePunct w:val="0"/>
        <w:bidi w:val="0"/>
        <w:adjustRightInd w:val="0"/>
        <w:snapToGrid w:val="0"/>
        <w:spacing w:line="560" w:lineRule="exact"/>
        <w:ind w:firstLine="562" w:firstLineChars="200"/>
        <w:textAlignment w:val="auto"/>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（1）东莞220千伏百业输变电工程施工（变电站建筑部分）</w:t>
      </w:r>
    </w:p>
    <w:p>
      <w:pPr>
        <w:keepNext w:val="0"/>
        <w:keepLines w:val="0"/>
        <w:pageBreakBefore w:val="0"/>
        <w:widowControl w:val="0"/>
        <w:kinsoku/>
        <w:wordWrap/>
        <w:overflowPunct/>
        <w:topLinePunct w:val="0"/>
        <w:autoSpaceDE w:val="0"/>
        <w:autoSpaceDN w:val="0"/>
        <w:bidi w:val="0"/>
        <w:adjustRightInd w:val="0"/>
        <w:spacing w:line="560" w:lineRule="exact"/>
        <w:ind w:firstLine="562"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 xml:space="preserve"> </w:t>
      </w:r>
      <w:r>
        <w:rPr>
          <w:rFonts w:hint="eastAsia" w:ascii="仿宋" w:hAnsi="仿宋" w:eastAsia="仿宋" w:cs="仿宋"/>
          <w:b/>
          <w:bCs/>
          <w:color w:val="auto"/>
          <w:sz w:val="28"/>
          <w:szCs w:val="28"/>
          <w:highlight w:val="none"/>
        </w:rPr>
        <w:t>※变电部分：</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562" w:firstLineChars="200"/>
        <w:jc w:val="left"/>
        <w:textAlignment w:val="auto"/>
        <w:outlineLvl w:val="9"/>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eastAsia="zh-CN"/>
        </w:rPr>
        <w:t>（一）甲供物资：</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562" w:firstLineChars="200"/>
        <w:jc w:val="left"/>
        <w:textAlignment w:val="auto"/>
        <w:outlineLvl w:val="9"/>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变电建筑工程：</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560" w:firstLineChars="200"/>
        <w:jc w:val="left"/>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iCs/>
          <w:color w:val="auto"/>
          <w:sz w:val="28"/>
          <w:szCs w:val="28"/>
          <w:highlight w:val="none"/>
          <w:lang w:val="en-US" w:eastAsia="zh-CN"/>
        </w:rPr>
        <w:t>1、</w:t>
      </w:r>
      <w:r>
        <w:rPr>
          <w:rFonts w:hint="eastAsia" w:ascii="仿宋" w:hAnsi="仿宋" w:eastAsia="仿宋" w:cs="仿宋"/>
          <w:iCs/>
          <w:color w:val="auto"/>
          <w:sz w:val="28"/>
          <w:szCs w:val="28"/>
          <w:highlight w:val="none"/>
          <w:lang w:eastAsia="zh-CN"/>
        </w:rPr>
        <w:t>不锈钢材质</w:t>
      </w:r>
      <w:r>
        <w:rPr>
          <w:rFonts w:hint="eastAsia" w:ascii="仿宋" w:hAnsi="仿宋" w:eastAsia="仿宋" w:cs="仿宋"/>
          <w:iCs/>
          <w:color w:val="auto"/>
          <w:sz w:val="28"/>
          <w:szCs w:val="28"/>
          <w:highlight w:val="none"/>
        </w:rPr>
        <w:t>检修电源箱</w:t>
      </w:r>
      <w:r>
        <w:rPr>
          <w:rFonts w:hint="eastAsia" w:ascii="仿宋" w:hAnsi="仿宋" w:eastAsia="仿宋" w:cs="仿宋"/>
          <w:iCs/>
          <w:color w:val="auto"/>
          <w:sz w:val="28"/>
          <w:szCs w:val="28"/>
          <w:highlight w:val="none"/>
          <w:lang w:eastAsia="zh-CN"/>
        </w:rPr>
        <w:t>，不锈钢材质</w:t>
      </w:r>
      <w:r>
        <w:rPr>
          <w:rFonts w:hint="eastAsia" w:ascii="仿宋" w:hAnsi="仿宋" w:eastAsia="仿宋" w:cs="仿宋"/>
          <w:iCs/>
          <w:color w:val="auto"/>
          <w:sz w:val="28"/>
          <w:szCs w:val="28"/>
          <w:highlight w:val="none"/>
        </w:rPr>
        <w:t>配电箱</w:t>
      </w:r>
      <w:r>
        <w:rPr>
          <w:rFonts w:hint="eastAsia" w:ascii="仿宋" w:hAnsi="仿宋" w:eastAsia="仿宋" w:cs="仿宋"/>
          <w:iCs/>
          <w:color w:val="auto"/>
          <w:sz w:val="28"/>
          <w:szCs w:val="28"/>
          <w:highlight w:val="none"/>
          <w:lang w:eastAsia="zh-CN"/>
        </w:rPr>
        <w:t>（含</w:t>
      </w:r>
      <w:r>
        <w:rPr>
          <w:rFonts w:hint="eastAsia" w:ascii="仿宋" w:hAnsi="仿宋" w:eastAsia="仿宋" w:cs="仿宋"/>
          <w:iCs/>
          <w:color w:val="auto"/>
          <w:sz w:val="28"/>
          <w:szCs w:val="28"/>
          <w:highlight w:val="none"/>
        </w:rPr>
        <w:t>照明</w:t>
      </w:r>
      <w:r>
        <w:rPr>
          <w:rFonts w:hint="eastAsia" w:ascii="仿宋" w:hAnsi="仿宋" w:eastAsia="仿宋" w:cs="仿宋"/>
          <w:iCs/>
          <w:color w:val="auto"/>
          <w:sz w:val="28"/>
          <w:szCs w:val="28"/>
          <w:highlight w:val="none"/>
          <w:lang w:eastAsia="zh-CN"/>
        </w:rPr>
        <w:t>和</w:t>
      </w:r>
      <w:r>
        <w:rPr>
          <w:rFonts w:hint="eastAsia" w:ascii="仿宋" w:hAnsi="仿宋" w:eastAsia="仿宋" w:cs="仿宋"/>
          <w:iCs/>
          <w:color w:val="auto"/>
          <w:sz w:val="28"/>
          <w:szCs w:val="28"/>
          <w:highlight w:val="none"/>
        </w:rPr>
        <w:t>动力配电箱</w:t>
      </w:r>
      <w:r>
        <w:rPr>
          <w:rFonts w:hint="eastAsia" w:ascii="仿宋" w:hAnsi="仿宋" w:eastAsia="仿宋" w:cs="仿宋"/>
          <w:iCs/>
          <w:color w:val="auto"/>
          <w:sz w:val="28"/>
          <w:szCs w:val="28"/>
          <w:highlight w:val="none"/>
          <w:lang w:eastAsia="zh-CN"/>
        </w:rPr>
        <w:t>），</w:t>
      </w:r>
      <w:r>
        <w:rPr>
          <w:rFonts w:hint="eastAsia" w:ascii="仿宋" w:hAnsi="仿宋" w:eastAsia="仿宋" w:cs="仿宋"/>
          <w:iCs/>
          <w:color w:val="auto"/>
          <w:sz w:val="28"/>
          <w:szCs w:val="28"/>
          <w:highlight w:val="none"/>
        </w:rPr>
        <w:t>电力电缆</w:t>
      </w:r>
      <w:r>
        <w:rPr>
          <w:rFonts w:hint="eastAsia" w:ascii="仿宋" w:hAnsi="仿宋" w:eastAsia="仿宋" w:cs="仿宋"/>
          <w:iCs/>
          <w:color w:val="auto"/>
          <w:sz w:val="28"/>
          <w:szCs w:val="28"/>
          <w:highlight w:val="none"/>
          <w:lang w:eastAsia="zh-CN"/>
        </w:rPr>
        <w:t>，</w:t>
      </w:r>
      <w:r>
        <w:rPr>
          <w:rFonts w:hint="eastAsia" w:ascii="仿宋" w:hAnsi="仿宋" w:eastAsia="仿宋" w:cs="仿宋"/>
          <w:iCs/>
          <w:color w:val="auto"/>
          <w:sz w:val="28"/>
          <w:szCs w:val="28"/>
          <w:highlight w:val="none"/>
        </w:rPr>
        <w:t>控制电缆</w:t>
      </w:r>
      <w:r>
        <w:rPr>
          <w:rFonts w:hint="eastAsia" w:ascii="仿宋" w:hAnsi="仿宋" w:eastAsia="仿宋" w:cs="仿宋"/>
          <w:iCs/>
          <w:color w:val="auto"/>
          <w:sz w:val="28"/>
          <w:szCs w:val="28"/>
          <w:highlight w:val="none"/>
          <w:lang w:eastAsia="zh-CN"/>
        </w:rPr>
        <w:t>，低压电线，铜铝端子，铜端子，构支架钢结构（含</w:t>
      </w:r>
      <w:r>
        <w:rPr>
          <w:rFonts w:hint="eastAsia" w:ascii="仿宋" w:hAnsi="仿宋" w:eastAsia="仿宋" w:cs="仿宋"/>
          <w:iCs/>
          <w:color w:val="auto"/>
          <w:sz w:val="28"/>
          <w:szCs w:val="28"/>
          <w:highlight w:val="none"/>
        </w:rPr>
        <w:t>构支架</w:t>
      </w:r>
      <w:r>
        <w:rPr>
          <w:rFonts w:hint="eastAsia" w:ascii="仿宋" w:hAnsi="仿宋" w:eastAsia="仿宋" w:cs="仿宋"/>
          <w:iCs/>
          <w:color w:val="auto"/>
          <w:sz w:val="28"/>
          <w:szCs w:val="28"/>
          <w:highlight w:val="none"/>
          <w:lang w:eastAsia="zh-CN"/>
        </w:rPr>
        <w:t>、</w:t>
      </w:r>
      <w:r>
        <w:rPr>
          <w:rFonts w:hint="eastAsia" w:ascii="仿宋" w:hAnsi="仿宋" w:eastAsia="仿宋" w:cs="仿宋"/>
          <w:iCs/>
          <w:color w:val="auto"/>
          <w:sz w:val="28"/>
          <w:szCs w:val="28"/>
          <w:highlight w:val="none"/>
        </w:rPr>
        <w:t>横梁，爬梯</w:t>
      </w:r>
      <w:r>
        <w:rPr>
          <w:rFonts w:hint="eastAsia" w:ascii="仿宋" w:hAnsi="仿宋" w:eastAsia="仿宋" w:cs="仿宋"/>
          <w:iCs/>
          <w:color w:val="auto"/>
          <w:sz w:val="28"/>
          <w:szCs w:val="28"/>
          <w:highlight w:val="none"/>
          <w:lang w:eastAsia="zh-CN"/>
        </w:rPr>
        <w:t>、</w:t>
      </w:r>
      <w:r>
        <w:rPr>
          <w:rFonts w:hint="eastAsia" w:ascii="仿宋" w:hAnsi="仿宋" w:eastAsia="仿宋" w:cs="仿宋"/>
          <w:iCs/>
          <w:color w:val="auto"/>
          <w:sz w:val="28"/>
          <w:szCs w:val="28"/>
          <w:highlight w:val="none"/>
        </w:rPr>
        <w:t>避雷针</w:t>
      </w:r>
      <w:r>
        <w:rPr>
          <w:rFonts w:hint="eastAsia" w:ascii="仿宋" w:hAnsi="仿宋" w:eastAsia="仿宋" w:cs="仿宋"/>
          <w:iCs/>
          <w:color w:val="auto"/>
          <w:sz w:val="28"/>
          <w:szCs w:val="28"/>
          <w:highlight w:val="none"/>
          <w:lang w:eastAsia="zh-CN"/>
        </w:rPr>
        <w:t>）、</w:t>
      </w:r>
      <w:r>
        <w:rPr>
          <w:rFonts w:hint="eastAsia" w:ascii="仿宋" w:hAnsi="仿宋" w:eastAsia="仿宋" w:cs="仿宋"/>
          <w:iCs/>
          <w:color w:val="auto"/>
          <w:sz w:val="28"/>
          <w:szCs w:val="28"/>
          <w:highlight w:val="none"/>
          <w:lang w:val="en-US" w:eastAsia="zh-CN"/>
        </w:rPr>
        <w:t>标准成品预制</w:t>
      </w:r>
      <w:r>
        <w:rPr>
          <w:rFonts w:hint="eastAsia" w:ascii="仿宋" w:hAnsi="仿宋" w:eastAsia="仿宋" w:cs="仿宋"/>
          <w:iCs/>
          <w:color w:val="auto"/>
          <w:sz w:val="28"/>
          <w:szCs w:val="28"/>
          <w:highlight w:val="none"/>
        </w:rPr>
        <w:t>电缆沟盖板（包括混凝土盖板和复合盖板）</w:t>
      </w:r>
      <w:r>
        <w:rPr>
          <w:rFonts w:hint="eastAsia" w:ascii="仿宋" w:hAnsi="仿宋" w:eastAsia="仿宋" w:cs="仿宋"/>
          <w:iCs/>
          <w:color w:val="auto"/>
          <w:sz w:val="28"/>
          <w:szCs w:val="28"/>
          <w:highlight w:val="none"/>
          <w:lang w:eastAsia="zh-CN"/>
        </w:rPr>
        <w:t>、装配式</w:t>
      </w:r>
      <w:r>
        <w:rPr>
          <w:rFonts w:hint="eastAsia" w:ascii="仿宋" w:hAnsi="仿宋" w:eastAsia="仿宋" w:cs="仿宋"/>
          <w:iCs/>
          <w:color w:val="auto"/>
          <w:sz w:val="28"/>
          <w:szCs w:val="28"/>
          <w:highlight w:val="none"/>
        </w:rPr>
        <w:t>变电站围墙</w:t>
      </w:r>
      <w:r>
        <w:rPr>
          <w:rFonts w:hint="eastAsia" w:ascii="仿宋" w:hAnsi="仿宋" w:eastAsia="仿宋" w:cs="仿宋"/>
          <w:iCs/>
          <w:color w:val="auto"/>
          <w:sz w:val="28"/>
          <w:szCs w:val="28"/>
          <w:highlight w:val="none"/>
          <w:lang w:eastAsia="zh-CN"/>
        </w:rPr>
        <w:t>和</w:t>
      </w:r>
      <w:r>
        <w:rPr>
          <w:rFonts w:hint="eastAsia" w:ascii="仿宋" w:hAnsi="仿宋" w:eastAsia="仿宋" w:cs="仿宋"/>
          <w:iCs/>
          <w:color w:val="auto"/>
          <w:sz w:val="28"/>
          <w:szCs w:val="28"/>
          <w:highlight w:val="none"/>
        </w:rPr>
        <w:t>主变防火墙（含混凝土和复合材质，厂家包安装及基础灌浆）</w:t>
      </w:r>
      <w:r>
        <w:rPr>
          <w:rFonts w:hint="eastAsia" w:ascii="仿宋" w:hAnsi="仿宋" w:eastAsia="仿宋" w:cs="仿宋"/>
          <w:iCs/>
          <w:color w:val="auto"/>
          <w:sz w:val="28"/>
          <w:szCs w:val="28"/>
          <w:highlight w:val="none"/>
          <w:lang w:eastAsia="zh-CN"/>
        </w:rPr>
        <w:t>、</w:t>
      </w:r>
      <w:r>
        <w:rPr>
          <w:rFonts w:hint="eastAsia" w:ascii="仿宋" w:hAnsi="仿宋" w:eastAsia="仿宋" w:cs="仿宋"/>
          <w:iCs/>
          <w:color w:val="auto"/>
          <w:sz w:val="28"/>
          <w:szCs w:val="28"/>
          <w:highlight w:val="none"/>
        </w:rPr>
        <w:t>电缆支架</w:t>
      </w:r>
      <w:r>
        <w:rPr>
          <w:rFonts w:hint="eastAsia" w:ascii="仿宋" w:hAnsi="仿宋" w:eastAsia="仿宋" w:cs="仿宋"/>
          <w:iCs/>
          <w:color w:val="auto"/>
          <w:sz w:val="28"/>
          <w:szCs w:val="28"/>
          <w:highlight w:val="none"/>
          <w:lang w:eastAsia="zh-CN"/>
        </w:rPr>
        <w:t>（铝合金、角钢、复合材质），电杆（含混凝土和复合材料）</w:t>
      </w:r>
      <w:r>
        <w:rPr>
          <w:rFonts w:hint="eastAsia" w:ascii="仿宋" w:hAnsi="仿宋" w:eastAsia="仿宋" w:cs="仿宋"/>
          <w:color w:val="auto"/>
          <w:sz w:val="28"/>
          <w:szCs w:val="28"/>
          <w:highlight w:val="none"/>
          <w:lang w:eastAsia="zh-CN"/>
        </w:rPr>
        <w:t>，</w:t>
      </w:r>
      <w:r>
        <w:rPr>
          <w:rFonts w:hint="eastAsia" w:ascii="仿宋" w:hAnsi="仿宋" w:eastAsia="仿宋" w:cs="仿宋"/>
          <w:b w:val="0"/>
          <w:bCs/>
          <w:color w:val="auto"/>
          <w:sz w:val="28"/>
          <w:szCs w:val="28"/>
          <w:highlight w:val="none"/>
          <w:lang w:eastAsia="zh-CN"/>
        </w:rPr>
        <w:t>电缆保护管材（</w:t>
      </w:r>
      <w:r>
        <w:rPr>
          <w:rFonts w:hint="eastAsia" w:ascii="仿宋" w:hAnsi="仿宋" w:eastAsia="仿宋" w:cs="仿宋"/>
          <w:b w:val="0"/>
          <w:bCs/>
          <w:color w:val="auto"/>
          <w:sz w:val="28"/>
          <w:szCs w:val="28"/>
          <w:highlight w:val="none"/>
          <w:lang w:val="en-US" w:eastAsia="zh-CN"/>
        </w:rPr>
        <w:t>HDPE管、涂塑钢管、PVC管、MPP管</w:t>
      </w:r>
      <w:r>
        <w:rPr>
          <w:rFonts w:hint="eastAsia" w:ascii="仿宋" w:hAnsi="仿宋" w:eastAsia="仿宋" w:cs="仿宋"/>
          <w:b w:val="0"/>
          <w:bCs/>
          <w:color w:val="auto"/>
          <w:sz w:val="28"/>
          <w:szCs w:val="28"/>
          <w:highlight w:val="none"/>
          <w:lang w:eastAsia="zh-CN"/>
        </w:rPr>
        <w:t>）、电缆管塞封堵器</w:t>
      </w:r>
      <w:r>
        <w:rPr>
          <w:rFonts w:hint="eastAsia" w:ascii="仿宋" w:hAnsi="仿宋" w:eastAsia="仿宋" w:cs="仿宋"/>
          <w:color w:val="auto"/>
          <w:sz w:val="28"/>
          <w:szCs w:val="28"/>
          <w:highlight w:val="none"/>
          <w:lang w:eastAsia="zh-CN"/>
        </w:rPr>
        <w:t>，防爆空调（蓄电池室）、智能围栏。</w:t>
      </w:r>
    </w:p>
    <w:p>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560" w:firstLineChars="200"/>
        <w:jc w:val="left"/>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装配式</w:t>
      </w:r>
      <w:r>
        <w:rPr>
          <w:rFonts w:hint="eastAsia" w:ascii="仿宋" w:hAnsi="仿宋" w:eastAsia="仿宋" w:cs="仿宋"/>
          <w:color w:val="auto"/>
          <w:sz w:val="28"/>
          <w:szCs w:val="28"/>
          <w:highlight w:val="none"/>
          <w:lang w:val="en-US" w:eastAsia="zh-CN"/>
        </w:rPr>
        <w:t>电缆沟</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□消防电缆</w:t>
      </w:r>
      <w:r>
        <w:rPr>
          <w:rFonts w:hint="eastAsia" w:ascii="仿宋" w:hAnsi="仿宋" w:eastAsia="仿宋" w:cs="仿宋"/>
          <w:color w:val="auto"/>
          <w:sz w:val="28"/>
          <w:szCs w:val="28"/>
          <w:highlight w:val="none"/>
          <w:lang w:eastAsia="zh-CN"/>
        </w:rPr>
        <w:t>、</w:t>
      </w:r>
      <w:r>
        <w:rPr>
          <w:rFonts w:hint="eastAsia" w:ascii="仿宋" w:hAnsi="仿宋" w:eastAsia="仿宋" w:cs="仿宋"/>
          <w:bCs/>
          <w:color w:val="auto"/>
          <w:sz w:val="28"/>
          <w:szCs w:val="28"/>
          <w:highlight w:val="none"/>
        </w:rPr>
        <w:t>□吊车、□电梯（不含货物电梯）、□嵌入式空调（天井式）、</w:t>
      </w:r>
      <w:r>
        <w:rPr>
          <w:rFonts w:hint="eastAsia" w:ascii="仿宋" w:hAnsi="仿宋" w:eastAsia="仿宋" w:cs="仿宋"/>
          <w:color w:val="auto"/>
          <w:sz w:val="28"/>
          <w:szCs w:val="28"/>
          <w:highlight w:val="none"/>
          <w:lang w:eastAsia="zh-CN"/>
        </w:rPr>
        <w:t>□</w:t>
      </w:r>
      <w:r>
        <w:rPr>
          <w:rFonts w:hint="eastAsia" w:ascii="仿宋" w:hAnsi="仿宋" w:eastAsia="仿宋" w:cs="仿宋"/>
          <w:bCs/>
          <w:color w:val="auto"/>
          <w:sz w:val="28"/>
          <w:szCs w:val="28"/>
          <w:highlight w:val="none"/>
        </w:rPr>
        <w:t>专用空调（生产场所、带自动启动功能）。</w:t>
      </w:r>
    </w:p>
    <w:p>
      <w:pPr>
        <w:pStyle w:val="12"/>
        <w:keepNext w:val="0"/>
        <w:keepLines w:val="0"/>
        <w:pageBreakBefore w:val="0"/>
        <w:widowControl w:val="0"/>
        <w:shd w:val="clear" w:color="auto" w:fill="auto"/>
        <w:kinsoku/>
        <w:wordWrap/>
        <w:overflowPunct/>
        <w:topLinePunct w:val="0"/>
        <w:bidi w:val="0"/>
        <w:adjustRightInd w:val="0"/>
        <w:snapToGrid w:val="0"/>
        <w:spacing w:line="560" w:lineRule="exact"/>
        <w:ind w:firstLine="562" w:firstLineChars="200"/>
        <w:textAlignment w:val="auto"/>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注：建设单位提供的设备、材料以合同附件（甲供设备材料明细表）为准。</w:t>
      </w:r>
    </w:p>
    <w:p>
      <w:pPr>
        <w:pStyle w:val="1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lang w:val="en-US" w:eastAsia="zh-CN"/>
        </w:rPr>
      </w:pPr>
    </w:p>
    <w:bookmarkEnd w:id="5"/>
    <w:sectPr>
      <w:pgSz w:w="11906" w:h="16838"/>
      <w:pgMar w:top="1440" w:right="1803" w:bottom="1440" w:left="1599" w:header="851" w:footer="992" w:gutter="0"/>
      <w:cols w:space="0" w:num="1"/>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62E749"/>
    <w:multiLevelType w:val="singleLevel"/>
    <w:tmpl w:val="5862E74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7"/>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jYzU4ODRkYzM4OGFhM2JkOGZlZjAxNmQxYTZlZmQifQ=="/>
  </w:docVars>
  <w:rsids>
    <w:rsidRoot w:val="24F737D8"/>
    <w:rsid w:val="00503881"/>
    <w:rsid w:val="00675492"/>
    <w:rsid w:val="00C073B0"/>
    <w:rsid w:val="01000F1F"/>
    <w:rsid w:val="014D50AE"/>
    <w:rsid w:val="023076F9"/>
    <w:rsid w:val="0270337E"/>
    <w:rsid w:val="0465127D"/>
    <w:rsid w:val="04D31677"/>
    <w:rsid w:val="050E07AE"/>
    <w:rsid w:val="05614038"/>
    <w:rsid w:val="05B87515"/>
    <w:rsid w:val="063732C4"/>
    <w:rsid w:val="068D71D9"/>
    <w:rsid w:val="07751D79"/>
    <w:rsid w:val="09F62510"/>
    <w:rsid w:val="0BC07002"/>
    <w:rsid w:val="0C6B30AA"/>
    <w:rsid w:val="0CB13588"/>
    <w:rsid w:val="0CCE1C6E"/>
    <w:rsid w:val="0CD54CA3"/>
    <w:rsid w:val="0D0758F3"/>
    <w:rsid w:val="0D882D55"/>
    <w:rsid w:val="0E7664C8"/>
    <w:rsid w:val="10A919C2"/>
    <w:rsid w:val="11444D6C"/>
    <w:rsid w:val="116419AD"/>
    <w:rsid w:val="11DF6CFE"/>
    <w:rsid w:val="11FC1228"/>
    <w:rsid w:val="1221206F"/>
    <w:rsid w:val="12617BA5"/>
    <w:rsid w:val="12D858E4"/>
    <w:rsid w:val="13C71878"/>
    <w:rsid w:val="142C4DA5"/>
    <w:rsid w:val="14440D4B"/>
    <w:rsid w:val="15056A61"/>
    <w:rsid w:val="15D81662"/>
    <w:rsid w:val="15F1120D"/>
    <w:rsid w:val="161A2964"/>
    <w:rsid w:val="16BE50DE"/>
    <w:rsid w:val="17241016"/>
    <w:rsid w:val="17311749"/>
    <w:rsid w:val="18B14F30"/>
    <w:rsid w:val="18E57496"/>
    <w:rsid w:val="190C67D7"/>
    <w:rsid w:val="193066EB"/>
    <w:rsid w:val="196B23E3"/>
    <w:rsid w:val="1A2F2F81"/>
    <w:rsid w:val="1B1435D1"/>
    <w:rsid w:val="1B663F82"/>
    <w:rsid w:val="1BA9108A"/>
    <w:rsid w:val="1C660CB1"/>
    <w:rsid w:val="1D592E11"/>
    <w:rsid w:val="1EA379B5"/>
    <w:rsid w:val="20075711"/>
    <w:rsid w:val="20E776A4"/>
    <w:rsid w:val="216F4D5B"/>
    <w:rsid w:val="22B30023"/>
    <w:rsid w:val="22BD2637"/>
    <w:rsid w:val="22D01CE9"/>
    <w:rsid w:val="24E46BF4"/>
    <w:rsid w:val="24F737D8"/>
    <w:rsid w:val="250E3A49"/>
    <w:rsid w:val="26B9226D"/>
    <w:rsid w:val="274170EE"/>
    <w:rsid w:val="2785030E"/>
    <w:rsid w:val="278F57AD"/>
    <w:rsid w:val="27E47C4B"/>
    <w:rsid w:val="28612FD1"/>
    <w:rsid w:val="28F46A2A"/>
    <w:rsid w:val="296555D1"/>
    <w:rsid w:val="29A55C56"/>
    <w:rsid w:val="29FC239E"/>
    <w:rsid w:val="2BED7EC0"/>
    <w:rsid w:val="2BFF0E0F"/>
    <w:rsid w:val="2D8D50EF"/>
    <w:rsid w:val="2D8E3667"/>
    <w:rsid w:val="2E816236"/>
    <w:rsid w:val="2E9A5E18"/>
    <w:rsid w:val="2F362DFB"/>
    <w:rsid w:val="2FF65FF8"/>
    <w:rsid w:val="30035F08"/>
    <w:rsid w:val="300D195C"/>
    <w:rsid w:val="3044134F"/>
    <w:rsid w:val="30BF37B5"/>
    <w:rsid w:val="312C2AE5"/>
    <w:rsid w:val="3178798B"/>
    <w:rsid w:val="3244265D"/>
    <w:rsid w:val="32F2736E"/>
    <w:rsid w:val="35B73053"/>
    <w:rsid w:val="361736AD"/>
    <w:rsid w:val="36202D53"/>
    <w:rsid w:val="36676B65"/>
    <w:rsid w:val="36905D28"/>
    <w:rsid w:val="36A54835"/>
    <w:rsid w:val="36D200CF"/>
    <w:rsid w:val="38382DC3"/>
    <w:rsid w:val="38F32560"/>
    <w:rsid w:val="39446F46"/>
    <w:rsid w:val="3B2A0F67"/>
    <w:rsid w:val="3BB261E1"/>
    <w:rsid w:val="3BCA27B8"/>
    <w:rsid w:val="3C114F9E"/>
    <w:rsid w:val="3C1E17EA"/>
    <w:rsid w:val="3C4A35F1"/>
    <w:rsid w:val="3E9D7E49"/>
    <w:rsid w:val="3F9B7EF1"/>
    <w:rsid w:val="415A7E63"/>
    <w:rsid w:val="42E701E3"/>
    <w:rsid w:val="43193F4E"/>
    <w:rsid w:val="44A8314C"/>
    <w:rsid w:val="44D414C9"/>
    <w:rsid w:val="45AE252B"/>
    <w:rsid w:val="45BA6458"/>
    <w:rsid w:val="45C37365"/>
    <w:rsid w:val="460D1423"/>
    <w:rsid w:val="46472D5E"/>
    <w:rsid w:val="468E0BD5"/>
    <w:rsid w:val="469B4709"/>
    <w:rsid w:val="46A85B41"/>
    <w:rsid w:val="46D84E6F"/>
    <w:rsid w:val="477A665C"/>
    <w:rsid w:val="47CB2C71"/>
    <w:rsid w:val="485E408C"/>
    <w:rsid w:val="49332FB5"/>
    <w:rsid w:val="4B2F0B01"/>
    <w:rsid w:val="4B3A1BDA"/>
    <w:rsid w:val="4C1966EB"/>
    <w:rsid w:val="4D392B7F"/>
    <w:rsid w:val="4DC759F3"/>
    <w:rsid w:val="4DD3333C"/>
    <w:rsid w:val="4E040B17"/>
    <w:rsid w:val="4EA560D6"/>
    <w:rsid w:val="525522E2"/>
    <w:rsid w:val="528404F0"/>
    <w:rsid w:val="53463775"/>
    <w:rsid w:val="53523D60"/>
    <w:rsid w:val="53AA5AAD"/>
    <w:rsid w:val="547776C9"/>
    <w:rsid w:val="548F1F48"/>
    <w:rsid w:val="55734D49"/>
    <w:rsid w:val="55C3156A"/>
    <w:rsid w:val="57593089"/>
    <w:rsid w:val="599017B7"/>
    <w:rsid w:val="5CA6562D"/>
    <w:rsid w:val="5D8F5D8E"/>
    <w:rsid w:val="5DE84119"/>
    <w:rsid w:val="5EB72BF2"/>
    <w:rsid w:val="5F8121D6"/>
    <w:rsid w:val="5F8E0C51"/>
    <w:rsid w:val="5FE724D4"/>
    <w:rsid w:val="60395037"/>
    <w:rsid w:val="60546075"/>
    <w:rsid w:val="608606DE"/>
    <w:rsid w:val="61847CC3"/>
    <w:rsid w:val="61D75575"/>
    <w:rsid w:val="639D46DC"/>
    <w:rsid w:val="6424058D"/>
    <w:rsid w:val="663511C3"/>
    <w:rsid w:val="663B2A3B"/>
    <w:rsid w:val="66C35559"/>
    <w:rsid w:val="66D91A76"/>
    <w:rsid w:val="67977F0F"/>
    <w:rsid w:val="68B337CC"/>
    <w:rsid w:val="69311D38"/>
    <w:rsid w:val="6A287B5E"/>
    <w:rsid w:val="6A485E7E"/>
    <w:rsid w:val="6A6B37FA"/>
    <w:rsid w:val="6B303A1A"/>
    <w:rsid w:val="6C141EE0"/>
    <w:rsid w:val="6D662490"/>
    <w:rsid w:val="6D897695"/>
    <w:rsid w:val="6DAA2FDF"/>
    <w:rsid w:val="6E121228"/>
    <w:rsid w:val="6FCF40CC"/>
    <w:rsid w:val="70873960"/>
    <w:rsid w:val="70B81233"/>
    <w:rsid w:val="70D1495F"/>
    <w:rsid w:val="7129638F"/>
    <w:rsid w:val="73641402"/>
    <w:rsid w:val="74E73186"/>
    <w:rsid w:val="74F238E6"/>
    <w:rsid w:val="76015DEA"/>
    <w:rsid w:val="763B2CF0"/>
    <w:rsid w:val="764E470D"/>
    <w:rsid w:val="76850D49"/>
    <w:rsid w:val="76EB7161"/>
    <w:rsid w:val="77E67240"/>
    <w:rsid w:val="7842124A"/>
    <w:rsid w:val="79206F0D"/>
    <w:rsid w:val="79435213"/>
    <w:rsid w:val="79527737"/>
    <w:rsid w:val="79D51B6D"/>
    <w:rsid w:val="7B2B3FE2"/>
    <w:rsid w:val="7B3B73B5"/>
    <w:rsid w:val="7C233754"/>
    <w:rsid w:val="7C766170"/>
    <w:rsid w:val="7CC45B07"/>
    <w:rsid w:val="7CC84BE5"/>
    <w:rsid w:val="7D26550D"/>
    <w:rsid w:val="7D2D6A7C"/>
    <w:rsid w:val="7D3A3102"/>
    <w:rsid w:val="7E3420E0"/>
    <w:rsid w:val="7E405052"/>
    <w:rsid w:val="7F1A0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9" w:semiHidden="0" w:name="heading 1"/>
    <w:lsdException w:qFormat="1" w:uiPriority="99"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Bdr>
        <w:top w:val="none" w:color="auto" w:sz="0" w:space="0"/>
        <w:left w:val="none" w:color="auto" w:sz="0" w:space="0"/>
        <w:bottom w:val="none" w:color="auto" w:sz="0" w:space="0"/>
        <w:right w:val="none" w:color="auto" w:sz="0" w:space="0"/>
        <w:between w:val="none" w:color="auto" w:sz="0" w:space="0"/>
      </w:pBdr>
      <w:shd w:val="clear" w:color="auto" w:fill="auto"/>
      <w:jc w:val="both"/>
    </w:pPr>
    <w:rPr>
      <w:rFonts w:ascii="Calibri" w:hAnsi="Calibri" w:eastAsia="宋体" w:cs="Times New Roman"/>
      <w:kern w:val="2"/>
      <w:sz w:val="21"/>
      <w:szCs w:val="22"/>
      <w:lang w:val="en-US" w:eastAsia="zh-CN" w:bidi="ar-SA"/>
    </w:rPr>
  </w:style>
  <w:style w:type="paragraph" w:styleId="5">
    <w:name w:val="heading 1"/>
    <w:basedOn w:val="1"/>
    <w:next w:val="1"/>
    <w:unhideWhenUsed/>
    <w:qFormat/>
    <w:uiPriority w:val="99"/>
    <w:pPr>
      <w:widowControl w:val="0"/>
      <w:autoSpaceDE w:val="0"/>
      <w:autoSpaceDN w:val="0"/>
      <w:adjustRightInd w:val="0"/>
      <w:spacing w:beforeLines="0" w:afterLines="0"/>
    </w:pPr>
    <w:rPr>
      <w:rFonts w:hint="default" w:ascii="Arial" w:hAnsi="Arial" w:eastAsia="宋体" w:cs="Times New Roman"/>
      <w:b/>
      <w:color w:val="000000"/>
      <w:sz w:val="32"/>
    </w:rPr>
  </w:style>
  <w:style w:type="paragraph" w:styleId="6">
    <w:name w:val="heading 2"/>
    <w:basedOn w:val="1"/>
    <w:next w:val="1"/>
    <w:unhideWhenUsed/>
    <w:qFormat/>
    <w:uiPriority w:val="99"/>
    <w:pPr>
      <w:widowControl w:val="0"/>
      <w:autoSpaceDE w:val="0"/>
      <w:autoSpaceDN w:val="0"/>
      <w:adjustRightInd w:val="0"/>
      <w:spacing w:beforeLines="0" w:afterLines="0"/>
    </w:pPr>
    <w:rPr>
      <w:rFonts w:hint="default" w:ascii="Arial" w:hAnsi="Arial" w:eastAsia="宋体" w:cs="Times New Roman"/>
      <w:b/>
      <w:i/>
      <w:color w:val="000000"/>
      <w:sz w:val="28"/>
    </w:rPr>
  </w:style>
  <w:style w:type="paragraph" w:styleId="7">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adjustRightInd/>
      <w:snapToGrid/>
      <w:spacing w:after="120" w:line="240" w:lineRule="auto"/>
      <w:ind w:left="420" w:leftChars="200" w:firstLine="420" w:firstLineChars="200"/>
    </w:pPr>
    <w:rPr>
      <w:rFonts w:ascii="宋体" w:hAnsi="宋体"/>
      <w:spacing w:val="20"/>
      <w:sz w:val="21"/>
      <w:szCs w:val="24"/>
    </w:rPr>
  </w:style>
  <w:style w:type="paragraph" w:styleId="3">
    <w:name w:val="Body Text Indent"/>
    <w:basedOn w:val="1"/>
    <w:next w:val="4"/>
    <w:qFormat/>
    <w:uiPriority w:val="0"/>
    <w:pPr>
      <w:spacing w:after="120"/>
      <w:ind w:left="420" w:leftChars="200"/>
    </w:pPr>
  </w:style>
  <w:style w:type="paragraph" w:styleId="4">
    <w:name w:val="envelope return"/>
    <w:basedOn w:val="1"/>
    <w:unhideWhenUsed/>
    <w:qFormat/>
    <w:uiPriority w:val="99"/>
    <w:pPr>
      <w:snapToGrid w:val="0"/>
    </w:pPr>
    <w:rPr>
      <w:rFonts w:ascii="Arial" w:hAnsi="Arial" w:eastAsia="宋体" w:cs="Times New Roman"/>
      <w:sz w:val="30"/>
      <w:szCs w:val="24"/>
      <w:lang w:bidi="ar-SA"/>
    </w:rPr>
  </w:style>
  <w:style w:type="paragraph" w:styleId="8">
    <w:name w:val="Normal Indent"/>
    <w:basedOn w:val="1"/>
    <w:qFormat/>
    <w:uiPriority w:val="0"/>
    <w:pPr>
      <w:ind w:firstLine="420"/>
    </w:pPr>
    <w:rPr>
      <w:rFonts w:ascii="Times New Roman" w:hAnsi="Times New Roman" w:cs="Times New Roman"/>
      <w:kern w:val="0"/>
      <w:sz w:val="20"/>
      <w:szCs w:val="20"/>
    </w:rPr>
  </w:style>
  <w:style w:type="paragraph" w:styleId="9">
    <w:name w:val="annotation text"/>
    <w:basedOn w:val="1"/>
    <w:qFormat/>
    <w:uiPriority w:val="0"/>
    <w:pPr>
      <w:jc w:val="left"/>
    </w:pPr>
  </w:style>
  <w:style w:type="paragraph" w:styleId="10">
    <w:name w:val="Body Text"/>
    <w:basedOn w:val="11"/>
    <w:next w:val="11"/>
    <w:unhideWhenUsed/>
    <w:qFormat/>
    <w:uiPriority w:val="99"/>
    <w:pPr>
      <w:spacing w:after="120"/>
    </w:pPr>
  </w:style>
  <w:style w:type="paragraph" w:styleId="11">
    <w:name w:val="Title"/>
    <w:basedOn w:val="1"/>
    <w:next w:val="1"/>
    <w:qFormat/>
    <w:uiPriority w:val="0"/>
    <w:pPr>
      <w:widowControl/>
      <w:spacing w:before="240" w:after="60" w:line="560" w:lineRule="exact"/>
      <w:jc w:val="center"/>
      <w:outlineLvl w:val="0"/>
    </w:pPr>
    <w:rPr>
      <w:rFonts w:ascii="Arial" w:hAnsi="Arial" w:eastAsia="华文中宋" w:cs="Arial"/>
      <w:b/>
      <w:bCs/>
      <w:color w:val="FF0000"/>
      <w:kern w:val="0"/>
      <w:sz w:val="84"/>
      <w:szCs w:val="32"/>
    </w:rPr>
  </w:style>
  <w:style w:type="paragraph" w:styleId="12">
    <w:name w:val="Plain Text"/>
    <w:basedOn w:val="1"/>
    <w:qFormat/>
    <w:uiPriority w:val="0"/>
    <w:pPr>
      <w:pBdr>
        <w:top w:val="none" w:color="auto" w:sz="0" w:space="0"/>
        <w:left w:val="none" w:color="auto" w:sz="0" w:space="0"/>
        <w:bottom w:val="none" w:color="auto" w:sz="0" w:space="0"/>
        <w:right w:val="none" w:color="auto" w:sz="0" w:space="0"/>
        <w:between w:val="none" w:color="auto" w:sz="0" w:space="0"/>
      </w:pBdr>
      <w:shd w:val="clear" w:color="auto" w:fill="auto"/>
      <w:jc w:val="both"/>
    </w:pPr>
    <w:rPr>
      <w:rFonts w:ascii="宋体" w:hAnsi="Courier New"/>
      <w:kern w:val="0"/>
      <w:sz w:val="20"/>
      <w:szCs w:val="20"/>
      <w:lang w:val="en-US" w:eastAsia="zh-CN"/>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w:basedOn w:val="10"/>
    <w:unhideWhenUsed/>
    <w:qFormat/>
    <w:uiPriority w:val="99"/>
    <w:pPr>
      <w:pBdr>
        <w:top w:val="none" w:color="auto" w:sz="0" w:space="0"/>
        <w:left w:val="none" w:color="auto" w:sz="0" w:space="0"/>
        <w:bottom w:val="none" w:color="auto" w:sz="0" w:space="0"/>
        <w:right w:val="none" w:color="auto" w:sz="0" w:space="0"/>
        <w:between w:val="none" w:color="auto" w:sz="0" w:space="0"/>
      </w:pBdr>
      <w:shd w:val="clear" w:color="auto" w:fill="auto"/>
      <w:spacing w:line="360" w:lineRule="auto"/>
      <w:ind w:firstLine="200" w:firstLineChars="200"/>
      <w:jc w:val="both"/>
    </w:pPr>
    <w:rPr>
      <w:kern w:val="0"/>
      <w:sz w:val="24"/>
      <w:lang w:val="en-US" w:eastAsia="zh-CN"/>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目录 21"/>
    <w:basedOn w:val="1"/>
    <w:next w:val="1"/>
    <w:qFormat/>
    <w:uiPriority w:val="0"/>
    <w:pPr>
      <w:spacing w:before="100" w:beforeAutospacing="1" w:after="100" w:afterAutospacing="1"/>
      <w:ind w:left="420" w:leftChars="200"/>
    </w:pPr>
  </w:style>
  <w:style w:type="paragraph" w:customStyle="1" w:styleId="19">
    <w:name w:val="_Style 5"/>
    <w:basedOn w:val="1"/>
    <w:qFormat/>
    <w:uiPriority w:val="0"/>
    <w:pPr>
      <w:adjustRightInd/>
      <w:spacing w:line="240" w:lineRule="auto"/>
      <w:ind w:firstLine="420" w:firstLineChars="200"/>
      <w:textAlignment w:val="auto"/>
    </w:pPr>
    <w:rPr>
      <w:rFonts w:ascii="Calibri" w:hAnsi="Calibri" w:eastAsia="宋体" w:cs="Times New Roman"/>
      <w:kern w:val="2"/>
      <w:sz w:val="21"/>
      <w:szCs w:val="22"/>
    </w:rPr>
  </w:style>
  <w:style w:type="paragraph" w:customStyle="1" w:styleId="20">
    <w:name w:val="报告正文"/>
    <w:basedOn w:val="1"/>
    <w:qFormat/>
    <w:uiPriority w:val="0"/>
    <w:pPr>
      <w:ind w:firstLine="200" w:firstLineChars="200"/>
      <w:textAlignment w:val="baseline"/>
    </w:pPr>
    <w:rPr>
      <w:color w:val="FF0000"/>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7111</Words>
  <Characters>7982</Characters>
  <Lines>0</Lines>
  <Paragraphs>0</Paragraphs>
  <TotalTime>1</TotalTime>
  <ScaleCrop>false</ScaleCrop>
  <LinksUpToDate>false</LinksUpToDate>
  <CharactersWithSpaces>8069</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2021-02-24T07:45:00Z</dcterms:created>
  <dc:creator>maja</dc:creator>
  <cp:lastModifiedBy>吴旻</cp:lastModifiedBy>
  <cp:lastPrinted>2022-02-11T02:00:00Z</cp:lastPrinted>
  <dcterms:modified xsi:type="dcterms:W3CDTF">2024-03-29T09:00:11Z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15EBC8F0C72D42A59DB333A617FBAF9B</vt:lpwstr>
  </property>
</Properties>
</file>