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附件A-项目信息清单（标的2）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一、标段名称：阳江220千伏银岭输变电工程施工（变电站建筑部分）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2"/>
        <w:tblW w:w="10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832"/>
        <w:gridCol w:w="6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阳江220千伏银岭输变电工程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广电规〔2023〕113号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 xml:space="preserve"> 阳发改核准〔2023〕6号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广电建〔2024〕49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6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50551.91</w:t>
            </w:r>
            <w:bookmarkStart w:id="5" w:name="_GoBack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阳江供电局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阳江市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65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计划工期：253日历天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计划开工日期：2024年6月20日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计划竣工日期：2025年2月28日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注：变电站建筑部分施工进度需满足电气安装要求，以确保阳江220千伏银岭输变电工程施工2026年3月30日前整体投产。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6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阳江市凯源电力设计有限公司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6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阳江市凯源电力设计有限公司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2832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6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/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1" w:name="_Toc28718"/>
      <w:bookmarkStart w:id="2" w:name="_Toc4755"/>
      <w:bookmarkStart w:id="3" w:name="_Toc13498"/>
    </w:p>
    <w:bookmarkEnd w:id="1"/>
    <w:bookmarkEnd w:id="2"/>
    <w:bookmarkEnd w:id="3"/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阳江220千伏银岭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输变电工程施工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（变电站建筑部分）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 xml:space="preserve">※变电部分: 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default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、220千伏银岭变电站工程：新建180兆伏安主变压器2台，每台主变10千伏侧安装5组8兆乏并联电容器组。本工程按最终规模一次征地，征地面积2.0901公顷（31.35亩），其中围墙内用地面积1.3651公顷（20.48亩）。全站总建筑面积5988.92平方米，其中综合配电楼建筑面积4626.02平方米，220千伏配电装置室建筑面积1174.20平方米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>注：具体建设规模以施工图纸为准。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  <w:lang w:eastAsia="zh-CN"/>
        </w:rPr>
        <w:instrText xml:space="preserve">,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9"/>
          <w:szCs w:val="28"/>
          <w:highlight w:val="none"/>
          <w:u w:val="single"/>
          <w:lang w:eastAsia="zh-CN"/>
        </w:rPr>
        <w:instrText xml:space="preserve">√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，特殊情况在“其他”中说明。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阳江220千伏银岭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输变电工程施工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（变电站建筑部分）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※变电部分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变电建筑工程：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（一）主要生产工程：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主要生产建筑，配电装置建筑，供水系统，消防系统；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（二）辅助生产工程：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辅助生产建筑，站区性建筑，特殊构筑物，全站沉降观测点，站区绿化；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（三）与站址有关的单项工程：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地基处理，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站外道路（其中□桥涵），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站外水源，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站外排水，□站外蒸发池，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施工降水，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临时施工电源，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临时施工水源，□临时施工道路，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临时施工通信线路，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临时施工防护工程；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（四）其他费用工程：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白蚁防治，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拆除工程；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（五）其他：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>☑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en-US" w:eastAsia="zh-CN"/>
        </w:rPr>
        <w:t>与吊车、电梯有关的建筑及安装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变电安装工程：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（一）主要生产工程：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站区照明（含其连接电缆、电线、埋管），全站接地（含接地网阻抗测试）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>综合布线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（二）其他：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/  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具体承包范围以变电站建筑分册施工图为准。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-5"/>
          <w:sz w:val="42"/>
          <w:szCs w:val="28"/>
          <w:highlight w:val="none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position w:val="0"/>
          <w:sz w:val="28"/>
          <w:szCs w:val="28"/>
          <w:highlight w:val="none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single"/>
        </w:rPr>
        <w:t>的为甲供，□未打√的及不在下列的为乙供。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阳江220千伏银岭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输变电工程施工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（变电站建筑部分）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※变电部分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（一）甲供物资：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变电建筑工程：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2、□装配式电缆沟、□消防电缆、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吊车、□电梯（不含货物电梯）、□嵌入式空调（天井式）、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eastAsia="zh-CN"/>
        </w:rPr>
        <w:t>□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专用空调（生产场所、带自动启动功能）。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甲供设备材料明细表为准。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jOWJiZGQ2ZGFiMmUxMDYyZjIyYjgzZjI5ZTk4MmYifQ=="/>
  </w:docVars>
  <w:rsids>
    <w:rsidRoot w:val="24F737D8"/>
    <w:rsid w:val="002C2CD1"/>
    <w:rsid w:val="00675492"/>
    <w:rsid w:val="00C073B0"/>
    <w:rsid w:val="01000F1F"/>
    <w:rsid w:val="0115472D"/>
    <w:rsid w:val="0270337E"/>
    <w:rsid w:val="030B388D"/>
    <w:rsid w:val="03705342"/>
    <w:rsid w:val="050E07AE"/>
    <w:rsid w:val="05B87515"/>
    <w:rsid w:val="068D71D9"/>
    <w:rsid w:val="090728DE"/>
    <w:rsid w:val="0A595376"/>
    <w:rsid w:val="0BBE0A34"/>
    <w:rsid w:val="0BC07002"/>
    <w:rsid w:val="0CB91C03"/>
    <w:rsid w:val="0D034D8A"/>
    <w:rsid w:val="0D0758F3"/>
    <w:rsid w:val="0E804971"/>
    <w:rsid w:val="10A919C2"/>
    <w:rsid w:val="116419AD"/>
    <w:rsid w:val="11DF6CFE"/>
    <w:rsid w:val="11FC1228"/>
    <w:rsid w:val="1221206F"/>
    <w:rsid w:val="12617BA5"/>
    <w:rsid w:val="13C71878"/>
    <w:rsid w:val="14440D4B"/>
    <w:rsid w:val="14BE3D26"/>
    <w:rsid w:val="15056A61"/>
    <w:rsid w:val="15701FEA"/>
    <w:rsid w:val="16A21031"/>
    <w:rsid w:val="16A529CE"/>
    <w:rsid w:val="17241016"/>
    <w:rsid w:val="17311749"/>
    <w:rsid w:val="185722C9"/>
    <w:rsid w:val="18E57496"/>
    <w:rsid w:val="193066EB"/>
    <w:rsid w:val="196B23E3"/>
    <w:rsid w:val="1A2F2F81"/>
    <w:rsid w:val="1B1435D1"/>
    <w:rsid w:val="1B663F82"/>
    <w:rsid w:val="1BA9108A"/>
    <w:rsid w:val="1EA379B5"/>
    <w:rsid w:val="20957CD4"/>
    <w:rsid w:val="216F4D5B"/>
    <w:rsid w:val="22D01CE9"/>
    <w:rsid w:val="24E46BF4"/>
    <w:rsid w:val="24F737D8"/>
    <w:rsid w:val="26F863F9"/>
    <w:rsid w:val="27110542"/>
    <w:rsid w:val="274170EE"/>
    <w:rsid w:val="2785030E"/>
    <w:rsid w:val="278F57AD"/>
    <w:rsid w:val="27E47C4B"/>
    <w:rsid w:val="284674C1"/>
    <w:rsid w:val="28F46A2A"/>
    <w:rsid w:val="296555D1"/>
    <w:rsid w:val="2BDF1BF0"/>
    <w:rsid w:val="2BED7EC0"/>
    <w:rsid w:val="2C332967"/>
    <w:rsid w:val="2D6A5ADB"/>
    <w:rsid w:val="2D8E3667"/>
    <w:rsid w:val="2E9A5E18"/>
    <w:rsid w:val="2F362DFB"/>
    <w:rsid w:val="2F9E71F1"/>
    <w:rsid w:val="2FF65FF8"/>
    <w:rsid w:val="300D195C"/>
    <w:rsid w:val="3044134F"/>
    <w:rsid w:val="306C7E8C"/>
    <w:rsid w:val="30BF37B5"/>
    <w:rsid w:val="32E62B90"/>
    <w:rsid w:val="33431B08"/>
    <w:rsid w:val="33D80F8C"/>
    <w:rsid w:val="361736AD"/>
    <w:rsid w:val="36905D28"/>
    <w:rsid w:val="36C079D0"/>
    <w:rsid w:val="36D200CF"/>
    <w:rsid w:val="38382DC3"/>
    <w:rsid w:val="3B2A0F67"/>
    <w:rsid w:val="3BCA27B8"/>
    <w:rsid w:val="3C1E17EA"/>
    <w:rsid w:val="3C4A35F1"/>
    <w:rsid w:val="3D6C6E26"/>
    <w:rsid w:val="3F096BB0"/>
    <w:rsid w:val="3F9B7EF1"/>
    <w:rsid w:val="415A7E63"/>
    <w:rsid w:val="42E701E3"/>
    <w:rsid w:val="44D414C9"/>
    <w:rsid w:val="460D1423"/>
    <w:rsid w:val="46472D5E"/>
    <w:rsid w:val="46760D7A"/>
    <w:rsid w:val="469B4709"/>
    <w:rsid w:val="46A85B41"/>
    <w:rsid w:val="47CB2C71"/>
    <w:rsid w:val="49332FB5"/>
    <w:rsid w:val="4B3A1BDA"/>
    <w:rsid w:val="4D392B7F"/>
    <w:rsid w:val="4DA07ECF"/>
    <w:rsid w:val="4DC759F3"/>
    <w:rsid w:val="4DD17050"/>
    <w:rsid w:val="4E040B17"/>
    <w:rsid w:val="4EA560D6"/>
    <w:rsid w:val="50667F11"/>
    <w:rsid w:val="50EC33F8"/>
    <w:rsid w:val="546F308A"/>
    <w:rsid w:val="55734D49"/>
    <w:rsid w:val="55C3156A"/>
    <w:rsid w:val="56677483"/>
    <w:rsid w:val="57092F8E"/>
    <w:rsid w:val="599017B7"/>
    <w:rsid w:val="5D341919"/>
    <w:rsid w:val="5F8E0C51"/>
    <w:rsid w:val="5FE724D4"/>
    <w:rsid w:val="608606DE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70873960"/>
    <w:rsid w:val="70B81233"/>
    <w:rsid w:val="70D1495F"/>
    <w:rsid w:val="73641402"/>
    <w:rsid w:val="739F2FAD"/>
    <w:rsid w:val="74E73186"/>
    <w:rsid w:val="74FD6BC2"/>
    <w:rsid w:val="76015DEA"/>
    <w:rsid w:val="763B2CF0"/>
    <w:rsid w:val="764E470D"/>
    <w:rsid w:val="76850D49"/>
    <w:rsid w:val="7842124A"/>
    <w:rsid w:val="79435213"/>
    <w:rsid w:val="795C38F5"/>
    <w:rsid w:val="7A117F06"/>
    <w:rsid w:val="7B163DAC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5">
    <w:name w:val="Body Text"/>
    <w:basedOn w:val="1"/>
    <w:next w:val="6"/>
    <w:unhideWhenUsed/>
    <w:qFormat/>
    <w:uiPriority w:val="99"/>
    <w:pPr>
      <w:spacing w:after="120"/>
    </w:pPr>
  </w:style>
  <w:style w:type="paragraph" w:styleId="6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5"/>
    <w:next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5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杨灿魁</cp:lastModifiedBy>
  <cp:lastPrinted>2022-02-11T02:00:00Z</cp:lastPrinted>
  <dcterms:modified xsi:type="dcterms:W3CDTF">2024-04-08T09:13:01Z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D92228B90D534407A2D23A3F61D370B4_13</vt:lpwstr>
  </property>
</Properties>
</file>