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ageBreakBefore w:val="0"/>
        <w:kinsoku/>
        <w:overflowPunct/>
        <w:bidi w:val="0"/>
        <w:snapToGrid w:val="0"/>
        <w:spacing w:beforeAutospacing="0" w:afterAutospacing="0" w:line="360" w:lineRule="auto"/>
        <w:ind w:right="25" w:rightChars="12"/>
        <w:jc w:val="center"/>
        <w:rPr>
          <w:rFonts w:hint="eastAsia" w:ascii="宋体" w:hAnsi="宋体" w:eastAsia="宋体" w:cs="宋体"/>
          <w:b/>
          <w:color w:val="auto"/>
          <w:sz w:val="48"/>
          <w:szCs w:val="48"/>
          <w:highlight w:val="none"/>
          <w:u w:val="none"/>
          <w:lang w:eastAsia="zh-CN"/>
        </w:rPr>
      </w:pPr>
    </w:p>
    <w:p>
      <w:pPr>
        <w:pStyle w:val="17"/>
        <w:pageBreakBefore w:val="0"/>
        <w:kinsoku/>
        <w:overflowPunct/>
        <w:bidi w:val="0"/>
        <w:snapToGrid w:val="0"/>
        <w:spacing w:beforeAutospacing="0" w:afterAutospacing="0" w:line="360" w:lineRule="auto"/>
        <w:ind w:right="25" w:rightChars="12"/>
        <w:jc w:val="center"/>
        <w:rPr>
          <w:rFonts w:hint="eastAsia" w:cs="宋体"/>
          <w:b/>
          <w:color w:val="auto"/>
          <w:sz w:val="48"/>
          <w:szCs w:val="48"/>
          <w:highlight w:val="none"/>
          <w:u w:val="none"/>
          <w:lang w:eastAsia="zh-CN"/>
        </w:rPr>
      </w:pPr>
      <w:r>
        <w:rPr>
          <w:rFonts w:hint="eastAsia" w:cs="宋体"/>
          <w:b/>
          <w:color w:val="auto"/>
          <w:sz w:val="48"/>
          <w:szCs w:val="48"/>
          <w:highlight w:val="none"/>
          <w:u w:val="none"/>
          <w:lang w:eastAsia="zh-CN"/>
        </w:rPr>
        <w:t>扶胥古运河墩头基人行天桥工程</w:t>
      </w:r>
    </w:p>
    <w:p>
      <w:pPr>
        <w:pStyle w:val="17"/>
        <w:pageBreakBefore w:val="0"/>
        <w:kinsoku/>
        <w:overflowPunct/>
        <w:bidi w:val="0"/>
        <w:snapToGrid w:val="0"/>
        <w:spacing w:beforeAutospacing="0" w:afterAutospacing="0" w:line="360" w:lineRule="auto"/>
        <w:ind w:right="25" w:rightChars="12"/>
        <w:jc w:val="center"/>
        <w:rPr>
          <w:rFonts w:hint="eastAsia" w:ascii="宋体" w:hAnsi="宋体" w:eastAsia="宋体" w:cs="宋体"/>
          <w:b/>
          <w:color w:val="auto"/>
          <w:sz w:val="48"/>
          <w:szCs w:val="48"/>
          <w:highlight w:val="none"/>
          <w:u w:val="none"/>
        </w:rPr>
      </w:pPr>
      <w:r>
        <w:rPr>
          <w:rFonts w:hint="eastAsia" w:ascii="宋体" w:hAnsi="宋体" w:eastAsia="宋体" w:cs="宋体"/>
          <w:b/>
          <w:color w:val="auto"/>
          <w:sz w:val="48"/>
          <w:szCs w:val="48"/>
          <w:highlight w:val="none"/>
          <w:u w:val="none"/>
          <w:lang w:eastAsia="zh-CN"/>
        </w:rPr>
        <w:t>施工总承包</w:t>
      </w:r>
    </w:p>
    <w:p>
      <w:pPr>
        <w:pageBreakBefore w:val="0"/>
        <w:kinsoku/>
        <w:overflowPunct/>
        <w:bidi w:val="0"/>
        <w:snapToGrid w:val="0"/>
        <w:spacing w:beforeAutospacing="0" w:afterAutospacing="0" w:line="360" w:lineRule="auto"/>
        <w:jc w:val="center"/>
        <w:rPr>
          <w:rFonts w:hint="eastAsia" w:ascii="宋体" w:hAnsi="宋体" w:eastAsia="宋体" w:cs="宋体"/>
          <w:color w:val="auto"/>
          <w:sz w:val="36"/>
          <w:szCs w:val="36"/>
          <w:highlight w:val="none"/>
          <w:u w:val="single"/>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sz w:val="36"/>
          <w:szCs w:val="36"/>
          <w:highlight w:val="none"/>
          <w:u w:val="single"/>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sz w:val="36"/>
          <w:szCs w:val="36"/>
          <w:highlight w:val="none"/>
          <w:u w:val="single"/>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sz w:val="36"/>
          <w:szCs w:val="36"/>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pPr>
        <w:pageBreakBefore w:val="0"/>
        <w:kinsoku/>
        <w:overflowPunct/>
        <w:bidi w:val="0"/>
        <w:snapToGrid w:val="0"/>
        <w:spacing w:beforeAutospacing="0" w:afterAutospacing="0" w:line="360" w:lineRule="auto"/>
        <w:jc w:val="center"/>
        <w:rPr>
          <w:rFonts w:hint="eastAsia" w:ascii="宋体" w:hAnsi="宋体" w:eastAsia="宋体" w:cs="宋体"/>
          <w:color w:val="auto"/>
          <w:sz w:val="32"/>
          <w:szCs w:val="32"/>
          <w:highlight w:val="none"/>
        </w:rPr>
      </w:pPr>
    </w:p>
    <w:p>
      <w:pPr>
        <w:pageBreakBefore w:val="0"/>
        <w:kinsoku/>
        <w:overflowPunct/>
        <w:bidi w:val="0"/>
        <w:snapToGrid w:val="0"/>
        <w:spacing w:beforeAutospacing="0" w:afterAutospacing="0" w:line="360" w:lineRule="auto"/>
        <w:ind w:firstLine="2560" w:firstLineChars="800"/>
        <w:rPr>
          <w:rFonts w:hint="eastAsia" w:ascii="宋体" w:hAnsi="宋体" w:eastAsia="宋体" w:cs="宋体"/>
          <w:color w:val="auto"/>
          <w:sz w:val="32"/>
          <w:szCs w:val="32"/>
          <w:highlight w:val="none"/>
        </w:rPr>
      </w:pPr>
    </w:p>
    <w:p>
      <w:pPr>
        <w:pageBreakBefore w:val="0"/>
        <w:kinsoku/>
        <w:overflowPunct/>
        <w:bidi w:val="0"/>
        <w:snapToGrid w:val="0"/>
        <w:spacing w:beforeAutospacing="0" w:afterAutospacing="0" w:line="360" w:lineRule="auto"/>
        <w:ind w:firstLine="1200" w:firstLineChars="400"/>
        <w:rPr>
          <w:rFonts w:hint="eastAsia" w:ascii="宋体" w:hAnsi="宋体" w:eastAsia="宋体" w:cs="宋体"/>
          <w:color w:val="auto"/>
          <w:sz w:val="30"/>
          <w:szCs w:val="30"/>
          <w:highlight w:val="none"/>
        </w:rPr>
      </w:pPr>
    </w:p>
    <w:p>
      <w:pPr>
        <w:pageBreakBefore w:val="0"/>
        <w:kinsoku/>
        <w:overflowPunct/>
        <w:bidi w:val="0"/>
        <w:snapToGrid w:val="0"/>
        <w:spacing w:beforeAutospacing="0" w:afterAutospacing="0" w:line="360" w:lineRule="auto"/>
        <w:ind w:firstLine="0" w:firstLineChars="0"/>
        <w:rPr>
          <w:rFonts w:hint="eastAsia" w:ascii="宋体" w:hAnsi="宋体" w:eastAsia="宋体" w:cs="宋体"/>
          <w:color w:val="auto"/>
          <w:sz w:val="30"/>
          <w:szCs w:val="30"/>
          <w:highlight w:val="none"/>
        </w:rPr>
      </w:pPr>
    </w:p>
    <w:p>
      <w:pPr>
        <w:pageBreakBefore w:val="0"/>
        <w:kinsoku/>
        <w:overflowPunct/>
        <w:bidi w:val="0"/>
        <w:snapToGrid w:val="0"/>
        <w:spacing w:beforeAutospacing="0" w:afterAutospacing="0" w:line="360" w:lineRule="auto"/>
        <w:ind w:firstLine="1200" w:firstLineChars="400"/>
        <w:rPr>
          <w:rFonts w:hint="eastAsia" w:ascii="宋体" w:hAnsi="宋体" w:eastAsia="宋体" w:cs="宋体"/>
          <w:color w:val="auto"/>
          <w:sz w:val="30"/>
          <w:szCs w:val="30"/>
          <w:highlight w:val="none"/>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ind w:left="0" w:leftChars="0" w:firstLine="639" w:firstLineChars="213"/>
        <w:jc w:val="both"/>
        <w:rPr>
          <w:rFonts w:hint="eastAsia" w:ascii="宋体" w:hAnsi="宋体" w:eastAsia="宋体" w:cs="宋体"/>
          <w:color w:val="auto"/>
          <w:spacing w:val="-2"/>
          <w:sz w:val="30"/>
          <w:szCs w:val="30"/>
          <w:highlight w:val="none"/>
        </w:rPr>
      </w:pPr>
      <w:r>
        <w:rPr>
          <w:rFonts w:hint="eastAsia" w:ascii="宋体" w:hAnsi="宋体" w:eastAsia="宋体" w:cs="宋体"/>
          <w:color w:val="auto"/>
          <w:sz w:val="30"/>
          <w:szCs w:val="30"/>
          <w:highlight w:val="none"/>
        </w:rPr>
        <w:t>招  标 单 位：</w:t>
      </w:r>
      <w:r>
        <w:rPr>
          <w:rFonts w:hint="eastAsia" w:ascii="宋体" w:hAnsi="宋体" w:eastAsia="宋体" w:cs="宋体"/>
          <w:color w:val="auto"/>
          <w:spacing w:val="-2"/>
          <w:sz w:val="30"/>
          <w:szCs w:val="30"/>
          <w:highlight w:val="none"/>
          <w:u w:val="single"/>
          <w:lang w:eastAsia="zh-CN"/>
        </w:rPr>
        <w:t>广州开发区财政投资建设项目管理中心</w:t>
      </w:r>
    </w:p>
    <w:p>
      <w:pPr>
        <w:pageBreakBefore w:val="0"/>
        <w:kinsoku/>
        <w:overflowPunct/>
        <w:bidi w:val="0"/>
        <w:snapToGrid w:val="0"/>
        <w:spacing w:beforeAutospacing="0" w:afterAutospacing="0" w:line="360" w:lineRule="auto"/>
        <w:ind w:left="0" w:leftChars="0" w:firstLine="639" w:firstLineChars="213"/>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广州筑正工程建设管理有限公司</w:t>
      </w:r>
    </w:p>
    <w:p>
      <w:pPr>
        <w:pageBreakBefore w:val="0"/>
        <w:kinsoku/>
        <w:overflowPunct/>
        <w:bidi w:val="0"/>
        <w:snapToGrid w:val="0"/>
        <w:spacing w:beforeAutospacing="0" w:afterAutospacing="0" w:line="360" w:lineRule="auto"/>
        <w:ind w:left="0" w:leftChars="0" w:firstLine="639" w:firstLineChars="213"/>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lang w:val="en-US" w:eastAsia="zh-CN"/>
        </w:rPr>
        <w:t>2024</w:t>
      </w:r>
      <w:r>
        <w:rPr>
          <w:rFonts w:hint="eastAsia" w:ascii="宋体" w:hAnsi="宋体" w:eastAsia="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月</w:t>
      </w:r>
    </w:p>
    <w:p>
      <w:pPr>
        <w:pageBreakBefore w:val="0"/>
        <w:kinsoku/>
        <w:overflowPunct/>
        <w:bidi w:val="0"/>
        <w:snapToGrid w:val="0"/>
        <w:spacing w:beforeAutospacing="0" w:afterAutospacing="0" w:line="360" w:lineRule="auto"/>
        <w:jc w:val="center"/>
        <w:rPr>
          <w:rStyle w:val="23"/>
          <w:rFonts w:hint="eastAsia" w:ascii="宋体" w:hAnsi="宋体" w:eastAsia="宋体" w:cs="宋体"/>
          <w:b/>
          <w:bCs/>
          <w:color w:val="auto"/>
          <w:sz w:val="36"/>
          <w:szCs w:val="36"/>
          <w:highlight w:val="none"/>
        </w:rPr>
      </w:pPr>
      <w:r>
        <w:rPr>
          <w:rStyle w:val="23"/>
          <w:rFonts w:hint="eastAsia" w:ascii="宋体" w:hAnsi="宋体" w:eastAsia="宋体" w:cs="宋体"/>
          <w:b/>
          <w:bCs/>
          <w:color w:val="auto"/>
          <w:highlight w:val="none"/>
        </w:rPr>
        <w:br w:type="page"/>
      </w:r>
      <w:r>
        <w:rPr>
          <w:rStyle w:val="23"/>
          <w:rFonts w:hint="eastAsia" w:ascii="宋体" w:hAnsi="宋体" w:eastAsia="宋体" w:cs="宋体"/>
          <w:b/>
          <w:bCs/>
          <w:color w:val="auto"/>
          <w:sz w:val="36"/>
          <w:szCs w:val="36"/>
          <w:highlight w:val="none"/>
          <w:u w:val="none"/>
        </w:rPr>
        <w:t>目</w:t>
      </w:r>
      <w:r>
        <w:rPr>
          <w:rStyle w:val="23"/>
          <w:rFonts w:hint="eastAsia" w:ascii="宋体" w:hAnsi="宋体" w:eastAsia="宋体" w:cs="宋体"/>
          <w:b/>
          <w:bCs/>
          <w:color w:val="auto"/>
          <w:sz w:val="36"/>
          <w:szCs w:val="36"/>
          <w:highlight w:val="none"/>
          <w:u w:val="none"/>
          <w:lang w:val="en-US" w:eastAsia="zh-CN"/>
        </w:rPr>
        <w:t xml:space="preserve">  </w:t>
      </w:r>
      <w:r>
        <w:rPr>
          <w:rStyle w:val="23"/>
          <w:rFonts w:hint="eastAsia" w:ascii="宋体" w:hAnsi="宋体" w:eastAsia="宋体" w:cs="宋体"/>
          <w:b/>
          <w:bCs/>
          <w:color w:val="auto"/>
          <w:sz w:val="36"/>
          <w:szCs w:val="36"/>
          <w:highlight w:val="none"/>
          <w:u w:val="none"/>
        </w:rPr>
        <w:t>录</w:t>
      </w:r>
    </w:p>
    <w:p>
      <w:pPr>
        <w:pageBreakBefore w:val="0"/>
        <w:kinsoku/>
        <w:overflowPunct/>
        <w:bidi w:val="0"/>
        <w:snapToGrid w:val="0"/>
        <w:spacing w:beforeAutospacing="0" w:afterAutospacing="0" w:line="360" w:lineRule="auto"/>
        <w:jc w:val="center"/>
        <w:rPr>
          <w:rFonts w:hint="eastAsia" w:ascii="宋体" w:hAnsi="宋体" w:eastAsia="宋体" w:cs="宋体"/>
          <w:b/>
          <w:caps/>
          <w:color w:val="auto"/>
          <w:kern w:val="0"/>
          <w:sz w:val="36"/>
          <w:szCs w:val="36"/>
          <w:highlight w:val="none"/>
        </w:rPr>
      </w:pP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TOC \o "1-3" \h \z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_Toc6280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_Toc27735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_Toc27735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_Toc6608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_Toc31334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_Toc12947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_Toc32542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_Toc24057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_Toc12835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_Toc5678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_Toc31373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_Toc9740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（二）开标评标办法程序和细则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pageBreakBefore w:val="0"/>
        <w:tabs>
          <w:tab w:val="right" w:leader="dot" w:pos="904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可选办法七（适合综合评分法四，技术标与经济标同时开启）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_Toc5789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44"/>
          <w:highlight w:val="none"/>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_Toc30083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32"/>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_Toc9312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pageBreakBefore w:val="0"/>
        <w:tabs>
          <w:tab w:val="right" w:leader="dot" w:pos="9040"/>
          <w:tab w:val="clear" w:pos="906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第八章  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3"/>
        <w:pageBreakBefore w:val="0"/>
        <w:tabs>
          <w:tab w:val="right" w:pos="9070"/>
        </w:tabs>
        <w:kinsoku/>
        <w:overflowPunct/>
        <w:bidi w:val="0"/>
        <w:snapToGrid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color w:val="auto"/>
          <w:sz w:val="24"/>
          <w:szCs w:val="24"/>
          <w:highlight w:val="none"/>
        </w:rPr>
      </w:pPr>
    </w:p>
    <w:p>
      <w:pPr>
        <w:pStyle w:val="18"/>
        <w:pageBreakBefore w:val="0"/>
        <w:kinsoku/>
        <w:overflowPunct/>
        <w:bidi w:val="0"/>
        <w:snapToGrid w:val="0"/>
        <w:spacing w:beforeAutospacing="0" w:after="0" w:afterAutospacing="0" w:line="360" w:lineRule="auto"/>
        <w:jc w:val="center"/>
        <w:rPr>
          <w:rFonts w:hint="eastAsia" w:ascii="宋体" w:hAnsi="宋体" w:eastAsia="宋体" w:cs="宋体"/>
          <w:color w:val="auto"/>
          <w:highlight w:val="none"/>
        </w:r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pPr>
        <w:pageBreakBefore w:val="0"/>
        <w:kinsoku/>
        <w:overflowPunct/>
        <w:bidi w:val="0"/>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bookmarkStart w:id="0" w:name="_Toc6280"/>
      <w:r>
        <w:rPr>
          <w:rFonts w:hint="eastAsia" w:ascii="宋体" w:hAnsi="宋体" w:eastAsia="宋体" w:cs="宋体"/>
          <w:b/>
          <w:bCs/>
          <w:color w:val="auto"/>
          <w:sz w:val="32"/>
          <w:szCs w:val="32"/>
          <w:highlight w:val="none"/>
        </w:rPr>
        <w:t>第一章  投标须知</w:t>
      </w:r>
      <w:bookmarkEnd w:id="0"/>
    </w:p>
    <w:p>
      <w:pPr>
        <w:pStyle w:val="5"/>
        <w:pageBreakBefore w:val="0"/>
        <w:kinsoku/>
        <w:overflowPunct/>
        <w:bidi w:val="0"/>
        <w:snapToGrid w:val="0"/>
        <w:spacing w:before="0" w:beforeAutospacing="0" w:after="0" w:afterAutospacing="0" w:line="360" w:lineRule="auto"/>
        <w:rPr>
          <w:rFonts w:hint="eastAsia" w:ascii="宋体" w:hAnsi="宋体" w:eastAsia="宋体" w:cs="宋体"/>
          <w:color w:val="auto"/>
          <w:highlight w:val="none"/>
        </w:rPr>
      </w:pPr>
      <w:bookmarkStart w:id="1" w:name="_Toc27735"/>
      <w:r>
        <w:rPr>
          <w:rFonts w:hint="eastAsia" w:ascii="宋体" w:hAnsi="宋体" w:eastAsia="宋体" w:cs="宋体"/>
          <w:color w:val="auto"/>
          <w:highlight w:val="none"/>
        </w:rPr>
        <w:t>一、投标须知前附表</w:t>
      </w:r>
      <w:bookmarkEnd w:id="1"/>
    </w:p>
    <w:p>
      <w:pPr>
        <w:pStyle w:val="6"/>
        <w:pageBreakBefore w:val="0"/>
        <w:kinsoku/>
        <w:overflowPunct/>
        <w:bidi w:val="0"/>
        <w:snapToGrid w:val="0"/>
        <w:spacing w:beforeAutospacing="0" w:afterAutospacing="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498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03"/>
        <w:gridCol w:w="1801"/>
        <w:gridCol w:w="58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top w:val="double" w:color="auto" w:sz="4" w:space="0"/>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903" w:type="dxa"/>
            <w:tcBorders>
              <w:top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801" w:type="dxa"/>
            <w:tcBorders>
              <w:top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5828" w:type="dxa"/>
            <w:tcBorders>
              <w:top w:val="double" w:color="auto" w:sz="4" w:space="0"/>
              <w:right w:val="double" w:color="auto" w:sz="4" w:space="0"/>
            </w:tcBorders>
            <w:noWrap w:val="0"/>
            <w:vAlign w:val="center"/>
          </w:tcPr>
          <w:p>
            <w:pPr>
              <w:pStyle w:val="13"/>
              <w:pageBreakBefore w:val="0"/>
              <w:kinsoku/>
              <w:overflowPunct/>
              <w:bidi w:val="0"/>
              <w:snapToGrid w:val="0"/>
              <w:spacing w:beforeAutospacing="0" w:afterAutospacing="0" w:line="360" w:lineRule="auto"/>
              <w:ind w:firstLine="458"/>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招标人（即发包人）：</w:t>
            </w:r>
            <w:r>
              <w:rPr>
                <w:rFonts w:hint="eastAsia" w:ascii="宋体" w:hAnsi="宋体" w:eastAsia="宋体" w:cs="宋体"/>
                <w:color w:val="auto"/>
                <w:sz w:val="21"/>
                <w:szCs w:val="21"/>
                <w:highlight w:val="none"/>
                <w:u w:val="single"/>
                <w:lang w:eastAsia="zh-CN"/>
              </w:rPr>
              <w:t>广州开发区财政投资建设项目管理中心</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招标代理：</w:t>
            </w:r>
            <w:r>
              <w:rPr>
                <w:rFonts w:hint="eastAsia" w:ascii="宋体" w:hAnsi="宋体" w:cs="宋体"/>
                <w:color w:val="auto"/>
                <w:sz w:val="21"/>
                <w:szCs w:val="21"/>
                <w:highlight w:val="none"/>
                <w:u w:val="single"/>
                <w:lang w:val="en-US" w:eastAsia="zh-CN"/>
              </w:rPr>
              <w:t>广州筑正工程建设管理有限公司</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设计单位：</w:t>
            </w:r>
            <w:r>
              <w:rPr>
                <w:rFonts w:hint="eastAsia" w:ascii="宋体" w:hAnsi="宋体" w:eastAsia="宋体" w:cs="宋体"/>
                <w:color w:val="auto"/>
                <w:sz w:val="21"/>
                <w:szCs w:val="21"/>
                <w:highlight w:val="none"/>
                <w:u w:val="single"/>
              </w:rPr>
              <w:t xml:space="preserve">林同棪国际工程咨询（中国）有限公司   </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监理单位：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扶胥古运河墩头基人行天桥工程</w:t>
            </w:r>
            <w:r>
              <w:rPr>
                <w:rFonts w:hint="eastAsia" w:ascii="宋体" w:hAnsi="宋体" w:eastAsia="宋体" w:cs="宋体"/>
                <w:color w:val="auto"/>
                <w:sz w:val="21"/>
                <w:szCs w:val="21"/>
                <w:highlight w:val="none"/>
                <w:u w:val="single"/>
                <w:lang w:val="en-US" w:eastAsia="zh-CN"/>
              </w:rPr>
              <w:t xml:space="preserve">施工总承包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工程质量达到国家或行业质量检验评定的合格标准</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日计划开工，施工总期：</w:t>
            </w:r>
            <w:r>
              <w:rPr>
                <w:rFonts w:hint="eastAsia" w:ascii="宋体" w:hAnsi="宋体" w:cs="宋体"/>
                <w:color w:val="auto"/>
                <w:sz w:val="21"/>
                <w:szCs w:val="21"/>
                <w:highlight w:val="none"/>
                <w:u w:val="single"/>
                <w:lang w:val="en-US" w:eastAsia="zh-CN"/>
              </w:rPr>
              <w:t xml:space="preserve"> 365 </w:t>
            </w:r>
            <w:r>
              <w:rPr>
                <w:rFonts w:hint="eastAsia" w:ascii="宋体" w:hAnsi="宋体" w:eastAsia="宋体" w:cs="宋体"/>
                <w:color w:val="auto"/>
                <w:sz w:val="21"/>
                <w:szCs w:val="21"/>
                <w:highlight w:val="none"/>
              </w:rPr>
              <w:t xml:space="preserve">日历天。 </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注：本工程正式签署合同时，施工工期按中标投标文件承诺工期。</w:t>
            </w:r>
            <w:r>
              <w:rPr>
                <w:rFonts w:hint="eastAsia" w:ascii="宋体" w:hAnsi="宋体" w:eastAsia="宋体" w:cs="宋体"/>
                <w:color w:val="auto"/>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投标人资质等级及项目负责人等级要求</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03" w:type="dxa"/>
            <w:noWrap w:val="0"/>
            <w:vAlign w:val="center"/>
          </w:tcPr>
          <w:p>
            <w:pPr>
              <w:pageBreakBefore w:val="0"/>
              <w:kinsoku/>
              <w:overflowPunct/>
              <w:bidi w:val="0"/>
              <w:snapToGrid w:val="0"/>
              <w:spacing w:beforeAutospacing="0" w:afterAutospacing="0" w:line="360" w:lineRule="auto"/>
              <w:ind w:firstLine="458"/>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报价以及单价和总价计算方式</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bookmarkStart w:id="2" w:name="EBdfd7e3fe86a241738f1c1d356c309534"/>
            <w:r>
              <w:rPr>
                <w:rFonts w:hint="eastAsia" w:ascii="宋体" w:hAnsi="宋体" w:eastAsia="宋体" w:cs="宋体"/>
                <w:color w:val="auto"/>
                <w:sz w:val="21"/>
                <w:szCs w:val="21"/>
                <w:highlight w:val="none"/>
              </w:rPr>
              <w:t>工程量清单计价</w:t>
            </w:r>
            <w:r>
              <w:rPr>
                <w:rFonts w:hint="eastAsia" w:ascii="宋体" w:hAnsi="宋体" w:eastAsia="宋体" w:cs="宋体"/>
                <w:color w:val="auto"/>
                <w:sz w:val="21"/>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日历天。（从投标截止之日计起）。</w:t>
            </w:r>
            <w:r>
              <w:rPr>
                <w:rFonts w:hint="eastAsia" w:ascii="宋体" w:hAnsi="宋体" w:eastAsia="宋体" w:cs="宋体"/>
                <w:color w:val="auto"/>
                <w:sz w:val="21"/>
                <w:szCs w:val="21"/>
                <w:highlight w:val="none"/>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828" w:type="dxa"/>
            <w:tcBorders>
              <w:right w:val="double" w:color="auto" w:sz="4" w:space="0"/>
            </w:tcBorders>
            <w:noWrap w:val="0"/>
            <w:vAlign w:val="center"/>
          </w:tcPr>
          <w:p>
            <w:pPr>
              <w:pStyle w:val="13"/>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投标答疑</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分前；</w:t>
            </w:r>
            <w:r>
              <w:rPr>
                <w:rFonts w:hint="eastAsia" w:ascii="宋体" w:hAnsi="宋体" w:eastAsia="宋体" w:cs="宋体"/>
                <w:color w:val="auto"/>
                <w:sz w:val="21"/>
                <w:szCs w:val="21"/>
                <w:highlight w:val="none"/>
                <w:u w:val="single"/>
              </w:rPr>
              <w:t>(在递交投标文件截止日期前18日)</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交易平台提交。</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u w:val="single"/>
                <w:lang w:eastAsia="zh-CN"/>
              </w:rPr>
              <w:t>最新指引</w:t>
            </w:r>
            <w:r>
              <w:rPr>
                <w:rFonts w:hint="eastAsia" w:ascii="宋体" w:hAnsi="宋体" w:eastAsia="宋体" w:cs="宋体"/>
                <w:color w:val="auto"/>
                <w:sz w:val="21"/>
                <w:szCs w:val="21"/>
                <w:highlight w:val="none"/>
              </w:rPr>
              <w:t xml:space="preserve">。提问一律不得署名。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开标开始时间和地点</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（技术标和经济标同时开标）</w:t>
            </w:r>
          </w:p>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1、开标开始时间：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注：投标文件解密问题。投标人只用执行一次解密，招标人执行解密次数根据招标文件开标次数确定。</w:t>
            </w:r>
          </w:p>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2、递交投标文件备用光盘时间：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分；递交地点：</w:t>
            </w:r>
            <w:r>
              <w:rPr>
                <w:rFonts w:hint="eastAsia" w:ascii="宋体" w:hAnsi="宋体" w:eastAsia="宋体" w:cs="宋体"/>
                <w:color w:val="auto"/>
                <w:sz w:val="21"/>
                <w:szCs w:val="21"/>
                <w:highlight w:val="none"/>
                <w:u w:val="single"/>
              </w:rPr>
              <w:t>广州交易集团有限公司（广州公共资源交易中心）黄埔交易部指定开标室</w:t>
            </w:r>
            <w:r>
              <w:rPr>
                <w:rFonts w:hint="eastAsia" w:ascii="宋体" w:hAnsi="宋体" w:eastAsia="宋体" w:cs="宋体"/>
                <w:color w:val="auto"/>
                <w:sz w:val="21"/>
                <w:szCs w:val="21"/>
                <w:highlight w:val="none"/>
              </w:rPr>
              <w:t>。</w:t>
            </w:r>
          </w:p>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b w:val="0"/>
                <w:bCs w:val="0"/>
                <w:color w:val="auto"/>
                <w:sz w:val="21"/>
                <w:szCs w:val="21"/>
                <w:highlight w:val="none"/>
                <w:u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801" w:type="dxa"/>
            <w:noWrap w:val="0"/>
            <w:vAlign w:val="center"/>
          </w:tcPr>
          <w:p>
            <w:pPr>
              <w:pStyle w:val="18"/>
              <w:pageBreakBefore w:val="0"/>
              <w:kinsoku/>
              <w:overflowPunct/>
              <w:bidi w:val="0"/>
              <w:snapToGrid w:val="0"/>
              <w:spacing w:beforeAutospacing="0" w:after="0" w:afterAutospacing="0" w:line="360" w:lineRule="auto"/>
              <w:ind w:firstLine="0"/>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开标评标办法</w:t>
            </w:r>
          </w:p>
        </w:tc>
        <w:tc>
          <w:tcPr>
            <w:tcW w:w="5828" w:type="dxa"/>
            <w:tcBorders>
              <w:right w:val="double" w:color="auto" w:sz="4" w:space="0"/>
            </w:tcBorders>
            <w:noWrap w:val="0"/>
            <w:vAlign w:val="center"/>
          </w:tcPr>
          <w:p>
            <w:pPr>
              <w:pStyle w:val="18"/>
              <w:pageBreakBefore w:val="0"/>
              <w:kinsoku/>
              <w:overflowPunct/>
              <w:bidi w:val="0"/>
              <w:snapToGrid w:val="0"/>
              <w:spacing w:beforeAutospacing="0" w:after="0" w:afterAutospacing="0" w:line="360" w:lineRule="auto"/>
              <w:ind w:firstLine="0"/>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方式一：可选办法七（适合综合评分法四，技术标与经济标同时开启）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本项目最高投标限价为人民币</w:t>
            </w:r>
            <w:r>
              <w:rPr>
                <w:rFonts w:hint="eastAsia" w:ascii="宋体" w:hAnsi="宋体" w:eastAsia="宋体" w:cs="宋体"/>
                <w:color w:val="auto"/>
                <w:sz w:val="21"/>
                <w:szCs w:val="21"/>
                <w:highlight w:val="none"/>
                <w:u w:val="single"/>
              </w:rPr>
              <w:t>7678896.07</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非竞争费用</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本项目绿色施工安全防护措施费为</w:t>
            </w:r>
            <w:r>
              <w:rPr>
                <w:rFonts w:hint="eastAsia" w:ascii="宋体" w:hAnsi="宋体" w:eastAsia="宋体" w:cs="宋体"/>
                <w:color w:val="auto"/>
                <w:sz w:val="21"/>
                <w:szCs w:val="21"/>
                <w:highlight w:val="none"/>
                <w:u w:val="single"/>
                <w:lang w:val="en-US" w:eastAsia="zh-CN"/>
              </w:rPr>
              <w:t xml:space="preserve"> 307959.40 </w:t>
            </w:r>
            <w:r>
              <w:rPr>
                <w:rFonts w:hint="eastAsia" w:ascii="宋体" w:hAnsi="宋体" w:eastAsia="宋体" w:cs="宋体"/>
                <w:color w:val="auto"/>
                <w:sz w:val="21"/>
                <w:szCs w:val="21"/>
                <w:highlight w:val="none"/>
              </w:rPr>
              <w:t>元（扬尘污染防治费用、使用封闭式外脚手架金属防护网费用和绿色施工围蔽费用等纳入绿色施工安全防护措施费），暂列金额为</w:t>
            </w:r>
            <w:r>
              <w:rPr>
                <w:rFonts w:hint="eastAsia" w:ascii="宋体" w:hAnsi="宋体" w:eastAsia="宋体" w:cs="宋体"/>
                <w:color w:val="auto"/>
                <w:sz w:val="21"/>
                <w:szCs w:val="21"/>
                <w:highlight w:val="none"/>
                <w:u w:val="single"/>
              </w:rPr>
              <w:t>559971.36</w:t>
            </w:r>
            <w:r>
              <w:rPr>
                <w:rFonts w:hint="eastAsia" w:ascii="宋体" w:hAnsi="宋体" w:eastAsia="宋体" w:cs="宋体"/>
                <w:color w:val="auto"/>
                <w:sz w:val="21"/>
                <w:szCs w:val="21"/>
                <w:highlight w:val="none"/>
              </w:rPr>
              <w:t>元，暂估价为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Style w:val="18"/>
              <w:pageBreakBefore w:val="0"/>
              <w:kinsoku/>
              <w:overflowPunct/>
              <w:bidi w:val="0"/>
              <w:snapToGrid w:val="0"/>
              <w:spacing w:beforeAutospacing="0" w:after="0" w:afterAutospacing="0" w:line="360" w:lineRule="auto"/>
              <w:ind w:firstLine="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保修期</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24</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strike w:val="0"/>
                <w:dstrike w:val="0"/>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计算评标参考价的等分点值</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计算评标参考价的等分点值X</w:t>
            </w:r>
            <w:r>
              <w:rPr>
                <w:rFonts w:hint="eastAsia" w:ascii="宋体" w:hAnsi="宋体" w:eastAsia="宋体" w:cs="宋体"/>
                <w:b/>
                <w:strike w:val="0"/>
                <w:dstrike w:val="0"/>
                <w:color w:val="auto"/>
                <w:sz w:val="21"/>
                <w:szCs w:val="21"/>
                <w:highlight w:val="none"/>
              </w:rPr>
              <w:t>在开标前</w:t>
            </w:r>
            <w:r>
              <w:rPr>
                <w:rFonts w:hint="eastAsia" w:ascii="宋体" w:hAnsi="宋体" w:eastAsia="宋体" w:cs="宋体"/>
                <w:strike w:val="0"/>
                <w:dstrike w:val="0"/>
                <w:color w:val="auto"/>
                <w:sz w:val="21"/>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w:t>
            </w:r>
          </w:p>
        </w:tc>
        <w:tc>
          <w:tcPr>
            <w:tcW w:w="903" w:type="dxa"/>
            <w:noWrap w:val="0"/>
            <w:vAlign w:val="center"/>
          </w:tcPr>
          <w:p>
            <w:pPr>
              <w:pageBreakBefore w:val="0"/>
              <w:kinsoku/>
              <w:overflowPunct/>
              <w:bidi w:val="0"/>
              <w:snapToGrid w:val="0"/>
              <w:spacing w:beforeAutospacing="0" w:afterAutospacing="0" w:line="360" w:lineRule="auto"/>
              <w:ind w:firstLine="458" w:firstLineChars="0"/>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进入第二阶段评审的家数</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fldChar w:fldCharType="begin"/>
            </w:r>
            <w:r>
              <w:rPr>
                <w:rFonts w:hint="eastAsia" w:ascii="宋体" w:hAnsi="宋体" w:eastAsia="宋体" w:cs="宋体"/>
                <w:strike/>
                <w:color w:val="auto"/>
                <w:sz w:val="21"/>
                <w:szCs w:val="21"/>
                <w:highlight w:val="none"/>
              </w:rPr>
              <w:instrText xml:space="preserve"> = 1 \* GB3 </w:instrText>
            </w:r>
            <w:r>
              <w:rPr>
                <w:rFonts w:hint="eastAsia" w:ascii="宋体" w:hAnsi="宋体" w:eastAsia="宋体" w:cs="宋体"/>
                <w:strike/>
                <w:color w:val="auto"/>
                <w:sz w:val="21"/>
                <w:szCs w:val="21"/>
                <w:highlight w:val="none"/>
              </w:rPr>
              <w:fldChar w:fldCharType="separate"/>
            </w:r>
            <w:r>
              <w:rPr>
                <w:rFonts w:hint="eastAsia" w:ascii="宋体" w:hAnsi="宋体" w:eastAsia="宋体" w:cs="宋体"/>
                <w:strike/>
                <w:color w:val="auto"/>
                <w:sz w:val="21"/>
                <w:szCs w:val="21"/>
                <w:highlight w:val="none"/>
              </w:rPr>
              <w:t>①</w:t>
            </w:r>
            <w:r>
              <w:rPr>
                <w:rFonts w:hint="eastAsia" w:ascii="宋体" w:hAnsi="宋体" w:eastAsia="宋体" w:cs="宋体"/>
                <w:strike/>
                <w:color w:val="auto"/>
                <w:sz w:val="21"/>
                <w:szCs w:val="21"/>
                <w:highlight w:val="none"/>
              </w:rPr>
              <w:fldChar w:fldCharType="end"/>
            </w:r>
            <w:r>
              <w:rPr>
                <w:rFonts w:hint="eastAsia" w:ascii="宋体" w:hAnsi="宋体" w:eastAsia="宋体" w:cs="宋体"/>
                <w:strike/>
                <w:color w:val="auto"/>
                <w:sz w:val="21"/>
                <w:szCs w:val="21"/>
                <w:highlight w:val="none"/>
              </w:rPr>
              <w:t>通过技术有效性审查的投标人均进入第二阶段（适用于通过技术有效性审查家数在[3,</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]中的）。</w:t>
            </w:r>
          </w:p>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fldChar w:fldCharType="begin"/>
            </w:r>
            <w:r>
              <w:rPr>
                <w:rFonts w:hint="eastAsia" w:ascii="宋体" w:hAnsi="宋体" w:eastAsia="宋体" w:cs="宋体"/>
                <w:strike/>
                <w:color w:val="auto"/>
                <w:sz w:val="21"/>
                <w:szCs w:val="21"/>
                <w:highlight w:val="none"/>
              </w:rPr>
              <w:instrText xml:space="preserve"> = 2 \* GB3 </w:instrText>
            </w:r>
            <w:r>
              <w:rPr>
                <w:rFonts w:hint="eastAsia" w:ascii="宋体" w:hAnsi="宋体" w:eastAsia="宋体" w:cs="宋体"/>
                <w:strike/>
                <w:color w:val="auto"/>
                <w:sz w:val="21"/>
                <w:szCs w:val="21"/>
                <w:highlight w:val="none"/>
              </w:rPr>
              <w:fldChar w:fldCharType="separate"/>
            </w:r>
            <w:r>
              <w:rPr>
                <w:rFonts w:hint="eastAsia" w:ascii="宋体" w:hAnsi="宋体" w:eastAsia="宋体" w:cs="宋体"/>
                <w:strike/>
                <w:color w:val="auto"/>
                <w:sz w:val="21"/>
                <w:szCs w:val="21"/>
                <w:highlight w:val="none"/>
              </w:rPr>
              <w:t>②</w:t>
            </w:r>
            <w:r>
              <w:rPr>
                <w:rFonts w:hint="eastAsia" w:ascii="宋体" w:hAnsi="宋体" w:eastAsia="宋体" w:cs="宋体"/>
                <w:strike/>
                <w:color w:val="auto"/>
                <w:sz w:val="21"/>
                <w:szCs w:val="21"/>
                <w:highlight w:val="none"/>
              </w:rPr>
              <w:fldChar w:fldCharType="end"/>
            </w:r>
            <w:r>
              <w:rPr>
                <w:rFonts w:hint="eastAsia" w:ascii="宋体" w:hAnsi="宋体" w:eastAsia="宋体" w:cs="宋体"/>
                <w:strike/>
                <w:color w:val="auto"/>
                <w:sz w:val="21"/>
                <w:szCs w:val="21"/>
                <w:highlight w:val="none"/>
              </w:rPr>
              <w:t>将第一阶段得分由高至低排序，前</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名投标人进入第二阶段评审（适用于通过技术有效性审查家数大于</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家的，招标人可根据工程具体情况，确定不少于</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家进入第二阶段）。</w:t>
            </w:r>
          </w:p>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工程成本警戒价按最高投标限价的90%设置</w:t>
            </w:r>
            <w:r>
              <w:rPr>
                <w:rFonts w:hint="eastAsia" w:ascii="宋体" w:hAnsi="宋体" w:eastAsia="宋体" w:cs="宋体"/>
                <w:color w:val="auto"/>
                <w:sz w:val="21"/>
                <w:szCs w:val="21"/>
                <w:highlight w:val="none"/>
                <w:u w:val="single"/>
              </w:rPr>
              <w:t>为6911006.43</w:t>
            </w:r>
            <w:r>
              <w:rPr>
                <w:rFonts w:hint="eastAsia" w:ascii="宋体" w:hAnsi="宋体" w:eastAsia="宋体" w:cs="宋体"/>
                <w:color w:val="auto"/>
                <w:sz w:val="21"/>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各分值的权重</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技术分权重为20%，经济分权重为80%。</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按照“总分=技术分×技术分权重（20%）+经济分×经济分权重（80%）”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评标委员会人数</w:t>
            </w:r>
          </w:p>
        </w:tc>
        <w:tc>
          <w:tcPr>
            <w:tcW w:w="5828"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企业综合诚信评价分数</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w:t>
            </w:r>
          </w:p>
        </w:tc>
        <w:tc>
          <w:tcPr>
            <w:tcW w:w="903" w:type="dxa"/>
            <w:noWrap w:val="0"/>
            <w:vAlign w:val="center"/>
          </w:tcPr>
          <w:p>
            <w:pPr>
              <w:pageBreakBefore w:val="0"/>
              <w:kinsoku/>
              <w:overflowPunct/>
              <w:bidi w:val="0"/>
              <w:snapToGrid w:val="0"/>
              <w:spacing w:beforeAutospacing="0" w:afterAutospacing="0" w:line="360" w:lineRule="auto"/>
              <w:ind w:firstLine="458" w:firstLineChars="0"/>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ind w:firstLine="0" w:firstLineChars="0"/>
              <w:jc w:val="center"/>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第二阶段投标人名次的排序方法（适用于办法一、办法二）</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选取方法</w:t>
            </w:r>
          </w:p>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w:t>
            </w:r>
          </w:p>
        </w:tc>
        <w:tc>
          <w:tcPr>
            <w:tcW w:w="903" w:type="dxa"/>
            <w:noWrap w:val="0"/>
            <w:vAlign w:val="center"/>
          </w:tcPr>
          <w:p>
            <w:pPr>
              <w:pageBreakBefore w:val="0"/>
              <w:kinsoku/>
              <w:overflowPunct/>
              <w:bidi w:val="0"/>
              <w:snapToGrid w:val="0"/>
              <w:spacing w:beforeAutospacing="0" w:afterAutospacing="0" w:line="360" w:lineRule="auto"/>
              <w:ind w:firstLine="458" w:firstLineChars="0"/>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经济分相同情况下的排序方法（适用于办法三、办法四）</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选取方法</w:t>
            </w:r>
          </w:p>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方法二：经济分相同的投标文件，由评标委员会采用随机方式，确定投标人的排序。</w:t>
            </w:r>
          </w:p>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w:t>
            </w:r>
          </w:p>
        </w:tc>
        <w:tc>
          <w:tcPr>
            <w:tcW w:w="903" w:type="dxa"/>
            <w:noWrap w:val="0"/>
            <w:vAlign w:val="center"/>
          </w:tcPr>
          <w:p>
            <w:pPr>
              <w:pageBreakBefore w:val="0"/>
              <w:kinsoku/>
              <w:overflowPunct/>
              <w:bidi w:val="0"/>
              <w:snapToGrid w:val="0"/>
              <w:spacing w:beforeAutospacing="0" w:afterAutospacing="0" w:line="360" w:lineRule="auto"/>
              <w:ind w:firstLine="458" w:firstLineChars="0"/>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第二阶段投标人名次的排序方法（适用于办法五、办法六）</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选取方法</w:t>
            </w:r>
            <w:r>
              <w:rPr>
                <w:rFonts w:hint="eastAsia" w:ascii="宋体" w:hAnsi="宋体" w:eastAsia="宋体" w:cs="宋体"/>
                <w:strike/>
                <w:color w:val="auto"/>
                <w:sz w:val="21"/>
                <w:szCs w:val="21"/>
                <w:highlight w:val="none"/>
                <w:u w:val="single"/>
              </w:rPr>
              <w:t xml:space="preserve">     </w:t>
            </w:r>
          </w:p>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方法一：评标委员会按照“总分=</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较高的排前；总得分、报价与</w:t>
            </w:r>
            <w:r>
              <w:rPr>
                <w:rFonts w:hint="eastAsia" w:ascii="宋体" w:hAnsi="宋体" w:eastAsia="宋体" w:cs="宋体"/>
                <w:strike/>
                <w:color w:val="auto"/>
                <w:sz w:val="21"/>
                <w:szCs w:val="21"/>
                <w:highlight w:val="none"/>
                <w:u w:val="single"/>
              </w:rPr>
              <w:t xml:space="preserve">     </w:t>
            </w:r>
            <w:r>
              <w:rPr>
                <w:rFonts w:hint="eastAsia" w:ascii="宋体" w:hAnsi="宋体" w:eastAsia="宋体" w:cs="宋体"/>
                <w:strike/>
                <w:color w:val="auto"/>
                <w:sz w:val="21"/>
                <w:szCs w:val="21"/>
                <w:highlight w:val="none"/>
              </w:rPr>
              <w:t>均相同的投标文件，以诚信综合评价分数高的排前；如仍存在相同情况，则对具有相同情况的投标人，由评标委员会采用随机方式，确定投标人的排序。</w:t>
            </w:r>
          </w:p>
          <w:p>
            <w:pPr>
              <w:pageBreakBefore w:val="0"/>
              <w:kinsoku/>
              <w:overflowPunct/>
              <w:bidi w:val="0"/>
              <w:snapToGrid w:val="0"/>
              <w:spacing w:beforeAutospacing="0" w:afterAutospacing="0" w:line="36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13.4、13.5.2</w:t>
            </w: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合同价款的调整办法</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建设工程质量检测单位</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□不允许分包；</w:t>
            </w:r>
          </w:p>
          <w:p>
            <w:pPr>
              <w:pageBreakBefore w:val="0"/>
              <w:kinsoku/>
              <w:overflowPunct/>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lang w:val="zh-CN"/>
              </w:rPr>
              <w:t>允许：</w:t>
            </w:r>
            <w:r>
              <w:rPr>
                <w:rFonts w:hint="eastAsia" w:ascii="宋体" w:hAnsi="宋体" w:eastAsia="宋体" w:cs="宋体"/>
                <w:color w:val="auto"/>
                <w:kern w:val="0"/>
                <w:sz w:val="21"/>
                <w:szCs w:val="21"/>
                <w:highlight w:val="none"/>
                <w:u w:val="single"/>
              </w:rPr>
              <w:t>允许非主体、非关键性工程进行分包。</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分包内容要求：经监理工程师及发包人同意后可依法分包。</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分包金额要求：无</w:t>
            </w:r>
          </w:p>
          <w:p>
            <w:pPr>
              <w:pageBreakBefore w:val="0"/>
              <w:kinsoku/>
              <w:overflowPunct/>
              <w:bidi w:val="0"/>
              <w:snapToGrid w:val="0"/>
              <w:spacing w:beforeAutospacing="0" w:afterAutospacing="0"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对分包人的资质要求：符合有关法律法规和文件规定，并不得再次分包。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0"/>
                <w:sz w:val="21"/>
                <w:szCs w:val="21"/>
                <w:highlight w:val="none"/>
                <w:lang w:val="zh-CN"/>
              </w:rPr>
            </w:pP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p>
        </w:tc>
        <w:tc>
          <w:tcPr>
            <w:tcW w:w="1801"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电子招标投标解密失败及突发情况的补救</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1、按照广州交易集团有限公司（广州公共资源交易中心）交易平台关于全流程电子化项目的相关指南进行操作。详见：广州交易集团有限公司（广州公共资源交易中心）网站最新指引。  </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2、提交投标文件光盘备用</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3、补救方案</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37</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招标人拒绝接收投标文件备用光盘的情况</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1、在投标截止期后逾期或未在指定地点递交投标文件备用光盘的；</w:t>
            </w:r>
          </w:p>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2、投标文件备用光盘未按招标文件要求密封或未在密封处盖章的；</w:t>
            </w:r>
          </w:p>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38</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中标公示后中标单位提交投标文件要求</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39</w:t>
            </w:r>
          </w:p>
        </w:tc>
        <w:tc>
          <w:tcPr>
            <w:tcW w:w="903" w:type="dxa"/>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p>
        </w:tc>
        <w:tc>
          <w:tcPr>
            <w:tcW w:w="1801" w:type="dxa"/>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安全生产责任保险</w:t>
            </w:r>
          </w:p>
        </w:tc>
        <w:tc>
          <w:tcPr>
            <w:tcW w:w="5828" w:type="dxa"/>
            <w:tcBorders>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1"/>
                <w:szCs w:val="21"/>
                <w:highlight w:val="none"/>
                <w:u w:val="single"/>
                <w:lang w:val="zh-CN" w:eastAsia="zh-CN" w:bidi="ar-SA"/>
              </w:rPr>
            </w:pPr>
            <w:r>
              <w:rPr>
                <w:rFonts w:hint="eastAsia" w:ascii="宋体" w:hAnsi="宋体" w:eastAsia="宋体" w:cs="宋体"/>
                <w:color w:val="auto"/>
                <w:sz w:val="21"/>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9" w:type="dxa"/>
            <w:tcBorders>
              <w:left w:val="double" w:color="auto" w:sz="4" w:space="0"/>
              <w:bottom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40</w:t>
            </w:r>
          </w:p>
        </w:tc>
        <w:tc>
          <w:tcPr>
            <w:tcW w:w="903" w:type="dxa"/>
            <w:tcBorders>
              <w:bottom w:val="doub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kern w:val="2"/>
                <w:sz w:val="21"/>
                <w:szCs w:val="21"/>
                <w:highlight w:val="none"/>
                <w:lang w:val="en-US" w:eastAsia="zh-CN" w:bidi="ar-SA"/>
              </w:rPr>
            </w:pPr>
          </w:p>
        </w:tc>
        <w:tc>
          <w:tcPr>
            <w:tcW w:w="1801" w:type="dxa"/>
            <w:tcBorders>
              <w:bottom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绿色发展理念</w:t>
            </w:r>
          </w:p>
        </w:tc>
        <w:tc>
          <w:tcPr>
            <w:tcW w:w="5828" w:type="dxa"/>
            <w:tcBorders>
              <w:bottom w:val="double" w:color="auto" w:sz="4" w:space="0"/>
              <w:right w:val="doub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bl>
    <w:p>
      <w:pPr>
        <w:pageBreakBefore w:val="0"/>
        <w:kinsoku/>
        <w:overflowPunct/>
        <w:bidi w:val="0"/>
        <w:snapToGrid w:val="0"/>
        <w:spacing w:beforeAutospacing="0" w:afterAutospacing="0" w:line="36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4"/>
          <w:highlight w:val="none"/>
        </w:rPr>
        <w:t>注：企业综合诚信评价得分即企业综合诚信评价60日诚信分，以下同。</w:t>
      </w:r>
    </w:p>
    <w:p>
      <w:pPr>
        <w:pStyle w:val="5"/>
        <w:pageBreakBefore w:val="0"/>
        <w:kinsoku/>
        <w:overflowPunct/>
        <w:bidi w:val="0"/>
        <w:snapToGrid w:val="0"/>
        <w:spacing w:before="0" w:beforeAutospacing="0" w:after="0" w:afterAutospacing="0" w:line="360" w:lineRule="auto"/>
        <w:ind w:left="0" w:lef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strike/>
          <w:color w:val="auto"/>
          <w:highlight w:val="none"/>
        </w:rPr>
        <w:br w:type="page"/>
      </w:r>
      <w:bookmarkStart w:id="3" w:name="_Toc6608"/>
      <w:r>
        <w:rPr>
          <w:rFonts w:hint="eastAsia" w:ascii="宋体" w:hAnsi="宋体" w:eastAsia="宋体" w:cs="宋体"/>
          <w:color w:val="auto"/>
          <w:sz w:val="32"/>
          <w:szCs w:val="32"/>
          <w:highlight w:val="none"/>
        </w:rPr>
        <w:t>二、投标须知修改表</w:t>
      </w:r>
      <w:bookmarkEnd w:id="3"/>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"http://zfcj.gz.gov.cn/）下载查阅。" </w:instrText>
      </w:r>
      <w:r>
        <w:rPr>
          <w:rFonts w:hint="eastAsia" w:ascii="宋体" w:hAnsi="宋体" w:eastAsia="宋体" w:cs="宋体"/>
          <w:b/>
          <w:color w:val="auto"/>
          <w:sz w:val="21"/>
          <w:szCs w:val="21"/>
          <w:highlight w:val="none"/>
        </w:rPr>
        <w:fldChar w:fldCharType="separate"/>
      </w:r>
      <w:r>
        <w:rPr>
          <w:rStyle w:val="23"/>
          <w:rFonts w:hint="eastAsia" w:ascii="宋体" w:hAnsi="宋体" w:eastAsia="宋体" w:cs="宋体"/>
          <w:b/>
          <w:color w:val="auto"/>
          <w:sz w:val="21"/>
          <w:szCs w:val="21"/>
          <w:highlight w:val="none"/>
        </w:rPr>
        <w:t>http://zfcj.gz.gov.cn/）下载查阅。</w:t>
      </w:r>
      <w:r>
        <w:rPr>
          <w:rFonts w:hint="eastAsia" w:ascii="宋体" w:hAnsi="宋体" w:eastAsia="宋体" w:cs="宋体"/>
          <w:b/>
          <w:color w:val="auto"/>
          <w:sz w:val="21"/>
          <w:szCs w:val="21"/>
          <w:highlight w:val="none"/>
        </w:rPr>
        <w:fldChar w:fldCharType="end"/>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条款号：2.5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2.5</w:t>
      </w:r>
      <w:r>
        <w:rPr>
          <w:rFonts w:hint="eastAsia" w:ascii="宋体" w:hAnsi="宋体" w:eastAsia="宋体" w:cs="宋体"/>
          <w:bCs/>
          <w:color w:val="auto"/>
          <w:kern w:val="0"/>
          <w:sz w:val="21"/>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条款号：5.1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 w:val="21"/>
          <w:szCs w:val="21"/>
          <w:highlight w:val="none"/>
          <w:u w:val="single"/>
        </w:rPr>
        <w:t>，投标人不进行踏勘的，视为已熟知现场条件，自行承担相关风险</w:t>
      </w:r>
      <w:r>
        <w:rPr>
          <w:rFonts w:hint="eastAsia" w:ascii="宋体" w:hAnsi="宋体" w:eastAsia="宋体" w:cs="宋体"/>
          <w:color w:val="auto"/>
          <w:sz w:val="21"/>
          <w:szCs w:val="21"/>
          <w:highlight w:val="none"/>
        </w:rPr>
        <w:t>。一旦中标，这种考察即被认为其结果已在中标文件中得到充分反映。</w:t>
      </w:r>
      <w:r>
        <w:rPr>
          <w:rFonts w:hint="eastAsia" w:ascii="宋体" w:hAnsi="宋体" w:eastAsia="宋体" w:cs="宋体"/>
          <w:color w:val="auto"/>
          <w:sz w:val="21"/>
          <w:szCs w:val="21"/>
          <w:highlight w:val="none"/>
          <w:u w:val="single"/>
        </w:rPr>
        <w:t>招标人不受理因投标人缺乏对现场条件的了解或掌握而提出的任何索赔。</w:t>
      </w:r>
      <w:r>
        <w:rPr>
          <w:rFonts w:hint="eastAsia" w:ascii="宋体" w:hAnsi="宋体" w:eastAsia="宋体" w:cs="宋体"/>
          <w:color w:val="auto"/>
          <w:sz w:val="21"/>
          <w:szCs w:val="21"/>
          <w:highlight w:val="none"/>
        </w:rPr>
        <w:t>考察现场的费用由投标人自己承担。</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条款号：8.1                           修改类型：修改</w:t>
      </w:r>
    </w:p>
    <w:p>
      <w:pPr>
        <w:pStyle w:val="18"/>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交易平台提交给招标人或招标代理人，提交形式见本须知前附表第16项。</w:t>
      </w:r>
    </w:p>
    <w:p>
      <w:pPr>
        <w:pStyle w:val="18"/>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8.1</w:t>
      </w:r>
      <w:r>
        <w:rPr>
          <w:rFonts w:hint="eastAsia" w:ascii="宋体" w:hAnsi="宋体" w:eastAsia="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条款号：8.2                          修改类型：修改</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pPr>
        <w:pStyle w:val="18"/>
        <w:keepNext w:val="0"/>
        <w:keepLines w:val="0"/>
        <w:pageBreakBefore w:val="0"/>
        <w:widowControl w:val="0"/>
        <w:pBdr>
          <w:bottom w:val="single" w:color="auto" w:sz="4" w:space="1"/>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8.2招标答疑会会议纪要将在提交投标文件截止时间15日前</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网站“项目查询(日程安排、答疑纪要)”</w:t>
      </w:r>
      <w:r>
        <w:rPr>
          <w:rFonts w:hint="eastAsia" w:ascii="宋体" w:hAnsi="宋体" w:eastAsia="宋体" w:cs="宋体"/>
          <w:color w:val="auto"/>
          <w:sz w:val="21"/>
          <w:szCs w:val="21"/>
          <w:highlight w:val="none"/>
        </w:rPr>
        <w:t>专区公开发布。答疑纪要一经</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条款号：9.2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9.2招标文件的澄清或修改</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交易平台“项目查询(日程安排、答疑纪要)”专区公开发布。答疑纪要一经在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交易平台上网发布时间作为送达时间。</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条款号：9.4                         修改类型：修改</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 w:val="21"/>
          <w:szCs w:val="21"/>
          <w:highlight w:val="none"/>
          <w:u w:val="single"/>
        </w:rPr>
        <w:t>广州交易集团有限公司（广州公共资源交易中心）网上答疑公布</w:t>
      </w:r>
      <w:r>
        <w:rPr>
          <w:rFonts w:hint="eastAsia" w:ascii="宋体" w:hAnsi="宋体" w:eastAsia="宋体" w:cs="宋体"/>
          <w:color w:val="auto"/>
          <w:sz w:val="21"/>
          <w:szCs w:val="21"/>
          <w:highlight w:val="none"/>
        </w:rPr>
        <w:t>的内容为准。当招标文件的澄清、修改、补充等在同一内容的表述不一致时，以</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 w:val="21"/>
          <w:szCs w:val="21"/>
          <w:highlight w:val="none"/>
        </w:rPr>
        <w:t>最后发出的</w:t>
      </w:r>
      <w:r>
        <w:rPr>
          <w:rFonts w:hint="eastAsia" w:ascii="宋体" w:hAnsi="宋体" w:eastAsia="宋体" w:cs="宋体"/>
          <w:color w:val="auto"/>
          <w:sz w:val="21"/>
          <w:szCs w:val="21"/>
          <w:highlight w:val="none"/>
          <w:u w:val="single"/>
        </w:rPr>
        <w:t>文件</w:t>
      </w:r>
      <w:r>
        <w:rPr>
          <w:rFonts w:hint="eastAsia" w:ascii="宋体" w:hAnsi="宋体" w:eastAsia="宋体" w:cs="宋体"/>
          <w:color w:val="auto"/>
          <w:sz w:val="21"/>
          <w:szCs w:val="21"/>
          <w:highlight w:val="none"/>
        </w:rPr>
        <w:t>为准。</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条款号：11.2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 技术投标文件</w:t>
      </w:r>
      <w:r>
        <w:rPr>
          <w:rFonts w:hint="eastAsia" w:ascii="宋体" w:hAnsi="宋体" w:eastAsia="宋体" w:cs="宋体"/>
          <w:color w:val="auto"/>
          <w:sz w:val="21"/>
          <w:szCs w:val="21"/>
          <w:highlight w:val="none"/>
        </w:rPr>
        <w:t>(按招标文件的要求填写)</w:t>
      </w:r>
      <w:r>
        <w:rPr>
          <w:rFonts w:hint="eastAsia" w:ascii="宋体" w:hAnsi="宋体" w:eastAsia="宋体" w:cs="宋体"/>
          <w:bCs/>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资格审查文件：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（1）投标人声明； </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（8）拟委托技术负责人的相关证书、资料（具体要求由招标人明确）</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（9）拟委派项目负责人的建造师注册证书（取自平台内上传件）； </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bCs/>
          <w:color w:val="auto"/>
          <w:kern w:val="0"/>
          <w:sz w:val="21"/>
          <w:szCs w:val="21"/>
          <w:highlight w:val="none"/>
        </w:rPr>
        <w:t>项目负责人安全</w:t>
      </w:r>
      <w:r>
        <w:rPr>
          <w:rFonts w:hint="eastAsia" w:ascii="宋体" w:hAnsi="宋体" w:eastAsia="宋体" w:cs="宋体"/>
          <w:bCs/>
          <w:color w:val="auto"/>
          <w:kern w:val="0"/>
          <w:sz w:val="21"/>
          <w:szCs w:val="21"/>
          <w:highlight w:val="none"/>
          <w:lang w:eastAsia="zh-CN"/>
        </w:rPr>
        <w:t>生产</w:t>
      </w:r>
      <w:r>
        <w:rPr>
          <w:rFonts w:hint="eastAsia" w:ascii="宋体" w:hAnsi="宋体" w:eastAsia="宋体" w:cs="宋体"/>
          <w:bCs/>
          <w:color w:val="auto"/>
          <w:kern w:val="0"/>
          <w:sz w:val="21"/>
          <w:szCs w:val="21"/>
          <w:highlight w:val="none"/>
        </w:rPr>
        <w:t>考核合格证明或在有效期内的安全考核合格证书（B类）</w:t>
      </w:r>
      <w:r>
        <w:rPr>
          <w:rFonts w:hint="eastAsia" w:ascii="宋体" w:hAnsi="宋体" w:eastAsia="宋体" w:cs="宋体"/>
          <w:b/>
          <w:color w:val="auto"/>
          <w:kern w:val="0"/>
          <w:sz w:val="21"/>
          <w:szCs w:val="21"/>
          <w:highlight w:val="none"/>
        </w:rPr>
        <w:t>或建筑施工企业项目负责人安全生产考核合格证书</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bCs/>
          <w:color w:val="auto"/>
          <w:kern w:val="0"/>
          <w:sz w:val="21"/>
          <w:szCs w:val="21"/>
          <w:highlight w:val="none"/>
        </w:rPr>
        <w:t>专职安全员须具有在有效期内的安全考核合格证书（C类）</w:t>
      </w:r>
      <w:r>
        <w:rPr>
          <w:rFonts w:hint="eastAsia" w:ascii="宋体" w:hAnsi="宋体" w:eastAsia="宋体" w:cs="宋体"/>
          <w:b/>
          <w:color w:val="auto"/>
          <w:kern w:val="0"/>
          <w:sz w:val="21"/>
          <w:szCs w:val="21"/>
          <w:highlight w:val="none"/>
        </w:rPr>
        <w:t>或建筑施工企业专职安全生产管理人员安全生产考核合格证书（C3）（</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（12）用于资格审查的业绩（设置业绩要求时选择此项，投标人</w:t>
      </w:r>
      <w:r>
        <w:rPr>
          <w:rFonts w:hint="eastAsia" w:ascii="宋体" w:hAnsi="宋体" w:eastAsia="宋体" w:cs="宋体"/>
          <w:color w:val="auto"/>
          <w:sz w:val="21"/>
          <w:szCs w:val="21"/>
          <w:highlight w:val="none"/>
        </w:rPr>
        <w:t>须提供类似工程业绩的项目名称及项目编号，具体格式由招标人自定</w:t>
      </w:r>
      <w:r>
        <w:rPr>
          <w:rFonts w:hint="eastAsia" w:ascii="宋体" w:hAnsi="宋体" w:eastAsia="宋体" w:cs="宋体"/>
          <w:bCs/>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bCs/>
          <w:color w:val="auto"/>
          <w:kern w:val="0"/>
          <w:sz w:val="21"/>
          <w:szCs w:val="21"/>
          <w:highlight w:val="none"/>
        </w:rPr>
        <w:t>资格审查前，投标人须在</w:t>
      </w:r>
      <w:r>
        <w:rPr>
          <w:rFonts w:hint="eastAsia" w:ascii="宋体" w:hAnsi="宋体" w:eastAsia="宋体" w:cs="宋体"/>
          <w:b/>
          <w:color w:val="auto"/>
          <w:kern w:val="0"/>
          <w:sz w:val="21"/>
          <w:szCs w:val="21"/>
          <w:highlight w:val="none"/>
        </w:rPr>
        <w:t>广州市住房和城乡建设局建立企业信用档案，</w:t>
      </w:r>
      <w:r>
        <w:rPr>
          <w:rFonts w:hint="eastAsia" w:ascii="宋体" w:hAnsi="宋体" w:eastAsia="宋体" w:cs="宋体"/>
          <w:bCs/>
          <w:color w:val="auto"/>
          <w:kern w:val="0"/>
          <w:sz w:val="21"/>
          <w:szCs w:val="21"/>
          <w:highlight w:val="none"/>
        </w:rPr>
        <w:t>拟担任本工程项目负责人</w:t>
      </w:r>
      <w:r>
        <w:rPr>
          <w:rFonts w:hint="eastAsia" w:ascii="宋体" w:hAnsi="宋体" w:eastAsia="宋体" w:cs="宋体"/>
          <w:b/>
          <w:bCs/>
          <w:color w:val="auto"/>
          <w:kern w:val="0"/>
          <w:sz w:val="21"/>
          <w:szCs w:val="21"/>
          <w:highlight w:val="none"/>
        </w:rPr>
        <w:t>、专职安全员</w:t>
      </w:r>
      <w:r>
        <w:rPr>
          <w:rFonts w:hint="eastAsia" w:ascii="宋体" w:hAnsi="宋体" w:eastAsia="宋体" w:cs="宋体"/>
          <w:bCs/>
          <w:color w:val="auto"/>
          <w:kern w:val="0"/>
          <w:sz w:val="21"/>
          <w:szCs w:val="21"/>
          <w:highlight w:val="none"/>
        </w:rPr>
        <w:t>须是本企业</w:t>
      </w:r>
      <w:r>
        <w:rPr>
          <w:rFonts w:hint="eastAsia" w:ascii="宋体" w:hAnsi="宋体" w:eastAsia="宋体" w:cs="宋体"/>
          <w:b/>
          <w:color w:val="auto"/>
          <w:kern w:val="0"/>
          <w:sz w:val="21"/>
          <w:szCs w:val="21"/>
          <w:highlight w:val="none"/>
        </w:rPr>
        <w:t>信用档案</w:t>
      </w:r>
      <w:r>
        <w:rPr>
          <w:rFonts w:hint="eastAsia" w:ascii="宋体" w:hAnsi="宋体" w:eastAsia="宋体" w:cs="宋体"/>
          <w:bCs/>
          <w:color w:val="auto"/>
          <w:kern w:val="0"/>
          <w:sz w:val="21"/>
          <w:szCs w:val="21"/>
          <w:highlight w:val="none"/>
        </w:rPr>
        <w:t>中的在册人员。</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bCs/>
          <w:color w:val="auto"/>
          <w:kern w:val="0"/>
          <w:sz w:val="21"/>
          <w:szCs w:val="21"/>
          <w:highlight w:val="none"/>
        </w:rPr>
        <w:t>列明主办单位的联合体工作协议（采用联合体投标时需递交，投标人拟任本工程项目负责人应为联合体主办方</w:t>
      </w:r>
      <w:r>
        <w:rPr>
          <w:rFonts w:hint="eastAsia" w:ascii="宋体" w:hAnsi="宋体" w:eastAsia="宋体" w:cs="宋体"/>
          <w:b/>
          <w:color w:val="auto"/>
          <w:kern w:val="0"/>
          <w:sz w:val="21"/>
          <w:szCs w:val="21"/>
          <w:highlight w:val="none"/>
        </w:rPr>
        <w:t>信用档案</w:t>
      </w:r>
      <w:r>
        <w:rPr>
          <w:rFonts w:hint="eastAsia" w:ascii="宋体" w:hAnsi="宋体" w:eastAsia="宋体" w:cs="宋体"/>
          <w:bCs/>
          <w:color w:val="auto"/>
          <w:kern w:val="0"/>
          <w:sz w:val="21"/>
          <w:szCs w:val="21"/>
          <w:highlight w:val="none"/>
        </w:rPr>
        <w:t>中的在册人员，联合体工作协议应明确约定各方拟承担的工作和责任）；</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11.2.3项目管理机构配备。</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（1）投标人应列出该项目工程的施工组织机构构成和画出机构框架图及其负责人；</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（2）投标人应详细列出该施工组织机构中主要成员的名单、简历资料、职务职称和在本项目中拟担任的职务等资料，并附上有关证明材料扫描件；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（3）其他辅助说明资料。</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11.2.4投标人在广州市可使用适合本工程的机械设备（附：机械设备为自有或租赁的说明；及承诺机械设备如属于租赁的，其租赁是不属于重复租赁）。</w:t>
      </w:r>
    </w:p>
    <w:p>
      <w:pPr>
        <w:keepNext w:val="0"/>
        <w:keepLines w:val="0"/>
        <w:pageBreakBefore w:val="0"/>
        <w:widowControl w:val="0"/>
        <w:tabs>
          <w:tab w:val="left" w:pos="1125"/>
        </w:tabs>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11.2.5</w:t>
      </w:r>
      <w:r>
        <w:rPr>
          <w:rFonts w:hint="eastAsia" w:ascii="宋体" w:hAnsi="宋体" w:eastAsia="宋体" w:cs="宋体"/>
          <w:bCs/>
          <w:color w:val="auto"/>
          <w:kern w:val="0"/>
          <w:sz w:val="21"/>
          <w:szCs w:val="21"/>
          <w:highlight w:val="none"/>
        </w:rPr>
        <w:t>施工组织设计或施工方案。（</w:t>
      </w:r>
      <w:r>
        <w:rPr>
          <w:rFonts w:hint="eastAsia" w:ascii="宋体" w:hAnsi="宋体" w:eastAsia="宋体" w:cs="宋体"/>
          <w:b/>
          <w:bCs/>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1"/>
          <w:szCs w:val="21"/>
          <w:highlight w:val="none"/>
        </w:rPr>
        <w:t>）</w:t>
      </w:r>
    </w:p>
    <w:p>
      <w:pPr>
        <w:keepNext w:val="0"/>
        <w:keepLines w:val="0"/>
        <w:pageBreakBefore w:val="0"/>
        <w:widowControl w:val="0"/>
        <w:tabs>
          <w:tab w:val="left" w:pos="1125"/>
        </w:tabs>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填写的《参与编制技术标投标文件人员名单》。</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0" w:firstLineChars="22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0" w:firstLineChars="224"/>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11.2</w:t>
      </w:r>
      <w:r>
        <w:rPr>
          <w:rFonts w:hint="eastAsia" w:ascii="宋体" w:hAnsi="宋体" w:eastAsia="宋体" w:cs="宋体"/>
          <w:b/>
          <w:color w:val="auto"/>
          <w:sz w:val="21"/>
          <w:szCs w:val="21"/>
          <w:highlight w:val="none"/>
        </w:rPr>
        <w:t xml:space="preserve"> 投标文件技术标部分</w:t>
      </w:r>
      <w:r>
        <w:rPr>
          <w:rFonts w:hint="eastAsia" w:ascii="宋体" w:hAnsi="宋体" w:eastAsia="宋体" w:cs="宋体"/>
          <w:b/>
          <w:color w:val="auto"/>
          <w:sz w:val="21"/>
          <w:szCs w:val="21"/>
          <w:highlight w:val="none"/>
          <w:u w:val="single"/>
        </w:rPr>
        <w:t>（含资格审查文件）</w:t>
      </w:r>
      <w:r>
        <w:rPr>
          <w:rFonts w:hint="eastAsia" w:ascii="宋体" w:hAnsi="宋体" w:eastAsia="宋体" w:cs="宋体"/>
          <w:color w:val="auto"/>
          <w:sz w:val="21"/>
          <w:szCs w:val="21"/>
          <w:highlight w:val="none"/>
        </w:rPr>
        <w:t>主要包括下列内容</w:t>
      </w:r>
      <w:r>
        <w:rPr>
          <w:rFonts w:hint="eastAsia" w:ascii="宋体" w:hAnsi="宋体" w:eastAsia="宋体" w:cs="宋体"/>
          <w:color w:val="auto"/>
          <w:szCs w:val="21"/>
          <w:highlight w:val="none"/>
          <w:u w:val="single"/>
        </w:rPr>
        <w:t>（除注明原件外，均为清晰扫描件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网页截图</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即可）</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0" w:firstLineChars="224"/>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11.2.1广州建设工程施工招标投标书（技术标）</w:t>
      </w:r>
      <w:r>
        <w:rPr>
          <w:rFonts w:hint="eastAsia" w:ascii="宋体" w:hAnsi="宋体" w:eastAsia="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eastAsia="宋体" w:cs="宋体"/>
          <w:color w:val="auto"/>
          <w:sz w:val="21"/>
          <w:szCs w:val="21"/>
          <w:highlight w:val="none"/>
          <w:u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0" w:firstLineChars="224"/>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11.2.2 资格审查文件：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（1）投标人声明</w:t>
      </w:r>
      <w:r>
        <w:rPr>
          <w:rFonts w:hint="eastAsia" w:ascii="宋体" w:hAnsi="宋体" w:eastAsia="宋体" w:cs="宋体"/>
          <w:bCs/>
          <w:color w:val="auto"/>
          <w:sz w:val="21"/>
          <w:szCs w:val="21"/>
          <w:highlight w:val="none"/>
          <w:u w:val="single"/>
        </w:rPr>
        <w:t>扫描件（须按招标公告附件内容及格式要求编制）；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r>
        <w:rPr>
          <w:rFonts w:hint="eastAsia" w:ascii="宋体" w:hAnsi="宋体" w:eastAsia="宋体" w:cs="宋体"/>
          <w:bCs/>
          <w:color w:val="auto"/>
          <w:sz w:val="21"/>
          <w:szCs w:val="21"/>
          <w:highlight w:val="none"/>
          <w:u w:val="single"/>
        </w:rPr>
        <w:t>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r>
        <w:rPr>
          <w:rFonts w:hint="eastAsia" w:ascii="宋体" w:hAnsi="宋体" w:eastAsia="宋体" w:cs="宋体"/>
          <w:bCs/>
          <w:color w:val="auto"/>
          <w:sz w:val="21"/>
          <w:szCs w:val="21"/>
          <w:highlight w:val="none"/>
          <w:u w:val="single"/>
        </w:rPr>
        <w:t>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r>
        <w:rPr>
          <w:rFonts w:hint="eastAsia" w:ascii="宋体" w:hAnsi="宋体" w:eastAsia="宋体" w:cs="宋体"/>
          <w:bCs/>
          <w:color w:val="auto"/>
          <w:sz w:val="21"/>
          <w:szCs w:val="21"/>
          <w:highlight w:val="none"/>
          <w:u w:val="single"/>
        </w:rPr>
        <w:t>扫描件</w:t>
      </w:r>
      <w:r>
        <w:rPr>
          <w:rFonts w:hint="eastAsia" w:ascii="宋体" w:hAnsi="宋体" w:eastAsia="宋体" w:cs="宋体"/>
          <w:bCs/>
          <w:color w:val="auto"/>
          <w:sz w:val="21"/>
          <w:szCs w:val="21"/>
          <w:highlight w:val="none"/>
          <w:u w:val="single"/>
          <w:lang w:eastAsia="zh-CN"/>
        </w:rPr>
        <w:t>，或符合招标公告规定的</w:t>
      </w:r>
      <w:r>
        <w:rPr>
          <w:rFonts w:hint="eastAsia" w:ascii="宋体" w:hAnsi="宋体" w:eastAsia="宋体" w:cs="宋体"/>
          <w:bCs/>
          <w:color w:val="auto"/>
          <w:sz w:val="21"/>
          <w:szCs w:val="21"/>
          <w:highlight w:val="none"/>
          <w:u w:val="single"/>
          <w:lang w:val="en-US" w:eastAsia="zh-CN"/>
        </w:rPr>
        <w:t>相关证明材料（如有）</w:t>
      </w:r>
      <w:r>
        <w:rPr>
          <w:rFonts w:hint="eastAsia" w:ascii="宋体" w:hAnsi="宋体" w:eastAsia="宋体" w:cs="宋体"/>
          <w:bCs/>
          <w:color w:val="auto"/>
          <w:sz w:val="21"/>
          <w:szCs w:val="21"/>
          <w:highlight w:val="none"/>
          <w:u w:val="singl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r>
        <w:rPr>
          <w:rFonts w:hint="eastAsia" w:ascii="宋体" w:hAnsi="宋体" w:eastAsia="宋体" w:cs="宋体"/>
          <w:bCs/>
          <w:color w:val="auto"/>
          <w:sz w:val="21"/>
          <w:szCs w:val="21"/>
          <w:highlight w:val="none"/>
          <w:u w:val="single"/>
        </w:rPr>
        <w:t>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（6）项目负责人（按网上投标登记时选择拟投标的项目负责人）</w:t>
      </w:r>
      <w:r>
        <w:rPr>
          <w:rFonts w:hint="eastAsia" w:ascii="宋体" w:hAnsi="宋体" w:eastAsia="宋体" w:cs="宋体"/>
          <w:bCs/>
          <w:color w:val="auto"/>
          <w:sz w:val="21"/>
          <w:szCs w:val="21"/>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（7）专职安全员（按网上投标登记时选择拟投标的专职安全员）</w:t>
      </w:r>
      <w:r>
        <w:rPr>
          <w:rFonts w:hint="eastAsia" w:ascii="宋体" w:hAnsi="宋体" w:eastAsia="宋体" w:cs="宋体"/>
          <w:bCs/>
          <w:color w:val="auto"/>
          <w:sz w:val="21"/>
          <w:szCs w:val="21"/>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（8）拟委托技术负责人的职称证书扫描件；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（9）拟委派项目负责人的</w:t>
      </w:r>
      <w:r>
        <w:rPr>
          <w:rFonts w:hint="eastAsia" w:ascii="宋体" w:hAnsi="宋体" w:eastAsia="宋体" w:cs="宋体"/>
          <w:bCs/>
          <w:color w:val="auto"/>
          <w:sz w:val="21"/>
          <w:szCs w:val="21"/>
          <w:highlight w:val="none"/>
          <w:u w:val="single"/>
          <w:lang w:val="en-US" w:eastAsia="zh-CN"/>
        </w:rPr>
        <w:t>建造师证书</w:t>
      </w:r>
      <w:r>
        <w:rPr>
          <w:rFonts w:hint="eastAsia" w:ascii="宋体" w:hAnsi="宋体" w:eastAsia="宋体" w:cs="宋体"/>
          <w:bCs/>
          <w:color w:val="auto"/>
          <w:sz w:val="21"/>
          <w:szCs w:val="21"/>
          <w:highlight w:val="none"/>
          <w:u w:val="single"/>
        </w:rPr>
        <w:t>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（10）项目负责人在有效期内的安全生产考核合格证（B类）或建筑施工企业项目负责人安全生产考核合格证书扫描件；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w:t>
      </w:r>
      <w:r>
        <w:rPr>
          <w:rFonts w:hint="eastAsia" w:ascii="宋体" w:hAnsi="宋体" w:eastAsia="宋体" w:cs="宋体"/>
          <w:bCs/>
          <w:color w:val="auto"/>
          <w:szCs w:val="21"/>
          <w:highlight w:val="none"/>
        </w:rPr>
        <w:t>专职安全员须具有在有效期内的安全考核合格证书（C类）或建筑施工企业专职安全生产管理人员安全生产考核合格证书（C3）</w:t>
      </w:r>
      <w:r>
        <w:rPr>
          <w:rFonts w:hint="eastAsia" w:ascii="宋体" w:hAnsi="宋体" w:eastAsia="宋体" w:cs="宋体"/>
          <w:bCs/>
          <w:color w:val="auto"/>
          <w:szCs w:val="21"/>
          <w:highlight w:val="none"/>
          <w:u w:val="single"/>
        </w:rPr>
        <w:t>扫描件</w:t>
      </w:r>
      <w:r>
        <w:rPr>
          <w:rFonts w:hint="eastAsia" w:ascii="宋体" w:hAnsi="宋体" w:eastAsia="宋体" w:cs="宋体"/>
          <w:bCs/>
          <w:color w:val="auto"/>
          <w:sz w:val="21"/>
          <w:szCs w:val="21"/>
          <w:highlight w:val="none"/>
          <w:u w:val="singl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w:t>
      </w:r>
      <w:r>
        <w:rPr>
          <w:rFonts w:hint="eastAsia" w:ascii="宋体" w:hAnsi="宋体" w:eastAsia="宋体" w:cs="宋体"/>
          <w:bCs/>
          <w:color w:val="auto"/>
          <w:szCs w:val="21"/>
          <w:highlight w:val="none"/>
        </w:rPr>
        <w:t>用于资格审查的业绩资料原件扫描件；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Cs w:val="21"/>
          <w:highlight w:val="none"/>
          <w:u w:val="single"/>
        </w:rPr>
        <w:t>投标登记前，投标人须在广州交易集团有限公司（广州公共资源交易中心）企业库办理企业信息登记及拟担任本工程项目负责人、专职安全员须是本企业信息登记中的在册人员（提供网页信息截图）。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Cs w:val="21"/>
          <w:highlight w:val="none"/>
          <w:u w:val="single"/>
        </w:rPr>
        <w:t>投标人未被列入拖欠农民工工资失信联合惩戒对象名单</w:t>
      </w:r>
      <w:r>
        <w:rPr>
          <w:rFonts w:hint="eastAsia" w:ascii="宋体" w:hAnsi="宋体" w:eastAsia="宋体" w:cs="宋体"/>
          <w:bCs/>
          <w:color w:val="auto"/>
          <w:sz w:val="21"/>
          <w:szCs w:val="21"/>
          <w:highlight w:val="none"/>
          <w:u w:val="singl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）投标人认为应提供的其他资料</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如有</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1"/>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single"/>
        </w:rPr>
        <w:t xml:space="preserve">上述第 </w:t>
      </w:r>
      <w:r>
        <w:rPr>
          <w:rFonts w:hint="eastAsia" w:ascii="宋体" w:hAnsi="宋体" w:eastAsia="宋体" w:cs="宋体"/>
          <w:bCs/>
          <w:color w:val="auto"/>
          <w:szCs w:val="21"/>
          <w:highlight w:val="none"/>
          <w:u w:val="single"/>
        </w:rPr>
        <w:t>11.2.2（1）—（1</w:t>
      </w:r>
      <w:r>
        <w:rPr>
          <w:rFonts w:hint="eastAsia" w:ascii="宋体" w:hAnsi="宋体" w:eastAsia="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）条没有要求提交的资料，不作为资格审查不合格的依据。</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Cs w:val="21"/>
          <w:highlight w:val="none"/>
          <w:u w:val="single"/>
        </w:rPr>
        <w:t>上述第</w:t>
      </w:r>
      <w:r>
        <w:rPr>
          <w:rFonts w:hint="eastAsia" w:ascii="宋体" w:hAnsi="宋体" w:eastAsia="宋体" w:cs="宋体"/>
          <w:bCs/>
          <w:color w:val="auto"/>
          <w:szCs w:val="21"/>
          <w:highlight w:val="none"/>
          <w:u w:val="single"/>
        </w:rPr>
        <w:t>11.2.2</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）条，投标人无需提供资料，资格审查时，按广州交易集团有限公司（广州公共资源交易中心）交易系统比对的结果进行评审。</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1"/>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u w:val="single"/>
        </w:rPr>
        <w:t>11.2.3《投标函》《标函承诺书》《项目负责人驻场承诺书》（格式见招标文件第四章）。</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11.2.4《投入主要人员汇总表》《主要人员简历表》（格式见招标文件第四章、投标人需按相应表格备注和招标文件第二章附表《技术标详细审查评分表》要求提供相关资料）。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11.2.5</w:t>
      </w:r>
      <w:r>
        <w:rPr>
          <w:rFonts w:hint="eastAsia" w:ascii="宋体" w:hAnsi="宋体" w:eastAsia="宋体" w:cs="宋体"/>
          <w:color w:val="auto"/>
          <w:szCs w:val="21"/>
          <w:highlight w:val="none"/>
          <w:u w:val="single"/>
        </w:rPr>
        <w:t>企业资信证明材料（按招标文件第二章附表《技术标详细审查评分表》要求提交，包括《已竣工验收的类似工程业绩表》（如有，格式见招标文件第四章）和《企业承建工程获奖情况表》（如有，格式见招标文件第四章）等资料。招标文件有规定格式的，需按招标文件格式提供，无格式要求的，格式自拟）</w:t>
      </w:r>
      <w:r>
        <w:rPr>
          <w:rFonts w:hint="eastAsia" w:ascii="宋体" w:hAnsi="宋体" w:eastAsia="宋体" w:cs="宋体"/>
          <w:bCs/>
          <w:color w:val="auto"/>
          <w:sz w:val="21"/>
          <w:szCs w:val="21"/>
          <w:highlight w:val="none"/>
          <w:u w:val="singl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11.2.6</w:t>
      </w:r>
      <w:r>
        <w:rPr>
          <w:rFonts w:hint="eastAsia" w:ascii="宋体" w:hAnsi="宋体" w:eastAsia="宋体" w:cs="宋体"/>
          <w:color w:val="auto"/>
          <w:szCs w:val="21"/>
          <w:highlight w:val="none"/>
          <w:u w:val="single"/>
        </w:rPr>
        <w:t>《响应招标文件所附施工组织设计要点的承诺书》《拟投入本工程施工的主要机械设备配备表》（格式见招标文件第四章）</w:t>
      </w:r>
      <w:r>
        <w:rPr>
          <w:rFonts w:hint="eastAsia" w:ascii="宋体" w:hAnsi="宋体" w:eastAsia="宋体" w:cs="宋体"/>
          <w:color w:val="auto"/>
          <w:sz w:val="21"/>
          <w:szCs w:val="21"/>
          <w:highlight w:val="none"/>
          <w:u w:val="singl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11.2.</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《危险性较大的分部分项工程安全管理措施》（格式见招标文件第四章）。</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11.2.8《参与编制技术标投标文件人员名单》（格式见招标文件第四章）</w:t>
      </w:r>
      <w:r>
        <w:rPr>
          <w:rFonts w:hint="eastAsia" w:ascii="宋体" w:hAnsi="宋体" w:eastAsia="宋体" w:cs="宋体"/>
          <w:color w:val="auto"/>
          <w:szCs w:val="21"/>
          <w:highlight w:val="none"/>
          <w:u w:val="single"/>
          <w:lang w:eastAsia="zh-CN"/>
        </w:rPr>
        <w:t>。</w:t>
      </w:r>
    </w:p>
    <w:p>
      <w:pPr>
        <w:keepNext w:val="0"/>
        <w:keepLines w:val="0"/>
        <w:pageBreakBefore w:val="0"/>
        <w:widowControl w:val="0"/>
        <w:pBdr>
          <w:bottom w:val="single" w:color="auto" w:sz="4" w:space="0"/>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11.2.9投标人认为应提供的其他资料（如有）</w:t>
      </w:r>
      <w:r>
        <w:rPr>
          <w:rFonts w:hint="eastAsia" w:ascii="宋体" w:hAnsi="宋体" w:eastAsia="宋体" w:cs="宋体"/>
          <w:color w:val="auto"/>
          <w:szCs w:val="21"/>
          <w:highlight w:val="none"/>
          <w:u w:val="single"/>
          <w:lang w:eastAsia="zh-CN"/>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条款号：11.3.1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11.3.1 经济投标文件(按招标文件的要求填写)。</w:t>
      </w:r>
    </w:p>
    <w:p>
      <w:pPr>
        <w:keepNext w:val="0"/>
        <w:keepLines w:val="0"/>
        <w:pageBreakBefore w:val="0"/>
        <w:widowControl w:val="0"/>
        <w:pBdr>
          <w:bottom w:val="single" w:color="auto" w:sz="4" w:space="0"/>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Cs w:val="21"/>
          <w:highlight w:val="none"/>
          <w:u w:val="single"/>
        </w:rPr>
        <w:t>广州建设工程施工招标投标书（经济标）（格式见招标文件第四章，具体格式以《广州建设工程施工招标投标书（技术标）》为准；电子投标管理软件编制的“广州建设工程施工招标投标书”不作为否决投标的条件)</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条款号：11.3.2                      修改类型：修改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（17）人工、主要材料和设备一览表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beforeAutospacing="0" w:afterAutospacing="0" w:line="360" w:lineRule="auto"/>
        <w:ind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投标总价封面、扉页</w:t>
      </w:r>
    </w:p>
    <w:p>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beforeAutospacing="0" w:afterAutospacing="0" w:line="360" w:lineRule="auto"/>
        <w:ind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总说明；</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u w:val="single"/>
        </w:rPr>
        <w:t>工程量清单报价表及综合单价分析表的相关内容及格式要求（相关表格的内容及格式要求以招标人发出的最新版电子招标文件中的相应内容及格式为准）；</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360" w:lineRule="auto"/>
        <w:ind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其它辅助说明资料（包括但不限于招标文件要求填写的《对投标文件编制的承诺》，格式见招标文件第四章）</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条款号：11.3.3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11.3.3按照招标文件要求填写的《参与编制经济标投标文件人员名单》。</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13" w:firstLineChars="196"/>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11.3.3按照招标文件要求填写的《参与编制经济标投标文件人员名单》</w:t>
      </w:r>
      <w:r>
        <w:rPr>
          <w:rFonts w:hint="eastAsia" w:ascii="宋体" w:hAnsi="宋体" w:eastAsia="宋体" w:cs="宋体"/>
          <w:color w:val="auto"/>
          <w:sz w:val="21"/>
          <w:szCs w:val="21"/>
          <w:highlight w:val="none"/>
          <w:u w:val="single"/>
        </w:rPr>
        <w:t>（格式见招标文件第四章）</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条款号：11.3.5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13" w:firstLineChars="196"/>
        <w:textAlignment w:val="baseline"/>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11.3.5</w:t>
      </w:r>
      <w:r>
        <w:rPr>
          <w:rFonts w:hint="eastAsia" w:ascii="宋体" w:hAnsi="宋体" w:eastAsia="宋体" w:cs="宋体"/>
          <w:color w:val="auto"/>
          <w:szCs w:val="21"/>
          <w:highlight w:val="none"/>
          <w:u w:val="single"/>
        </w:rPr>
        <w:t>投标人认为应提供的其他经济标资料（如有）</w:t>
      </w:r>
      <w:r>
        <w:rPr>
          <w:rFonts w:hint="eastAsia" w:ascii="宋体" w:hAnsi="宋体" w:eastAsia="宋体" w:cs="宋体"/>
          <w:color w:val="auto"/>
          <w:sz w:val="21"/>
          <w:szCs w:val="21"/>
          <w:highlight w:val="none"/>
          <w:u w:val="singl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条款号：12.2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12.2</w:t>
      </w:r>
      <w:r>
        <w:rPr>
          <w:rFonts w:hint="eastAsia" w:ascii="宋体" w:hAnsi="宋体" w:eastAsia="宋体" w:cs="宋体"/>
          <w:bCs/>
          <w:color w:val="auto"/>
          <w:kern w:val="0"/>
          <w:sz w:val="21"/>
          <w:szCs w:val="21"/>
          <w:highlight w:val="none"/>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eastAsia="宋体" w:cs="宋体"/>
          <w:b w:val="0"/>
          <w:bCs/>
          <w:color w:val="auto"/>
          <w:kern w:val="0"/>
          <w:sz w:val="21"/>
          <w:szCs w:val="21"/>
          <w:highlight w:val="none"/>
        </w:rPr>
        <w:t>应加盖个人电子印章或在线下完成后扫描上传。</w:t>
      </w:r>
      <w:r>
        <w:rPr>
          <w:rFonts w:hint="eastAsia" w:ascii="宋体" w:hAnsi="宋体" w:eastAsia="宋体" w:cs="宋体"/>
          <w:bCs/>
          <w:color w:val="auto"/>
          <w:kern w:val="0"/>
          <w:sz w:val="21"/>
          <w:szCs w:val="21"/>
          <w:highlight w:val="none"/>
        </w:rPr>
        <w:t>按照交易平台关于全流程电子化项目的相关指南进行操作。详见：</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527" w:firstLineChars="25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u w:val="single"/>
        </w:rPr>
        <w:t>投标人应仔细阅读招标文件第四章投标文件格式的相关规定和要求。</w:t>
      </w:r>
      <w:r>
        <w:rPr>
          <w:rFonts w:hint="eastAsia" w:ascii="宋体" w:hAnsi="宋体" w:eastAsia="宋体" w:cs="宋体"/>
          <w:color w:val="auto"/>
          <w:szCs w:val="21"/>
          <w:highlight w:val="none"/>
        </w:rPr>
        <w:t>投标文件全部采用电子文档，投标文件所附证书证件均为原件</w:t>
      </w:r>
      <w:r>
        <w:rPr>
          <w:rFonts w:hint="eastAsia" w:ascii="宋体" w:hAnsi="宋体" w:eastAsia="宋体" w:cs="宋体"/>
          <w:color w:val="auto"/>
          <w:szCs w:val="21"/>
          <w:highlight w:val="none"/>
          <w:u w:val="single"/>
        </w:rPr>
        <w:t>清晰</w:t>
      </w:r>
      <w:r>
        <w:rPr>
          <w:rFonts w:hint="eastAsia" w:ascii="宋体" w:hAnsi="宋体" w:eastAsia="宋体" w:cs="宋体"/>
          <w:color w:val="auto"/>
          <w:szCs w:val="21"/>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b w:val="0"/>
          <w:bCs w:val="0"/>
          <w:color w:val="auto"/>
          <w:sz w:val="21"/>
          <w:szCs w:val="21"/>
          <w:highlight w:val="none"/>
          <w:u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条款号：12.3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textAlignment w:val="baseline"/>
        <w:rPr>
          <w:rFonts w:hint="eastAsia" w:ascii="宋体" w:hAnsi="宋体" w:eastAsia="宋体" w:cs="宋体"/>
          <w:color w:val="auto"/>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12.3</w:t>
      </w:r>
      <w:r>
        <w:rPr>
          <w:rFonts w:hint="eastAsia" w:ascii="宋体" w:hAnsi="宋体" w:eastAsia="宋体" w:cs="宋体"/>
          <w:bCs/>
          <w:color w:val="auto"/>
          <w:szCs w:val="21"/>
          <w:highlight w:val="none"/>
        </w:rPr>
        <w:t>投标文件应按</w:t>
      </w:r>
      <w:r>
        <w:rPr>
          <w:rFonts w:hint="eastAsia" w:ascii="宋体" w:hAnsi="宋体" w:eastAsia="宋体" w:cs="宋体"/>
          <w:color w:val="auto"/>
          <w:szCs w:val="21"/>
          <w:highlight w:val="none"/>
        </w:rPr>
        <w:t>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交易平台关于全流程电子化项目的相关指南进行编制，详见：</w:t>
      </w:r>
      <w:r>
        <w:rPr>
          <w:rFonts w:hint="eastAsia" w:ascii="宋体" w:hAnsi="宋体" w:eastAsia="宋体" w:cs="宋体"/>
          <w:bCs/>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Cs/>
          <w:color w:val="auto"/>
          <w:szCs w:val="21"/>
          <w:highlight w:val="none"/>
        </w:rPr>
        <w:t>如不按上述要求编制引起系统无法检索、读取相关信息的，其后果由投标人承担</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13.1本工程的投标报价采用投标须知前附表第12项所规定的方式。投标报价（含单价及总价）精确到“分”。</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 xml:space="preserve">13.1 </w:t>
      </w:r>
      <w:r>
        <w:rPr>
          <w:rFonts w:hint="eastAsia" w:ascii="宋体" w:hAnsi="宋体" w:eastAsia="宋体" w:cs="宋体"/>
          <w:color w:val="auto"/>
          <w:szCs w:val="21"/>
          <w:highlight w:val="none"/>
        </w:rPr>
        <w:t>本工程的投标报价采用投标须知前附表第12项所规定的方式。</w:t>
      </w:r>
      <w:r>
        <w:rPr>
          <w:rFonts w:hint="eastAsia" w:ascii="宋体" w:hAnsi="宋体" w:eastAsia="宋体" w:cs="宋体"/>
          <w:color w:val="auto"/>
          <w:szCs w:val="21"/>
          <w:highlight w:val="none"/>
          <w:u w:val="single"/>
        </w:rPr>
        <w:t>投标文件中的大写金额和小写金额不一致的，以大写金额为准。</w:t>
      </w:r>
      <w:r>
        <w:rPr>
          <w:rFonts w:hint="eastAsia" w:ascii="宋体" w:hAnsi="宋体" w:eastAsia="宋体" w:cs="宋体"/>
          <w:color w:val="auto"/>
          <w:szCs w:val="21"/>
          <w:highlight w:val="none"/>
        </w:rPr>
        <w:t>投标报价（含单价及总价）精确到“分”</w:t>
      </w:r>
      <w:r>
        <w:rPr>
          <w:rFonts w:hint="eastAsia" w:ascii="宋体" w:hAnsi="宋体" w:eastAsia="宋体" w:cs="宋体"/>
          <w:color w:val="auto"/>
          <w:sz w:val="21"/>
          <w:szCs w:val="21"/>
          <w:highlight w:val="none"/>
          <w:u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条款号：13.3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Cs w:val="21"/>
          <w:highlight w:val="none"/>
          <w:u w:val="single"/>
        </w:rPr>
        <w:t>提供的招标图纸（包括有关于本项目招标的相关资料）及</w:t>
      </w:r>
      <w:r>
        <w:rPr>
          <w:rFonts w:hint="eastAsia" w:ascii="宋体" w:hAnsi="宋体" w:eastAsia="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条款号：13.4                         修改类型：修改</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13.4投标人一旦中标，投标人对招标人提供的招标工程量清单中列出的工程项目所报出的综合单价</w:t>
      </w:r>
      <w:r>
        <w:rPr>
          <w:rFonts w:hint="eastAsia" w:ascii="宋体" w:hAnsi="宋体" w:eastAsia="宋体" w:cs="宋体"/>
          <w:color w:val="auto"/>
          <w:szCs w:val="21"/>
          <w:highlight w:val="none"/>
          <w:u w:val="single"/>
        </w:rPr>
        <w:t>和措施项目费（措施项目费必须单列，没有单独列出的，视为已经包含在投标报价中），在工程结算时，按招标文件第三章合同条款相关约定调整。</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条款号：13.5                         修改类型：修改</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13.5</w:t>
      </w:r>
      <w:r>
        <w:rPr>
          <w:rFonts w:hint="eastAsia" w:ascii="宋体" w:hAnsi="宋体" w:eastAsia="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keepNext w:val="0"/>
        <w:keepLines w:val="0"/>
        <w:pageBreakBefore w:val="0"/>
        <w:widowControl w:val="0"/>
        <w:pBdr>
          <w:top w:val="single" w:color="auto" w:sz="4" w:space="1"/>
        </w:pBdr>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条款号：13.6.2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eastAsia="宋体" w:cs="宋体"/>
          <w:color w:val="auto"/>
          <w:szCs w:val="21"/>
          <w:highlight w:val="none"/>
          <w:u w:val="single"/>
        </w:rPr>
        <w:t>应由招标人招标确定承包人和承包价格。</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条款号：13.6.4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 w:val="21"/>
          <w:szCs w:val="21"/>
          <w:highlight w:val="none"/>
          <w:u w:val="single"/>
        </w:rPr>
        <w:t>经发包人同意，</w:t>
      </w:r>
      <w:r>
        <w:rPr>
          <w:rFonts w:hint="eastAsia" w:ascii="宋体" w:hAnsi="宋体" w:eastAsia="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条款号：13.8                         修改类型：修改</w:t>
      </w:r>
    </w:p>
    <w:p>
      <w:pPr>
        <w:pStyle w:val="18"/>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keepNext w:val="0"/>
        <w:keepLines w:val="0"/>
        <w:pageBreakBefore w:val="0"/>
        <w:widowControl w:val="0"/>
        <w:pBdr>
          <w:bottom w:val="single" w:color="auto" w:sz="4" w:space="0"/>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13.8</w:t>
      </w:r>
      <w:r>
        <w:rPr>
          <w:rFonts w:hint="eastAsia" w:ascii="宋体" w:hAnsi="宋体" w:eastAsia="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条款号：13.10                         修改类型：增加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u w:val="single"/>
        </w:rPr>
        <w:t>13.10</w:t>
      </w:r>
      <w:r>
        <w:rPr>
          <w:rFonts w:hint="eastAsia" w:ascii="宋体" w:hAnsi="宋体" w:eastAsia="宋体" w:cs="宋体"/>
          <w:color w:val="auto"/>
          <w:sz w:val="21"/>
          <w:szCs w:val="21"/>
          <w:highlight w:val="none"/>
          <w:u w:val="single"/>
        </w:rPr>
        <w:t>工程量清单报价中有关问题的说明：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投标时,土方的弃运距离暂按15km内考虑，超过15km按15km计算，结算时按招标人确认的实际运距计算,实际运距超过15公里时，按15公里包干。</w:t>
      </w:r>
    </w:p>
    <w:p>
      <w:pPr>
        <w:keepNext w:val="0"/>
        <w:keepLines w:val="0"/>
        <w:pageBreakBefore w:val="0"/>
        <w:widowControl w:val="0"/>
        <w:pBdr>
          <w:top w:val="none" w:color="auto" w:sz="0" w:space="0"/>
          <w:left w:val="none" w:color="auto" w:sz="0" w:space="0"/>
          <w:bottom w:val="single" w:color="auto" w:sz="4"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eastAsia="宋体" w:cs="宋体"/>
          <w:color w:val="auto"/>
          <w:szCs w:val="21"/>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条款号：13.11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条款号：13.12                          修改类型：增加</w:t>
      </w:r>
    </w:p>
    <w:p>
      <w:pPr>
        <w:keepNext w:val="0"/>
        <w:keepLines w:val="0"/>
        <w:pageBreakBefore w:val="0"/>
        <w:widowControl w:val="0"/>
        <w:pBdr>
          <w:bottom w:val="single" w:color="auto" w:sz="4" w:space="0"/>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条款号：13.13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pPr>
        <w:keepNext w:val="0"/>
        <w:keepLines w:val="0"/>
        <w:pageBreakBefore w:val="0"/>
        <w:widowControl w:val="0"/>
        <w:pBdr>
          <w:top w:val="single" w:color="auto" w:sz="4" w:space="1"/>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条款号：13.14                             修改类型：增加</w:t>
      </w:r>
    </w:p>
    <w:p>
      <w:pPr>
        <w:keepNext w:val="0"/>
        <w:keepLines w:val="0"/>
        <w:pageBreakBefore w:val="0"/>
        <w:widowControl w:val="0"/>
        <w:pBdr>
          <w:top w:val="single" w:color="auto" w:sz="4" w:space="1"/>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条款号：13.15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条款号：13.16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13.16中标人应使用绿色生产达标企业生产的混凝土，若不遵守承诺，自愿按不履行合同约定处理。</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条款号：13.17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13.17中标人应按有关规定协助建设业主完成公共排水设施竣工图纸备案工作。</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 w:val="21"/>
          <w:szCs w:val="21"/>
          <w:highlight w:val="none"/>
          <w:u w:val="none"/>
          <w:lang w:eastAsia="zh-CN"/>
        </w:rPr>
      </w:pPr>
      <w:r>
        <w:rPr>
          <w:rFonts w:hint="eastAsia" w:ascii="宋体" w:hAnsi="宋体" w:eastAsia="宋体" w:cs="宋体"/>
          <w:b/>
          <w:color w:val="auto"/>
          <w:sz w:val="21"/>
          <w:szCs w:val="21"/>
          <w:highlight w:val="none"/>
          <w:u w:val="none"/>
        </w:rPr>
        <w:t>条款号：</w:t>
      </w:r>
      <w:r>
        <w:rPr>
          <w:rFonts w:hint="eastAsia" w:ascii="宋体" w:hAnsi="宋体" w:eastAsia="宋体" w:cs="宋体"/>
          <w:b/>
          <w:color w:val="auto"/>
          <w:sz w:val="21"/>
          <w:szCs w:val="21"/>
          <w:highlight w:val="none"/>
          <w:u w:val="none"/>
          <w:lang w:val="en-US" w:eastAsia="zh-CN"/>
        </w:rPr>
        <w:t>15</w:t>
      </w:r>
      <w:r>
        <w:rPr>
          <w:rFonts w:hint="eastAsia" w:ascii="宋体" w:hAnsi="宋体" w:eastAsia="宋体" w:cs="宋体"/>
          <w:b/>
          <w:color w:val="auto"/>
          <w:sz w:val="21"/>
          <w:szCs w:val="21"/>
          <w:highlight w:val="none"/>
          <w:u w:val="none"/>
        </w:rPr>
        <w:t>.</w:t>
      </w:r>
      <w:r>
        <w:rPr>
          <w:rFonts w:hint="eastAsia" w:ascii="宋体" w:hAnsi="宋体" w:eastAsia="宋体" w:cs="宋体"/>
          <w:b/>
          <w:color w:val="auto"/>
          <w:sz w:val="21"/>
          <w:szCs w:val="21"/>
          <w:highlight w:val="none"/>
          <w:u w:val="none"/>
          <w:lang w:val="en-US" w:eastAsia="zh-CN"/>
        </w:rPr>
        <w:t>2</w:t>
      </w:r>
      <w:r>
        <w:rPr>
          <w:rFonts w:hint="eastAsia" w:ascii="宋体" w:hAnsi="宋体" w:eastAsia="宋体" w:cs="宋体"/>
          <w:b/>
          <w:color w:val="auto"/>
          <w:sz w:val="21"/>
          <w:szCs w:val="21"/>
          <w:highlight w:val="none"/>
          <w:u w:val="none"/>
        </w:rPr>
        <w:t xml:space="preserve">                              修改类型：</w:t>
      </w:r>
      <w:r>
        <w:rPr>
          <w:rFonts w:hint="eastAsia" w:ascii="宋体" w:hAnsi="宋体" w:eastAsia="宋体" w:cs="宋体"/>
          <w:b/>
          <w:color w:val="auto"/>
          <w:sz w:val="21"/>
          <w:szCs w:val="21"/>
          <w:highlight w:val="none"/>
          <w:u w:val="none"/>
          <w:lang w:val="en-US" w:eastAsia="zh-CN"/>
        </w:rPr>
        <w:t>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u w:val="none"/>
        </w:rPr>
      </w:pPr>
      <w:r>
        <w:rPr>
          <w:rFonts w:hint="eastAsia" w:ascii="宋体" w:hAnsi="宋体" w:eastAsia="宋体" w:cs="宋体"/>
          <w:b/>
          <w:color w:val="auto"/>
          <w:sz w:val="21"/>
          <w:szCs w:val="21"/>
          <w:highlight w:val="none"/>
          <w:u w:val="none"/>
          <w:lang w:val="en-US" w:eastAsia="zh-CN"/>
        </w:rPr>
        <w:t>原</w:t>
      </w:r>
      <w:r>
        <w:rPr>
          <w:rFonts w:hint="eastAsia" w:ascii="宋体" w:hAnsi="宋体" w:eastAsia="宋体" w:cs="宋体"/>
          <w:b/>
          <w:color w:val="auto"/>
          <w:sz w:val="21"/>
          <w:szCs w:val="21"/>
          <w:highlight w:val="none"/>
          <w:u w:val="none"/>
        </w:rPr>
        <w:t>文：</w:t>
      </w: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lang w:val="en-US" w:eastAsia="zh-CN"/>
        </w:rPr>
        <w:t>现</w:t>
      </w:r>
      <w:r>
        <w:rPr>
          <w:rFonts w:hint="eastAsia" w:ascii="宋体" w:hAnsi="宋体" w:eastAsia="宋体" w:cs="宋体"/>
          <w:b/>
          <w:color w:val="auto"/>
          <w:sz w:val="21"/>
          <w:szCs w:val="21"/>
          <w:highlight w:val="none"/>
          <w:u w:val="none"/>
        </w:rPr>
        <w:t>文：</w:t>
      </w: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color w:val="auto"/>
          <w:szCs w:val="21"/>
          <w:highlight w:val="none"/>
          <w:u w:val="single"/>
        </w:rPr>
        <w:t>投标人可以拒绝招标人这种要求。同意延长投标有效期的投标人既不能要求也不允许修改其投标文件</w:t>
      </w:r>
      <w:r>
        <w:rPr>
          <w:rFonts w:hint="eastAsia" w:ascii="宋体" w:hAnsi="宋体" w:eastAsia="宋体" w:cs="宋体"/>
          <w:color w:val="auto"/>
          <w:szCs w:val="21"/>
          <w:highlight w:val="none"/>
          <w:u w:val="single"/>
          <w:lang w:eastAsia="zh-CN"/>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条款号：16</w:t>
      </w:r>
      <w:r>
        <w:rPr>
          <w:rFonts w:hint="eastAsia" w:ascii="宋体" w:hAnsi="宋体" w:eastAsia="宋体" w:cs="宋体"/>
          <w:b/>
          <w:color w:val="auto"/>
          <w:sz w:val="21"/>
          <w:szCs w:val="21"/>
          <w:highlight w:val="none"/>
          <w:lang w:val="en-US" w:eastAsia="zh-CN"/>
        </w:rPr>
        <w:t>.投标保证金</w:t>
      </w:r>
      <w:r>
        <w:rPr>
          <w:rFonts w:hint="eastAsia" w:ascii="宋体" w:hAnsi="宋体" w:eastAsia="宋体" w:cs="宋体"/>
          <w:b/>
          <w:color w:val="auto"/>
          <w:sz w:val="21"/>
          <w:szCs w:val="21"/>
          <w:highlight w:val="none"/>
        </w:rPr>
        <w:t>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 采用现金或者支票形式提交的，投标保证金须从投标人的银行基本账户转出。</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采用电子形式的保函、担保或保证保险提交投标保证金的，应在招标文件中明确电子递交途径。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16.3投标保证金应依据法律法规的相关规定退还。</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16.4如有下列情况之一的，招标人可以不予退还投标保证金（是否退还投标保证金由招标人在招标文件中规定）：</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16.4.1因投标人原因造成投标文件未解密的；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16.4.2投标人在投标有效期内撤销投标文件；</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16.4.3中标人未能在规定期限内按要求提交履约担保；</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16.4.4中标人未能在规定期限内签署合同协议。</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16.5投标人如存在下列情况之一的，将被拒绝在一定时期内参与招标人后续工程投标（拒绝时限需在招标文件中明确）：</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16.5.1投标人存在16.4条款所列情形且投标人提交的保函、担保或保证保险无法兑付的；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16.5.2采用非电子形式提交投标保证金的投标人存在16.4条款所列情形，且未按招标人要求补交银行保函、专业工程担保公司担保或保证保险原件的；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16.5.3按招标文件要求免于提供投标保证金的投标人存在16.4条款所列情形，且未按招标人要求补交投标保证金的；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16.5.3按招标文件要求免于提供投标保证金的投标人存在16.4条款所列情形的。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注：16.5.3款由招标人二选一，需在招标文件中明确。</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16.1</w:t>
      </w:r>
      <w:r>
        <w:rPr>
          <w:rFonts w:hint="eastAsia" w:ascii="宋体" w:hAnsi="宋体" w:eastAsia="宋体" w:cs="宋体"/>
          <w:color w:val="auto"/>
          <w:szCs w:val="21"/>
          <w:highlight w:val="none"/>
          <w:u w:val="single"/>
        </w:rPr>
        <w:t>本项目不收投标保证金。</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trike/>
          <w:color w:val="auto"/>
          <w:szCs w:val="21"/>
          <w:highlight w:val="none"/>
        </w:rPr>
        <w:t>16.3投标保证金应依据法律法规的相关规定退还。</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16.4如有下列情况之一的，</w:t>
      </w:r>
      <w:r>
        <w:rPr>
          <w:rFonts w:hint="eastAsia" w:ascii="宋体" w:hAnsi="宋体" w:eastAsia="宋体" w:cs="宋体"/>
          <w:color w:val="auto"/>
          <w:szCs w:val="21"/>
          <w:highlight w:val="none"/>
          <w:u w:val="single"/>
        </w:rPr>
        <w:t>招标人按第16.5款规定执行</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16.4.1因投标人原因造成投标文件未解密的；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16.4.2投标人在投标有效期内撤销投标文件</w:t>
      </w:r>
      <w:r>
        <w:rPr>
          <w:rFonts w:hint="eastAsia" w:ascii="宋体" w:hAnsi="宋体" w:eastAsia="宋体" w:cs="宋体"/>
          <w:color w:val="auto"/>
          <w:szCs w:val="21"/>
          <w:highlight w:val="none"/>
          <w:u w:val="single"/>
        </w:rPr>
        <w:t>或放弃中标资格的</w:t>
      </w:r>
      <w:r>
        <w:rPr>
          <w:rFonts w:hint="eastAsia" w:ascii="宋体" w:hAnsi="宋体" w:eastAsia="宋体" w:cs="宋体"/>
          <w:color w:val="auto"/>
          <w:szCs w:val="21"/>
          <w:highlight w:val="non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16.4.3中标人未能在规定期限内按要求提交履约担保；</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16.4.4中标人未能在规定期限内签署合同协议</w:t>
      </w:r>
      <w:r>
        <w:rPr>
          <w:rFonts w:hint="eastAsia" w:ascii="宋体" w:hAnsi="宋体" w:eastAsia="宋体" w:cs="宋体"/>
          <w:color w:val="auto"/>
          <w:szCs w:val="21"/>
          <w:highlight w:val="none"/>
          <w:u w:val="singl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u w:val="single"/>
        </w:rPr>
        <w:t>16.4.5投标人弄虚作假骗取中标的。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16.5投标人如存在下列情况之一的，</w:t>
      </w:r>
      <w:r>
        <w:rPr>
          <w:rFonts w:hint="eastAsia" w:ascii="宋体" w:hAnsi="宋体" w:eastAsia="宋体" w:cs="宋体"/>
          <w:color w:val="auto"/>
          <w:szCs w:val="21"/>
          <w:highlight w:val="none"/>
          <w:u w:val="single"/>
        </w:rPr>
        <w:t>将被拒绝在3个月内参与招标人后续工程投标</w:t>
      </w:r>
      <w:r>
        <w:rPr>
          <w:rFonts w:hint="eastAsia" w:ascii="宋体" w:hAnsi="宋体" w:eastAsia="宋体" w:cs="宋体"/>
          <w:color w:val="auto"/>
          <w:szCs w:val="21"/>
          <w:highlight w:val="non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16.5.1投标人存在16.4条款所列情形且投标人提交的保函、担保或保证保险无法兑付的；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16.5.2采用非电子形式提交投标保证金的投标人存在16.4条款所列情形，且未按招标人要求补交银行保函、专业工程担保公司担保或保证保险原件的；</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16.5.3</w:t>
      </w:r>
      <w:r>
        <w:rPr>
          <w:rFonts w:hint="eastAsia" w:ascii="宋体" w:hAnsi="宋体" w:eastAsia="宋体" w:cs="宋体"/>
          <w:color w:val="auto"/>
          <w:szCs w:val="21"/>
          <w:highlight w:val="none"/>
          <w:u w:val="single"/>
        </w:rPr>
        <w:t>按招标文件要求免于提供投标保证金的投标人存在16.4条款所列情形</w:t>
      </w:r>
      <w:r>
        <w:rPr>
          <w:rFonts w:hint="eastAsia" w:ascii="宋体" w:hAnsi="宋体" w:eastAsia="宋体" w:cs="宋体"/>
          <w:color w:val="auto"/>
          <w:sz w:val="21"/>
          <w:szCs w:val="21"/>
          <w:highlight w:val="none"/>
          <w:u w:val="single"/>
        </w:rPr>
        <w:t>。</w:t>
      </w:r>
    </w:p>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投标文件的签署    修改类型：修改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 xml:space="preserve">投标文件的签署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0" w:afterAutospacing="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Cs/>
          <w:color w:val="auto"/>
          <w:kern w:val="0"/>
          <w:sz w:val="21"/>
          <w:szCs w:val="21"/>
          <w:highlight w:val="none"/>
        </w:rPr>
        <w:t>投标人应采用单位数字证书，按招标文件要求在相应位置加盖电子印章。投标文件中需个人签字或盖章的，</w:t>
      </w:r>
      <w:r>
        <w:rPr>
          <w:rFonts w:hint="eastAsia" w:ascii="宋体" w:hAnsi="宋体" w:eastAsia="宋体" w:cs="宋体"/>
          <w:b/>
          <w:color w:val="auto"/>
          <w:kern w:val="0"/>
          <w:sz w:val="21"/>
          <w:szCs w:val="21"/>
          <w:highlight w:val="none"/>
        </w:rPr>
        <w:t>应加盖个人电子印章或在线下完成后扫描上传。</w:t>
      </w:r>
      <w:r>
        <w:rPr>
          <w:rFonts w:hint="eastAsia" w:ascii="宋体" w:hAnsi="宋体" w:eastAsia="宋体" w:cs="宋体"/>
          <w:bCs/>
          <w:color w:val="auto"/>
          <w:kern w:val="0"/>
          <w:sz w:val="21"/>
          <w:szCs w:val="21"/>
          <w:highlight w:val="none"/>
        </w:rPr>
        <w:t>按照交易平台关于全流程电子化项目的相关指南进行操作。详见：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现文：17．投标文件的签署</w:t>
      </w:r>
      <w:r>
        <w:rPr>
          <w:rFonts w:hint="eastAsia" w:ascii="宋体" w:hAnsi="宋体" w:eastAsia="宋体" w:cs="宋体"/>
          <w:b/>
          <w:color w:val="auto"/>
          <w:szCs w:val="21"/>
          <w:highlight w:val="none"/>
          <w:u w:val="single"/>
        </w:rPr>
        <w:t>及份数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pPr>
        <w:keepNext w:val="0"/>
        <w:keepLines w:val="0"/>
        <w:pageBreakBefore w:val="0"/>
        <w:widowControl w:val="0"/>
        <w:pBdr>
          <w:top w:val="none" w:color="auto" w:sz="0" w:space="0"/>
          <w:left w:val="none" w:color="auto" w:sz="0" w:space="0"/>
          <w:bottom w:val="single" w:color="auto" w:sz="4" w:space="0"/>
          <w:right w:val="none" w:color="auto" w:sz="0" w:space="0"/>
          <w:between w:val="none" w:color="auto" w:sz="0" w:space="0"/>
        </w:pBdr>
        <w:kinsoku/>
        <w:overflowPunct/>
        <w:topLinePunct w:val="0"/>
        <w:autoSpaceDE/>
        <w:autoSpaceDN/>
        <w:bidi w:val="0"/>
        <w:adjustRightInd w:val="0"/>
        <w:snapToGrid w:val="0"/>
        <w:spacing w:beforeAutospacing="0" w:after="0" w:afterAutospacing="0"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投标文件的密封和标记</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18.1</w:t>
      </w:r>
      <w:r>
        <w:rPr>
          <w:rFonts w:hint="eastAsia" w:ascii="宋体" w:hAnsi="宋体" w:eastAsia="宋体" w:cs="宋体"/>
          <w:bCs/>
          <w:color w:val="auto"/>
          <w:szCs w:val="21"/>
          <w:highlight w:val="none"/>
        </w:rPr>
        <w:t>递交的电子投标文件（不含备用光盘）必须进行加密。按照</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bCs/>
          <w:color w:val="auto"/>
          <w:szCs w:val="21"/>
          <w:highlight w:val="none"/>
        </w:rPr>
        <w:t>交易平台关于</w:t>
      </w:r>
      <w:r>
        <w:rPr>
          <w:rFonts w:hint="eastAsia" w:ascii="宋体" w:hAnsi="宋体" w:eastAsia="宋体" w:cs="宋体"/>
          <w:color w:val="auto"/>
          <w:szCs w:val="21"/>
          <w:highlight w:val="none"/>
        </w:rPr>
        <w:t>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bCs/>
          <w:color w:val="auto"/>
          <w:sz w:val="21"/>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原文：19.投标文件的递交和接收</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现文：19.</w:t>
      </w:r>
      <w:r>
        <w:rPr>
          <w:rFonts w:hint="eastAsia" w:ascii="宋体" w:hAnsi="宋体" w:eastAsia="宋体" w:cs="宋体"/>
          <w:b/>
          <w:color w:val="auto"/>
          <w:szCs w:val="21"/>
          <w:highlight w:val="none"/>
          <w:u w:val="single"/>
        </w:rPr>
        <w:t>投标登记和</w:t>
      </w:r>
      <w:r>
        <w:rPr>
          <w:rFonts w:hint="eastAsia" w:ascii="宋体" w:hAnsi="宋体" w:eastAsia="宋体" w:cs="宋体"/>
          <w:b/>
          <w:color w:val="auto"/>
          <w:szCs w:val="21"/>
          <w:highlight w:val="none"/>
        </w:rPr>
        <w:t>投标文件的递交和接收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条款号：19.1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19.1</w:t>
      </w:r>
      <w:r>
        <w:rPr>
          <w:rFonts w:hint="eastAsia" w:ascii="宋体" w:hAnsi="宋体" w:eastAsia="宋体" w:cs="宋体"/>
          <w:bCs/>
          <w:color w:val="auto"/>
          <w:szCs w:val="21"/>
          <w:highlight w:val="none"/>
        </w:rPr>
        <w:t>投标人通过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交易平台递交电子投标文件。</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19.1</w:t>
      </w:r>
      <w:r>
        <w:rPr>
          <w:rFonts w:hint="eastAsia" w:ascii="宋体" w:hAnsi="宋体" w:eastAsia="宋体" w:cs="宋体"/>
          <w:bCs/>
          <w:color w:val="auto"/>
          <w:szCs w:val="21"/>
          <w:highlight w:val="none"/>
        </w:rPr>
        <w:t>投标人通过</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交易平台递交电子投标文件。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条款号：19.2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19.2</w:t>
      </w:r>
      <w:r>
        <w:rPr>
          <w:rFonts w:hint="eastAsia" w:ascii="宋体" w:hAnsi="宋体" w:eastAsia="宋体" w:cs="宋体"/>
          <w:bCs/>
          <w:color w:val="auto"/>
          <w:szCs w:val="21"/>
          <w:highlight w:val="none"/>
        </w:rPr>
        <w:t>投标人完成电子</w:t>
      </w:r>
      <w:r>
        <w:rPr>
          <w:rFonts w:hint="eastAsia" w:ascii="宋体" w:hAnsi="宋体" w:eastAsia="宋体" w:cs="宋体"/>
          <w:color w:val="auto"/>
          <w:szCs w:val="21"/>
          <w:highlight w:val="none"/>
        </w:rPr>
        <w:t>投标文件</w:t>
      </w:r>
      <w:r>
        <w:rPr>
          <w:rFonts w:hint="eastAsia" w:ascii="宋体" w:hAnsi="宋体" w:eastAsia="宋体" w:cs="宋体"/>
          <w:bCs/>
          <w:color w:val="auto"/>
          <w:szCs w:val="21"/>
          <w:highlight w:val="none"/>
        </w:rPr>
        <w:t>上传后，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交易平台即时向投标人发出递交回执通知。递交时间以递交回执通知载明的传输完成时间为准。</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527" w:firstLineChars="25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19.2</w:t>
      </w:r>
      <w:r>
        <w:rPr>
          <w:rFonts w:hint="eastAsia" w:ascii="宋体" w:hAnsi="宋体" w:eastAsia="宋体" w:cs="宋体"/>
          <w:bCs/>
          <w:color w:val="auto"/>
          <w:szCs w:val="21"/>
          <w:highlight w:val="none"/>
        </w:rPr>
        <w:t>投标人完成电子</w:t>
      </w:r>
      <w:r>
        <w:rPr>
          <w:rFonts w:hint="eastAsia" w:ascii="宋体" w:hAnsi="宋体" w:eastAsia="宋体" w:cs="宋体"/>
          <w:color w:val="auto"/>
          <w:szCs w:val="21"/>
          <w:highlight w:val="none"/>
        </w:rPr>
        <w:t>投标文件</w:t>
      </w:r>
      <w:r>
        <w:rPr>
          <w:rFonts w:hint="eastAsia" w:ascii="宋体" w:hAnsi="宋体" w:eastAsia="宋体" w:cs="宋体"/>
          <w:bCs/>
          <w:color w:val="auto"/>
          <w:szCs w:val="21"/>
          <w:highlight w:val="none"/>
        </w:rPr>
        <w:t>上传后，</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交易平台即时向投标人发出递交回执通知。递交时间以递交回执通知载明的传输完成时间为准。</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条款号：19.3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逾期送达的电子投标文件，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交易平台将予以拒收。</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逾期送达的电子投标文件，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交易平台将予以拒收。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条款号：19.5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19.5如技术标和经济标先后分别开启，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交易平台将按招标文件规定的时间分别开启技术标和经济标。</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527" w:firstLineChars="25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19.5</w:t>
      </w:r>
      <w:r>
        <w:rPr>
          <w:rFonts w:hint="eastAsia" w:ascii="宋体" w:hAnsi="宋体" w:eastAsia="宋体" w:cs="宋体"/>
          <w:color w:val="auto"/>
          <w:szCs w:val="21"/>
          <w:highlight w:val="none"/>
          <w:u w:val="single"/>
        </w:rPr>
        <w:t>广州交易集团有限公司（广州公共资源交易中心）交易平台将按招标文件规定的时间同时开启技术标和经济标。</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条款号：20.3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20.3</w:t>
      </w:r>
      <w:r>
        <w:rPr>
          <w:rFonts w:hint="eastAsia" w:ascii="宋体" w:hAnsi="宋体" w:eastAsia="宋体" w:cs="宋体"/>
          <w:color w:val="auto"/>
          <w:szCs w:val="21"/>
          <w:highlight w:val="none"/>
          <w:u w:val="single"/>
        </w:rPr>
        <w:t>到投标截止时间止，招标人收到的投标文件少于3家的，招标人将重新组织招标。</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条款号：21.1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21.1本须知前附表第17项规定的投标截止时间</w:t>
      </w:r>
      <w:r>
        <w:rPr>
          <w:rFonts w:hint="eastAsia" w:ascii="宋体" w:hAnsi="宋体" w:eastAsia="宋体" w:cs="宋体"/>
          <w:bCs/>
          <w:color w:val="auto"/>
          <w:szCs w:val="21"/>
          <w:highlight w:val="none"/>
        </w:rPr>
        <w:t>后送达的电子投标文件，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交易平台将予以拒收。</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527" w:firstLineChars="25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21.1本须知前附表第17项规定的投标截止时间</w:t>
      </w:r>
      <w:r>
        <w:rPr>
          <w:rFonts w:hint="eastAsia" w:ascii="宋体" w:hAnsi="宋体" w:eastAsia="宋体" w:cs="宋体"/>
          <w:bCs/>
          <w:color w:val="auto"/>
          <w:szCs w:val="21"/>
          <w:highlight w:val="none"/>
        </w:rPr>
        <w:t>后送达的电子投标文件，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交易平台将予以拒收。</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条款号：27.1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27.1招标人将在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27.1招标人将在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条款号：27.4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27.4在产生中标候选人后，招标人将中标候选人的投标文件商务部分文件的所有内容（包括人员、业绩、奖项等资料）在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交易平台和广东省招标投标监管网公开。</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27.4在产生中标候选人后，招标人将中标候选人的投标文件商务部分文件的所有内容（包括人员、业绩、奖项等资料）在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交易平台和广东省招标投标监管网公开。</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 xml:space="preserve">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原中标人依法承担相应法律责任。原中标人给招标人造成的损失，应当对</w:t>
      </w:r>
      <w:r>
        <w:rPr>
          <w:rFonts w:hint="eastAsia" w:ascii="宋体" w:hAnsi="宋体" w:eastAsia="宋体" w:cs="宋体"/>
          <w:color w:val="auto"/>
          <w:szCs w:val="21"/>
          <w:highlight w:val="none"/>
          <w:u w:val="single"/>
          <w:lang w:val="en-US" w:eastAsia="zh-CN"/>
        </w:rPr>
        <w:t>其</w:t>
      </w:r>
      <w:r>
        <w:rPr>
          <w:rFonts w:hint="eastAsia" w:ascii="宋体" w:hAnsi="宋体" w:eastAsia="宋体" w:cs="宋体"/>
          <w:color w:val="auto"/>
          <w:szCs w:val="21"/>
          <w:highlight w:val="none"/>
          <w:u w:val="single"/>
        </w:rPr>
        <w:t>予以赔偿。</w:t>
      </w:r>
      <w:r>
        <w:rPr>
          <w:rFonts w:hint="eastAsia" w:ascii="宋体" w:hAnsi="宋体" w:eastAsia="宋体" w:cs="宋体"/>
          <w:color w:val="auto"/>
          <w:szCs w:val="21"/>
          <w:highlight w:val="none"/>
        </w:rPr>
        <w:t>原中标人有异议的，可以向人民法院起诉。</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条款号：28.3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eastAsia="宋体" w:cs="宋体"/>
          <w:color w:val="auto"/>
          <w:szCs w:val="21"/>
          <w:highlight w:val="none"/>
          <w:u w:val="single"/>
        </w:rPr>
        <w:t>拨付</w:t>
      </w:r>
      <w:r>
        <w:rPr>
          <w:rFonts w:hint="eastAsia" w:ascii="宋体" w:hAnsi="宋体" w:eastAsia="宋体" w:cs="宋体"/>
          <w:color w:val="auto"/>
          <w:szCs w:val="21"/>
          <w:highlight w:val="none"/>
        </w:rPr>
        <w:t>及至解除合同，由此造成的一切责任由中标人承担。</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条款号：28.5                        修改类型：增加</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28.5如本工程委托代建单位（项目建设管理单位），则可由代建单位作为发包人与中标人签订合同。</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条款号：29.1                        修改类型：修改</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29.1在收到中标通知书后的</w:t>
      </w:r>
      <w:r>
        <w:rPr>
          <w:rFonts w:hint="eastAsia" w:ascii="宋体" w:hAnsi="宋体" w:eastAsia="宋体" w:cs="宋体"/>
          <w:b/>
          <w:color w:val="auto"/>
          <w:szCs w:val="21"/>
          <w:highlight w:val="none"/>
        </w:rPr>
        <w:t>15日</w:t>
      </w:r>
      <w:r>
        <w:rPr>
          <w:rFonts w:hint="eastAsia" w:ascii="宋体" w:hAnsi="宋体" w:eastAsia="宋体" w:cs="宋体"/>
          <w:color w:val="auto"/>
          <w:szCs w:val="21"/>
          <w:highlight w:val="none"/>
        </w:rPr>
        <w:t>内，中标人应按本须知前附表第20项的规定向招标人提交履约担保。</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29.1</w:t>
      </w:r>
      <w:r>
        <w:rPr>
          <w:rFonts w:hint="eastAsia" w:ascii="宋体" w:hAnsi="宋体" w:eastAsia="宋体" w:cs="宋体"/>
          <w:color w:val="auto"/>
          <w:szCs w:val="21"/>
          <w:highlight w:val="none"/>
          <w:u w:val="single"/>
        </w:rPr>
        <w:t>合同正式签订之日后的30日内</w:t>
      </w:r>
      <w:r>
        <w:rPr>
          <w:rFonts w:hint="eastAsia" w:ascii="宋体" w:hAnsi="宋体" w:eastAsia="宋体" w:cs="宋体"/>
          <w:color w:val="auto"/>
          <w:szCs w:val="21"/>
          <w:highlight w:val="none"/>
        </w:rPr>
        <w:t>，中标人应按本须知前附表第20项的规定向招标人提交履约担保。</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条款号：29.2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：29.2</w:t>
      </w:r>
      <w:r>
        <w:rPr>
          <w:rFonts w:hint="eastAsia" w:ascii="宋体" w:hAnsi="宋体" w:eastAsia="宋体" w:cs="宋体"/>
          <w:color w:val="auto"/>
          <w:szCs w:val="21"/>
          <w:highlight w:val="none"/>
          <w:u w:val="single"/>
        </w:rPr>
        <w:t>合同正式签订之日后的30日内</w:t>
      </w:r>
      <w:r>
        <w:rPr>
          <w:rFonts w:hint="eastAsia" w:ascii="宋体" w:hAnsi="宋体" w:eastAsia="宋体" w:cs="宋体"/>
          <w:color w:val="auto"/>
          <w:szCs w:val="21"/>
          <w:highlight w:val="none"/>
        </w:rPr>
        <w:t>，中标人未按上款的规定递交履约担保，招标人将解除中标通知书，</w:t>
      </w:r>
      <w:r>
        <w:rPr>
          <w:rFonts w:hint="eastAsia" w:ascii="宋体" w:hAnsi="宋体" w:eastAsia="宋体" w:cs="宋体"/>
          <w:color w:val="auto"/>
          <w:szCs w:val="21"/>
          <w:highlight w:val="none"/>
          <w:u w:val="single"/>
        </w:rPr>
        <w:t>原中标人依法承担相应法律责任。原中标人给招标人造成的损失，还应当予以赔偿</w:t>
      </w:r>
      <w:r>
        <w:rPr>
          <w:rFonts w:hint="eastAsia" w:ascii="宋体" w:hAnsi="宋体" w:eastAsia="宋体" w:cs="宋体"/>
          <w:color w:val="auto"/>
          <w:szCs w:val="21"/>
          <w:highlight w:val="none"/>
        </w:rPr>
        <w:t>。原中标人有异议的，可以向人民法院起诉。</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 xml:space="preserve">                        修改类型：修改</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原中标人依法承担相应法律责任。原中标人给招标人造成的损失，应当对</w:t>
      </w:r>
      <w:r>
        <w:rPr>
          <w:rFonts w:hint="eastAsia" w:ascii="宋体" w:hAnsi="宋体" w:eastAsia="宋体" w:cs="宋体"/>
          <w:color w:val="auto"/>
          <w:szCs w:val="21"/>
          <w:highlight w:val="none"/>
          <w:u w:val="single"/>
          <w:lang w:val="en-US" w:eastAsia="zh-CN"/>
        </w:rPr>
        <w:t>其</w:t>
      </w:r>
      <w:r>
        <w:rPr>
          <w:rFonts w:hint="eastAsia" w:ascii="宋体" w:hAnsi="宋体" w:eastAsia="宋体" w:cs="宋体"/>
          <w:color w:val="auto"/>
          <w:szCs w:val="21"/>
          <w:highlight w:val="none"/>
          <w:u w:val="single"/>
        </w:rPr>
        <w:t>予以赔偿。</w:t>
      </w:r>
      <w:r>
        <w:rPr>
          <w:rFonts w:hint="eastAsia" w:ascii="宋体" w:hAnsi="宋体" w:eastAsia="宋体" w:cs="宋体"/>
          <w:color w:val="auto"/>
          <w:szCs w:val="21"/>
          <w:highlight w:val="none"/>
        </w:rPr>
        <w:t>原中标人有异议的，可以向人民法院起诉。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条款号：31                          修改类型：修改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原文：31.其它费用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31.</w:t>
      </w:r>
      <w:r>
        <w:rPr>
          <w:rFonts w:hint="eastAsia" w:ascii="宋体" w:hAnsi="宋体" w:eastAsia="宋体" w:cs="宋体"/>
          <w:b/>
          <w:bCs/>
          <w:color w:val="auto"/>
          <w:szCs w:val="21"/>
          <w:highlight w:val="none"/>
        </w:rPr>
        <w:t>其它费用</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中标人应交纳交易服务费，该费用包含在投标价中</w:t>
      </w:r>
      <w:r>
        <w:rPr>
          <w:rFonts w:hint="eastAsia" w:ascii="宋体" w:hAnsi="宋体" w:eastAsia="宋体" w:cs="宋体"/>
          <w:color w:val="auto"/>
          <w:szCs w:val="21"/>
          <w:highlight w:val="none"/>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firstLine="211" w:firstLineChars="1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pPr>
        <w:pStyle w:val="5"/>
        <w:pageBreakBefore w:val="0"/>
        <w:kinsoku/>
        <w:overflowPunct/>
        <w:bidi w:val="0"/>
        <w:snapToGrid w:val="0"/>
        <w:spacing w:before="0" w:beforeAutospacing="0" w:after="0" w:afterAutospacing="0"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 w:name="_Toc31334"/>
      <w:bookmarkStart w:id="5" w:name="_Toc21525492"/>
      <w:r>
        <w:rPr>
          <w:rFonts w:hint="eastAsia" w:ascii="宋体" w:hAnsi="宋体" w:eastAsia="宋体" w:cs="宋体"/>
          <w:color w:val="auto"/>
          <w:sz w:val="32"/>
          <w:szCs w:val="32"/>
          <w:highlight w:val="none"/>
        </w:rPr>
        <w:t>三、投标须知通用条款</w:t>
      </w:r>
      <w:bookmarkEnd w:id="4"/>
      <w:bookmarkEnd w:id="5"/>
    </w:p>
    <w:p>
      <w:pPr>
        <w:pStyle w:val="7"/>
        <w:pageBreakBefore w:val="0"/>
        <w:kinsoku/>
        <w:overflowPunct/>
        <w:bidi w:val="0"/>
        <w:snapToGrid w:val="0"/>
        <w:spacing w:before="0" w:beforeAutospacing="0" w:after="0" w:afterAutospacing="0" w:line="360" w:lineRule="auto"/>
        <w:rPr>
          <w:rFonts w:hint="eastAsia" w:ascii="宋体" w:hAnsi="宋体" w:eastAsia="宋体" w:cs="宋体"/>
          <w:color w:val="auto"/>
          <w:sz w:val="21"/>
          <w:szCs w:val="21"/>
          <w:highlight w:val="none"/>
        </w:rPr>
      </w:pPr>
      <w:bookmarkStart w:id="6" w:name="_Toc21525493"/>
      <w:bookmarkStart w:id="7" w:name="_Toc12947"/>
      <w:r>
        <w:rPr>
          <w:rFonts w:hint="eastAsia" w:ascii="宋体" w:hAnsi="宋体" w:eastAsia="宋体" w:cs="宋体"/>
          <w:color w:val="auto"/>
          <w:sz w:val="21"/>
          <w:szCs w:val="21"/>
          <w:highlight w:val="none"/>
        </w:rPr>
        <w:t>（一）总则</w:t>
      </w:r>
      <w:bookmarkEnd w:id="6"/>
      <w:bookmarkEnd w:id="7"/>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1、定义</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（1）“招标人”（即发包人）、“项目建设管理单位”（或称“项目代建单位”）、“招标代理”、“设计单位”、“监理单位”均已在投标须知前附表中列明。</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（2）“投标人”指向招标人提交投标文件的当事人。   </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（3）“承包人”指其投标被招标人接受并与其签订承包合同的当事人。</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（4）“招标文件”指由招标代理发出的本文件（包括全部章节、附件）及招标答疑会会议纪要和</w:t>
      </w:r>
      <w:r>
        <w:rPr>
          <w:rFonts w:hint="eastAsia" w:ascii="宋体" w:hAnsi="宋体" w:eastAsia="宋体" w:cs="宋体"/>
          <w:bCs/>
          <w:color w:val="auto"/>
          <w:sz w:val="21"/>
          <w:szCs w:val="21"/>
          <w:highlight w:val="none"/>
        </w:rPr>
        <w:t>招标文件的澄清与修改</w:t>
      </w:r>
      <w:r>
        <w:rPr>
          <w:rFonts w:hint="eastAsia" w:ascii="宋体" w:hAnsi="宋体" w:eastAsia="宋体" w:cs="宋体"/>
          <w:color w:val="auto"/>
          <w:sz w:val="21"/>
          <w:szCs w:val="21"/>
          <w:highlight w:val="none"/>
        </w:rPr>
        <w:t>文件。</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（5）“投标文件”指投标人根据本项目招标文件向招标人提交的全部文件。</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（6）“书面形式”指打字或印刷的文件和数据电文（包括电报、电传、传真、电子数据交换和电子邮件）。</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2、招标说明</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2.1本招标工程项目按照《中华人民共和国招标投标法》等有关法律、行政法规、规章和规范性文件，通过招标方式选定承包人。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2.2工程名称、建设地点、建设规模、承包方式、质量标准、招标范围、工期要求等均在投标须知前附表中列明。</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2.3设计说明：详见招标图纸。</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2.4工程施工特点：详见招标图纸。</w:t>
      </w:r>
    </w:p>
    <w:p>
      <w:pPr>
        <w:pageBreakBefore w:val="0"/>
        <w:tabs>
          <w:tab w:val="left" w:pos="105"/>
        </w:tabs>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3．资金来源</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3.1本招标工程项目资金来源见投标须知前附表第9项</w:t>
      </w:r>
    </w:p>
    <w:p>
      <w:pPr>
        <w:pageBreakBefore w:val="0"/>
        <w:tabs>
          <w:tab w:val="left" w:pos="105"/>
        </w:tabs>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4．合格投标人的条件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4.1详见本项目招标公告</w:t>
      </w:r>
    </w:p>
    <w:p>
      <w:pPr>
        <w:pageBreakBefore w:val="0"/>
        <w:tabs>
          <w:tab w:val="left" w:pos="105"/>
        </w:tabs>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5．踏勘现场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5.1 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pPr>
        <w:pageBreakBefore w:val="0"/>
        <w:tabs>
          <w:tab w:val="left" w:pos="105"/>
        </w:tabs>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 招标人向投标人提供的有关现场的数据和资料，是招标人现有的能被投标人利用的资料，招标人对投标人做出的任何推论、理解和结论均不负责任。</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 经招标人允许，投标人可为踏勘目的进入招标人的项目现场。</w:t>
      </w:r>
      <w:r>
        <w:rPr>
          <w:rFonts w:hint="eastAsia" w:ascii="宋体" w:hAnsi="宋体" w:eastAsia="宋体" w:cs="宋体"/>
          <w:color w:val="auto"/>
          <w:sz w:val="21"/>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1"/>
          <w:szCs w:val="21"/>
          <w:highlight w:val="none"/>
        </w:rPr>
        <w:t>投标人不得因此使招标人承担有关的责任和蒙受损失。</w:t>
      </w:r>
    </w:p>
    <w:p>
      <w:pPr>
        <w:pageBreakBefore w:val="0"/>
        <w:tabs>
          <w:tab w:val="left" w:pos="105"/>
        </w:tabs>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6．投标费用</w:t>
      </w:r>
    </w:p>
    <w:p>
      <w:pPr>
        <w:pageBreakBefore w:val="0"/>
        <w:tabs>
          <w:tab w:val="left" w:pos="105"/>
        </w:tabs>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w:t>
      </w:r>
      <w:r>
        <w:rPr>
          <w:rFonts w:hint="eastAsia" w:ascii="宋体" w:hAnsi="宋体" w:eastAsia="宋体" w:cs="宋体"/>
          <w:color w:val="auto"/>
          <w:sz w:val="21"/>
          <w:szCs w:val="21"/>
          <w:highlight w:val="none"/>
        </w:rPr>
        <w:t>不论投标结果如何，投标人应承担</w:t>
      </w:r>
      <w:r>
        <w:rPr>
          <w:rFonts w:hint="eastAsia" w:ascii="宋体" w:hAnsi="宋体" w:eastAsia="宋体" w:cs="宋体"/>
          <w:bCs/>
          <w:color w:val="auto"/>
          <w:sz w:val="21"/>
          <w:szCs w:val="21"/>
          <w:highlight w:val="none"/>
        </w:rPr>
        <w:t>自身</w:t>
      </w:r>
      <w:r>
        <w:rPr>
          <w:rFonts w:hint="eastAsia" w:ascii="宋体" w:hAnsi="宋体" w:eastAsia="宋体" w:cs="宋体"/>
          <w:color w:val="auto"/>
          <w:sz w:val="21"/>
          <w:szCs w:val="21"/>
          <w:highlight w:val="none"/>
        </w:rPr>
        <w:t>因投标文件编制、递交及其他</w:t>
      </w:r>
      <w:r>
        <w:rPr>
          <w:rFonts w:hint="eastAsia" w:ascii="宋体" w:hAnsi="宋体" w:eastAsia="宋体" w:cs="宋体"/>
          <w:bCs/>
          <w:color w:val="auto"/>
          <w:sz w:val="21"/>
          <w:szCs w:val="21"/>
          <w:highlight w:val="none"/>
        </w:rPr>
        <w:t>参加本招标活动</w:t>
      </w:r>
      <w:r>
        <w:rPr>
          <w:rFonts w:hint="eastAsia" w:ascii="宋体" w:hAnsi="宋体" w:eastAsia="宋体" w:cs="宋体"/>
          <w:color w:val="auto"/>
          <w:sz w:val="21"/>
          <w:szCs w:val="21"/>
          <w:highlight w:val="none"/>
        </w:rPr>
        <w:t>所涉及的一切费用，招标人对上述费用不负任何责任。</w:t>
      </w:r>
    </w:p>
    <w:p>
      <w:pPr>
        <w:pStyle w:val="7"/>
        <w:pageBreakBefore w:val="0"/>
        <w:kinsoku/>
        <w:overflowPunct/>
        <w:bidi w:val="0"/>
        <w:snapToGrid w:val="0"/>
        <w:spacing w:before="0" w:beforeAutospacing="0" w:after="0" w:afterAutospacing="0" w:line="360" w:lineRule="auto"/>
        <w:rPr>
          <w:rFonts w:hint="eastAsia" w:ascii="宋体" w:hAnsi="宋体" w:eastAsia="宋体" w:cs="宋体"/>
          <w:color w:val="auto"/>
          <w:sz w:val="21"/>
          <w:szCs w:val="21"/>
          <w:highlight w:val="none"/>
        </w:rPr>
      </w:pPr>
      <w:bookmarkStart w:id="8" w:name="_Toc32111"/>
      <w:bookmarkStart w:id="9" w:name="_Toc21525494"/>
      <w:r>
        <w:rPr>
          <w:rFonts w:hint="eastAsia" w:ascii="宋体" w:hAnsi="宋体" w:eastAsia="宋体" w:cs="宋体"/>
          <w:color w:val="auto"/>
          <w:sz w:val="21"/>
          <w:szCs w:val="21"/>
          <w:highlight w:val="none"/>
        </w:rPr>
        <w:t>（二）招标文件</w:t>
      </w:r>
      <w:bookmarkEnd w:id="8"/>
      <w:bookmarkEnd w:id="9"/>
    </w:p>
    <w:p>
      <w:pPr>
        <w:pageBreakBefore w:val="0"/>
        <w:tabs>
          <w:tab w:val="left" w:pos="105"/>
        </w:tabs>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7.招标文件的组成</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7.1</w:t>
      </w:r>
      <w:r>
        <w:rPr>
          <w:rFonts w:hint="eastAsia" w:ascii="宋体" w:hAnsi="宋体" w:eastAsia="宋体" w:cs="宋体"/>
          <w:color w:val="auto"/>
          <w:sz w:val="21"/>
          <w:szCs w:val="21"/>
          <w:highlight w:val="none"/>
        </w:rPr>
        <w:t>本招标文件包括下列文件，以及所有按本须知第8条发出的招标答疑会会议纪要和按本须知第9条发出的澄清或修改：</w:t>
      </w:r>
    </w:p>
    <w:p>
      <w:pPr>
        <w:pStyle w:val="18"/>
        <w:pageBreakBefore w:val="0"/>
        <w:kinsoku/>
        <w:overflowPunct/>
        <w:bidi w:val="0"/>
        <w:snapToGrid w:val="0"/>
        <w:spacing w:beforeAutospacing="0" w:after="0" w:afterAutospacing="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第一章  </w:t>
      </w:r>
      <w:r>
        <w:rPr>
          <w:rFonts w:hint="eastAsia" w:ascii="宋体" w:hAnsi="宋体" w:eastAsia="宋体" w:cs="宋体"/>
          <w:color w:val="auto"/>
          <w:sz w:val="21"/>
          <w:szCs w:val="21"/>
          <w:highlight w:val="none"/>
        </w:rPr>
        <w:t>投标须知</w:t>
      </w:r>
    </w:p>
    <w:p>
      <w:pPr>
        <w:pStyle w:val="18"/>
        <w:pageBreakBefore w:val="0"/>
        <w:kinsoku/>
        <w:overflowPunct/>
        <w:bidi w:val="0"/>
        <w:snapToGrid w:val="0"/>
        <w:spacing w:beforeAutospacing="0" w:after="0" w:afterAutospacing="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第二章  </w:t>
      </w:r>
      <w:r>
        <w:rPr>
          <w:rFonts w:hint="eastAsia" w:ascii="宋体" w:hAnsi="宋体" w:eastAsia="宋体" w:cs="宋体"/>
          <w:color w:val="auto"/>
          <w:sz w:val="21"/>
          <w:szCs w:val="21"/>
          <w:highlight w:val="none"/>
        </w:rPr>
        <w:t>开标、评标及定标办法</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第四章  </w:t>
      </w:r>
      <w:r>
        <w:rPr>
          <w:rFonts w:hint="eastAsia" w:ascii="宋体" w:hAnsi="宋体" w:eastAsia="宋体" w:cs="宋体"/>
          <w:color w:val="auto"/>
          <w:sz w:val="21"/>
          <w:szCs w:val="21"/>
          <w:highlight w:val="none"/>
        </w:rPr>
        <w:t>投标文件格式</w:t>
      </w:r>
    </w:p>
    <w:p>
      <w:pPr>
        <w:pStyle w:val="18"/>
        <w:pageBreakBefore w:val="0"/>
        <w:kinsoku/>
        <w:overflowPunct/>
        <w:bidi w:val="0"/>
        <w:snapToGrid w:val="0"/>
        <w:spacing w:beforeAutospacing="0" w:after="0" w:afterAutospacing="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第五章  </w:t>
      </w:r>
      <w:r>
        <w:rPr>
          <w:rFonts w:hint="eastAsia" w:ascii="宋体" w:hAnsi="宋体" w:eastAsia="宋体" w:cs="宋体"/>
          <w:color w:val="auto"/>
          <w:sz w:val="21"/>
          <w:szCs w:val="21"/>
          <w:highlight w:val="none"/>
        </w:rPr>
        <w:t>技术条件（工程建设标准）（另册）</w:t>
      </w:r>
    </w:p>
    <w:p>
      <w:pPr>
        <w:pStyle w:val="18"/>
        <w:pageBreakBefore w:val="0"/>
        <w:kinsoku/>
        <w:overflowPunct/>
        <w:bidi w:val="0"/>
        <w:snapToGrid w:val="0"/>
        <w:spacing w:beforeAutospacing="0" w:after="0" w:afterAutospacing="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第六章  </w:t>
      </w:r>
      <w:r>
        <w:rPr>
          <w:rFonts w:hint="eastAsia" w:ascii="宋体" w:hAnsi="宋体" w:eastAsia="宋体" w:cs="宋体"/>
          <w:color w:val="auto"/>
          <w:sz w:val="21"/>
          <w:szCs w:val="21"/>
          <w:highlight w:val="none"/>
        </w:rPr>
        <w:t>图纸及勘察资料（另册）</w:t>
      </w:r>
    </w:p>
    <w:p>
      <w:pPr>
        <w:pStyle w:val="18"/>
        <w:pageBreakBefore w:val="0"/>
        <w:kinsoku/>
        <w:overflowPunct/>
        <w:bidi w:val="0"/>
        <w:snapToGrid w:val="0"/>
        <w:spacing w:beforeAutospacing="0" w:after="0" w:afterAutospacing="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第七章  招标</w:t>
      </w:r>
      <w:r>
        <w:rPr>
          <w:rFonts w:hint="eastAsia" w:ascii="宋体" w:hAnsi="宋体" w:eastAsia="宋体" w:cs="宋体"/>
          <w:color w:val="auto"/>
          <w:sz w:val="21"/>
          <w:szCs w:val="21"/>
          <w:highlight w:val="none"/>
        </w:rPr>
        <w:t>工程量清单（另册）</w:t>
      </w:r>
    </w:p>
    <w:p>
      <w:pPr>
        <w:pStyle w:val="18"/>
        <w:pageBreakBefore w:val="0"/>
        <w:kinsoku/>
        <w:overflowPunct/>
        <w:bidi w:val="0"/>
        <w:snapToGrid w:val="0"/>
        <w:spacing w:beforeAutospacing="0" w:after="0" w:afterAutospacing="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最高投标限价</w:t>
      </w:r>
    </w:p>
    <w:p>
      <w:pPr>
        <w:pStyle w:val="18"/>
        <w:pageBreakBefore w:val="0"/>
        <w:kinsoku/>
        <w:overflowPunct/>
        <w:bidi w:val="0"/>
        <w:snapToGrid w:val="0"/>
        <w:spacing w:beforeAutospacing="0" w:after="0" w:afterAutospacing="0" w:line="360" w:lineRule="auto"/>
        <w:ind w:left="-2"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注：招标人应在技术条件（工程建设标准）中明确施工现场建筑垃圾源头减量的具体要求和建筑垃圾综合利用产品的使用要求。</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投标人一旦中标，招标文件的内容对招标人和中标人双方均有约束力。</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8．招标答疑</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交易平台提交给招标人或招标代理人，提交形式见本须知前附表第16项。</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8.3答疑会会议纪要为招标文件的一部分。</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9.招标文件的澄清与修改</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9.1招标文件发出后,在提交投标文件截止时间15日前，招标人可对招标文件进行必要的澄清或修改。</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9.3招标文件的修改内容为招标文件的组成部分。</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pageBreakBefore w:val="0"/>
        <w:kinsoku/>
        <w:overflowPunct/>
        <w:bidi w:val="0"/>
        <w:snapToGrid w:val="0"/>
        <w:spacing w:before="0" w:beforeAutospacing="0" w:after="0" w:afterAutospacing="0" w:line="360" w:lineRule="auto"/>
        <w:rPr>
          <w:rFonts w:hint="eastAsia" w:ascii="宋体" w:hAnsi="宋体" w:eastAsia="宋体" w:cs="宋体"/>
          <w:color w:val="auto"/>
          <w:sz w:val="21"/>
          <w:szCs w:val="21"/>
          <w:highlight w:val="none"/>
        </w:rPr>
      </w:pPr>
      <w:bookmarkStart w:id="10" w:name="_Toc32542"/>
      <w:bookmarkStart w:id="11" w:name="_Toc21525495"/>
      <w:r>
        <w:rPr>
          <w:rFonts w:hint="eastAsia" w:ascii="宋体" w:hAnsi="宋体" w:eastAsia="宋体" w:cs="宋体"/>
          <w:color w:val="auto"/>
          <w:sz w:val="21"/>
          <w:szCs w:val="21"/>
          <w:highlight w:val="none"/>
        </w:rPr>
        <w:t>（三）投标文件的编制</w:t>
      </w:r>
      <w:bookmarkEnd w:id="10"/>
      <w:bookmarkEnd w:id="11"/>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10．投标文件的语言及度量衡单位</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投标文件和与投标有关的所有文件均应使用中文。</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除工程规范另有规定外，投标文件使用的度量衡单位，均采用中华人民共和国法定计量单位。</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11．投标文件的组成</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11.1 投标文件由技术部分（含资格审查文件）和经济部分二部分投标文件组成</w:t>
      </w:r>
      <w:r>
        <w:rPr>
          <w:rFonts w:hint="eastAsia" w:ascii="宋体" w:hAnsi="宋体" w:eastAsia="宋体" w:cs="宋体"/>
          <w:b/>
          <w:color w:val="auto"/>
          <w:sz w:val="21"/>
          <w:szCs w:val="21"/>
          <w:highlight w:val="none"/>
        </w:rPr>
        <w:t>。</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 技术投标文件</w:t>
      </w:r>
      <w:r>
        <w:rPr>
          <w:rFonts w:hint="eastAsia" w:ascii="宋体" w:hAnsi="宋体" w:eastAsia="宋体" w:cs="宋体"/>
          <w:color w:val="auto"/>
          <w:sz w:val="21"/>
          <w:szCs w:val="21"/>
          <w:highlight w:val="none"/>
        </w:rPr>
        <w:t>(按招标文件的要求填写)</w:t>
      </w:r>
      <w:r>
        <w:rPr>
          <w:rFonts w:hint="eastAsia" w:ascii="宋体" w:hAnsi="宋体" w:eastAsia="宋体" w:cs="宋体"/>
          <w:bCs/>
          <w:color w:val="auto"/>
          <w:sz w:val="21"/>
          <w:szCs w:val="21"/>
          <w:highlight w:val="none"/>
        </w:rPr>
        <w:t>；</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资格审查文件：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（1）投标人声明； </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（3）企业营业执照（取自平台内上传件）；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（4）企业资质证书（取自平台内上传件）；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（5）建筑施工企业安全生产许可证（取自平台内上传件）；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（8）拟委托技术负责人的相关证书、资料（具体要求由招标人明确）</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（9）拟委派项目负责人的建造师注册证书（取自平台内上传件）；  </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（10）项目负责人安全生产考核合格证明或在有效期内的安全考核合格证书（B类）或建筑施工企业项目负责人安全生产考核合格证书（取自平台内上传件）；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（11）专职安全员须具有在有效期内的安全考核合格证书（C类）或建筑施工企业专职安全生产管理人员安全生产考核合格证书（取自平台内上传件）；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（12）用于资格审查的业绩（设置业绩要求时选择此项，投标人</w:t>
      </w:r>
      <w:r>
        <w:rPr>
          <w:rFonts w:hint="eastAsia" w:ascii="宋体" w:hAnsi="宋体" w:eastAsia="宋体" w:cs="宋体"/>
          <w:color w:val="auto"/>
          <w:sz w:val="21"/>
          <w:szCs w:val="21"/>
          <w:highlight w:val="none"/>
        </w:rPr>
        <w:t>须提供类似工程业绩的项目名称及项目编号，具体格式由招标人自定</w:t>
      </w:r>
      <w:r>
        <w:rPr>
          <w:rFonts w:hint="eastAsia" w:ascii="宋体" w:hAnsi="宋体" w:eastAsia="宋体" w:cs="宋体"/>
          <w:bCs/>
          <w:color w:val="auto"/>
          <w:sz w:val="21"/>
          <w:szCs w:val="21"/>
          <w:highlight w:val="none"/>
        </w:rPr>
        <w:t>）；</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（13）资格审查前，投标人须在广州市住房和城乡建设局建立企业信用档案，拟担任本工程项目负责人、专职安全员须是本企业信用档案中的在册人员。</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1"/>
          <w:szCs w:val="21"/>
          <w:highlight w:val="none"/>
        </w:rPr>
        <w:t>联合体工作协议应明确约定各方拟承担的工作和责任</w:t>
      </w:r>
      <w:r>
        <w:rPr>
          <w:rFonts w:hint="eastAsia" w:ascii="宋体" w:hAnsi="宋体" w:eastAsia="宋体" w:cs="宋体"/>
          <w:bCs/>
          <w:color w:val="auto"/>
          <w:sz w:val="21"/>
          <w:szCs w:val="21"/>
          <w:highlight w:val="none"/>
        </w:rPr>
        <w:t xml:space="preserve">）； </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11.2.3项目管理机构配备。</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（1）投标人应列出该项目工程的施工组织机构构成和画出机构框架图及其负责人；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（2）投标人应详细列出该施工组织机构中主要成员的名单、简历资料、职务职称和在本项目中拟担任的职务等资料，并附上有关证明材料扫描件；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（3）其他辅助说明资料。</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11.2.4投标人在广州市可使用适合本工程的机械设备（附：机械设备为自有或租赁的说明；及承诺机械设备如属于租赁的，其租赁是不属于重复租赁）。</w:t>
      </w:r>
    </w:p>
    <w:p>
      <w:pPr>
        <w:pageBreakBefore w:val="0"/>
        <w:tabs>
          <w:tab w:val="left" w:pos="1125"/>
        </w:tabs>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11.2.5施工组织设计或施工方案。</w:t>
      </w:r>
      <w:r>
        <w:rPr>
          <w:rFonts w:hint="eastAsia" w:ascii="宋体" w:hAnsi="宋体" w:eastAsia="宋体" w:cs="宋体"/>
          <w:bCs/>
          <w:color w:val="auto"/>
          <w:kern w:val="0"/>
          <w:sz w:val="21"/>
          <w:szCs w:val="21"/>
          <w:highlight w:val="none"/>
        </w:rPr>
        <w:t>（</w:t>
      </w:r>
      <w:r>
        <w:rPr>
          <w:rFonts w:hint="eastAsia" w:ascii="宋体" w:hAnsi="宋体" w:eastAsia="宋体" w:cs="宋体"/>
          <w:b/>
          <w:bCs/>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1"/>
          <w:szCs w:val="21"/>
          <w:highlight w:val="none"/>
        </w:rPr>
        <w:t>）</w:t>
      </w:r>
    </w:p>
    <w:p>
      <w:pPr>
        <w:pageBreakBefore w:val="0"/>
        <w:tabs>
          <w:tab w:val="left" w:pos="1125"/>
        </w:tabs>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填写的《参与编制技术标投标文件人员名单》。</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11.3 经济部分投标文件主要包括下列内容：</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 经济投标文件(按招标文件的要求填写)。</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pageBreakBefore w:val="0"/>
        <w:kinsoku/>
        <w:overflowPunct/>
        <w:bidi w:val="0"/>
        <w:snapToGrid w:val="0"/>
        <w:spacing w:beforeAutospacing="0" w:afterAutospacing="0"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（17）人工、主要材料和设备一览表</w:t>
      </w:r>
    </w:p>
    <w:p>
      <w:pPr>
        <w:pageBreakBefore w:val="0"/>
        <w:tabs>
          <w:tab w:val="left" w:pos="1125"/>
        </w:tabs>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填写的《参与编制经济标投标文件人员名单》。</w:t>
      </w:r>
    </w:p>
    <w:p>
      <w:pPr>
        <w:pageBreakBefore w:val="0"/>
        <w:tabs>
          <w:tab w:val="left" w:pos="1125"/>
        </w:tabs>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12．投标文件格式</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8"/>
        <w:pageBreakBefore w:val="0"/>
        <w:kinsoku/>
        <w:overflowPunct/>
        <w:bidi w:val="0"/>
        <w:snapToGrid w:val="0"/>
        <w:spacing w:beforeAutospacing="0" w:after="0" w:afterAutospacing="0" w:line="360" w:lineRule="auto"/>
        <w:ind w:firstLine="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13．投标报价及造价承包和变更结算方式</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本工程的投标报价采用投标须知前附表第12项所规定的方式。投标报价（含单价及总价）精确到“分”。</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13.6暂列金额、暂估价</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暂估价是指招标人在工程量清单中提供的用于支付必然发生但暂时不能确定价格的材料的单价以及专业工程的金额。</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14．投标货币</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本工程投标报价采用的币种为人民币。</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15．投标有效期</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投标有效期见投标须知前附表第13项所规定的期限，在此期限内，凡符合本招标文件要求的投标文件均保持有效。</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16．投标保证金</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16.1投标人应按投标须知前附表第14项所述金额和时间递交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16.4如有下列情况之一的，招标人可以不予退还投标保证金（是否退还投标保证金由招标人在招标文件中规定）：</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16.4.1因投标人原因造成投标文件未解密的；</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16.4.2投标人在投标有效期内撤销投标文件；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16.4.3中标人未能在规定期限内按要求提交履约担保；</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16.4.4中标人未能在规定期限内签署合同协议。</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16.5投标人如存在下列情况之一的，将被拒绝在一定时期内参与招标人后续工程投标（拒绝时限需在招标文件中明确）：</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16.5.1投标人存在16.4条款所列情形且投标人提交的保函、担保或保证保险无法兑付的；</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16.5.2采用非电子形式提交投标保证金的投标人存在16.4条款所列情形，且未按招标人要求补交银行保函、专业工程担保公司担保或保证保险原件的；</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16.5.3按招标文件要求免于提供投标保证金的投标人存在16.4条款所列情形，且未按招标人要求补交投标保证金的；</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16.5.3按招标文件要求免于提供投标保证金的投标人存在16.4条款所列情形的。</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注：16.5.3款由招标人二选一，需在招标文件中明确。</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17．投标文件的签署</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7"/>
        <w:pageBreakBefore w:val="0"/>
        <w:kinsoku/>
        <w:overflowPunct/>
        <w:bidi w:val="0"/>
        <w:snapToGrid w:val="0"/>
        <w:spacing w:before="0" w:beforeAutospacing="0" w:after="0" w:afterAutospacing="0" w:line="360" w:lineRule="auto"/>
        <w:rPr>
          <w:rFonts w:hint="eastAsia" w:ascii="宋体" w:hAnsi="宋体" w:eastAsia="宋体" w:cs="宋体"/>
          <w:color w:val="auto"/>
          <w:sz w:val="21"/>
          <w:szCs w:val="21"/>
          <w:highlight w:val="none"/>
        </w:rPr>
      </w:pPr>
      <w:bookmarkStart w:id="12" w:name="_Toc21525496"/>
      <w:bookmarkStart w:id="13" w:name="_Toc24057"/>
      <w:r>
        <w:rPr>
          <w:rFonts w:hint="eastAsia" w:ascii="宋体" w:hAnsi="宋体" w:eastAsia="宋体" w:cs="宋体"/>
          <w:color w:val="auto"/>
          <w:sz w:val="21"/>
          <w:szCs w:val="21"/>
          <w:highlight w:val="none"/>
        </w:rPr>
        <w:t>（四）投标文件的提交</w:t>
      </w:r>
      <w:bookmarkEnd w:id="12"/>
      <w:bookmarkEnd w:id="13"/>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19．投标文件的递交和接收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投标截止前，招标人拒绝接收符合条件的投标文件，投标人可向招标投标监督机构投诉。</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20．投标文件提交的截止时间</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20.1投标人应在投标须知前附表第17项所述的时间前提交投标文件。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到投标截止时间止，招标人收到的投标文件少于3家的，招标人将重新组织招标（当N个标段同时招标且不允许兼中时，若有效投标人不足N+2家，则重新组织招标）。</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21．迟交的投标文件</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本须知前附表第17项规定的投标截止时间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22．投标文件的修改与撤回</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22.1在规定的投标截止时间前，投标人可以修改或撤回已递交的投标文件，但应以书面形式通知招标人。</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22.2投标人修改或撤回已递交的投标文件，需在交易平台发出修改或撤回通知，并按要求加盖电子印章。</w:t>
      </w:r>
      <w:r>
        <w:rPr>
          <w:rFonts w:hint="eastAsia" w:ascii="宋体" w:hAnsi="宋体" w:eastAsia="宋体" w:cs="宋体"/>
          <w:bCs/>
          <w:iCs/>
          <w:color w:val="auto"/>
          <w:sz w:val="21"/>
          <w:szCs w:val="21"/>
          <w:highlight w:val="none"/>
        </w:rPr>
        <w:t>电子招标投标交易平台收到通知后，</w:t>
      </w:r>
      <w:r>
        <w:rPr>
          <w:rFonts w:hint="eastAsia" w:ascii="宋体" w:hAnsi="宋体" w:eastAsia="宋体" w:cs="宋体"/>
          <w:color w:val="auto"/>
          <w:sz w:val="21"/>
          <w:szCs w:val="21"/>
          <w:highlight w:val="none"/>
        </w:rPr>
        <w:t>即时向投标人发出确认回执通知。</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22.3修改后再次递交的，按19点的规定执行。</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在投标截止时间之后，投标人不得补充、修改和更换投标文件。</w:t>
      </w:r>
    </w:p>
    <w:p>
      <w:pPr>
        <w:pStyle w:val="7"/>
        <w:pageBreakBefore w:val="0"/>
        <w:kinsoku/>
        <w:overflowPunct/>
        <w:bidi w:val="0"/>
        <w:snapToGrid w:val="0"/>
        <w:spacing w:before="0" w:beforeAutospacing="0" w:after="0" w:afterAutospacing="0" w:line="360" w:lineRule="auto"/>
        <w:rPr>
          <w:rFonts w:hint="eastAsia" w:ascii="宋体" w:hAnsi="宋体" w:eastAsia="宋体" w:cs="宋体"/>
          <w:color w:val="auto"/>
          <w:sz w:val="21"/>
          <w:szCs w:val="21"/>
          <w:highlight w:val="none"/>
        </w:rPr>
      </w:pPr>
      <w:bookmarkStart w:id="14" w:name="_Toc13732"/>
      <w:bookmarkStart w:id="15" w:name="_Toc21525497"/>
      <w:r>
        <w:rPr>
          <w:rFonts w:hint="eastAsia" w:ascii="宋体" w:hAnsi="宋体" w:eastAsia="宋体" w:cs="宋体"/>
          <w:color w:val="auto"/>
          <w:sz w:val="21"/>
          <w:szCs w:val="21"/>
          <w:highlight w:val="none"/>
        </w:rPr>
        <w:t>（五）开标、评标、定标及合同签定</w:t>
      </w:r>
      <w:bookmarkEnd w:id="14"/>
      <w:bookmarkEnd w:id="15"/>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23、开标。</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详见第二章开标、评标及定标办法</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24．评标过程的保密</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开标后，直至中标公示为止，凡属于对投标文件的审查、澄清、评价和比较有关的资料以及中标候选人的推荐情况，与评标有关的其他任何情况均严格保密。</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在投标文件的评审和比较、中标候选人推荐以及授予合同的过程中，投标人向招标人和评标委员会施加不公正影响的任何行为，都将会导致其投标被拒绝。</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25．投标文件的澄清，计算错误的修正</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详见招标文件第二章开标、评标及定标办法</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26．投标文件的评审、比较和否决</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详见招标文件第二章开标、评标及定标办法。</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27．中标通知书</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27.2招标人应当自确定中标人后，向招标投标监管机构提交招标投标情况的书面报告；经招投标监管机构备案后，方可发出中标通知书。</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27.3中标人必须在收到中标通知书后24小时之内以书面形式回复招标人，确认收到。</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28．合同协议书的签订</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 招标人与中标人将于中标通知书发出之日起30日内，按照招标文件和中标人的投标文件商定和签订合同，招标人和中标人不得再行订立背离合同实质性内容的其他协议。</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28.4招标人支付工程款时，中标人应按规定开具发票。</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29．履约担保</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 在收到中标通知书后的</w:t>
      </w:r>
      <w:r>
        <w:rPr>
          <w:rFonts w:hint="eastAsia" w:ascii="宋体" w:hAnsi="宋体" w:eastAsia="宋体" w:cs="宋体"/>
          <w:b/>
          <w:color w:val="auto"/>
          <w:sz w:val="21"/>
          <w:szCs w:val="21"/>
          <w:highlight w:val="none"/>
        </w:rPr>
        <w:t>15日</w:t>
      </w:r>
      <w:r>
        <w:rPr>
          <w:rFonts w:hint="eastAsia" w:ascii="宋体" w:hAnsi="宋体" w:eastAsia="宋体" w:cs="宋体"/>
          <w:color w:val="auto"/>
          <w:sz w:val="21"/>
          <w:szCs w:val="21"/>
          <w:highlight w:val="none"/>
        </w:rPr>
        <w:t>内，中标人应按本须知前附表第20项的规定向招标人提交履约担保。</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30．合同生效</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30.1在合同双方全权代表在合同协议书上签字，并分别加盖双方单位的公章后，合同正式生效。</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31．其它费用</w:t>
      </w:r>
    </w:p>
    <w:p>
      <w:pPr>
        <w:pStyle w:val="18"/>
        <w:pageBreakBefore w:val="0"/>
        <w:kinsoku/>
        <w:overflowPunct/>
        <w:bidi w:val="0"/>
        <w:snapToGrid w:val="0"/>
        <w:spacing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32．腐败与欺诈行为</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在招标和合同实施期间，招标人要求投标人和承包人遵守最高的道德标准。</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32．1对本条款的规定，特定义如下词汇：</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1）、“腐败行为”是指在招标或合同执行期间，通过提供、给予、接受或索要任何有价值的东西，从而影响招标人有关人员工作的行为；</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32．2如果投标人被认定在本招标的竞争中有腐败或欺诈行为，则会被取消投标资格。</w:t>
      </w:r>
    </w:p>
    <w:p>
      <w:pPr>
        <w:pStyle w:val="18"/>
        <w:pageBreakBefore w:val="0"/>
        <w:kinsoku/>
        <w:overflowPunct/>
        <w:bidi w:val="0"/>
        <w:snapToGrid w:val="0"/>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18"/>
        <w:pageBreakBefore w:val="0"/>
        <w:kinsoku/>
        <w:overflowPunct/>
        <w:bidi w:val="0"/>
        <w:snapToGrid w:val="0"/>
        <w:spacing w:beforeAutospacing="0" w:after="0" w:afterAutospacing="0" w:line="360" w:lineRule="auto"/>
        <w:ind w:firstLine="480" w:firstLineChars="200"/>
        <w:rPr>
          <w:rFonts w:hint="eastAsia" w:ascii="宋体" w:hAnsi="宋体" w:eastAsia="宋体" w:cs="宋体"/>
          <w:color w:val="auto"/>
          <w:sz w:val="24"/>
          <w:szCs w:val="24"/>
          <w:highlight w:val="none"/>
        </w:r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bookmarkStart w:id="16" w:name="_Toc12835"/>
      <w:r>
        <w:rPr>
          <w:rFonts w:hint="eastAsia" w:ascii="宋体" w:hAnsi="宋体" w:eastAsia="宋体" w:cs="宋体"/>
          <w:b/>
          <w:bCs/>
          <w:color w:val="auto"/>
          <w:sz w:val="32"/>
          <w:szCs w:val="32"/>
          <w:highlight w:val="none"/>
        </w:rPr>
        <w:t>第二章  开标、评标及定标办法</w:t>
      </w:r>
      <w:bookmarkEnd w:id="16"/>
    </w:p>
    <w:p>
      <w:pPr>
        <w:pStyle w:val="5"/>
        <w:pageBreakBefore w:val="0"/>
        <w:kinsoku/>
        <w:overflowPunct/>
        <w:bidi w:val="0"/>
        <w:snapToGrid w:val="0"/>
        <w:spacing w:before="0" w:beforeAutospacing="0" w:after="0" w:afterAutospacing="0" w:line="360" w:lineRule="auto"/>
        <w:ind w:left="0" w:leftChars="0" w:firstLine="0" w:firstLineChars="0"/>
        <w:jc w:val="center"/>
        <w:rPr>
          <w:rFonts w:hint="eastAsia" w:ascii="宋体" w:hAnsi="宋体" w:eastAsia="宋体" w:cs="宋体"/>
          <w:color w:val="auto"/>
          <w:sz w:val="32"/>
          <w:szCs w:val="32"/>
          <w:highlight w:val="none"/>
        </w:rPr>
      </w:pPr>
      <w:bookmarkStart w:id="17" w:name="_Toc20882"/>
      <w:r>
        <w:rPr>
          <w:rFonts w:hint="eastAsia" w:ascii="宋体" w:hAnsi="宋体" w:eastAsia="宋体" w:cs="宋体"/>
          <w:color w:val="auto"/>
          <w:sz w:val="32"/>
          <w:szCs w:val="32"/>
          <w:highlight w:val="none"/>
        </w:rPr>
        <w:t>一、开标、评标及定标办法修改表</w:t>
      </w:r>
      <w:bookmarkEnd w:id="17"/>
    </w:p>
    <w:p>
      <w:pPr>
        <w:pStyle w:val="18"/>
        <w:pageBreakBefore w:val="0"/>
        <w:kinsoku/>
        <w:overflowPunct/>
        <w:bidi w:val="0"/>
        <w:snapToGrid w:val="0"/>
        <w:spacing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"http://www.gzcc.gov.cn/）下载GZZB2018-3"</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rPr>
        <w:t>http://zfcj.gz.gov.cn/</w:t>
      </w:r>
      <w:r>
        <w:rPr>
          <w:rStyle w:val="23"/>
          <w:rFonts w:hint="eastAsia" w:ascii="宋体" w:hAnsi="宋体" w:eastAsia="宋体" w:cs="宋体"/>
          <w:b/>
          <w:color w:val="auto"/>
          <w:sz w:val="21"/>
          <w:szCs w:val="21"/>
          <w:highlight w:val="none"/>
        </w:rPr>
        <w:t>）下载GZZB2018-3</w:t>
      </w:r>
      <w:r>
        <w:rPr>
          <w:rFonts w:hint="eastAsia" w:ascii="宋体" w:hAnsi="宋体" w:eastAsia="宋体" w:cs="宋体"/>
          <w:color w:val="auto"/>
          <w:sz w:val="21"/>
          <w:szCs w:val="21"/>
          <w:highlight w:val="none"/>
        </w:rPr>
        <w:fldChar w:fldCharType="end"/>
      </w:r>
      <w:r>
        <w:rPr>
          <w:rFonts w:hint="eastAsia" w:ascii="宋体" w:hAnsi="宋体" w:eastAsia="宋体" w:cs="宋体"/>
          <w:b/>
          <w:color w:val="auto"/>
          <w:sz w:val="21"/>
          <w:szCs w:val="21"/>
          <w:highlight w:val="none"/>
        </w:rPr>
        <w:t>范本查阅。</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条款号：36.1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pPr>
        <w:pageBreakBefore w:val="0"/>
        <w:kinsoku/>
        <w:overflowPunct/>
        <w:bidi w:val="0"/>
        <w:snapToGrid w:val="0"/>
        <w:spacing w:beforeAutospacing="0" w:afterAutospacing="0" w:line="360" w:lineRule="auto"/>
        <w:ind w:firstLine="495" w:firstLineChars="2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ageBreakBefore w:val="0"/>
        <w:pBdr>
          <w:bottom w:val="single" w:color="auto" w:sz="6" w:space="1"/>
        </w:pBdr>
        <w:kinsoku/>
        <w:overflowPunct/>
        <w:bidi w:val="0"/>
        <w:snapToGrid w:val="0"/>
        <w:spacing w:beforeAutospacing="0" w:afterAutospacing="0"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eastAsia="宋体" w:cs="宋体"/>
          <w:color w:val="auto"/>
          <w:sz w:val="21"/>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条款号：36.3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6"/>
        <w:pageBreakBefore w:val="0"/>
        <w:kinsoku/>
        <w:overflowPunct/>
        <w:bidi w:val="0"/>
        <w:snapToGrid w:val="0"/>
        <w:spacing w:beforeAutospacing="0" w:afterAutospacing="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条款号：36.4                              修改类型：修改</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36.4若递交投标文件的投标人不足3家，则重新组织招标。（当N个标段同时招标且不允许兼中时，若有效投标人不足N+2家，则重新组织招标）</w:t>
      </w:r>
    </w:p>
    <w:p>
      <w:pPr>
        <w:pageBreakBefore w:val="0"/>
        <w:pBdr>
          <w:bottom w:val="single" w:color="auto" w:sz="6" w:space="1"/>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36.4若递交投标文件的投标人不足3家，则重新组织招标。</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条款号：36.5.1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修改类型：修改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pPr>
        <w:pageBreakBefore w:val="0"/>
        <w:pBdr>
          <w:bottom w:val="single" w:color="auto" w:sz="6" w:space="1"/>
        </w:pBdr>
        <w:kinsoku/>
        <w:overflowPunct/>
        <w:bidi w:val="0"/>
        <w:snapToGrid w:val="0"/>
        <w:spacing w:beforeAutospacing="0" w:afterAutospacing="0"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36.5.1在投标截止时间后半小时内，投标人通过</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rPr>
        <w:t>交易平台对已递交的电子投标文件进行解密。投标人完成解密后，再由招标人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进行解密。解密完成后，公布招标项目名称、投标人名称、投标报价、工期及其他内容；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条款号：36.5.3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36.5.3投标人代表、招标人代表、监标人、记录人等有关人员在开标记录上签字确认；若有关人员不签字的，不影响开标程序；</w:t>
      </w:r>
    </w:p>
    <w:p>
      <w:pPr>
        <w:pageBreakBefore w:val="0"/>
        <w:pBdr>
          <w:bottom w:val="single" w:color="auto" w:sz="6" w:space="1"/>
        </w:pBdr>
        <w:kinsoku/>
        <w:overflowPunct/>
        <w:bidi w:val="0"/>
        <w:snapToGrid w:val="0"/>
        <w:spacing w:beforeAutospacing="0" w:afterAutospacing="0" w:line="360" w:lineRule="auto"/>
        <w:ind w:firstLine="424" w:firstLineChars="20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36.5.3</w:t>
      </w:r>
      <w:r>
        <w:rPr>
          <w:rFonts w:hint="eastAsia" w:ascii="宋体" w:hAnsi="宋体" w:eastAsia="宋体" w:cs="宋体"/>
          <w:color w:val="auto"/>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Cs w:val="21"/>
          <w:highlight w:val="none"/>
          <w:u w:val="single"/>
        </w:rPr>
        <w:t>若投标人不参加开标会的，或不签字确认的，视同该投标人认可开标结果</w:t>
      </w:r>
      <w:r>
        <w:rPr>
          <w:rFonts w:hint="eastAsia" w:ascii="宋体" w:hAnsi="宋体" w:eastAsia="宋体" w:cs="宋体"/>
          <w:color w:val="auto"/>
          <w:sz w:val="21"/>
          <w:szCs w:val="21"/>
          <w:highlight w:val="none"/>
          <w:u w:val="single"/>
        </w:rPr>
        <w:t>；</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条款号：38.1                               修改类型：修改</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38.1为有助于投标文件的审查、评价和比较，评标期间，经评标委员会或评标委员会专业评审组中两人以上（含两人）</w:t>
      </w:r>
      <w:r>
        <w:rPr>
          <w:rFonts w:hint="eastAsia" w:ascii="宋体" w:hAnsi="宋体" w:eastAsia="宋体" w:cs="宋体"/>
          <w:color w:val="auto"/>
          <w:szCs w:val="21"/>
          <w:highlight w:val="none"/>
          <w:u w:val="single"/>
        </w:rPr>
        <w:t>的成员</w:t>
      </w:r>
      <w:r>
        <w:rPr>
          <w:rFonts w:hint="eastAsia" w:ascii="宋体" w:hAnsi="宋体" w:eastAsia="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eastAsia="宋体" w:cs="宋体"/>
          <w:color w:val="auto"/>
          <w:szCs w:val="21"/>
          <w:highlight w:val="none"/>
          <w:u w:val="single"/>
        </w:rPr>
        <w:t>、对同类问题表述不一致、有明显文字和计算错误的内容以及细微偏差</w:t>
      </w:r>
      <w:r>
        <w:rPr>
          <w:rFonts w:hint="eastAsia" w:ascii="宋体" w:hAnsi="宋体" w:eastAsia="宋体" w:cs="宋体"/>
          <w:color w:val="auto"/>
          <w:szCs w:val="21"/>
          <w:highlight w:val="none"/>
        </w:rPr>
        <w:t>的内容作出澄清。</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color w:val="auto"/>
          <w:sz w:val="24"/>
          <w:szCs w:val="24"/>
          <w:highlight w:val="none"/>
        </w:rPr>
      </w:pPr>
      <w:r>
        <w:rPr>
          <w:rFonts w:hint="eastAsia" w:ascii="宋体" w:hAnsi="宋体" w:eastAsia="宋体" w:cs="宋体"/>
          <w:b/>
          <w:color w:val="auto"/>
          <w:szCs w:val="21"/>
          <w:highlight w:val="none"/>
        </w:rPr>
        <w:t>条款号：39.3                        修改类型：修改</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原文：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39.3</w:t>
      </w:r>
      <w:r>
        <w:rPr>
          <w:rFonts w:hint="eastAsia" w:ascii="宋体" w:hAnsi="宋体" w:eastAsia="宋体" w:cs="宋体"/>
          <w:bCs/>
          <w:color w:val="auto"/>
          <w:szCs w:val="21"/>
          <w:highlight w:val="none"/>
        </w:rPr>
        <w:t>排名第一的中标候选人放弃中标、</w:t>
      </w:r>
      <w:r>
        <w:rPr>
          <w:rFonts w:hint="eastAsia" w:ascii="宋体" w:hAnsi="宋体" w:eastAsia="宋体" w:cs="宋体"/>
          <w:color w:val="auto"/>
          <w:szCs w:val="21"/>
          <w:highlight w:val="none"/>
        </w:rPr>
        <w:t>或因不可抗力提出不能履行合同，或者招标文件规定应当提交履约担保而在规定的期限内未能提交的，</w:t>
      </w:r>
      <w:r>
        <w:rPr>
          <w:rFonts w:hint="eastAsia" w:ascii="宋体" w:hAnsi="宋体" w:eastAsia="宋体" w:cs="宋体"/>
          <w:bCs/>
          <w:color w:val="auto"/>
          <w:szCs w:val="21"/>
          <w:highlight w:val="none"/>
          <w:u w:val="single"/>
        </w:rPr>
        <w:t>或经核查发现委派的项目负责人已在其他在建项目中任本职的，或者被查实存在影响中标结果的违法行为等情形，不符合中标条件的，</w:t>
      </w:r>
      <w:r>
        <w:rPr>
          <w:rFonts w:hint="eastAsia" w:ascii="宋体" w:hAnsi="宋体" w:eastAsia="宋体" w:cs="宋体"/>
          <w:bCs/>
          <w:color w:val="auto"/>
          <w:szCs w:val="21"/>
          <w:highlight w:val="none"/>
        </w:rPr>
        <w:t>招标人可以确定排名第二的中标候选人为中标人。</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（二）开标评标办法程序和细则</w:t>
      </w:r>
      <w:r>
        <w:rPr>
          <w:rFonts w:hint="eastAsia" w:ascii="宋体" w:hAnsi="宋体" w:eastAsia="宋体" w:cs="宋体"/>
          <w:b/>
          <w:color w:val="auto"/>
          <w:szCs w:val="21"/>
          <w:highlight w:val="none"/>
        </w:rPr>
        <w:t xml:space="preserve">    </w:t>
      </w:r>
      <w:r>
        <w:rPr>
          <w:rFonts w:hint="eastAsia" w:ascii="宋体" w:hAnsi="宋体" w:eastAsia="宋体" w:cs="宋体"/>
          <w:b/>
          <w:bCs/>
          <w:color w:val="auto"/>
          <w:szCs w:val="21"/>
          <w:highlight w:val="none"/>
        </w:rPr>
        <w:t>注：</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原文：</w:t>
      </w:r>
      <w:r>
        <w:rPr>
          <w:rFonts w:hint="eastAsia" w:ascii="宋体" w:hAnsi="宋体" w:eastAsia="宋体" w:cs="宋体"/>
          <w:color w:val="auto"/>
          <w:szCs w:val="21"/>
          <w:highlight w:val="none"/>
        </w:rPr>
        <w:t>（二）开标评标办法程序和细则</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注：以下八种评标办法所述企业综合诚信评价分数即投标截止当日广州市工程招标代理行业协会网站上公布的企业综合诚信评价60日诚信分。</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（二）开标评标办法程序和细则</w:t>
      </w:r>
    </w:p>
    <w:p>
      <w:pPr>
        <w:pageBreakBefore w:val="0"/>
        <w:pBdr>
          <w:bottom w:val="single" w:color="auto" w:sz="6" w:space="1"/>
        </w:pBdr>
        <w:kinsoku/>
        <w:overflowPunct/>
        <w:bidi w:val="0"/>
        <w:snapToGrid w:val="0"/>
        <w:spacing w:beforeAutospacing="0" w:afterAutospacing="0"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strike/>
          <w:color w:val="auto"/>
          <w:szCs w:val="21"/>
          <w:highlight w:val="none"/>
        </w:rPr>
        <w:t>注：以下八种评标办法所述企业综合诚信评价分数即投标截止当日广州市工程招标代理行业协会网站上公布的企业综合诚信评价60日诚信分。</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可选办法一（适合综合评分法一，技术标与经济标先后分别开启）</w:t>
      </w:r>
      <w:r>
        <w:rPr>
          <w:rFonts w:hint="eastAsia" w:ascii="宋体" w:hAnsi="宋体" w:eastAsia="宋体" w:cs="宋体"/>
          <w:b/>
          <w:color w:val="auto"/>
          <w:szCs w:val="21"/>
          <w:highlight w:val="none"/>
        </w:rPr>
        <w:t xml:space="preserve">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可选办法二（适合综合评分法一，技术标与经济标同时开启）</w:t>
      </w:r>
      <w:r>
        <w:rPr>
          <w:rFonts w:hint="eastAsia" w:ascii="宋体" w:hAnsi="宋体" w:eastAsia="宋体" w:cs="宋体"/>
          <w:b/>
          <w:color w:val="auto"/>
          <w:szCs w:val="21"/>
          <w:highlight w:val="none"/>
        </w:rPr>
        <w:t xml:space="preserve">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可选办法三（适合综合评分法二，技术标与经济标先后分别开启）</w:t>
      </w:r>
      <w:r>
        <w:rPr>
          <w:rFonts w:hint="eastAsia" w:ascii="宋体" w:hAnsi="宋体" w:eastAsia="宋体" w:cs="宋体"/>
          <w:b/>
          <w:color w:val="auto"/>
          <w:szCs w:val="21"/>
          <w:highlight w:val="none"/>
        </w:rPr>
        <w:t xml:space="preserve">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可选办法四（适合综合评分法二，技术标与经济标同时开启）</w:t>
      </w:r>
      <w:r>
        <w:rPr>
          <w:rFonts w:hint="eastAsia" w:ascii="宋体" w:hAnsi="宋体" w:eastAsia="宋体" w:cs="宋体"/>
          <w:b/>
          <w:color w:val="auto"/>
          <w:szCs w:val="21"/>
          <w:highlight w:val="none"/>
        </w:rPr>
        <w:t xml:space="preserve">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可选办法五（适合综合评分法三，技术标与经济标先后分别开启）</w:t>
      </w:r>
      <w:r>
        <w:rPr>
          <w:rFonts w:hint="eastAsia" w:ascii="宋体" w:hAnsi="宋体" w:eastAsia="宋体" w:cs="宋体"/>
          <w:b/>
          <w:color w:val="auto"/>
          <w:szCs w:val="21"/>
          <w:highlight w:val="none"/>
        </w:rPr>
        <w:t xml:space="preserve">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可选办法六（适合综合评分法三，技术标与经济标同时开启）</w:t>
      </w:r>
      <w:r>
        <w:rPr>
          <w:rFonts w:hint="eastAsia" w:ascii="宋体" w:hAnsi="宋体" w:eastAsia="宋体" w:cs="宋体"/>
          <w:b/>
          <w:color w:val="auto"/>
          <w:szCs w:val="21"/>
          <w:highlight w:val="none"/>
        </w:rPr>
        <w:t xml:space="preserve">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Cs w:val="21"/>
          <w:highlight w:val="none"/>
        </w:rPr>
        <w:t>可选办法七（适合综合评分法四，技术标与经济标同时开启）</w:t>
      </w:r>
      <w:r>
        <w:rPr>
          <w:rFonts w:hint="eastAsia" w:ascii="宋体" w:hAnsi="宋体" w:eastAsia="宋体" w:cs="宋体"/>
          <w:b/>
          <w:color w:val="auto"/>
          <w:szCs w:val="21"/>
          <w:highlight w:val="none"/>
        </w:rPr>
        <w:t xml:space="preserve">     修改类型：修改</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综合评分法</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color w:val="auto"/>
          <w:sz w:val="18"/>
          <w:szCs w:val="18"/>
          <w:highlight w:val="none"/>
        </w:rPr>
        <w:t xml:space="preserve">可选办法八（适合经评审的最低投标价法，技术标与经济标同时开启）       </w:t>
      </w:r>
      <w:r>
        <w:rPr>
          <w:rFonts w:hint="eastAsia" w:ascii="宋体" w:hAnsi="宋体" w:eastAsia="宋体" w:cs="宋体"/>
          <w:b/>
          <w:color w:val="auto"/>
          <w:szCs w:val="21"/>
          <w:highlight w:val="none"/>
        </w:rPr>
        <w:t>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详见</w:t>
      </w:r>
      <w:r>
        <w:rPr>
          <w:rFonts w:hint="eastAsia" w:ascii="宋体" w:hAnsi="宋体" w:eastAsia="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条款号：41.1                        修改类型：修改</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41.1开标由招标人主持；</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41.1开标由招标人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主持；</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条款号：41.2.1                      修改类型：修改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41.2.1投标截止期前，各投标人递交投标文件（包括技术标投标文件、经济标投标文件）至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交易平台。有关投标文件提交的事项详见第一章投标须知。</w:t>
      </w:r>
    </w:p>
    <w:p>
      <w:pPr>
        <w:pageBreakBefore w:val="0"/>
        <w:pBdr>
          <w:bottom w:val="single" w:color="auto" w:sz="6" w:space="1"/>
        </w:pBdr>
        <w:kinsoku/>
        <w:overflowPunct/>
        <w:bidi w:val="0"/>
        <w:snapToGrid w:val="0"/>
        <w:spacing w:beforeAutospacing="0" w:afterAutospacing="0"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41.2.1投标截止期前，各投标人递交投标文件</w:t>
      </w:r>
      <w:r>
        <w:rPr>
          <w:rFonts w:hint="eastAsia" w:ascii="宋体" w:hAnsi="宋体" w:eastAsia="宋体" w:cs="宋体"/>
          <w:color w:val="auto"/>
          <w:szCs w:val="21"/>
          <w:highlight w:val="none"/>
          <w:u w:val="single"/>
        </w:rPr>
        <w:t>[包括技术标投标文件（含资格审查文件）、经济标投标文件]</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交易平台。有关投标文件提交的事项详见第一章投标须知。</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条款号：41.2.2                      修改类型：修改</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41.2.2开标前，首先由招标人随机抽取确定该工程计算评标参考价的等分点值X。</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41.2.2开标前，首先由招标人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随机抽取确定该工程计算评标参考价的等分点值X。</w:t>
      </w:r>
    </w:p>
    <w:p>
      <w:pPr>
        <w:pageBreakBefore w:val="0"/>
        <w:pBdr>
          <w:top w:val="none" w:color="auto" w:sz="0" w:space="0"/>
          <w:left w:val="none" w:color="auto" w:sz="0" w:space="0"/>
          <w:bottom w:val="none" w:color="auto" w:sz="0" w:space="0"/>
          <w:right w:val="none" w:color="auto" w:sz="0" w:space="0"/>
          <w:between w:val="none" w:color="auto" w:sz="0" w:space="0"/>
        </w:pBdr>
        <w:kinsoku/>
        <w:overflowPunct/>
        <w:bidi w:val="0"/>
        <w:snapToGrid w:val="0"/>
        <w:spacing w:beforeAutospacing="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条款号：41.2.4.1                    修改类型：修改</w:t>
      </w:r>
    </w:p>
    <w:p>
      <w:pPr>
        <w:pageBreakBefore w:val="0"/>
        <w:pBdr>
          <w:top w:val="none" w:color="auto" w:sz="0" w:space="0"/>
          <w:left w:val="none" w:color="auto" w:sz="0" w:space="0"/>
          <w:bottom w:val="none" w:color="auto" w:sz="0" w:space="0"/>
          <w:right w:val="none" w:color="auto" w:sz="0" w:space="0"/>
          <w:between w:val="none" w:color="auto" w:sz="0" w:space="0"/>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ageBreakBefore w:val="0"/>
        <w:pBdr>
          <w:top w:val="none" w:color="auto" w:sz="0" w:space="0"/>
          <w:left w:val="none" w:color="auto" w:sz="0" w:space="0"/>
          <w:bottom w:val="single" w:color="auto" w:sz="4" w:space="0"/>
          <w:right w:val="none" w:color="auto" w:sz="0" w:space="0"/>
          <w:between w:val="none" w:color="auto" w:sz="0" w:space="0"/>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41.2.4.1开标时，公布：a、投标人名称；b、投标文件密封情况；c、投标报价；</w:t>
      </w:r>
      <w:r>
        <w:rPr>
          <w:rFonts w:hint="eastAsia" w:ascii="宋体" w:hAnsi="宋体" w:eastAsia="宋体" w:cs="宋体"/>
          <w:strike/>
          <w:color w:val="auto"/>
          <w:szCs w:val="21"/>
          <w:highlight w:val="none"/>
        </w:rPr>
        <w:t>d、投标保证金；</w:t>
      </w:r>
      <w:r>
        <w:rPr>
          <w:rFonts w:hint="eastAsia" w:ascii="宋体" w:hAnsi="宋体" w:eastAsia="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条款号：42.2                        修改类型：修改</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42.2评标委员会的组成：方式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方式一：评标委员会为综合评标委员会，负责资格审查及评标工作。</w:t>
      </w:r>
    </w:p>
    <w:p>
      <w:pPr>
        <w:pageBreakBefore w:val="0"/>
        <w:pBdr>
          <w:bottom w:val="single" w:color="auto" w:sz="6" w:space="1"/>
        </w:pBdr>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方式二：评标委员会由技术评审组和经济评审组组成。其中：资格审查及技术评审由技术评标组负责，经济评审由经济评审组负责。</w:t>
      </w:r>
    </w:p>
    <w:p>
      <w:pPr>
        <w:pageBreakBefore w:val="0"/>
        <w:pBdr>
          <w:bottom w:val="single" w:color="auto" w:sz="6" w:space="1"/>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42.2评标委员会的组成：方式</w:t>
      </w:r>
      <w:r>
        <w:rPr>
          <w:rFonts w:hint="eastAsia" w:ascii="宋体" w:hAnsi="宋体" w:eastAsia="宋体" w:cs="宋体"/>
          <w:color w:val="auto"/>
          <w:szCs w:val="21"/>
          <w:highlight w:val="none"/>
          <w:u w:val="single"/>
        </w:rPr>
        <w:t>一：评标委员会为综合评标委员会，负责资格审查及评标工作。评标委员会专家均由广东省综合评标评审专家库随机抽取，评标委员会人数为五人以上单数。</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条款号：43.6                      　修改类型：修改</w:t>
      </w:r>
    </w:p>
    <w:p>
      <w:pPr>
        <w:pageBreakBefore w:val="0"/>
        <w:widowControl/>
        <w:kinsoku/>
        <w:overflowPunct/>
        <w:bidi w:val="0"/>
        <w:snapToGrid w:val="0"/>
        <w:spacing w:beforeAutospacing="0" w:afterAutospacing="0"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43.6资格审查合格的投标人少于3名的（当N个标段同时招标且不允许兼中时，资格审查合格的投标人少于N+2名），则本项目招标失败。</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43.6</w:t>
      </w:r>
      <w:r>
        <w:rPr>
          <w:rFonts w:hint="eastAsia" w:ascii="宋体" w:hAnsi="宋体" w:eastAsia="宋体" w:cs="宋体"/>
          <w:color w:val="auto"/>
          <w:szCs w:val="21"/>
          <w:highlight w:val="none"/>
          <w:u w:val="single"/>
        </w:rPr>
        <w:t>若满足资格审查合格条件（投标人合格条件）的投标申请人不足3名，则重新招标。</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条款号：44.1                      　修改类型：修改</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ageBreakBefore w:val="0"/>
        <w:pBdr>
          <w:bottom w:val="single" w:color="auto" w:sz="6" w:space="1"/>
        </w:pBdr>
        <w:kinsoku/>
        <w:overflowPunct/>
        <w:bidi w:val="0"/>
        <w:snapToGrid w:val="0"/>
        <w:spacing w:beforeAutospacing="0" w:afterAutospacing="0" w:line="360" w:lineRule="auto"/>
        <w:ind w:firstLine="413" w:firstLineChars="196"/>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eastAsia="宋体" w:cs="宋体"/>
          <w:color w:val="auto"/>
          <w:szCs w:val="21"/>
          <w:highlight w:val="none"/>
          <w:u w:val="single"/>
        </w:rPr>
        <w:t>若通过技术标有效性审查的投标人不足三家，则重新招标。</w:t>
      </w:r>
      <w:r>
        <w:rPr>
          <w:rFonts w:hint="eastAsia" w:ascii="宋体" w:hAnsi="宋体" w:eastAsia="宋体" w:cs="宋体"/>
          <w:color w:val="auto"/>
          <w:szCs w:val="21"/>
          <w:highlight w:val="none"/>
        </w:rPr>
        <w:t>评委发现投标文件中含义不明确、对同类问题表述不一致、有明显文字和计算错误的，应当要求投标人作必要的澄清、说明后再判定投标人是否通过有效性审查，不得直接否决投标。</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条款号：45                      　　修改类型：修改</w:t>
      </w:r>
    </w:p>
    <w:p>
      <w:pPr>
        <w:pStyle w:val="18"/>
        <w:pageBreakBefore w:val="0"/>
        <w:tabs>
          <w:tab w:val="left" w:pos="7380"/>
        </w:tabs>
        <w:kinsoku/>
        <w:overflowPunct/>
        <w:bidi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45．经济标评审和得分汇总</w:t>
      </w:r>
    </w:p>
    <w:p>
      <w:pPr>
        <w:pStyle w:val="18"/>
        <w:pageBreakBefore w:val="0"/>
        <w:tabs>
          <w:tab w:val="left" w:pos="7380"/>
        </w:tabs>
        <w:kinsoku/>
        <w:overflowPunct/>
        <w:bidi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pPr>
        <w:pStyle w:val="18"/>
        <w:pageBreakBefore w:val="0"/>
        <w:tabs>
          <w:tab w:val="left" w:pos="7380"/>
        </w:tabs>
        <w:kinsoku/>
        <w:overflowPunct/>
        <w:bidi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计算评标参考价：</w:t>
      </w:r>
    </w:p>
    <w:p>
      <w:pPr>
        <w:pageBreakBefore w:val="0"/>
        <w:widowControl/>
        <w:kinsoku/>
        <w:overflowPunct/>
        <w:bidi w:val="0"/>
        <w:snapToGrid w:val="0"/>
        <w:spacing w:beforeAutospacing="0" w:afterAutospacing="0"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方法一：加权平均法</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技术标或技术标加诚信得分（具体由招标人自定）前N名（N≥5，具体由招标人自定）的经济报价加权平均，计算评标参考价。公式如下：</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评标参考价=Σ（投标人的投标报价*报价权重）。</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其中：报价权重的计算方法为：将N名投标人按技术分由高至低进行排序，第一名投标人的权重为（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QUOTE </w:instrText>
      </w:r>
      <w:r>
        <w:rPr>
          <w:rFonts w:hint="eastAsia" w:ascii="宋体" w:hAnsi="宋体" w:eastAsia="宋体" w:cs="宋体"/>
          <w:color w:val="auto"/>
          <w:szCs w:val="21"/>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），第二名投标人的权重为（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QUOTE </w:instrText>
      </w:r>
      <w:r>
        <w:rPr>
          <w:rFonts w:hint="eastAsia" w:ascii="宋体" w:hAnsi="宋体" w:eastAsia="宋体" w:cs="宋体"/>
          <w:color w:val="auto"/>
          <w:position w:val="-23"/>
          <w:szCs w:val="21"/>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separate"/>
      </w:r>
      <w:r>
        <w:rPr>
          <w:rFonts w:hint="eastAsia" w:ascii="宋体" w:hAnsi="宋体" w:eastAsia="宋体" w:cs="宋体"/>
          <w:color w:val="auto"/>
          <w:position w:val="-23"/>
          <w:szCs w:val="21"/>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），以此类推，最后一名投标人的权重为（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QUOTE </w:instrText>
      </w:r>
      <w:r>
        <w:rPr>
          <w:rFonts w:hint="eastAsia" w:ascii="宋体" w:hAnsi="宋体" w:eastAsia="宋体" w:cs="宋体"/>
          <w:color w:val="auto"/>
          <w:position w:val="-23"/>
          <w:szCs w:val="21"/>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separate"/>
      </w:r>
      <w:r>
        <w:rPr>
          <w:rFonts w:hint="eastAsia" w:ascii="宋体" w:hAnsi="宋体" w:eastAsia="宋体" w:cs="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pageBreakBefore w:val="0"/>
        <w:widowControl/>
        <w:kinsoku/>
        <w:overflowPunct/>
        <w:bidi w:val="0"/>
        <w:snapToGrid w:val="0"/>
        <w:spacing w:beforeAutospacing="0" w:afterAutospacing="0"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方法二：区间抽取法</w:t>
      </w:r>
    </w:p>
    <w:p>
      <w:pPr>
        <w:pageBreakBefore w:val="0"/>
        <w:widowControl/>
        <w:kinsoku/>
        <w:overflowPunct/>
        <w:bidi w:val="0"/>
        <w:snapToGrid w:val="0"/>
        <w:spacing w:beforeAutospacing="0" w:afterAutospacing="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pageBreakBefore w:val="0"/>
        <w:widowControl/>
        <w:kinsoku/>
        <w:overflowPunct/>
        <w:bidi w:val="0"/>
        <w:snapToGrid w:val="0"/>
        <w:spacing w:beforeAutospacing="0" w:afterAutospacing="0" w:line="360" w:lineRule="auto"/>
        <w:ind w:firstLine="420" w:firstLineChars="200"/>
        <w:rPr>
          <w:rFonts w:hint="eastAsia" w:ascii="宋体" w:hAnsi="宋体" w:eastAsia="宋体" w:cs="宋体"/>
          <w:color w:val="auto"/>
          <w:kern w:val="0"/>
          <w:szCs w:val="21"/>
          <w:highlight w:val="none"/>
          <w:vertAlign w:val="subscript"/>
        </w:rPr>
      </w:pPr>
      <w:r>
        <w:rPr>
          <w:rFonts w:hint="eastAsia" w:ascii="宋体" w:hAnsi="宋体" w:eastAsia="宋体" w:cs="宋体"/>
          <w:color w:val="auto"/>
          <w:kern w:val="0"/>
          <w:szCs w:val="21"/>
          <w:highlight w:val="none"/>
        </w:rPr>
        <w:t>评标参考价=（Q</w:t>
      </w:r>
      <w:r>
        <w:rPr>
          <w:rFonts w:hint="eastAsia" w:ascii="宋体" w:hAnsi="宋体" w:eastAsia="宋体" w:cs="宋体"/>
          <w:color w:val="auto"/>
          <w:kern w:val="0"/>
          <w:szCs w:val="21"/>
          <w:highlight w:val="none"/>
          <w:vertAlign w:val="subscript"/>
        </w:rPr>
        <w:t>高</w:t>
      </w:r>
      <w:r>
        <w:rPr>
          <w:rFonts w:hint="eastAsia" w:ascii="宋体" w:hAnsi="宋体" w:eastAsia="宋体" w:cs="宋体"/>
          <w:color w:val="auto"/>
          <w:kern w:val="0"/>
          <w:szCs w:val="21"/>
          <w:highlight w:val="none"/>
        </w:rPr>
        <w:t>-Q</w:t>
      </w:r>
      <w:r>
        <w:rPr>
          <w:rFonts w:hint="eastAsia" w:ascii="宋体" w:hAnsi="宋体" w:eastAsia="宋体" w:cs="宋体"/>
          <w:color w:val="auto"/>
          <w:kern w:val="0"/>
          <w:szCs w:val="21"/>
          <w:highlight w:val="none"/>
          <w:vertAlign w:val="subscript"/>
        </w:rPr>
        <w:t>低</w:t>
      </w:r>
      <w:r>
        <w:rPr>
          <w:rFonts w:hint="eastAsia" w:ascii="宋体" w:hAnsi="宋体" w:eastAsia="宋体" w:cs="宋体"/>
          <w:color w:val="auto"/>
          <w:kern w:val="0"/>
          <w:szCs w:val="21"/>
          <w:highlight w:val="none"/>
        </w:rPr>
        <w:t>）/100*Ｘ+Q</w:t>
      </w:r>
      <w:r>
        <w:rPr>
          <w:rFonts w:hint="eastAsia" w:ascii="宋体" w:hAnsi="宋体" w:eastAsia="宋体" w:cs="宋体"/>
          <w:color w:val="auto"/>
          <w:kern w:val="0"/>
          <w:szCs w:val="21"/>
          <w:highlight w:val="none"/>
          <w:vertAlign w:val="subscript"/>
        </w:rPr>
        <w:t>低</w:t>
      </w:r>
    </w:p>
    <w:p>
      <w:pPr>
        <w:pageBreakBefore w:val="0"/>
        <w:widowControl/>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Q</w:t>
      </w:r>
      <w:r>
        <w:rPr>
          <w:rFonts w:hint="eastAsia" w:ascii="宋体" w:hAnsi="宋体" w:eastAsia="宋体" w:cs="宋体"/>
          <w:color w:val="auto"/>
          <w:szCs w:val="21"/>
          <w:highlight w:val="none"/>
          <w:vertAlign w:val="subscript"/>
        </w:rPr>
        <w:t>低</w:t>
      </w:r>
      <w:r>
        <w:rPr>
          <w:rFonts w:hint="eastAsia" w:ascii="宋体" w:hAnsi="宋体" w:eastAsia="宋体" w:cs="宋体"/>
          <w:color w:val="auto"/>
          <w:szCs w:val="21"/>
          <w:highlight w:val="none"/>
        </w:rPr>
        <w:t>：为达到或超过技术标及格分数线的投标人最低报价与工程成本警示价两者中的较高值；</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Q</w:t>
      </w:r>
      <w:r>
        <w:rPr>
          <w:rFonts w:hint="eastAsia" w:ascii="宋体" w:hAnsi="宋体" w:eastAsia="宋体" w:cs="宋体"/>
          <w:color w:val="auto"/>
          <w:kern w:val="0"/>
          <w:szCs w:val="21"/>
          <w:highlight w:val="none"/>
          <w:vertAlign w:val="subscript"/>
        </w:rPr>
        <w:t>高</w:t>
      </w:r>
      <w:r>
        <w:rPr>
          <w:rFonts w:hint="eastAsia" w:ascii="宋体" w:hAnsi="宋体" w:eastAsia="宋体" w:cs="宋体"/>
          <w:color w:val="auto"/>
          <w:szCs w:val="21"/>
          <w:highlight w:val="none"/>
        </w:rPr>
        <w:t>：为最高投标限价</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X:为等分点值，在开标前从[0,100]整数中随机抽取</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45.3</w:t>
      </w:r>
      <w:r>
        <w:rPr>
          <w:rFonts w:hint="eastAsia" w:ascii="宋体" w:hAnsi="宋体" w:eastAsia="宋体" w:cs="宋体"/>
          <w:color w:val="auto"/>
          <w:szCs w:val="21"/>
          <w:highlight w:val="none"/>
        </w:rPr>
        <w:t>当标价等于评标参考价时得100分，标价每高于评标参考价1%，扣1.5分，每低于评标参考价1%，扣1分，扣至0分为止，得出经济分，精确到小数点后两位。</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18"/>
        <w:pageBreakBefore w:val="0"/>
        <w:tabs>
          <w:tab w:val="left" w:pos="7380"/>
        </w:tabs>
        <w:kinsoku/>
        <w:overflowPunct/>
        <w:bidi w:val="0"/>
        <w:snapToGrid w:val="0"/>
        <w:spacing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：45．经济标评审和得分汇总</w:t>
      </w:r>
    </w:p>
    <w:p>
      <w:pPr>
        <w:pStyle w:val="18"/>
        <w:pageBreakBefore w:val="0"/>
        <w:tabs>
          <w:tab w:val="left" w:pos="7380"/>
        </w:tabs>
        <w:kinsoku/>
        <w:overflowPunct/>
        <w:bidi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pPr>
        <w:pStyle w:val="18"/>
        <w:pageBreakBefore w:val="0"/>
        <w:tabs>
          <w:tab w:val="left" w:pos="7380"/>
        </w:tabs>
        <w:kinsoku/>
        <w:overflowPunct/>
        <w:bidi w:val="0"/>
        <w:snapToGrid w:val="0"/>
        <w:spacing w:beforeAutospacing="0" w:after="0" w:afterAutospacing="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w:t>
      </w:r>
      <w:r>
        <w:rPr>
          <w:rFonts w:hint="eastAsia" w:ascii="宋体" w:hAnsi="宋体" w:eastAsia="宋体" w:cs="宋体"/>
          <w:color w:val="auto"/>
          <w:sz w:val="21"/>
          <w:szCs w:val="21"/>
          <w:highlight w:val="none"/>
          <w:u w:val="single"/>
        </w:rPr>
        <w:t>二区间抽取法</w:t>
      </w:r>
      <w:r>
        <w:rPr>
          <w:rFonts w:hint="eastAsia" w:ascii="宋体" w:hAnsi="宋体" w:eastAsia="宋体" w:cs="宋体"/>
          <w:color w:val="auto"/>
          <w:sz w:val="21"/>
          <w:szCs w:val="21"/>
          <w:highlight w:val="none"/>
        </w:rPr>
        <w:t>计算评标参考价：</w:t>
      </w:r>
    </w:p>
    <w:p>
      <w:pPr>
        <w:pageBreakBefore w:val="0"/>
        <w:widowControl/>
        <w:kinsoku/>
        <w:overflowPunct/>
        <w:bidi w:val="0"/>
        <w:snapToGrid w:val="0"/>
        <w:spacing w:beforeAutospacing="0" w:afterAutospacing="0" w:line="360" w:lineRule="auto"/>
        <w:ind w:firstLine="422" w:firstLineChars="200"/>
        <w:rPr>
          <w:rFonts w:hint="eastAsia" w:ascii="宋体" w:hAnsi="宋体" w:eastAsia="宋体" w:cs="宋体"/>
          <w:b/>
          <w:bCs/>
          <w:strike/>
          <w:color w:val="auto"/>
          <w:kern w:val="0"/>
          <w:szCs w:val="21"/>
          <w:highlight w:val="none"/>
        </w:rPr>
      </w:pPr>
      <w:r>
        <w:rPr>
          <w:rFonts w:hint="eastAsia" w:ascii="宋体" w:hAnsi="宋体" w:eastAsia="宋体" w:cs="宋体"/>
          <w:b/>
          <w:bCs/>
          <w:strike/>
          <w:color w:val="auto"/>
          <w:kern w:val="0"/>
          <w:szCs w:val="21"/>
          <w:highlight w:val="none"/>
        </w:rPr>
        <w:t>方法一：加权平均法</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技术标或技术标加诚信得分（具体由招标人自定）前N名（N≥5，具体由招标人自定）的经济报价加权平均，计算评标参考价。公式如下：</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评标参考价=Σ（投标人的投标报价*报价权重）。</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其中：报价权重的计算方法为：将N名投标人按技术分由高至低进行排序，第一名投标人的权重为（</w:t>
      </w: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QUOTE </w:instrText>
      </w:r>
      <w:r>
        <w:rPr>
          <w:rFonts w:hint="eastAsia" w:ascii="宋体" w:hAnsi="宋体" w:eastAsia="宋体" w:cs="宋体"/>
          <w:strike/>
          <w:color w:val="auto"/>
          <w:szCs w:val="21"/>
          <w:highlight w:val="none"/>
        </w:rPr>
        <w:drawing>
          <wp:inline distT="0" distB="0" distL="114300" distR="114300">
            <wp:extent cx="381000" cy="44767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），第二名投标人的权重为（</w:t>
      </w: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QUOTE </w:instrText>
      </w:r>
      <w:r>
        <w:rPr>
          <w:rFonts w:hint="eastAsia" w:ascii="宋体" w:hAnsi="宋体" w:eastAsia="宋体" w:cs="宋体"/>
          <w:strike/>
          <w:color w:val="auto"/>
          <w:position w:val="-23"/>
          <w:szCs w:val="21"/>
          <w:highlight w:val="none"/>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position w:val="-23"/>
          <w:szCs w:val="21"/>
          <w:highlight w:val="none"/>
        </w:rPr>
        <w:drawing>
          <wp:inline distT="0" distB="0" distL="114300" distR="114300">
            <wp:extent cx="323850" cy="4000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），以此类推，最后一名投标人的权重为（</w:t>
      </w: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QUOTE </w:instrText>
      </w:r>
      <w:r>
        <w:rPr>
          <w:rFonts w:hint="eastAsia" w:ascii="宋体" w:hAnsi="宋体" w:eastAsia="宋体" w:cs="宋体"/>
          <w:strike/>
          <w:color w:val="auto"/>
          <w:position w:val="-23"/>
          <w:szCs w:val="21"/>
          <w:highlight w:val="none"/>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position w:val="-23"/>
          <w:szCs w:val="21"/>
          <w:highlight w:val="none"/>
        </w:rPr>
        <w:drawing>
          <wp:inline distT="0" distB="0" distL="114300" distR="114300">
            <wp:extent cx="323850" cy="40005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w:t>
      </w:r>
    </w:p>
    <w:p>
      <w:pPr>
        <w:pageBreakBefore w:val="0"/>
        <w:widowControl/>
        <w:kinsoku/>
        <w:overflowPunct/>
        <w:bidi w:val="0"/>
        <w:snapToGrid w:val="0"/>
        <w:spacing w:beforeAutospacing="0" w:afterAutospacing="0"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方法二：区间抽取法</w:t>
      </w:r>
    </w:p>
    <w:p>
      <w:pPr>
        <w:pageBreakBefore w:val="0"/>
        <w:widowControl/>
        <w:kinsoku/>
        <w:overflowPunct/>
        <w:bidi w:val="0"/>
        <w:snapToGrid w:val="0"/>
        <w:spacing w:beforeAutospacing="0" w:afterAutospacing="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设立入围合格分数线（</w:t>
      </w:r>
      <w:r>
        <w:rPr>
          <w:rFonts w:hint="eastAsia" w:ascii="宋体" w:hAnsi="宋体" w:eastAsia="宋体" w:cs="宋体"/>
          <w:color w:val="auto"/>
          <w:szCs w:val="21"/>
          <w:highlight w:val="none"/>
          <w:u w:val="single"/>
        </w:rPr>
        <w:t>技术标得分为</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rPr>
        <w:t>），达到或超过</w:t>
      </w:r>
      <w:r>
        <w:rPr>
          <w:rFonts w:hint="eastAsia" w:ascii="宋体" w:hAnsi="宋体" w:eastAsia="宋体" w:cs="宋体"/>
          <w:color w:val="auto"/>
          <w:szCs w:val="21"/>
          <w:highlight w:val="none"/>
          <w:u w:val="single"/>
        </w:rPr>
        <w:t>入围合格分数线</w:t>
      </w:r>
      <w:r>
        <w:rPr>
          <w:rFonts w:hint="eastAsia" w:ascii="宋体" w:hAnsi="宋体" w:eastAsia="宋体" w:cs="宋体"/>
          <w:color w:val="auto"/>
          <w:szCs w:val="21"/>
          <w:highlight w:val="none"/>
        </w:rPr>
        <w:t>的投标人的报价方能参与评标参考价的计算。将达到或超过</w:t>
      </w:r>
      <w:r>
        <w:rPr>
          <w:rFonts w:hint="eastAsia" w:ascii="宋体" w:hAnsi="宋体" w:eastAsia="宋体" w:cs="宋体"/>
          <w:color w:val="auto"/>
          <w:szCs w:val="21"/>
          <w:highlight w:val="none"/>
          <w:u w:val="single"/>
        </w:rPr>
        <w:t>入围合格分数线</w:t>
      </w:r>
      <w:r>
        <w:rPr>
          <w:rFonts w:hint="eastAsia" w:ascii="宋体" w:hAnsi="宋体" w:eastAsia="宋体" w:cs="宋体"/>
          <w:color w:val="auto"/>
          <w:szCs w:val="21"/>
          <w:highlight w:val="none"/>
        </w:rPr>
        <w:t>的投标报价由低至高进行排列，按以下公式计算评标参考价，计算公式如下：</w:t>
      </w:r>
    </w:p>
    <w:p>
      <w:pPr>
        <w:pageBreakBefore w:val="0"/>
        <w:widowControl/>
        <w:kinsoku/>
        <w:overflowPunct/>
        <w:bidi w:val="0"/>
        <w:snapToGrid w:val="0"/>
        <w:spacing w:beforeAutospacing="0" w:afterAutospacing="0" w:line="360" w:lineRule="auto"/>
        <w:ind w:firstLine="420" w:firstLineChars="200"/>
        <w:rPr>
          <w:rFonts w:hint="eastAsia" w:ascii="宋体" w:hAnsi="宋体" w:eastAsia="宋体" w:cs="宋体"/>
          <w:color w:val="auto"/>
          <w:kern w:val="0"/>
          <w:szCs w:val="21"/>
          <w:highlight w:val="none"/>
          <w:vertAlign w:val="subscript"/>
        </w:rPr>
      </w:pPr>
      <w:r>
        <w:rPr>
          <w:rFonts w:hint="eastAsia" w:ascii="宋体" w:hAnsi="宋体" w:eastAsia="宋体" w:cs="宋体"/>
          <w:color w:val="auto"/>
          <w:kern w:val="0"/>
          <w:szCs w:val="21"/>
          <w:highlight w:val="none"/>
        </w:rPr>
        <w:t>评标参考价=（Q</w:t>
      </w:r>
      <w:r>
        <w:rPr>
          <w:rFonts w:hint="eastAsia" w:ascii="宋体" w:hAnsi="宋体" w:eastAsia="宋体" w:cs="宋体"/>
          <w:color w:val="auto"/>
          <w:kern w:val="0"/>
          <w:szCs w:val="21"/>
          <w:highlight w:val="none"/>
          <w:vertAlign w:val="subscript"/>
        </w:rPr>
        <w:t>高</w:t>
      </w:r>
      <w:r>
        <w:rPr>
          <w:rFonts w:hint="eastAsia" w:ascii="宋体" w:hAnsi="宋体" w:eastAsia="宋体" w:cs="宋体"/>
          <w:color w:val="auto"/>
          <w:kern w:val="0"/>
          <w:szCs w:val="21"/>
          <w:highlight w:val="none"/>
        </w:rPr>
        <w:t>-Q</w:t>
      </w:r>
      <w:r>
        <w:rPr>
          <w:rFonts w:hint="eastAsia" w:ascii="宋体" w:hAnsi="宋体" w:eastAsia="宋体" w:cs="宋体"/>
          <w:color w:val="auto"/>
          <w:kern w:val="0"/>
          <w:szCs w:val="21"/>
          <w:highlight w:val="none"/>
          <w:vertAlign w:val="subscript"/>
        </w:rPr>
        <w:t>低</w:t>
      </w:r>
      <w:r>
        <w:rPr>
          <w:rFonts w:hint="eastAsia" w:ascii="宋体" w:hAnsi="宋体" w:eastAsia="宋体" w:cs="宋体"/>
          <w:color w:val="auto"/>
          <w:kern w:val="0"/>
          <w:szCs w:val="21"/>
          <w:highlight w:val="none"/>
        </w:rPr>
        <w:t>）/100*Ｘ+Q</w:t>
      </w:r>
      <w:r>
        <w:rPr>
          <w:rFonts w:hint="eastAsia" w:ascii="宋体" w:hAnsi="宋体" w:eastAsia="宋体" w:cs="宋体"/>
          <w:color w:val="auto"/>
          <w:kern w:val="0"/>
          <w:szCs w:val="21"/>
          <w:highlight w:val="none"/>
          <w:vertAlign w:val="subscript"/>
        </w:rPr>
        <w:t>低</w:t>
      </w:r>
    </w:p>
    <w:p>
      <w:pPr>
        <w:pageBreakBefore w:val="0"/>
        <w:widowControl/>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Q</w:t>
      </w:r>
      <w:r>
        <w:rPr>
          <w:rFonts w:hint="eastAsia" w:ascii="宋体" w:hAnsi="宋体" w:eastAsia="宋体" w:cs="宋体"/>
          <w:color w:val="auto"/>
          <w:szCs w:val="21"/>
          <w:highlight w:val="none"/>
          <w:vertAlign w:val="subscript"/>
        </w:rPr>
        <w:t>低</w:t>
      </w:r>
      <w:r>
        <w:rPr>
          <w:rFonts w:hint="eastAsia" w:ascii="宋体" w:hAnsi="宋体" w:eastAsia="宋体" w:cs="宋体"/>
          <w:color w:val="auto"/>
          <w:szCs w:val="21"/>
          <w:highlight w:val="none"/>
        </w:rPr>
        <w:t>：为达到或超过</w:t>
      </w:r>
      <w:r>
        <w:rPr>
          <w:rFonts w:hint="eastAsia" w:ascii="宋体" w:hAnsi="宋体" w:eastAsia="宋体" w:cs="宋体"/>
          <w:color w:val="auto"/>
          <w:szCs w:val="21"/>
          <w:highlight w:val="none"/>
          <w:u w:val="single"/>
        </w:rPr>
        <w:t>入围合格分数线</w:t>
      </w:r>
      <w:r>
        <w:rPr>
          <w:rFonts w:hint="eastAsia" w:ascii="宋体" w:hAnsi="宋体" w:eastAsia="宋体" w:cs="宋体"/>
          <w:color w:val="auto"/>
          <w:szCs w:val="21"/>
          <w:highlight w:val="none"/>
        </w:rPr>
        <w:t>的投标人最低报价与工程成本警示价两者中的较高值；</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Q</w:t>
      </w:r>
      <w:r>
        <w:rPr>
          <w:rFonts w:hint="eastAsia" w:ascii="宋体" w:hAnsi="宋体" w:eastAsia="宋体" w:cs="宋体"/>
          <w:color w:val="auto"/>
          <w:kern w:val="0"/>
          <w:szCs w:val="21"/>
          <w:highlight w:val="none"/>
          <w:vertAlign w:val="subscript"/>
        </w:rPr>
        <w:t>高</w:t>
      </w:r>
      <w:r>
        <w:rPr>
          <w:rFonts w:hint="eastAsia" w:ascii="宋体" w:hAnsi="宋体" w:eastAsia="宋体" w:cs="宋体"/>
          <w:color w:val="auto"/>
          <w:szCs w:val="21"/>
          <w:highlight w:val="none"/>
        </w:rPr>
        <w:t>：为最高投标限价</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X：为等分点值，在开标前从[0,100]整数中随机抽取</w:t>
      </w:r>
    </w:p>
    <w:p>
      <w:pPr>
        <w:pageBreakBefore w:val="0"/>
        <w:kinsoku/>
        <w:overflowPunct/>
        <w:bidi w:val="0"/>
        <w:snapToGrid w:val="0"/>
        <w:spacing w:beforeAutospacing="0"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45.3</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u w:val="single"/>
        </w:rPr>
        <w:t>投标总报价</w:t>
      </w:r>
      <w:r>
        <w:rPr>
          <w:rFonts w:hint="eastAsia" w:ascii="宋体" w:hAnsi="宋体" w:eastAsia="宋体" w:cs="宋体"/>
          <w:color w:val="auto"/>
          <w:szCs w:val="21"/>
          <w:highlight w:val="none"/>
        </w:rPr>
        <w:t>等于评标参考价时得100分，</w:t>
      </w:r>
      <w:r>
        <w:rPr>
          <w:rFonts w:hint="eastAsia" w:ascii="宋体" w:hAnsi="宋体" w:eastAsia="宋体" w:cs="宋体"/>
          <w:color w:val="auto"/>
          <w:szCs w:val="21"/>
          <w:highlight w:val="none"/>
          <w:u w:val="single"/>
        </w:rPr>
        <w:t>投标总报价</w:t>
      </w:r>
      <w:r>
        <w:rPr>
          <w:rFonts w:hint="eastAsia" w:ascii="宋体" w:hAnsi="宋体" w:eastAsia="宋体" w:cs="宋体"/>
          <w:color w:val="auto"/>
          <w:szCs w:val="21"/>
          <w:highlight w:val="none"/>
        </w:rPr>
        <w:t>每高于评标参考价1%，扣1.5分，每低于评标参考价1%，扣1分，扣至0分为止，得出经济分，精确到小数点后两位。</w:t>
      </w:r>
    </w:p>
    <w:p>
      <w:pPr>
        <w:pageBreakBefore w:val="0"/>
        <w:pBdr>
          <w:bottom w:val="single" w:color="auto" w:sz="6" w:space="1"/>
        </w:pBdr>
        <w:kinsoku/>
        <w:overflowPunct/>
        <w:bidi w:val="0"/>
        <w:snapToGrid w:val="0"/>
        <w:spacing w:beforeAutospacing="0" w:afterAutospacing="0" w:line="360" w:lineRule="auto"/>
        <w:ind w:firstLine="470" w:firstLineChars="224"/>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45.4计算通过技术标有效性审查的投标人总得分。投标人总得分=</w:t>
      </w:r>
      <w:r>
        <w:rPr>
          <w:rFonts w:hint="eastAsia" w:ascii="宋体" w:hAnsi="宋体" w:eastAsia="宋体" w:cs="宋体"/>
          <w:color w:val="auto"/>
          <w:szCs w:val="21"/>
          <w:highlight w:val="none"/>
          <w:u w:val="single"/>
        </w:rPr>
        <w:t>技术分×技术分权重＋经济分×经济分权重</w:t>
      </w:r>
      <w:r>
        <w:rPr>
          <w:rFonts w:hint="eastAsia" w:ascii="宋体" w:hAnsi="宋体" w:eastAsia="宋体" w:cs="宋体"/>
          <w:color w:val="auto"/>
          <w:szCs w:val="21"/>
          <w:highlight w:val="none"/>
        </w:rPr>
        <w:t>。技术、经济得分权重按投标须知前附表的规定执行。总得分四舍五入保留两位小数。</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Cs w:val="21"/>
          <w:highlight w:val="none"/>
        </w:rPr>
      </w:pP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条款号：46.2.8                      修改类型：修改</w:t>
      </w:r>
    </w:p>
    <w:p>
      <w:pPr>
        <w:pageBreakBefore w:val="0"/>
        <w:pBdr>
          <w:bottom w:val="single" w:color="auto" w:sz="6" w:space="1"/>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ageBreakBefore w:val="0"/>
        <w:pBdr>
          <w:bottom w:val="single" w:color="auto" w:sz="6" w:space="1"/>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46.2.8按上述修正错误的原则及方法调整或修正投标文件的投标报价，调整后的投标报价对投标人起约束作用。如果投标人不接受修正后的报价，</w:t>
      </w:r>
      <w:r>
        <w:rPr>
          <w:rFonts w:hint="eastAsia" w:ascii="宋体" w:hAnsi="宋体" w:eastAsia="宋体" w:cs="宋体"/>
          <w:color w:val="auto"/>
          <w:szCs w:val="21"/>
          <w:highlight w:val="none"/>
          <w:u w:val="single"/>
        </w:rPr>
        <w:t>则取消其投标资格</w:t>
      </w:r>
      <w:r>
        <w:rPr>
          <w:rFonts w:hint="eastAsia" w:ascii="宋体" w:hAnsi="宋体" w:eastAsia="宋体" w:cs="宋体"/>
          <w:color w:val="auto"/>
          <w:szCs w:val="21"/>
          <w:highlight w:val="none"/>
        </w:rPr>
        <w:t>。</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条款号：48                      　　修改类型：修改</w:t>
      </w:r>
    </w:p>
    <w:p>
      <w:pPr>
        <w:pageBreakBefore w:val="0"/>
        <w:widowControl/>
        <w:kinsoku/>
        <w:overflowPunct/>
        <w:bidi w:val="0"/>
        <w:snapToGrid w:val="0"/>
        <w:spacing w:beforeAutospacing="0" w:afterAutospacing="0"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48.评标委员会应在通过投标文件经济标有效性审查的投标人中，按步骤45.4确定的投标人</w:t>
      </w:r>
      <w:r>
        <w:rPr>
          <w:rFonts w:hint="eastAsia" w:ascii="宋体" w:hAnsi="宋体" w:eastAsia="宋体" w:cs="宋体"/>
          <w:color w:val="auto"/>
          <w:szCs w:val="21"/>
          <w:highlight w:val="none"/>
          <w:u w:val="single"/>
        </w:rPr>
        <w:t>总得分</w:t>
      </w:r>
      <w:r>
        <w:rPr>
          <w:rFonts w:hint="eastAsia" w:ascii="宋体" w:hAnsi="宋体" w:eastAsia="宋体" w:cs="宋体"/>
          <w:color w:val="auto"/>
          <w:szCs w:val="21"/>
          <w:highlight w:val="none"/>
        </w:rPr>
        <w:t>排序，推荐前3名依次为第一中标候选人至第三中标候选人，并编制评标报告。</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kern w:val="0"/>
          <w:szCs w:val="21"/>
          <w:highlight w:val="none"/>
        </w:rPr>
        <w:t>49</w:t>
      </w:r>
      <w:r>
        <w:rPr>
          <w:rFonts w:hint="eastAsia" w:ascii="宋体" w:hAnsi="宋体" w:eastAsia="宋体" w:cs="宋体"/>
          <w:b/>
          <w:color w:val="auto"/>
          <w:szCs w:val="21"/>
          <w:highlight w:val="none"/>
        </w:rPr>
        <w:t xml:space="preserve">                        　修改类型：修改</w:t>
      </w:r>
    </w:p>
    <w:p>
      <w:pPr>
        <w:pageBreakBefore w:val="0"/>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49若通过经济标有效性审查的投标人不足三家，应当依法重新招标。（当N个标段同时招标且不允许兼中时，若有效投标人不足N+2家，应当依法重新招标）</w:t>
      </w:r>
    </w:p>
    <w:p>
      <w:pPr>
        <w:pageBreakBefore w:val="0"/>
        <w:pBdr>
          <w:bottom w:val="single" w:color="auto" w:sz="6" w:space="1"/>
        </w:pBdr>
        <w:kinsoku/>
        <w:overflowPunct/>
        <w:bidi w:val="0"/>
        <w:snapToGrid w:val="0"/>
        <w:spacing w:beforeAutospacing="0" w:afterAutospacing="0" w:line="360" w:lineRule="auto"/>
        <w:ind w:firstLine="420" w:firstLineChars="199"/>
        <w:rPr>
          <w:rFonts w:hint="eastAsia" w:ascii="宋体" w:hAnsi="宋体" w:eastAsia="宋体" w:cs="宋体"/>
          <w:strike/>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：49</w:t>
      </w:r>
      <w:r>
        <w:rPr>
          <w:rFonts w:hint="eastAsia" w:ascii="宋体" w:hAnsi="宋体" w:eastAsia="宋体" w:cs="宋体"/>
          <w:color w:val="auto"/>
          <w:szCs w:val="21"/>
          <w:highlight w:val="none"/>
          <w:u w:val="single"/>
        </w:rPr>
        <w:t>若通过经济标有效性审查的投标人不足三家，应当依法重新招标。</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条款号：附表一《资格审查表》                   修改类型：修改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详见最新版广州市建设工程施工公开招标项目招标文件范本（适用于资格后审综合评分法、经评审的最低投标价法的施工电子招标项目）GZZB2018-3</w:t>
      </w:r>
    </w:p>
    <w:p>
      <w:pPr>
        <w:pageBreakBefore w:val="0"/>
        <w:pBdr>
          <w:bottom w:val="single" w:color="auto" w:sz="6" w:space="1"/>
        </w:pBdr>
        <w:kinsoku/>
        <w:overflowPunct/>
        <w:bidi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详见本招标文件第二章附表一《资格审查表》</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条款号：附表二 《技术标有效性审查表》          修改类型：修改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详见最新版广州市建设工程施工公开招标项目招标文件范本（适用于资格后审综合评分法、经评审的最低投标价法的施工电子招标项目）GZZB2018-3</w:t>
      </w:r>
    </w:p>
    <w:p>
      <w:pPr>
        <w:pageBreakBefore w:val="0"/>
        <w:pBdr>
          <w:bottom w:val="single" w:color="auto" w:sz="6" w:space="1"/>
        </w:pBdr>
        <w:kinsoku/>
        <w:overflowPunct/>
        <w:bidi w:val="0"/>
        <w:snapToGrid w:val="0"/>
        <w:spacing w:beforeAutospacing="0" w:afterAutospacing="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详见本招标文件第二章附表二《技术标有效性审查表》</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条款号：附表三《经济标有效性审查表》           修改类型：修改</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详见最新版广州市建设工程施工公开招标项目招标文件范本（适用于资格后审综合评分法、经评审的最低投标价法的施工电子招标项目）GZZB2018-3</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详见本招标文件第二章附表三《经济标有效性审查表》</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条款号：附表四《技术标详细审查评分表》         修改类型：修改  </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详见最新版广州市建设工程施工公开招标项目招标文件范本（适用于资格后审综合评分法、经评审的最低投标价法的施工电子招标项目）GZZB2018-3</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详见本招标文件第二章附表四《技术标详细审查评分表》</w:t>
      </w:r>
    </w:p>
    <w:p>
      <w:pPr>
        <w:pageBreakBefore w:val="0"/>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条款号：附表五（适用于加权平均法）《经济标评分表》        修改类型：删除</w:t>
      </w:r>
    </w:p>
    <w:p>
      <w:pPr>
        <w:pageBreakBefore w:val="0"/>
        <w:pBdr>
          <w:bottom w:val="single" w:color="auto" w:sz="6" w:space="1"/>
        </w:pBdr>
        <w:kinsoku/>
        <w:overflowPunct/>
        <w:bidi w:val="0"/>
        <w:snapToGrid w:val="0"/>
        <w:spacing w:beforeAutospacing="0" w:afterAutospacing="0"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详见最新版广州市建设工程施工公开招标项目招标文件范本（适用于资格后审综合评分法、经评审的最低投标价法的施工电子招标项目）GZZB2018-3</w:t>
      </w:r>
    </w:p>
    <w:p>
      <w:pPr>
        <w:pageBreakBefore w:val="0"/>
        <w:kinsoku/>
        <w:overflowPunct/>
        <w:bidi w:val="0"/>
        <w:snapToGrid w:val="0"/>
        <w:spacing w:beforeAutospacing="0" w:afterAutospacing="0" w:line="360" w:lineRule="auto"/>
        <w:ind w:firstLine="211" w:firstLineChars="1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pPr>
        <w:pageBreakBefore w:val="0"/>
        <w:kinsoku/>
        <w:overflowPunct/>
        <w:bidi w:val="0"/>
        <w:snapToGrid w:val="0"/>
        <w:spacing w:beforeAutospacing="0" w:afterAutospacing="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（以下无正文）</w:t>
      </w:r>
    </w:p>
    <w:p>
      <w:pPr>
        <w:pageBreakBefore w:val="0"/>
        <w:kinsoku/>
        <w:overflowPunct/>
        <w:bidi w:val="0"/>
        <w:snapToGrid w:val="0"/>
        <w:spacing w:beforeAutospacing="0" w:afterAutospacing="0" w:line="360" w:lineRule="auto"/>
        <w:rPr>
          <w:rFonts w:hint="eastAsia" w:ascii="宋体" w:hAnsi="宋体" w:eastAsia="宋体" w:cs="宋体"/>
          <w:b/>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b/>
          <w:color w:val="auto"/>
          <w:szCs w:val="21"/>
          <w:highlight w:val="none"/>
        </w:rPr>
      </w:pPr>
    </w:p>
    <w:p>
      <w:pPr>
        <w:pageBreakBefore w:val="0"/>
        <w:kinsoku/>
        <w:overflowPunct/>
        <w:bidi w:val="0"/>
        <w:snapToGrid w:val="0"/>
        <w:spacing w:beforeAutospacing="0" w:afterAutospacing="0" w:line="360" w:lineRule="auto"/>
        <w:ind w:firstLine="525"/>
        <w:rPr>
          <w:rFonts w:hint="eastAsia" w:ascii="宋体" w:hAnsi="宋体" w:eastAsia="宋体" w:cs="宋体"/>
          <w:color w:val="auto"/>
          <w:highlight w:val="none"/>
        </w:rPr>
      </w:pPr>
      <w:bookmarkStart w:id="18" w:name="_Toc2272556"/>
      <w:bookmarkStart w:id="19" w:name="_Toc5678"/>
      <w:bookmarkStart w:id="20" w:name="_Toc21525500"/>
      <w:bookmarkStart w:id="21" w:name="_Toc2272564"/>
      <w:r>
        <w:rPr>
          <w:rFonts w:hint="eastAsia" w:ascii="宋体" w:hAnsi="宋体" w:eastAsia="宋体" w:cs="宋体"/>
          <w:color w:val="auto"/>
          <w:highlight w:val="none"/>
        </w:rPr>
        <w:br w:type="page"/>
      </w:r>
    </w:p>
    <w:p>
      <w:pPr>
        <w:pStyle w:val="5"/>
        <w:pageBreakBefore w:val="0"/>
        <w:kinsoku/>
        <w:overflowPunct/>
        <w:bidi w:val="0"/>
        <w:snapToGrid w:val="0"/>
        <w:spacing w:before="0" w:beforeAutospacing="0" w:after="0" w:afterAutospacing="0" w:line="360" w:lineRule="auto"/>
        <w:ind w:firstLine="52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二、开标、评标及定标办法通用条款</w:t>
      </w:r>
      <w:bookmarkEnd w:id="18"/>
      <w:bookmarkEnd w:id="19"/>
    </w:p>
    <w:p>
      <w:pPr>
        <w:pStyle w:val="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42" w:firstLineChars="200"/>
        <w:textAlignment w:val="auto"/>
        <w:rPr>
          <w:rFonts w:hint="eastAsia" w:ascii="宋体" w:hAnsi="宋体" w:eastAsia="宋体" w:cs="宋体"/>
          <w:b/>
          <w:bCs/>
          <w:color w:val="auto"/>
          <w:highlight w:val="none"/>
        </w:rPr>
      </w:pPr>
      <w:bookmarkStart w:id="22" w:name="_Toc31373"/>
      <w:bookmarkStart w:id="23" w:name="_Toc2272557"/>
      <w:r>
        <w:rPr>
          <w:rFonts w:hint="eastAsia" w:ascii="宋体" w:hAnsi="宋体" w:eastAsia="宋体" w:cs="宋体"/>
          <w:b/>
          <w:bCs/>
          <w:color w:val="auto"/>
          <w:highlight w:val="none"/>
        </w:rPr>
        <w:t>（一）总则</w:t>
      </w:r>
      <w:bookmarkEnd w:id="22"/>
      <w:bookmarkEnd w:id="23"/>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开标、评标及定标所依据的规则</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35.1《中华人民共和国招标投标法》；</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35.2《中华人民共和国招标投标法实施条例》；</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35.3《评标委员会和评标方法暂行规定》（七部委第12号令）</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35.4《工程建设项目施工招标投标办法》（七部委2003年第30号令）</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35.5《广东省实施〈中华人民共和国招标投标法〉办法》；</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35.6《房屋建筑和市政基础设施工程施工招标投标管理办法》（建设部令第89号）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35.7《广东省加强建设工程招标投标监督管理的若干规定》（粤发[2004]4号）；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35.8《广州市工程建设项目招标投标管理办法》（穗建规字〔2023〕12号）。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35.9本项目招标文件。</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36．开标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36.5按下列程序进行开标：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36.5.2备用光盘的读取按投标须知前附表第36项的规定执行；</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36.5.3投标人代表、招标人代表、监标人、记录人等有关人员在开标记录上签字确认；若有关人员不签字的，不影响开标程序；</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36.5.4开标结束。</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36.7开标时，两个（含两个）以上的投标人加密打包投标文件电脑机器特征码一致的，不参与下一程序，并由评标委员会否决其投标。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37．评标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37.2评标委员会的职责及守则：</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37.2.1根据评标细则，对</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进行认真评审，完成评审报告；</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37.2.2向招标人报告评审意见，推荐合格的中标候选人。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37.2.3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37.2.4全体参与评标人员：</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37.2.4.1 必须遵守评标纪律、不得泄密；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37.2.4.2 必须公正、不得循私；</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37.2.4.3 必须科学、不得草率；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37.2.4.4 必须客观、不得带有成见；</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37.2.4.5 必须平等、不得强加于人；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37.2.4.6 必须严谨、不得随意马虎。</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评标结束后，评标委员会递交评标报告并依法推荐中标候选人。 </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38．投标文件的澄清</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39．定标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42" w:firstLineChars="200"/>
        <w:textAlignment w:val="auto"/>
        <w:rPr>
          <w:rFonts w:hint="eastAsia" w:ascii="宋体" w:hAnsi="宋体" w:eastAsia="宋体" w:cs="宋体"/>
          <w:b/>
          <w:bCs/>
          <w:color w:val="auto"/>
          <w:highlight w:val="none"/>
        </w:rPr>
      </w:pPr>
      <w:bookmarkStart w:id="24" w:name="_Toc9740"/>
      <w:bookmarkStart w:id="25" w:name="_Toc2272558"/>
      <w:r>
        <w:rPr>
          <w:rFonts w:hint="eastAsia" w:ascii="宋体" w:hAnsi="宋体" w:eastAsia="宋体" w:cs="宋体"/>
          <w:b/>
          <w:bCs/>
          <w:color w:val="auto"/>
          <w:highlight w:val="none"/>
        </w:rPr>
        <w:t>（二）开标评标办法程序和细则</w:t>
      </w:r>
      <w:bookmarkEnd w:id="24"/>
      <w:bookmarkEnd w:id="25"/>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注：以下七种评标办法所述企业综合诚信评价分数即投标截止当日广州市工程招标代理行业协会网站上公布的企业综合诚信评价60日诚信分。</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bookmarkStart w:id="26" w:name="_Toc3121"/>
      <w:r>
        <w:rPr>
          <w:rFonts w:hint="eastAsia" w:ascii="宋体" w:hAnsi="宋体" w:eastAsia="宋体" w:cs="宋体"/>
          <w:color w:val="auto"/>
          <w:sz w:val="24"/>
          <w:szCs w:val="24"/>
          <w:highlight w:val="none"/>
        </w:rPr>
        <w:t>可选办法七（适合综合评分法四，技术标与经济标同时开启）</w:t>
      </w:r>
      <w:bookmarkEnd w:id="26"/>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40．开标和评标程序</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40.1技术标（含资格审查文件）与经济标投标文件同时公开开标；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40.2由评标委员会对所有已公开开标的投标人进行资格审查；</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40.3技术标投标文件有效性审查；</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40.4技术标详细审查评分；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40.5经济标详细审查评分； </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40.6评标委员会按照投标人总得分由高至低排序；</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40.7经济标投标文件有效性审查；</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40.8评标委员会按排序向招标人推荐中标候选人名单，并递交资格审查报告及评标报告。</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41．开标细则</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41.1开标由招标人主持；</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交易平台。有关投标文件提交的事项详见第一章投标须知。 </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41.2.2开标前，首先由招标人随机抽取确定该工程计算评标参考价的等分点值X。</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41.2.4按36.5.1的规定完成解密后，公布下列内容，并予以记录，记录提交评标委员会评审： </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41.2.4.1开标时，公布：a、投标人名称；b、</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41.3招标人对开标过程进行记录，并存档备查，投标人在技术标开标记录上签字。</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资格审查及评标细则</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43．投标人资格审查</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44．技术标评审</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45．经济标评审和得分汇总</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计算评标参考价：</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方法一：加权平均法</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技术标或技术标加诚信得分（具体由招标人自定）前N名（N≥5，具体由招标人自定）的经济报价加权平均，计算评标参考价。公式如下：</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评标参考价=Σ（投标人的投标报价*报价权重）。</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其中：报价权重的计算方法为：将N名投标人按技术分由高至低进行排序，第一名投标人的权重为（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），第二名投标人的权重为（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），以此类推，最后一名投标人的权重为（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方法二：区间抽取法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vertAlign w:val="subscript"/>
        </w:rPr>
      </w:pPr>
      <w:r>
        <w:rPr>
          <w:rFonts w:hint="eastAsia" w:ascii="宋体" w:hAnsi="宋体" w:eastAsia="宋体" w:cs="宋体"/>
          <w:color w:val="auto"/>
          <w:kern w:val="0"/>
          <w:sz w:val="24"/>
          <w:szCs w:val="24"/>
          <w:highlight w:val="none"/>
        </w:rPr>
        <w:t>评标参考价=（Q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低</w:t>
      </w:r>
      <w:r>
        <w:rPr>
          <w:rFonts w:hint="eastAsia" w:ascii="宋体" w:hAnsi="宋体" w:eastAsia="宋体" w:cs="宋体"/>
          <w:color w:val="auto"/>
          <w:kern w:val="0"/>
          <w:sz w:val="24"/>
          <w:szCs w:val="24"/>
          <w:highlight w:val="none"/>
        </w:rPr>
        <w:t>）/100*Ｘ+Q</w:t>
      </w:r>
      <w:r>
        <w:rPr>
          <w:rFonts w:hint="eastAsia" w:ascii="宋体" w:hAnsi="宋体" w:eastAsia="宋体" w:cs="宋体"/>
          <w:color w:val="auto"/>
          <w:kern w:val="0"/>
          <w:sz w:val="24"/>
          <w:szCs w:val="24"/>
          <w:highlight w:val="none"/>
          <w:vertAlign w:val="subscript"/>
        </w:rPr>
        <w:t>低</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：为达到或超过技术标及格分数线的投标人最低报价与工程成本警示价两者中的较高值；</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sz w:val="24"/>
          <w:szCs w:val="24"/>
          <w:highlight w:val="none"/>
        </w:rPr>
        <w:t>：为最高投标限价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18"/>
        <w:keepNext w:val="0"/>
        <w:keepLines w:val="0"/>
        <w:pageBreakBefore w:val="0"/>
        <w:tabs>
          <w:tab w:val="left" w:pos="7380"/>
        </w:tabs>
        <w:kinsoku/>
        <w:wordWrap/>
        <w:overflowPunct/>
        <w:topLinePunct w:val="0"/>
        <w:autoSpaceDE/>
        <w:autoSpaceDN/>
        <w:bidi w:val="0"/>
        <w:adjustRightInd/>
        <w:snapToGrid w:val="0"/>
        <w:spacing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46.经济标的有效性审查</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46.2.1如果数字表示的金额和用文字表示的金额不一致时，应以文字表示的金额为准；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46.2.2经算术复核的投标人报价与其投标报价不一致时，按就低不就高原则确定其最终报价；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46.2.4当合价、金额累加错误时，按就低不就高原则，如果累加修正值小于原累加值，则按累加修正值；如果累加修正值大于原累加值，则按原累加值；</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46.2.5如果投标人的有关规费、暂列金额、暂估价、绿色施工安全防护措施费等未按招标文件规定的金额填写的，由评标委员会按照招标文件规定的金额进行修正；</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20"/>
    <w:bookmarkEnd w:id="21"/>
    <w:p>
      <w:pPr>
        <w:pageBreakBefore w:val="0"/>
        <w:kinsoku/>
        <w:overflowPunct/>
        <w:bidi w:val="0"/>
        <w:snapToGrid w:val="0"/>
        <w:spacing w:beforeAutospacing="0" w:afterAutospacing="0" w:line="360" w:lineRule="auto"/>
        <w:rPr>
          <w:rFonts w:hint="eastAsia" w:ascii="宋体" w:hAnsi="宋体" w:eastAsia="宋体" w:cs="宋体"/>
          <w:color w:val="auto"/>
          <w:sz w:val="21"/>
          <w:szCs w:val="21"/>
          <w:highlight w:val="none"/>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1"/>
          <w:szCs w:val="21"/>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资格审查表</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576"/>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投标人参加投标的意思表达清楚，投标人代表被授权有效</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、法定代表人证明书</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；委托投标的还应提供法人授权委托证明书</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投标人均具有独立法人资格，按国家法律经营</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营业执照</w:t>
            </w:r>
            <w:r>
              <w:rPr>
                <w:rFonts w:hint="eastAsia" w:ascii="宋体" w:hAnsi="宋体" w:eastAsia="宋体" w:cs="宋体"/>
                <w:color w:val="auto"/>
                <w:szCs w:val="21"/>
                <w:highlight w:val="none"/>
                <w:u w:val="single"/>
              </w:rPr>
              <w:t>扫描</w:t>
            </w:r>
            <w:r>
              <w:rPr>
                <w:rFonts w:hint="eastAsia" w:ascii="宋体" w:hAnsi="宋体" w:eastAsia="宋体" w:cs="宋体"/>
                <w:color w:val="auto"/>
                <w:highlight w:val="none"/>
                <w:u w:val="single"/>
              </w:rPr>
              <w:t>件</w:t>
            </w:r>
            <w:r>
              <w:rPr>
                <w:rFonts w:hint="eastAsia" w:ascii="宋体" w:hAnsi="宋体" w:eastAsia="宋体" w:cs="宋体"/>
                <w:color w:val="auto"/>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投标人均持有建设行政主管部门颁发的</w:t>
            </w:r>
            <w:r>
              <w:rPr>
                <w:rFonts w:hint="eastAsia" w:ascii="宋体" w:hAnsi="宋体" w:eastAsia="宋体" w:cs="宋体"/>
                <w:color w:val="auto"/>
                <w:szCs w:val="21"/>
                <w:highlight w:val="none"/>
                <w:u w:val="single"/>
              </w:rPr>
              <w:t>有效期内的</w:t>
            </w:r>
            <w:r>
              <w:rPr>
                <w:rFonts w:hint="eastAsia" w:ascii="宋体" w:hAnsi="宋体" w:eastAsia="宋体" w:cs="宋体"/>
                <w:color w:val="auto"/>
                <w:szCs w:val="21"/>
                <w:highlight w:val="none"/>
              </w:rPr>
              <w:t>企业资质证书及安全生产许可证；投标人资质符合公告要求</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资质证书</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或符合招标公告规定的相关证明材料（如有）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投标人拟担任本工程项目负责人符合公告要求</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使用有效期内的注册建造师注册证书</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u w:val="single"/>
              </w:rPr>
              <w:t>递交的注册建造师注册证书须符合招标公告第九条第4款注②的规定</w:t>
            </w:r>
            <w:r>
              <w:rPr>
                <w:rFonts w:hint="eastAsia" w:ascii="宋体" w:hAnsi="宋体" w:eastAsia="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持有</w:t>
            </w:r>
            <w:r>
              <w:rPr>
                <w:rFonts w:hint="eastAsia" w:ascii="宋体" w:hAnsi="宋体" w:eastAsia="宋体" w:cs="宋体"/>
                <w:color w:val="auto"/>
                <w:szCs w:val="21"/>
                <w:highlight w:val="none"/>
                <w:u w:val="single"/>
              </w:rPr>
              <w:t>有效期内的</w:t>
            </w:r>
            <w:r>
              <w:rPr>
                <w:rFonts w:hint="eastAsia" w:ascii="宋体" w:hAnsi="宋体" w:eastAsia="宋体" w:cs="宋体"/>
                <w:color w:val="auto"/>
                <w:szCs w:val="21"/>
                <w:highlight w:val="none"/>
              </w:rPr>
              <w:t>项目负责人安全生产考核合格证（B类）或建筑施工企业项目负责人安全生产考核合格证</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项目负责人安全生产考核合格证（B证）或建筑施工企业项目负责人安全生产考核合格证</w:t>
            </w:r>
            <w:r>
              <w:rPr>
                <w:rFonts w:hint="eastAsia" w:ascii="宋体" w:hAnsi="宋体" w:eastAsia="宋体" w:cs="宋体"/>
                <w:color w:val="auto"/>
                <w:szCs w:val="21"/>
                <w:highlight w:val="none"/>
                <w:u w:val="single"/>
              </w:rPr>
              <w:t>扫描件。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投标人拟担任本工程技术负责人符合公告要求</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u w:val="single"/>
              </w:rPr>
              <w:t>拟委派技术负责人的职称证书扫描件</w:t>
            </w:r>
            <w:r>
              <w:rPr>
                <w:rFonts w:hint="eastAsia" w:ascii="宋体" w:hAnsi="宋体" w:eastAsia="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专职安全员须具有</w:t>
            </w:r>
            <w:r>
              <w:rPr>
                <w:rFonts w:hint="eastAsia" w:ascii="宋体" w:hAnsi="宋体" w:eastAsia="宋体" w:cs="宋体"/>
                <w:color w:val="auto"/>
                <w:szCs w:val="21"/>
                <w:highlight w:val="none"/>
                <w:u w:val="single"/>
              </w:rPr>
              <w:t>有效期内的</w:t>
            </w:r>
            <w:r>
              <w:rPr>
                <w:rFonts w:hint="eastAsia" w:ascii="宋体" w:hAnsi="宋体" w:eastAsia="宋体" w:cs="宋体"/>
                <w:color w:val="auto"/>
                <w:szCs w:val="21"/>
                <w:highlight w:val="none"/>
              </w:rPr>
              <w:t>安全生产考核合格证（C证）或建筑施工企业专职安全生产管理人员安全生产考核合格证（C3）</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专职安全员的安全生产考核合格证（C证）或建筑施工企业专职安全生产管理人员安全生产考核合格证</w:t>
            </w:r>
            <w:r>
              <w:rPr>
                <w:rFonts w:hint="eastAsia" w:ascii="宋体" w:hAnsi="宋体" w:eastAsia="宋体" w:cs="宋体"/>
                <w:color w:val="auto"/>
                <w:szCs w:val="21"/>
                <w:highlight w:val="none"/>
                <w:u w:val="single"/>
              </w:rPr>
              <w:t>扫描件。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投标人完成过的类似工程业绩符合公告要求</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业绩资料扫描件</w:t>
            </w:r>
            <w:r>
              <w:rPr>
                <w:rFonts w:hint="eastAsia" w:ascii="宋体" w:hAnsi="宋体" w:eastAsia="宋体" w:cs="宋体"/>
                <w:color w:val="auto"/>
                <w:szCs w:val="21"/>
                <w:highlight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val="en-US" w:eastAsia="zh-CN"/>
              </w:rPr>
              <w:t>9</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投标人提供的投标人声明符合公告要求</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10</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投标人声明中签字的项目负责人和技术负责人与本项目拟派的项目负责人和技术负责人一致</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网上投标时选择拟投标的项目负责人、资格审查文件中拟委派的技术负责人及投标人声明</w:t>
            </w:r>
            <w:r>
              <w:rPr>
                <w:rFonts w:hint="eastAsia" w:ascii="宋体" w:hAnsi="宋体" w:eastAsia="宋体" w:cs="宋体"/>
                <w:color w:val="auto"/>
                <w:szCs w:val="21"/>
                <w:highlight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11</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Style w:val="25"/>
                <w:rFonts w:hint="eastAsia" w:ascii="宋体" w:hAnsi="宋体" w:eastAsia="宋体" w:cs="宋体"/>
                <w:color w:val="auto"/>
                <w:sz w:val="21"/>
                <w:szCs w:val="21"/>
                <w:highlight w:val="none"/>
              </w:rPr>
              <w:t>关于联合体投标：本项目不接受联合体投标</w:t>
            </w:r>
            <w:r>
              <w:rPr>
                <w:rStyle w:val="25"/>
                <w:rFonts w:hint="eastAsia" w:ascii="宋体" w:hAnsi="宋体" w:eastAsia="宋体" w:cs="宋体"/>
                <w:color w:val="auto"/>
                <w:sz w:val="21"/>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strike/>
                <w:color w:val="auto"/>
                <w:szCs w:val="21"/>
                <w:highlight w:val="none"/>
                <w:u w:val="single"/>
              </w:rPr>
            </w:pPr>
            <w:r>
              <w:rPr>
                <w:rFonts w:hint="eastAsia" w:ascii="宋体" w:hAnsi="宋体" w:eastAsia="宋体" w:cs="宋体"/>
                <w:color w:val="auto"/>
                <w:szCs w:val="21"/>
                <w:highlight w:val="none"/>
                <w:u w:val="single"/>
              </w:rPr>
              <w:t>投标人没有以联合体投标登记。本项没有须审查的资料。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2</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eastAsia="宋体" w:cs="宋体"/>
                <w:color w:val="auto"/>
                <w:szCs w:val="21"/>
                <w:highlight w:val="none"/>
                <w:u w:val="singl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highlight w:val="none"/>
                <w:u w:val="single"/>
              </w:rPr>
              <w:t>企业</w:t>
            </w:r>
            <w:r>
              <w:rPr>
                <w:rFonts w:hint="eastAsia" w:ascii="宋体" w:hAnsi="宋体" w:eastAsia="宋体" w:cs="宋体"/>
                <w:color w:val="auto"/>
                <w:szCs w:val="21"/>
                <w:highlight w:val="none"/>
              </w:rPr>
              <w:t>库内</w:t>
            </w:r>
            <w:r>
              <w:rPr>
                <w:rFonts w:hint="eastAsia" w:ascii="宋体" w:hAnsi="宋体" w:eastAsia="宋体" w:cs="宋体"/>
                <w:color w:val="auto"/>
                <w:szCs w:val="21"/>
                <w:highlight w:val="none"/>
                <w:u w:val="single"/>
              </w:rPr>
              <w:t>信息</w:t>
            </w:r>
            <w:r>
              <w:rPr>
                <w:rFonts w:hint="eastAsia" w:ascii="宋体" w:hAnsi="宋体" w:eastAsia="宋体" w:cs="宋体"/>
                <w:color w:val="auto"/>
                <w:highlight w:val="none"/>
                <w:u w:val="single"/>
              </w:rPr>
              <w:t>登记</w:t>
            </w:r>
            <w:r>
              <w:rPr>
                <w:rFonts w:hint="eastAsia" w:ascii="宋体" w:hAnsi="宋体" w:eastAsia="宋体" w:cs="宋体"/>
                <w:color w:val="auto"/>
                <w:szCs w:val="21"/>
                <w:highlight w:val="none"/>
              </w:rPr>
              <w:t>的企业和人员信息</w:t>
            </w:r>
            <w:r>
              <w:rPr>
                <w:rFonts w:hint="eastAsia" w:ascii="宋体" w:hAnsi="宋体" w:eastAsia="宋体" w:cs="宋体"/>
                <w:bCs/>
                <w:color w:val="auto"/>
                <w:szCs w:val="21"/>
                <w:highlight w:val="none"/>
                <w:u w:val="single"/>
              </w:rPr>
              <w:t>（提供网页信息截图）</w:t>
            </w:r>
            <w:r>
              <w:rPr>
                <w:rFonts w:hint="eastAsia" w:ascii="宋体" w:hAnsi="宋体" w:eastAsia="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3</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投标人未出现以下情形：与其它投标人的单位负责人为同一人或者存在控股、管理关系的（按投标人提供的《投标人声明》第八条内容进行评审）</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4</w:t>
            </w:r>
          </w:p>
        </w:tc>
        <w:tc>
          <w:tcPr>
            <w:tcW w:w="6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投标人未被列入拖欠农民工工资失信联合惩戒对象名单</w:t>
            </w:r>
            <w:r>
              <w:rPr>
                <w:rFonts w:hint="eastAsia" w:ascii="宋体" w:hAnsi="宋体" w:eastAsia="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投标人无需提供资料，资格审查时，按广州交易集团有限公司（广州公共资源交易中心）交易系统比对的结果进行评审。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Cs w:val="21"/>
                <w:highlight w:val="none"/>
              </w:rPr>
            </w:pPr>
          </w:p>
        </w:tc>
      </w:tr>
    </w:tbl>
    <w:p>
      <w:pPr>
        <w:pageBreakBefore w:val="0"/>
        <w:kinsoku/>
        <w:overflowPunct/>
        <w:bidi w:val="0"/>
        <w:snapToGrid w:val="0"/>
        <w:spacing w:beforeAutospacing="0" w:afterAutospacing="0"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备注：1、每一项目符合的打“○”，不符合的打“×”；</w:t>
      </w:r>
    </w:p>
    <w:p>
      <w:pPr>
        <w:pageBreakBefore w:val="0"/>
        <w:kinsoku/>
        <w:overflowPunct/>
        <w:bidi w:val="0"/>
        <w:snapToGrid w:val="0"/>
        <w:spacing w:beforeAutospacing="0" w:afterAutospacing="0"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2、若评委意见不一致时，则按少数服从多数的原则，作出评审结论。汇总后，出现一个“×”的结论为“不通过”。</w:t>
      </w:r>
    </w:p>
    <w:p>
      <w:pPr>
        <w:pageBreakBefore w:val="0"/>
        <w:kinsoku/>
        <w:overflowPunct/>
        <w:bidi w:val="0"/>
        <w:snapToGrid w:val="0"/>
        <w:spacing w:beforeAutospacing="0" w:afterAutospacing="0"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pageBreakBefore w:val="0"/>
        <w:kinsoku/>
        <w:overflowPunct/>
        <w:bidi w:val="0"/>
        <w:snapToGrid w:val="0"/>
        <w:spacing w:beforeAutospacing="0" w:afterAutospacing="0" w:line="360" w:lineRule="auto"/>
        <w:rPr>
          <w:rFonts w:hint="eastAsia" w:ascii="宋体" w:hAnsi="宋体" w:eastAsia="宋体" w:cs="宋体"/>
          <w:color w:val="auto"/>
          <w:highlight w:val="none"/>
        </w:rPr>
        <w:sectPr>
          <w:endnotePr>
            <w:numFmt w:val="decimal"/>
          </w:endnotePr>
          <w:pgSz w:w="16838" w:h="11906" w:orient="landscape"/>
          <w:pgMar w:top="1418" w:right="1134" w:bottom="1418" w:left="1247" w:header="851" w:footer="907" w:gutter="0"/>
          <w:cols w:space="720" w:num="1"/>
          <w:titlePg/>
          <w:docGrid w:type="linesAndChars" w:linePitch="312" w:charSpace="0"/>
        </w:sect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技术标有效性审查表</w:t>
      </w:r>
    </w:p>
    <w:p>
      <w:pPr>
        <w:keepNext w:val="0"/>
        <w:keepLines w:val="0"/>
        <w:pageBreakBefore w:val="0"/>
        <w:widowControl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技术标）》《投标函》《标函承诺书》《项目负责人驻场承诺书》《响应招标文件所附施工组织设计要点的承诺书》《危险性较大的分部分项工程安全管理措施》）</w:t>
            </w:r>
            <w:r>
              <w:rPr>
                <w:rFonts w:hint="eastAsia" w:ascii="宋体" w:hAnsi="宋体" w:eastAsia="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无《参与编制技术标投标文件人员名单》的</w:t>
            </w:r>
            <w:r>
              <w:rPr>
                <w:rFonts w:hint="eastAsia" w:ascii="宋体" w:hAnsi="宋体" w:eastAsia="宋体" w:cs="宋体"/>
                <w:color w:val="auto"/>
                <w:szCs w:val="21"/>
                <w:highlight w:val="none"/>
                <w:lang w:eastAsia="zh-CN"/>
              </w:rPr>
              <w:t>；</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投标人与本项目其他投标人加密打包投标文件电脑机器特征码一致的[以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交易平台评标系统的检索信息为准]</w:t>
            </w:r>
            <w:r>
              <w:rPr>
                <w:rFonts w:hint="eastAsia" w:ascii="宋体" w:hAnsi="宋体" w:eastAsia="宋体" w:cs="宋体"/>
                <w:color w:val="auto"/>
                <w:szCs w:val="21"/>
                <w:highlight w:val="none"/>
                <w:lang w:eastAsia="zh-CN"/>
              </w:rPr>
              <w:t>。</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keepNext w:val="0"/>
        <w:keepLines w:val="0"/>
        <w:pageBreakBefore w:val="0"/>
        <w:widowControl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keepNext w:val="0"/>
        <w:keepLines w:val="0"/>
        <w:pageBreakBefore w:val="0"/>
        <w:widowControl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3.凡出现以上任何一项情形，结论均为无效，否则就为有效。4.如对本表中某种情形的评审意见不一致时，以评标委员会过半数成员的意见作为评标委员会对该情形的认定结论。</w:t>
      </w:r>
    </w:p>
    <w:p>
      <w:pPr>
        <w:keepNext w:val="0"/>
        <w:keepLines w:val="0"/>
        <w:pageBreakBefore w:val="0"/>
        <w:widowControl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1"/>
          <w:highlight w:val="none"/>
        </w:rPr>
        <w:t>附表三</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经济标有效性审查表</w:t>
      </w: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2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ageBreakBefore w:val="0"/>
              <w:kinsoku/>
              <w:overflowPunct/>
              <w:bidi w:val="0"/>
              <w:snapToGrid w:val="0"/>
              <w:spacing w:beforeAutospacing="0" w:afterAutospacing="0" w:line="360" w:lineRule="auto"/>
              <w:ind w:firstLine="2940" w:firstLineChars="1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w:t>
            </w:r>
            <w:r>
              <w:rPr>
                <w:rFonts w:hint="eastAsia" w:ascii="宋体" w:hAnsi="宋体" w:eastAsia="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算术复核后的投标报价与原投标报价相比存在1%或以上误差的；</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（指招标文件第四章提供格式的《广州建设工程施工招标投标书（经济标）》《对投标文件编制的承诺》）</w:t>
            </w:r>
            <w:r>
              <w:rPr>
                <w:rFonts w:hint="eastAsia" w:ascii="宋体" w:hAnsi="宋体" w:eastAsia="宋体" w:cs="宋体"/>
                <w:color w:val="auto"/>
                <w:szCs w:val="21"/>
                <w:highlight w:val="none"/>
              </w:rPr>
              <w:t>，或主要内容不全，或关键字迹模糊、无法辨认的；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不同投标人的投标报价中分部分项工程量清单综合单价相似度达到80%及以上的[以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交易平台评标系统的检索信息为准]</w:t>
            </w:r>
            <w:r>
              <w:rPr>
                <w:rFonts w:hint="eastAsia" w:ascii="宋体" w:hAnsi="宋体" w:eastAsia="宋体" w:cs="宋体"/>
                <w:color w:val="auto"/>
                <w:szCs w:val="21"/>
                <w:highlight w:val="none"/>
                <w:lang w:eastAsia="zh-CN"/>
              </w:rPr>
              <w:t>；</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无《参与编制经济标投标文件人员名单》的；</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无《对投标文件编制的承诺》</w:t>
            </w:r>
            <w:r>
              <w:rPr>
                <w:rFonts w:hint="eastAsia" w:ascii="宋体" w:hAnsi="宋体" w:eastAsia="宋体" w:cs="宋体"/>
                <w:color w:val="auto"/>
                <w:szCs w:val="21"/>
                <w:highlight w:val="none"/>
                <w:lang w:eastAsia="zh-CN"/>
              </w:rPr>
              <w:t>；</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6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投标人与本项目其他投标人的投标文件工程量清单编制机器硬件信息一致的[以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交易平台评标系统的检索信息为准]</w:t>
            </w:r>
            <w:r>
              <w:rPr>
                <w:rFonts w:hint="eastAsia" w:ascii="宋体" w:hAnsi="宋体" w:eastAsia="宋体" w:cs="宋体"/>
                <w:color w:val="auto"/>
                <w:szCs w:val="21"/>
                <w:highlight w:val="none"/>
                <w:lang w:eastAsia="zh-CN"/>
              </w:rPr>
              <w:t>。</w:t>
            </w: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bl>
    <w:p>
      <w:pPr>
        <w:pageBreakBefore w:val="0"/>
        <w:kinsoku/>
        <w:overflowPunct/>
        <w:bidi w:val="0"/>
        <w:snapToGrid w:val="0"/>
        <w:spacing w:beforeAutospacing="0" w:afterAutospacing="0"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注：1.本表使用GZZB2018-3招标文件范本，与范本内容不同之处均以下划线标明。</w:t>
      </w:r>
    </w:p>
    <w:p>
      <w:pPr>
        <w:pageBreakBefore w:val="0"/>
        <w:kinsoku/>
        <w:overflowPunct/>
        <w:bidi w:val="0"/>
        <w:snapToGrid w:val="0"/>
        <w:spacing w:beforeAutospacing="0" w:afterAutospacing="0"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2.凡出现以上任何一项情形，结论均为无效，否则就为有效。</w:t>
      </w:r>
    </w:p>
    <w:p>
      <w:pPr>
        <w:pageBreakBefore w:val="0"/>
        <w:kinsoku/>
        <w:overflowPunct/>
        <w:bidi w:val="0"/>
        <w:snapToGrid w:val="0"/>
        <w:spacing w:beforeAutospacing="0" w:afterAutospacing="0" w:line="360" w:lineRule="auto"/>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3.如对本表中某种情形的评审意见不一致时，以评标委员会过半数成员的意见作为评标委员会对该情形的认定结论。</w:t>
      </w:r>
    </w:p>
    <w:p>
      <w:pPr>
        <w:pageBreakBefore w:val="0"/>
        <w:kinsoku/>
        <w:overflowPunct/>
        <w:bidi w:val="0"/>
        <w:snapToGrid w:val="0"/>
        <w:spacing w:beforeAutospacing="0" w:afterAutospacing="0" w:line="360" w:lineRule="auto"/>
        <w:ind w:firstLine="45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pageBreakBefore w:val="0"/>
        <w:kinsoku/>
        <w:overflowPunct/>
        <w:bidi w:val="0"/>
        <w:snapToGrid w:val="0"/>
        <w:spacing w:beforeAutospacing="0" w:afterAutospacing="0" w:line="360" w:lineRule="auto"/>
        <w:jc w:val="left"/>
        <w:rPr>
          <w:rFonts w:hint="eastAsia" w:ascii="宋体" w:hAnsi="宋体" w:eastAsia="宋体" w:cs="宋体"/>
          <w:b/>
          <w:bCs/>
          <w:color w:val="auto"/>
          <w:sz w:val="24"/>
          <w:szCs w:val="24"/>
          <w:highlight w:val="none"/>
        </w:rPr>
        <w:sectPr>
          <w:footerReference r:id="rId9" w:type="default"/>
          <w:pgSz w:w="16840" w:h="11907" w:orient="landscape"/>
          <w:pgMar w:top="1418" w:right="1134" w:bottom="1418" w:left="1134" w:header="851" w:footer="992" w:gutter="0"/>
          <w:cols w:space="720" w:num="1"/>
          <w:docGrid w:type="lines" w:linePitch="312" w:charSpace="0"/>
        </w:sectPr>
      </w:pPr>
    </w:p>
    <w:p>
      <w:pPr>
        <w:pageBreakBefore w:val="0"/>
        <w:kinsoku/>
        <w:overflowPunct/>
        <w:bidi w:val="0"/>
        <w:snapToGrid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附表四</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技术标详细审查评分表</w:t>
      </w:r>
    </w:p>
    <w:tbl>
      <w:tblPr>
        <w:tblStyle w:val="20"/>
        <w:tblW w:w="4998"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701"/>
        <w:gridCol w:w="970"/>
        <w:gridCol w:w="914"/>
        <w:gridCol w:w="11331"/>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tcBorders>
              <w:top w:val="single" w:color="auto" w:sz="8" w:space="0"/>
              <w:left w:val="single" w:color="auto" w:sz="8" w:space="0"/>
              <w:bottom w:val="single" w:color="auto" w:sz="4" w:space="0"/>
              <w:right w:val="single" w:color="auto" w:sz="4" w:space="0"/>
            </w:tcBorders>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565" w:type="pct"/>
            <w:gridSpan w:val="2"/>
            <w:tcBorders>
              <w:top w:val="single" w:color="auto" w:sz="8"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308" w:type="pct"/>
            <w:tcBorders>
              <w:top w:val="single" w:color="auto" w:sz="8"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832" w:type="pct"/>
            <w:tcBorders>
              <w:top w:val="single" w:color="auto" w:sz="8" w:space="0"/>
              <w:left w:val="single" w:color="auto" w:sz="4" w:space="0"/>
              <w:bottom w:val="single" w:color="auto" w:sz="4" w:space="0"/>
              <w:right w:val="single" w:color="auto" w:sz="4" w:space="0"/>
            </w:tcBorders>
            <w:vAlign w:val="center"/>
          </w:tcPr>
          <w:p>
            <w:pPr>
              <w:pStyle w:val="26"/>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restart"/>
            <w:tcBorders>
              <w:left w:val="single" w:color="auto" w:sz="8"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一、项目组织管理机构能力（70分）</w:t>
            </w:r>
          </w:p>
          <w:p>
            <w:pPr>
              <w:spacing w:line="280" w:lineRule="exact"/>
              <w:jc w:val="center"/>
              <w:rPr>
                <w:rFonts w:hint="eastAsia" w:ascii="宋体" w:hAnsi="宋体" w:eastAsia="宋体" w:cs="宋体"/>
                <w:color w:val="auto"/>
                <w:szCs w:val="21"/>
                <w:highlight w:val="none"/>
              </w:rPr>
            </w:pPr>
          </w:p>
        </w:tc>
        <w:tc>
          <w:tcPr>
            <w:tcW w:w="237" w:type="pct"/>
            <w:vMerge w:val="restart"/>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项目管理机构</w:t>
            </w:r>
          </w:p>
        </w:tc>
        <w:tc>
          <w:tcPr>
            <w:tcW w:w="328" w:type="pct"/>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r>
              <w:rPr>
                <w:rFonts w:hint="eastAsia" w:ascii="宋体" w:hAnsi="宋体" w:eastAsia="宋体" w:cs="宋体"/>
                <w:color w:val="auto"/>
                <w:szCs w:val="21"/>
                <w:highlight w:val="none"/>
              </w:rPr>
              <w:t>负责人</w:t>
            </w:r>
          </w:p>
        </w:tc>
        <w:tc>
          <w:tcPr>
            <w:tcW w:w="308" w:type="pct"/>
            <w:tcBorders>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从业能力：具有市政公用工程类专业中级或以上技术职称，得20分。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c>
          <w:tcPr>
            <w:tcW w:w="237" w:type="pct"/>
            <w:vMerge w:val="continue"/>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p>
        </w:tc>
        <w:tc>
          <w:tcPr>
            <w:tcW w:w="328" w:type="pct"/>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技术负责人</w:t>
            </w:r>
          </w:p>
        </w:tc>
        <w:tc>
          <w:tcPr>
            <w:tcW w:w="308" w:type="pct"/>
            <w:tcBorders>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从业能力：具有市政公用工程类专业副高级或以上技术职称，得20分；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c>
          <w:tcPr>
            <w:tcW w:w="237" w:type="pct"/>
            <w:vMerge w:val="continue"/>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p>
        </w:tc>
        <w:tc>
          <w:tcPr>
            <w:tcW w:w="328" w:type="pct"/>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质量负责人</w:t>
            </w:r>
          </w:p>
        </w:tc>
        <w:tc>
          <w:tcPr>
            <w:tcW w:w="308" w:type="pct"/>
            <w:tcBorders>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从业能力：具有市政公用工程类专业中级或以上技术职称，得10分。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c>
          <w:tcPr>
            <w:tcW w:w="237" w:type="pct"/>
            <w:vMerge w:val="continue"/>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p>
        </w:tc>
        <w:tc>
          <w:tcPr>
            <w:tcW w:w="328" w:type="pct"/>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安全负责人</w:t>
            </w:r>
          </w:p>
        </w:tc>
        <w:tc>
          <w:tcPr>
            <w:tcW w:w="308" w:type="pct"/>
            <w:tcBorders>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从业能力：具有安全工程专业中级或以上技术职称或市政公用工程类专业中级或以上技术职称，且具有安全生产考核合格证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B类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或安全生产考核合格证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C类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或建筑施工企业项目负责人安全生产考核合格证书或建筑施工企业专职安全生产管理人员安全生产考核合格证书</w:t>
            </w:r>
            <w:r>
              <w:rPr>
                <w:rFonts w:hint="eastAsia" w:ascii="宋体" w:hAnsi="宋体" w:eastAsia="宋体" w:cs="宋体"/>
                <w:color w:val="auto"/>
                <w:szCs w:val="21"/>
                <w:highlight w:val="none"/>
                <w:lang w:eastAsia="zh-CN"/>
              </w:rPr>
              <w:t>（C3）</w:t>
            </w:r>
            <w:r>
              <w:rPr>
                <w:rFonts w:hint="eastAsia" w:ascii="宋体" w:hAnsi="宋体" w:eastAsia="宋体" w:cs="宋体"/>
                <w:color w:val="auto"/>
                <w:szCs w:val="21"/>
                <w:highlight w:val="none"/>
              </w:rPr>
              <w:t>，得10分。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center"/>
              <w:rPr>
                <w:rFonts w:hint="eastAsia" w:ascii="宋体" w:hAnsi="宋体" w:eastAsia="宋体" w:cs="宋体"/>
                <w:color w:val="auto"/>
                <w:szCs w:val="21"/>
                <w:highlight w:val="none"/>
              </w:rPr>
            </w:pPr>
          </w:p>
        </w:tc>
        <w:tc>
          <w:tcPr>
            <w:tcW w:w="237" w:type="pct"/>
            <w:vMerge w:val="continue"/>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p>
        </w:tc>
        <w:tc>
          <w:tcPr>
            <w:tcW w:w="328" w:type="pct"/>
            <w:tcBorders>
              <w:left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造价负责人</w:t>
            </w:r>
          </w:p>
        </w:tc>
        <w:tc>
          <w:tcPr>
            <w:tcW w:w="308" w:type="pct"/>
            <w:tcBorders>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从业能力：具有有效的注册造价</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师（或一级注册造价</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师）证书、或具有工程造价类专业副高级或以上技术职称，得10分。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7" w:type="pct"/>
            <w:gridSpan w:val="4"/>
            <w:tcBorders>
              <w:left w:val="single" w:color="auto" w:sz="8" w:space="0"/>
              <w:right w:val="single" w:color="auto" w:sz="4" w:space="0"/>
            </w:tcBorders>
            <w:vAlign w:val="center"/>
          </w:tcPr>
          <w:p>
            <w:pPr>
              <w:widowControl/>
              <w:spacing w:line="280" w:lineRule="exact"/>
              <w:jc w:val="both"/>
              <w:rPr>
                <w:rFonts w:hint="eastAsia" w:ascii="宋体" w:hAnsi="宋体" w:eastAsia="宋体" w:cs="宋体"/>
                <w:color w:val="auto"/>
                <w:szCs w:val="21"/>
                <w:highlight w:val="none"/>
              </w:rPr>
            </w:pP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注：①上述人员须提供身份证、毕业证书（大学专科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学历）及投标截止前一个月（</w:t>
            </w:r>
            <w:r>
              <w:rPr>
                <w:rFonts w:hint="eastAsia" w:ascii="宋体" w:hAnsi="宋体" w:eastAsia="宋体" w:cs="宋体"/>
                <w:color w:val="auto"/>
                <w:highlight w:val="none"/>
                <w:lang w:val="en-US" w:eastAsia="zh-CN"/>
              </w:rPr>
              <w:t>2024</w:t>
            </w:r>
            <w:r>
              <w:rPr>
                <w:rFonts w:hint="eastAsia" w:ascii="宋体" w:hAnsi="宋体" w:eastAsia="宋体" w:cs="宋体"/>
                <w:color w:val="auto"/>
                <w:highlight w:val="none"/>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rPr>
              <w:t>月）有效社保证明，且须按相应要求提供职称证、有效期内的注册证及有效期内的安全生产考核合格证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B类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或安全生产考核合格证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或或建筑施工企业项目负责人安全生产考核合格证书或建筑施工企业专职安全生产管理人员安全生产考核合格证书</w:t>
            </w:r>
            <w:r>
              <w:rPr>
                <w:rFonts w:hint="eastAsia" w:ascii="宋体" w:hAnsi="宋体" w:eastAsia="宋体" w:cs="宋体"/>
                <w:color w:val="auto"/>
                <w:highlight w:val="none"/>
                <w:lang w:eastAsia="zh-CN"/>
              </w:rPr>
              <w:t>（C3）</w:t>
            </w:r>
            <w:r>
              <w:rPr>
                <w:rFonts w:hint="eastAsia" w:ascii="宋体" w:hAnsi="宋体" w:eastAsia="宋体" w:cs="宋体"/>
                <w:color w:val="auto"/>
                <w:highlight w:val="none"/>
              </w:rPr>
              <w:t>，所有资料为扫描件并加盖投标人电子公章；</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②项目负责人、技术负责人、质量负责人、安全负责人、造价负责人不得兼任，且安全负责人不能同时兼任专职安全员。</w:t>
            </w:r>
          </w:p>
          <w:p>
            <w:pPr>
              <w:ind w:firstLine="420" w:firstLineChars="200"/>
              <w:jc w:val="both"/>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color w:val="auto"/>
                <w:szCs w:val="21"/>
                <w:highlight w:val="none"/>
              </w:rPr>
              <w:t>③</w:t>
            </w:r>
            <w:r>
              <w:rPr>
                <w:rFonts w:hint="eastAsia" w:ascii="宋体" w:hAnsi="宋体" w:eastAsia="宋体" w:cs="宋体"/>
                <w:b w:val="0"/>
                <w:bCs/>
                <w:color w:val="auto"/>
                <w:kern w:val="2"/>
                <w:sz w:val="21"/>
                <w:szCs w:val="24"/>
                <w:highlight w:val="none"/>
                <w:lang w:val="en-US" w:eastAsia="zh-CN" w:bidi="ar-SA"/>
              </w:rPr>
              <w:t>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restart"/>
            <w:tcBorders>
              <w:top w:val="single" w:color="auto" w:sz="4" w:space="0"/>
              <w:left w:val="single" w:color="auto" w:sz="8" w:space="0"/>
              <w:right w:val="single" w:color="auto" w:sz="4" w:space="0"/>
            </w:tcBorders>
            <w:vAlign w:val="center"/>
          </w:tcPr>
          <w:p>
            <w:pPr>
              <w:spacing w:line="28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二、企业资信（30分）</w:t>
            </w:r>
          </w:p>
        </w:tc>
        <w:tc>
          <w:tcPr>
            <w:tcW w:w="565" w:type="pct"/>
            <w:gridSpan w:val="2"/>
            <w:tcBorders>
              <w:left w:val="single" w:color="auto" w:sz="4" w:space="0"/>
              <w:bottom w:val="single" w:color="auto" w:sz="4" w:space="0"/>
              <w:right w:val="single" w:color="auto" w:sz="4" w:space="0"/>
            </w:tcBorders>
            <w:vAlign w:val="center"/>
          </w:tcPr>
          <w:p>
            <w:pPr>
              <w:widowControl/>
              <w:spacing w:line="28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企业类似工程业绩</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832"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w:t>
            </w:r>
            <w:r>
              <w:rPr>
                <w:rFonts w:hint="eastAsia" w:ascii="宋体" w:hAnsi="宋体" w:eastAsia="宋体" w:cs="宋体"/>
                <w:color w:val="auto"/>
                <w:szCs w:val="21"/>
                <w:highlight w:val="none"/>
                <w:u w:val="single"/>
                <w:lang w:val="en-US" w:eastAsia="zh-CN"/>
              </w:rPr>
              <w:t>2021</w:t>
            </w:r>
            <w:r>
              <w:rPr>
                <w:rFonts w:hint="eastAsia" w:ascii="宋体" w:hAnsi="宋体" w:eastAsia="宋体" w:cs="宋体"/>
                <w:color w:val="auto"/>
                <w:szCs w:val="21"/>
                <w:highlight w:val="none"/>
              </w:rPr>
              <w:t>年1月1日（近三年）至今完成过质量合格的</w:t>
            </w:r>
            <w:r>
              <w:rPr>
                <w:rFonts w:hint="eastAsia" w:ascii="宋体" w:hAnsi="宋体" w:eastAsia="宋体" w:cs="宋体"/>
                <w:color w:val="auto"/>
                <w:szCs w:val="21"/>
                <w:highlight w:val="none"/>
                <w:lang w:val="en-US" w:eastAsia="zh-CN"/>
              </w:rPr>
              <w:t>工程造价金额大于或等于</w:t>
            </w:r>
            <w:r>
              <w:rPr>
                <w:rFonts w:hint="eastAsia" w:ascii="宋体" w:hAnsi="宋体" w:cs="宋体"/>
                <w:color w:val="auto"/>
                <w:szCs w:val="21"/>
                <w:highlight w:val="none"/>
                <w:u w:val="single"/>
                <w:lang w:val="en-US" w:eastAsia="zh-CN"/>
              </w:rPr>
              <w:t>460</w:t>
            </w:r>
            <w:r>
              <w:rPr>
                <w:rFonts w:hint="eastAsia" w:ascii="宋体" w:hAnsi="宋体" w:eastAsia="宋体" w:cs="宋体"/>
                <w:color w:val="auto"/>
                <w:szCs w:val="21"/>
                <w:highlight w:val="none"/>
                <w:lang w:val="en-US" w:eastAsia="zh-CN"/>
              </w:rPr>
              <w:t>万元的</w:t>
            </w:r>
            <w:r>
              <w:rPr>
                <w:rFonts w:hint="eastAsia" w:ascii="宋体" w:hAnsi="宋体" w:eastAsia="宋体" w:cs="宋体"/>
                <w:color w:val="auto"/>
                <w:szCs w:val="21"/>
                <w:highlight w:val="none"/>
              </w:rPr>
              <w:t>市政公用工程</w:t>
            </w:r>
            <w:r>
              <w:rPr>
                <w:rFonts w:hint="eastAsia" w:ascii="宋体" w:hAnsi="宋体" w:eastAsia="宋体" w:cs="宋体"/>
                <w:color w:val="auto"/>
                <w:szCs w:val="21"/>
                <w:highlight w:val="none"/>
                <w:u w:val="single"/>
              </w:rPr>
              <w:t>施工</w:t>
            </w:r>
            <w:r>
              <w:rPr>
                <w:rFonts w:hint="eastAsia" w:ascii="宋体" w:hAnsi="宋体" w:eastAsia="宋体" w:cs="宋体"/>
                <w:color w:val="auto"/>
                <w:szCs w:val="21"/>
                <w:highlight w:val="none"/>
                <w:u w:val="single"/>
                <w:lang w:val="en-US" w:eastAsia="zh-CN"/>
              </w:rPr>
              <w:t>总承包或工程总承包施工部分业绩，</w:t>
            </w:r>
            <w:r>
              <w:rPr>
                <w:rFonts w:hint="eastAsia" w:ascii="宋体" w:hAnsi="宋体" w:eastAsia="宋体" w:cs="宋体"/>
                <w:color w:val="auto"/>
                <w:szCs w:val="21"/>
                <w:highlight w:val="none"/>
              </w:rPr>
              <w:t>一项得</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both"/>
              <w:rPr>
                <w:rFonts w:hint="eastAsia" w:ascii="宋体" w:hAnsi="宋体" w:eastAsia="宋体" w:cs="宋体"/>
                <w:color w:val="auto"/>
                <w:szCs w:val="21"/>
                <w:highlight w:val="none"/>
              </w:rPr>
            </w:pPr>
          </w:p>
        </w:tc>
        <w:tc>
          <w:tcPr>
            <w:tcW w:w="565" w:type="pct"/>
            <w:gridSpan w:val="2"/>
            <w:tcBorders>
              <w:left w:val="single" w:color="auto" w:sz="4" w:space="0"/>
              <w:bottom w:val="single" w:color="auto" w:sz="4" w:space="0"/>
              <w:right w:val="single" w:color="auto" w:sz="4" w:space="0"/>
            </w:tcBorders>
            <w:vAlign w:val="center"/>
          </w:tcPr>
          <w:p>
            <w:pPr>
              <w:widowControl/>
              <w:spacing w:line="28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企业工程项目获奖情况</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832" w:type="pct"/>
            <w:tcBorders>
              <w:top w:val="single" w:color="auto" w:sz="4" w:space="0"/>
              <w:left w:val="single" w:color="auto" w:sz="4" w:space="0"/>
              <w:bottom w:val="single" w:color="auto" w:sz="4" w:space="0"/>
              <w:right w:val="single" w:color="auto" w:sz="4" w:space="0"/>
            </w:tcBorders>
            <w:vAlign w:val="center"/>
          </w:tcPr>
          <w:p>
            <w:pPr>
              <w:pStyle w:val="26"/>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rPr>
              <w:t>自</w:t>
            </w:r>
            <w:r>
              <w:rPr>
                <w:rFonts w:hint="eastAsia" w:ascii="宋体" w:hAnsi="宋体" w:eastAsia="宋体" w:cs="宋体"/>
                <w:color w:val="auto"/>
                <w:szCs w:val="21"/>
                <w:highlight w:val="none"/>
                <w:u w:val="single"/>
                <w:lang w:val="en-US" w:eastAsia="zh-CN"/>
              </w:rPr>
              <w:t>2021</w:t>
            </w:r>
            <w:r>
              <w:rPr>
                <w:rFonts w:hint="eastAsia" w:ascii="宋体" w:hAnsi="宋体" w:eastAsia="宋体" w:cs="宋体"/>
                <w:color w:val="auto"/>
                <w:sz w:val="21"/>
                <w:szCs w:val="21"/>
                <w:highlight w:val="none"/>
              </w:rPr>
              <w:t>年1月1日至今（近三年）获得市政公用工程的市级或以上奖项，一项得</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both"/>
              <w:rPr>
                <w:rFonts w:hint="eastAsia" w:ascii="宋体" w:hAnsi="宋体" w:eastAsia="宋体" w:cs="宋体"/>
                <w:color w:val="auto"/>
                <w:szCs w:val="21"/>
                <w:highlight w:val="none"/>
              </w:rPr>
            </w:pPr>
          </w:p>
        </w:tc>
        <w:tc>
          <w:tcPr>
            <w:tcW w:w="565" w:type="pct"/>
            <w:gridSpan w:val="2"/>
            <w:tcBorders>
              <w:left w:val="single" w:color="auto" w:sz="4" w:space="0"/>
              <w:bottom w:val="single" w:color="auto" w:sz="4" w:space="0"/>
              <w:right w:val="single" w:color="auto" w:sz="4" w:space="0"/>
            </w:tcBorders>
            <w:vAlign w:val="center"/>
          </w:tcPr>
          <w:p>
            <w:pPr>
              <w:widowControl/>
              <w:spacing w:line="28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企业工程研发能力</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832" w:type="pct"/>
            <w:tcBorders>
              <w:top w:val="single" w:color="auto" w:sz="4" w:space="0"/>
              <w:left w:val="single" w:color="auto" w:sz="4" w:space="0"/>
              <w:bottom w:val="single" w:color="auto" w:sz="4" w:space="0"/>
              <w:right w:val="single" w:color="auto" w:sz="4" w:space="0"/>
            </w:tcBorders>
            <w:vAlign w:val="center"/>
          </w:tcPr>
          <w:p>
            <w:pPr>
              <w:pStyle w:val="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w:t>
            </w:r>
            <w:r>
              <w:rPr>
                <w:rFonts w:hint="eastAsia" w:ascii="宋体" w:hAnsi="宋体" w:eastAsia="宋体" w:cs="宋体"/>
                <w:color w:val="auto"/>
                <w:szCs w:val="21"/>
                <w:highlight w:val="none"/>
                <w:u w:val="single"/>
                <w:lang w:val="en-US" w:eastAsia="zh-CN"/>
              </w:rPr>
              <w:t>2021</w:t>
            </w:r>
            <w:r>
              <w:rPr>
                <w:rFonts w:hint="eastAsia" w:ascii="宋体" w:hAnsi="宋体" w:eastAsia="宋体" w:cs="宋体"/>
                <w:color w:val="auto"/>
                <w:sz w:val="21"/>
                <w:szCs w:val="21"/>
                <w:highlight w:val="none"/>
              </w:rPr>
              <w:t>年1月1日至今（近三年），作为主要完成单位或独立完成单位获得过市级或以上科学技术进步奖或科技进步奖或科学技术奖项，一项得</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 w:type="pct"/>
            <w:vMerge w:val="continue"/>
            <w:tcBorders>
              <w:left w:val="single" w:color="auto" w:sz="8" w:space="0"/>
              <w:right w:val="single" w:color="auto" w:sz="4" w:space="0"/>
            </w:tcBorders>
            <w:vAlign w:val="center"/>
          </w:tcPr>
          <w:p>
            <w:pPr>
              <w:spacing w:line="280" w:lineRule="exact"/>
              <w:jc w:val="both"/>
              <w:rPr>
                <w:rFonts w:hint="eastAsia" w:ascii="宋体" w:hAnsi="宋体" w:eastAsia="宋体" w:cs="宋体"/>
                <w:color w:val="auto"/>
                <w:szCs w:val="21"/>
                <w:highlight w:val="none"/>
              </w:rPr>
            </w:pPr>
          </w:p>
        </w:tc>
        <w:tc>
          <w:tcPr>
            <w:tcW w:w="565" w:type="pct"/>
            <w:gridSpan w:val="2"/>
            <w:tcBorders>
              <w:left w:val="single" w:color="auto" w:sz="4" w:space="0"/>
              <w:bottom w:val="single" w:color="auto" w:sz="4" w:space="0"/>
              <w:right w:val="single" w:color="auto" w:sz="4" w:space="0"/>
            </w:tcBorders>
            <w:vAlign w:val="center"/>
          </w:tcPr>
          <w:p>
            <w:pPr>
              <w:widowControl/>
              <w:spacing w:line="28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第三方评价</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832"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年至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年获得税务机关评定为“纳税信用A级纳税人”的，</w:t>
            </w:r>
            <w:r>
              <w:rPr>
                <w:rFonts w:hint="eastAsia" w:ascii="宋体" w:hAnsi="宋体" w:eastAsia="宋体" w:cs="宋体"/>
                <w:color w:val="auto"/>
                <w:szCs w:val="21"/>
                <w:highlight w:val="none"/>
                <w:lang w:eastAsia="zh-CN"/>
              </w:rPr>
              <w:t>一个年度</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分（一个年度只计算一次得分）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最多得6分。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8" w:type="pct"/>
            <w:gridSpan w:val="3"/>
            <w:tcBorders>
              <w:left w:val="single" w:color="auto" w:sz="8" w:space="0"/>
              <w:right w:val="single" w:color="auto" w:sz="4" w:space="0"/>
            </w:tcBorders>
            <w:vAlign w:val="center"/>
          </w:tcPr>
          <w:p>
            <w:pPr>
              <w:widowControl/>
              <w:spacing w:line="28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合计（一+二）</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3832"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auto"/>
                <w:szCs w:val="21"/>
                <w:highlight w:val="none"/>
              </w:rPr>
            </w:pPr>
          </w:p>
        </w:tc>
      </w:tr>
    </w:tbl>
    <w:p>
      <w:pPr>
        <w:pStyle w:val="26"/>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 </w:t>
      </w:r>
    </w:p>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b/>
          <w:bCs/>
          <w:color w:val="auto"/>
          <w:sz w:val="21"/>
          <w:szCs w:val="21"/>
          <w:highlight w:val="none"/>
        </w:rPr>
        <w:t>.企业类似工程业绩：</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市政公用工程项目：业绩需提供相关证明材料。投标人须提供业绩的中标通知书或免招标的相关证明、招标公告网页首页截图（适用于公开招标项目）、</w:t>
      </w:r>
      <w:bookmarkStart w:id="59" w:name="_GoBack"/>
      <w:bookmarkEnd w:id="59"/>
      <w:r>
        <w:rPr>
          <w:rFonts w:hint="eastAsia" w:ascii="宋体" w:hAnsi="宋体" w:eastAsia="宋体" w:cs="宋体"/>
          <w:color w:val="auto"/>
          <w:sz w:val="21"/>
          <w:szCs w:val="21"/>
          <w:highlight w:val="none"/>
        </w:rPr>
        <w:t>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宋体" w:hAnsi="宋体" w:eastAsia="宋体" w:cs="宋体"/>
          <w:color w:val="auto"/>
          <w:sz w:val="21"/>
          <w:szCs w:val="21"/>
          <w:highlight w:val="none"/>
          <w:u w:val="single"/>
          <w:lang w:eastAsia="zh-CN"/>
        </w:rPr>
        <w:t>市政公用工程施工总承包</w:t>
      </w:r>
      <w:r>
        <w:rPr>
          <w:rFonts w:hint="eastAsia" w:ascii="宋体" w:hAnsi="宋体" w:eastAsia="宋体" w:cs="宋体"/>
          <w:color w:val="auto"/>
          <w:sz w:val="21"/>
          <w:szCs w:val="21"/>
          <w:highlight w:val="none"/>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6"/>
        <w:ind w:firstLine="36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3.企业工程项目获奖情况：</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市政公用工程项目：只评质量奖项; 需提供获奖网页信息截图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市级奖项是指由省、市级建设行政主管部门或行业协会颁发的工程质量类奖项。同一项目按最高级别奖项只计一次得分。</w:t>
      </w:r>
      <w:r>
        <w:rPr>
          <w:rFonts w:hint="eastAsia" w:ascii="宋体" w:hAnsi="宋体" w:eastAsia="宋体" w:cs="宋体"/>
          <w:i w:val="0"/>
          <w:strike w:val="0"/>
          <w:color w:val="auto"/>
          <w:spacing w:val="0"/>
          <w:sz w:val="21"/>
          <w:szCs w:val="21"/>
          <w:highlight w:val="none"/>
          <w:u w:val="none"/>
        </w:rPr>
        <w:t>若颁发机构非政府相关部门，还需提供该组织在“全国社会组织信用信息公示平台（试运行</w:t>
      </w:r>
      <w:r>
        <w:rPr>
          <w:rFonts w:hint="eastAsia" w:ascii="宋体" w:hAnsi="宋体" w:eastAsia="宋体" w:cs="宋体"/>
          <w:i w:val="0"/>
          <w:strike w:val="0"/>
          <w:color w:val="auto"/>
          <w:spacing w:val="0"/>
          <w:sz w:val="21"/>
          <w:szCs w:val="21"/>
          <w:highlight w:val="none"/>
          <w:u w:val="none"/>
          <w:lang w:eastAsia="zh-CN"/>
        </w:rPr>
        <w:t>）</w:t>
      </w:r>
      <w:r>
        <w:rPr>
          <w:rFonts w:hint="eastAsia" w:ascii="宋体" w:hAnsi="宋体" w:eastAsia="宋体" w:cs="宋体"/>
          <w:i w:val="0"/>
          <w:strike w:val="0"/>
          <w:color w:val="auto"/>
          <w:spacing w:val="0"/>
          <w:sz w:val="21"/>
          <w:szCs w:val="21"/>
          <w:highlight w:val="none"/>
          <w:u w:val="none"/>
        </w:rPr>
        <w:t>”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6"/>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不符合条件的奖项不计分。</w:t>
      </w:r>
    </w:p>
    <w:p>
      <w:pPr>
        <w:pStyle w:val="26"/>
        <w:ind w:firstLine="36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4.企业工程研发能力：</w:t>
      </w:r>
    </w:p>
    <w:p>
      <w:pPr>
        <w:pStyle w:val="26"/>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市级或以上科学技术进步奖或科技进步奖或科学技术奖：指市级或以上政府部门或中国社会组织依法依规设立的“科学技术进步奖”或“科技进步奖”或“科学技术奖”：须提供</w:t>
      </w:r>
      <w:r>
        <w:rPr>
          <w:rFonts w:hint="eastAsia" w:ascii="宋体" w:hAnsi="宋体" w:eastAsia="宋体" w:cs="宋体"/>
          <w:color w:val="auto"/>
          <w:sz w:val="21"/>
          <w:szCs w:val="21"/>
          <w:highlight w:val="none"/>
          <w:lang w:val="en-US" w:eastAsia="zh-CN"/>
        </w:rPr>
        <w:t>奖项</w:t>
      </w:r>
      <w:r>
        <w:rPr>
          <w:rFonts w:hint="eastAsia" w:ascii="宋体" w:hAnsi="宋体" w:eastAsia="宋体" w:cs="宋体"/>
          <w:color w:val="auto"/>
          <w:sz w:val="21"/>
          <w:szCs w:val="21"/>
          <w:highlight w:val="none"/>
        </w:rPr>
        <w:t>证书扫描件，时间以证书中载明的发证时间为准。①科学技术奖励发证机构须为市级或以上政府部门或在国家科学技术奖励工作办公室相关网站</w:t>
      </w:r>
      <w:r>
        <w:rPr>
          <w:rFonts w:hint="eastAsia" w:ascii="宋体" w:hAnsi="宋体" w:eastAsia="宋体" w:cs="宋体"/>
          <w:color w:val="auto"/>
          <w:sz w:val="21"/>
          <w:szCs w:val="21"/>
          <w:highlight w:val="none"/>
          <w:lang w:eastAsia="zh-CN"/>
        </w:rPr>
        <w:t>（https://www.nosta.gov.cn/pc/zh/shkjjl/jlmu/page_1.shtml，平台名称及网址若有更新，以最新发布的为准。）</w:t>
      </w:r>
      <w:r>
        <w:rPr>
          <w:rFonts w:hint="eastAsia" w:ascii="宋体" w:hAnsi="宋体" w:eastAsia="宋体" w:cs="宋体"/>
          <w:color w:val="auto"/>
          <w:sz w:val="21"/>
          <w:szCs w:val="21"/>
          <w:highlight w:val="none"/>
        </w:rPr>
        <w:t>或市级或以上科技行政部门相关网站可查询到的社会组织或按照《国家科学技术奖励条例》及《科技部关于进一步鼓励和规范社会力量设立科学技术奖的指导意见》的相关规定设立“科学技术奖”的中国社会组织 ；②中国社会组织（如协会、学会等）需提供其在国家或省级科技行政部门网页查询信息页截图及查询路径或提供发证机构符合科技行政部门要求具有设奖资格等相关证明材料，还</w:t>
      </w:r>
      <w:r>
        <w:rPr>
          <w:rFonts w:hint="eastAsia" w:ascii="宋体" w:hAnsi="宋体" w:eastAsia="宋体" w:cs="宋体"/>
          <w:i w:val="0"/>
          <w:strike w:val="0"/>
          <w:color w:val="auto"/>
          <w:spacing w:val="0"/>
          <w:sz w:val="21"/>
          <w:szCs w:val="21"/>
          <w:highlight w:val="none"/>
          <w:u w:val="none"/>
        </w:rPr>
        <w:t>须提供其在“全国社会组织信用信息公示平台（试运行</w:t>
      </w:r>
      <w:r>
        <w:rPr>
          <w:rFonts w:hint="eastAsia" w:ascii="宋体" w:hAnsi="宋体" w:eastAsia="宋体" w:cs="宋体"/>
          <w:i w:val="0"/>
          <w:strike w:val="0"/>
          <w:color w:val="auto"/>
          <w:spacing w:val="0"/>
          <w:sz w:val="21"/>
          <w:szCs w:val="21"/>
          <w:highlight w:val="none"/>
          <w:u w:val="none"/>
          <w:lang w:eastAsia="zh-CN"/>
        </w:rPr>
        <w:t>）</w:t>
      </w:r>
      <w:r>
        <w:rPr>
          <w:rFonts w:hint="eastAsia" w:ascii="宋体" w:hAnsi="宋体" w:eastAsia="宋体" w:cs="宋体"/>
          <w:i w:val="0"/>
          <w:strike w:val="0"/>
          <w:color w:val="auto"/>
          <w:spacing w:val="0"/>
          <w:sz w:val="21"/>
          <w:szCs w:val="21"/>
          <w:highlight w:val="none"/>
          <w:u w:val="none"/>
        </w:rPr>
        <w:t>”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w:t>
      </w:r>
      <w:r>
        <w:rPr>
          <w:rFonts w:hint="eastAsia" w:ascii="宋体" w:hAnsi="宋体" w:eastAsia="宋体" w:cs="宋体"/>
          <w:color w:val="auto"/>
          <w:sz w:val="21"/>
          <w:szCs w:val="21"/>
          <w:highlight w:val="none"/>
        </w:rPr>
        <w:t>；③仅计算市政公用工程获得的科学技术奖，证书上需明确其为市政公用工程获得的科学技术奖励，若无法明确，需提供当地行政主管部门或科技行政部门认可的组织出具的科学技术成果鉴定证书或第三方技术评价证明材料扫描件，并且在科学技术成果鉴定证书或第三方评价证明材料中需明确该科学技术奖励的研究背景项目为市政公用工程项目，无法提供证书清晰扫描件和科学技术成果鉴定证书或第三方评价证明材料扫描件的且无法证明该科学技术奖励为市政公用工程项目获得的科学技术奖励不得分。社会组织颁发的科技奖项无法提供发证单位在上述相关网页查询信息页截图及查询路径或提供其设奖资格证明材料的不得分。同一</w:t>
      </w:r>
      <w:r>
        <w:rPr>
          <w:rFonts w:hint="eastAsia" w:ascii="宋体" w:hAnsi="宋体" w:eastAsia="宋体" w:cs="宋体"/>
          <w:color w:val="auto"/>
          <w:sz w:val="21"/>
          <w:szCs w:val="21"/>
          <w:highlight w:val="none"/>
          <w:lang w:eastAsia="zh-CN"/>
        </w:rPr>
        <w:t>科学技术成果获得不同级别</w:t>
      </w:r>
      <w:r>
        <w:rPr>
          <w:rFonts w:hint="eastAsia" w:ascii="宋体" w:hAnsi="宋体" w:eastAsia="宋体" w:cs="宋体"/>
          <w:color w:val="auto"/>
          <w:sz w:val="21"/>
          <w:szCs w:val="21"/>
          <w:highlight w:val="none"/>
        </w:rPr>
        <w:t>科学技术进步奖或科技进步奖或科学技术奖的按最高级别只计一次得分。</w:t>
      </w:r>
    </w:p>
    <w:p>
      <w:pPr>
        <w:pStyle w:val="26"/>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不符合上述条件的奖项不计分。</w:t>
      </w:r>
    </w:p>
    <w:p>
      <w:pPr>
        <w:pStyle w:val="26"/>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5.第三方评价：</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纳税人全称须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名称一致，否则不得分。不满足上述要求或无提交上述资料不得分。</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pPr>
        <w:pStyle w:val="26"/>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7.项目管理机构人员不得兼任。</w:t>
      </w:r>
    </w:p>
    <w:p>
      <w:pPr>
        <w:pStyle w:val="26"/>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除了项目组织管理机构能力可计算投标人的分公司（不具备独立法人）或投标人的分支机构（不具备独立法人）外，评分表内其他评分项目只计算投标人自身（不计算投标人的分公司、子公司和分支机构），否则不得分。</w:t>
      </w:r>
    </w:p>
    <w:p>
      <w:pPr>
        <w:pStyle w:val="26"/>
        <w:ind w:firstLine="42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9.投标人提供的网页信息截图或证明材料扫描件内容必须清晰可辨，如因网页信息截图或证明材料扫描件内容模糊导致评标时无法判断的，后果由投标人自负。</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ageBreakBefore w:val="0"/>
        <w:kinsoku/>
        <w:overflowPunct/>
        <w:bidi w:val="0"/>
        <w:snapToGrid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附表五（适用于区间抽取法）</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经济标评分表</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052"/>
        <w:gridCol w:w="1052"/>
        <w:gridCol w:w="1052"/>
        <w:gridCol w:w="1052"/>
        <w:gridCol w:w="1052"/>
        <w:gridCol w:w="1052"/>
        <w:gridCol w:w="1052"/>
        <w:gridCol w:w="1053"/>
        <w:gridCol w:w="1053"/>
        <w:gridCol w:w="1053"/>
        <w:gridCol w:w="105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tc>
      </w:tr>
    </w:tbl>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pageBreakBefore w:val="0"/>
        <w:kinsoku/>
        <w:overflowPunct/>
        <w:bidi w:val="0"/>
        <w:snapToGrid w:val="0"/>
        <w:spacing w:beforeAutospacing="0" w:afterAutospacing="0" w:line="36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pageBreakBefore w:val="0"/>
        <w:kinsoku/>
        <w:overflowPunct/>
        <w:bidi w:val="0"/>
        <w:snapToGrid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附表六</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工程名称：                                           投标人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单位：元</w:t>
      </w:r>
    </w:p>
    <w:tbl>
      <w:tblPr>
        <w:tblStyle w:val="20"/>
        <w:tblW w:w="4998" w:type="pct"/>
        <w:tblInd w:w="0" w:type="dxa"/>
        <w:tblLayout w:type="autofit"/>
        <w:tblCellMar>
          <w:top w:w="0" w:type="dxa"/>
          <w:left w:w="108" w:type="dxa"/>
          <w:bottom w:w="0" w:type="dxa"/>
          <w:right w:w="108" w:type="dxa"/>
        </w:tblCellMar>
      </w:tblPr>
      <w:tblGrid>
        <w:gridCol w:w="585"/>
        <w:gridCol w:w="4422"/>
        <w:gridCol w:w="1540"/>
        <w:gridCol w:w="1514"/>
        <w:gridCol w:w="1911"/>
        <w:gridCol w:w="1408"/>
        <w:gridCol w:w="3402"/>
      </w:tblGrid>
      <w:tr>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修正前投标</w:t>
            </w:r>
          </w:p>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修正后投标</w:t>
            </w:r>
          </w:p>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[单位工程1]</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[单位工程2]</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[单位工程n]</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投标总报价</w:t>
            </w:r>
          </w:p>
        </w:tc>
        <w:tc>
          <w:tcPr>
            <w:tcW w:w="540"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r2bl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修正原则：</w:t>
      </w:r>
      <w:r>
        <w:rPr>
          <w:rFonts w:hint="eastAsia" w:ascii="宋体" w:hAnsi="宋体" w:eastAsia="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 w:val="24"/>
          <w:szCs w:val="24"/>
          <w:highlight w:val="none"/>
        </w:rPr>
        <w:tab/>
      </w:r>
    </w:p>
    <w:p>
      <w:pPr>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评委签名：</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日期：</w:t>
      </w:r>
    </w:p>
    <w:p>
      <w:pPr>
        <w:pageBreakBefore w:val="0"/>
        <w:kinsoku/>
        <w:overflowPunct/>
        <w:bidi w:val="0"/>
        <w:snapToGrid w:val="0"/>
        <w:spacing w:beforeAutospacing="0" w:afterAutospacing="0" w:line="36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300"/>
        <w:gridCol w:w="2329"/>
        <w:gridCol w:w="3100"/>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bl>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pageBreakBefore w:val="0"/>
        <w:kinsoku/>
        <w:overflowPunct/>
        <w:bidi w:val="0"/>
        <w:snapToGrid w:val="0"/>
        <w:spacing w:beforeAutospacing="0" w:afterAutospacing="0" w:line="360" w:lineRule="auto"/>
        <w:jc w:val="left"/>
        <w:rPr>
          <w:rFonts w:hint="eastAsia" w:ascii="宋体" w:hAnsi="宋体" w:eastAsia="宋体" w:cs="宋体"/>
          <w:b/>
          <w:bCs/>
          <w:color w:val="auto"/>
          <w:sz w:val="24"/>
          <w:szCs w:val="24"/>
          <w:highlight w:val="none"/>
        </w:rPr>
        <w:sectPr>
          <w:pgSz w:w="16840" w:h="11907" w:orient="landscape"/>
          <w:pgMar w:top="1440" w:right="1440" w:bottom="1440" w:left="1440" w:header="851" w:footer="992" w:gutter="0"/>
          <w:cols w:space="720" w:num="1"/>
          <w:docGrid w:type="lines" w:linePitch="312" w:charSpace="0"/>
        </w:sect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b/>
          <w:bCs w:val="0"/>
          <w:color w:val="auto"/>
          <w:sz w:val="44"/>
          <w:szCs w:val="44"/>
          <w:highlight w:val="none"/>
        </w:rPr>
      </w:pPr>
      <w:bookmarkStart w:id="27" w:name="_Toc504053942"/>
      <w:bookmarkStart w:id="28" w:name="_Toc500249621"/>
      <w:bookmarkStart w:id="29" w:name="_Toc5789"/>
      <w:bookmarkStart w:id="30" w:name="_Toc504659100"/>
      <w:r>
        <w:rPr>
          <w:rFonts w:hint="eastAsia"/>
          <w:color w:val="auto"/>
          <w:highlight w:val="none"/>
        </w:rPr>
        <w:drawing>
          <wp:anchor distT="0" distB="0" distL="114300" distR="114300" simplePos="0" relativeHeight="251659264" behindDoc="0" locked="0" layoutInCell="1" allowOverlap="1">
            <wp:simplePos x="0" y="0"/>
            <wp:positionH relativeFrom="column">
              <wp:posOffset>3941445</wp:posOffset>
            </wp:positionH>
            <wp:positionV relativeFrom="paragraph">
              <wp:posOffset>134620</wp:posOffset>
            </wp:positionV>
            <wp:extent cx="2236470" cy="1798955"/>
            <wp:effectExtent l="0" t="0" r="1143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2"/>
                    <a:stretch>
                      <a:fillRect/>
                    </a:stretch>
                  </pic:blipFill>
                  <pic:spPr>
                    <a:xfrm>
                      <a:off x="0" y="0"/>
                      <a:ext cx="2236470" cy="1798955"/>
                    </a:xfrm>
                    <a:prstGeom prst="rect">
                      <a:avLst/>
                    </a:prstGeom>
                    <a:noFill/>
                    <a:ln>
                      <a:noFill/>
                    </a:ln>
                  </pic:spPr>
                </pic:pic>
              </a:graphicData>
            </a:graphic>
          </wp:anchor>
        </w:drawing>
      </w:r>
      <w:r>
        <w:rPr>
          <w:rFonts w:hint="eastAsia" w:ascii="宋体" w:hAnsi="宋体" w:eastAsia="宋体" w:cs="宋体"/>
          <w:b/>
          <w:bCs w:val="0"/>
          <w:color w:val="auto"/>
          <w:sz w:val="44"/>
          <w:szCs w:val="44"/>
          <w:highlight w:val="none"/>
        </w:rPr>
        <w:t>第三章  合同条款</w:t>
      </w:r>
      <w:bookmarkEnd w:id="27"/>
      <w:bookmarkEnd w:id="28"/>
      <w:bookmarkEnd w:id="29"/>
      <w:bookmarkEnd w:id="30"/>
    </w:p>
    <w:p>
      <w:pPr>
        <w:ind w:firstLine="420" w:firstLineChars="200"/>
        <w:rPr>
          <w:color w:val="auto"/>
          <w:highlight w:val="none"/>
        </w:rPr>
      </w:pPr>
    </w:p>
    <w:p>
      <w:pPr>
        <w:rPr>
          <w:color w:val="auto"/>
          <w:highlight w:val="none"/>
        </w:rPr>
      </w:pPr>
    </w:p>
    <w:p>
      <w:pPr>
        <w:ind w:firstLine="420" w:firstLineChars="200"/>
        <w:rPr>
          <w:color w:val="auto"/>
          <w:highlight w:val="none"/>
        </w:rPr>
      </w:pPr>
    </w:p>
    <w:p>
      <w:pPr>
        <w:ind w:firstLine="420" w:firstLineChars="200"/>
        <w:rPr>
          <w:color w:val="auto"/>
          <w:highlight w:val="none"/>
        </w:rPr>
      </w:pPr>
      <w:r>
        <w:rPr>
          <w:color w:val="auto"/>
          <w:highlight w:val="none"/>
        </w:rPr>
        <w:drawing>
          <wp:inline distT="0" distB="0" distL="114300" distR="114300">
            <wp:extent cx="2497455" cy="259715"/>
            <wp:effectExtent l="0" t="0" r="17145" b="698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3"/>
                    <a:stretch>
                      <a:fillRect/>
                    </a:stretch>
                  </pic:blipFill>
                  <pic:spPr>
                    <a:xfrm>
                      <a:off x="0" y="0"/>
                      <a:ext cx="2497455" cy="259715"/>
                    </a:xfrm>
                    <a:prstGeom prst="rect">
                      <a:avLst/>
                    </a:prstGeom>
                    <a:noFill/>
                    <a:ln>
                      <a:noFill/>
                    </a:ln>
                  </pic:spPr>
                </pic:pic>
              </a:graphicData>
            </a:graphic>
          </wp:inline>
        </w:drawing>
      </w:r>
    </w:p>
    <w:p>
      <w:pPr>
        <w:ind w:firstLine="8400" w:firstLineChars="3500"/>
        <w:rPr>
          <w:color w:val="auto"/>
          <w:sz w:val="24"/>
          <w:highlight w:val="none"/>
        </w:rPr>
      </w:pPr>
      <w:r>
        <w:rPr>
          <w:rFonts w:hint="eastAsia"/>
          <w:color w:val="auto"/>
          <w:sz w:val="24"/>
          <w:highlight w:val="none"/>
        </w:rPr>
        <w:t xml:space="preserve">                            </w:t>
      </w:r>
    </w:p>
    <w:p>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2336"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4"/>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穗开建管施[2023]  号 /                /</w:t>
      </w:r>
    </w:p>
    <w:p>
      <w:pPr>
        <w:rPr>
          <w:rFonts w:ascii="方正大标宋简体" w:eastAsia="方正大标宋简体"/>
          <w:color w:val="auto"/>
          <w:sz w:val="28"/>
          <w:szCs w:val="28"/>
          <w:highlight w:val="none"/>
        </w:rPr>
      </w:pPr>
      <w:r>
        <w:rPr>
          <w:rFonts w:hint="eastAsia" w:ascii="方正大标宋简体" w:eastAsia="方正大标宋简体"/>
          <w:color w:val="auto"/>
          <w:sz w:val="28"/>
          <w:szCs w:val="28"/>
          <w:highlight w:val="none"/>
        </w:rPr>
        <w:t xml:space="preserve"> </w:t>
      </w:r>
    </w:p>
    <w:p>
      <w:pPr>
        <w:ind w:firstLine="840" w:firstLineChars="400"/>
        <w:rPr>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171450</wp:posOffset>
            </wp:positionH>
            <wp:positionV relativeFrom="paragraph">
              <wp:posOffset>200660</wp:posOffset>
            </wp:positionV>
            <wp:extent cx="5295900" cy="590550"/>
            <wp:effectExtent l="0" t="0" r="0" b="0"/>
            <wp:wrapSquare wrapText="bothSides"/>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5"/>
                    <a:stretch>
                      <a:fillRect/>
                    </a:stretch>
                  </pic:blipFill>
                  <pic:spPr>
                    <a:xfrm>
                      <a:off x="0" y="0"/>
                      <a:ext cx="5295900" cy="590550"/>
                    </a:xfrm>
                    <a:prstGeom prst="rect">
                      <a:avLst/>
                    </a:prstGeom>
                    <a:noFill/>
                    <a:ln>
                      <a:noFill/>
                    </a:ln>
                  </pic:spPr>
                </pic:pic>
              </a:graphicData>
            </a:graphic>
          </wp:anchor>
        </w:drawing>
      </w:r>
    </w:p>
    <w:p>
      <w:pPr>
        <w:ind w:firstLine="840" w:firstLineChars="400"/>
        <w:rPr>
          <w:color w:val="auto"/>
          <w:highlight w:val="none"/>
        </w:rPr>
      </w:pPr>
      <w:r>
        <w:rPr>
          <w:rFonts w:hint="eastAsia"/>
          <w:color w:val="auto"/>
          <w:highlight w:val="none"/>
        </w:rPr>
        <w:t xml:space="preserve">                                                              </w:t>
      </w:r>
    </w:p>
    <w:p>
      <w:pPr>
        <w:snapToGrid/>
        <w:spacing w:line="240" w:lineRule="auto"/>
        <w:ind w:left="0" w:leftChars="0" w:firstLine="840" w:firstLineChars="400"/>
        <w:jc w:val="left"/>
        <w:rPr>
          <w:rFonts w:ascii="宋体" w:hAnsi="宋体"/>
          <w:color w:val="auto"/>
          <w:highlight w:val="none"/>
        </w:rPr>
      </w:pPr>
      <w:r>
        <w:rPr>
          <w:rFonts w:hint="eastAsia"/>
          <w:color w:val="auto"/>
          <w:highlight w:val="none"/>
        </w:rPr>
        <w:t xml:space="preserve">                    </w:t>
      </w: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p>
    <w:p>
      <w:pPr>
        <w:spacing w:line="480" w:lineRule="exact"/>
        <w:ind w:firstLine="1120" w:firstLineChars="40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项目名称：</w:t>
      </w:r>
      <w:r>
        <w:rPr>
          <w:rFonts w:hint="eastAsia" w:ascii="方正大标宋简体" w:hAnsi="仿宋" w:eastAsia="方正大标宋简体"/>
          <w:color w:val="auto"/>
          <w:sz w:val="28"/>
          <w:szCs w:val="28"/>
          <w:highlight w:val="none"/>
          <w:u w:val="single"/>
        </w:rPr>
        <w:t xml:space="preserve">                                       </w:t>
      </w:r>
    </w:p>
    <w:p>
      <w:pPr>
        <w:spacing w:line="480" w:lineRule="exact"/>
        <w:ind w:firstLine="1120" w:firstLineChars="4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发包人（甲方）： </w:t>
      </w:r>
      <w:r>
        <w:rPr>
          <w:rFonts w:hint="eastAsia" w:ascii="方正大标宋简体" w:hAnsi="仿宋" w:eastAsia="方正大标宋简体"/>
          <w:color w:val="auto"/>
          <w:sz w:val="28"/>
          <w:szCs w:val="28"/>
          <w:highlight w:val="none"/>
          <w:u w:val="single"/>
        </w:rPr>
        <w:t xml:space="preserve">广州开发区财政投资建设项目管理中心      </w:t>
      </w:r>
    </w:p>
    <w:p>
      <w:pPr>
        <w:snapToGrid w:val="0"/>
        <w:spacing w:line="440" w:lineRule="exact"/>
        <w:ind w:firstLine="1120" w:firstLineChars="40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r>
        <w:rPr>
          <w:rFonts w:hint="eastAsia" w:ascii="方正大标宋简体" w:hAnsi="宋体" w:eastAsia="方正大标宋简体"/>
          <w:color w:val="auto"/>
          <w:sz w:val="28"/>
          <w:szCs w:val="28"/>
          <w:highlight w:val="none"/>
          <w:u w:val="single"/>
        </w:rPr>
        <w:t xml:space="preserve">                                         </w:t>
      </w:r>
    </w:p>
    <w:p>
      <w:pPr>
        <w:spacing w:line="480" w:lineRule="exact"/>
        <w:ind w:firstLine="1120" w:firstLineChars="40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202</w:t>
      </w:r>
      <w:r>
        <w:rPr>
          <w:rFonts w:hint="eastAsia" w:ascii="方正大标宋简体" w:hAnsi="仿宋" w:eastAsia="方正大标宋简体"/>
          <w:color w:val="auto"/>
          <w:sz w:val="28"/>
          <w:szCs w:val="28"/>
          <w:highlight w:val="none"/>
          <w:u w:val="single"/>
          <w:lang w:val="en-US" w:eastAsia="zh-CN"/>
        </w:rPr>
        <w:t>4</w:t>
      </w:r>
      <w:r>
        <w:rPr>
          <w:rFonts w:hint="eastAsia" w:ascii="方正大标宋简体" w:hAnsi="仿宋" w:eastAsia="方正大标宋简体"/>
          <w:color w:val="auto"/>
          <w:sz w:val="28"/>
          <w:szCs w:val="28"/>
          <w:highlight w:val="none"/>
          <w:u w:val="single"/>
        </w:rPr>
        <w:t xml:space="preserve">年  月    日         </w:t>
      </w:r>
    </w:p>
    <w:p>
      <w:pPr>
        <w:spacing w:line="480" w:lineRule="exact"/>
        <w:ind w:firstLine="1120" w:firstLineChars="4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 xml:space="preserve">广州市黄埔区           </w:t>
      </w:r>
    </w:p>
    <w:p>
      <w:pPr>
        <w:spacing w:line="480" w:lineRule="exact"/>
        <w:jc w:val="center"/>
        <w:rPr>
          <w:rFonts w:ascii="宋体" w:hAnsi="宋体"/>
          <w:color w:val="auto"/>
          <w:highlight w:val="none"/>
        </w:rPr>
      </w:pPr>
      <w:r>
        <w:rPr>
          <w:color w:val="auto"/>
          <w:highlight w:val="none"/>
        </w:rPr>
        <w:drawing>
          <wp:anchor distT="0" distB="0" distL="114300" distR="114300" simplePos="0" relativeHeight="251661312"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6"/>
                    <a:stretch>
                      <a:fillRect/>
                    </a:stretch>
                  </pic:blipFill>
                  <pic:spPr>
                    <a:xfrm>
                      <a:off x="0" y="0"/>
                      <a:ext cx="7562850" cy="2633980"/>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440" w:bottom="1440" w:left="1440" w:header="4" w:footer="851" w:gutter="284"/>
          <w:cols w:space="720" w:num="1"/>
          <w:docGrid w:type="lines" w:linePitch="408" w:charSpace="0"/>
        </w:sectPr>
      </w:pPr>
    </w:p>
    <w:p>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pStyle w:val="49"/>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w:t>
      </w:r>
      <w:r>
        <w:rPr>
          <w:rFonts w:hint="eastAsia" w:ascii="宋体" w:hAnsi="宋体"/>
          <w:dstrike/>
          <w:color w:val="auto"/>
          <w:sz w:val="24"/>
          <w:highlight w:val="none"/>
        </w:rPr>
        <w:t>实际开工日期以批准的开工报告为准。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pPr>
        <w:pStyle w:val="26"/>
        <w:snapToGrid w:val="0"/>
        <w:spacing w:line="400" w:lineRule="exact"/>
        <w:ind w:firstLine="480" w:firstLineChars="200"/>
        <w:rPr>
          <w:rFonts w:ascii="宋体" w:hAnsi="宋体"/>
          <w:color w:val="auto"/>
          <w:kern w:val="0"/>
          <w:sz w:val="24"/>
          <w:szCs w:val="24"/>
          <w:highlight w:val="none"/>
        </w:rPr>
      </w:pPr>
      <w:r>
        <w:rPr>
          <w:rFonts w:hint="eastAsia" w:ascii="宋体" w:hAnsi="宋体"/>
          <w:color w:val="auto"/>
          <w:kern w:val="0"/>
          <w:sz w:val="24"/>
          <w:highlight w:val="none"/>
        </w:rPr>
        <w:t>施工要求：符合设计图纸要求和国家、省、市相关法律法规规定要求及行业工程质量标准，</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szCs w:val="24"/>
          <w:highlight w:val="none"/>
          <w:u w:val="single"/>
        </w:rPr>
        <w:t>标准</w:t>
      </w:r>
      <w:r>
        <w:rPr>
          <w:rFonts w:hint="eastAsia" w:ascii="宋体" w:hAnsi="宋体"/>
          <w:color w:val="auto"/>
          <w:kern w:val="0"/>
          <w:sz w:val="24"/>
          <w:szCs w:val="24"/>
          <w:highlight w:val="none"/>
        </w:rPr>
        <w:t>。</w:t>
      </w:r>
    </w:p>
    <w:p>
      <w:pPr>
        <w:spacing w:line="400" w:lineRule="exact"/>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工程质量标准：合格，</w:t>
      </w:r>
      <w:r>
        <w:rPr>
          <w:rFonts w:hint="eastAsia" w:ascii="宋体" w:hAnsi="宋体"/>
          <w:color w:val="auto"/>
          <w:kern w:val="0"/>
          <w:sz w:val="24"/>
          <w:szCs w:val="24"/>
          <w:highlight w:val="none"/>
          <w:u w:val="single"/>
        </w:rPr>
        <w:t>且达到投标承诺的</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标准。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元，人工费     元，工人工资比例为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pPr>
        <w:pStyle w:val="50"/>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pPr>
        <w:snapToGrid w:val="0"/>
        <w:spacing w:line="440" w:lineRule="exact"/>
        <w:ind w:left="600" w:firstLine="482" w:firstLineChars="200"/>
        <w:rPr>
          <w:color w:val="auto"/>
          <w:highlight w:val="none"/>
        </w:rPr>
      </w:pPr>
      <w:r>
        <w:rPr>
          <w:rFonts w:hint="eastAsia" w:ascii="宋体" w:hAnsi="宋体"/>
          <w:b/>
          <w:bCs/>
          <w:color w:val="auto"/>
          <w:sz w:val="24"/>
          <w:highlight w:val="none"/>
        </w:rPr>
        <w:t>九、发包人向承包人承诺按照合同约定的期限和方式支付合同价款及其他应当支付的款项。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十、合同生效</w:t>
      </w:r>
    </w:p>
    <w:p>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20"/>
        <w:tblW w:w="0" w:type="auto"/>
        <w:tblInd w:w="0" w:type="dxa"/>
        <w:tblLayout w:type="fixed"/>
        <w:tblCellMar>
          <w:top w:w="0" w:type="dxa"/>
          <w:left w:w="108" w:type="dxa"/>
          <w:bottom w:w="0" w:type="dxa"/>
          <w:right w:w="108" w:type="dxa"/>
        </w:tblCellMar>
      </w:tblPr>
      <w:tblGrid>
        <w:gridCol w:w="4839"/>
        <w:gridCol w:w="4839"/>
      </w:tblGrid>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pPr>
        <w:snapToGrid w:val="0"/>
        <w:spacing w:line="440" w:lineRule="exact"/>
        <w:ind w:firstLine="120" w:firstLineChars="50"/>
        <w:rPr>
          <w:rFonts w:ascii="宋体" w:hAnsi="宋体"/>
          <w:color w:val="auto"/>
          <w:sz w:val="24"/>
          <w:highlight w:val="none"/>
        </w:rPr>
      </w:pPr>
    </w:p>
    <w:p>
      <w:pPr>
        <w:snapToGrid w:val="0"/>
        <w:spacing w:line="440" w:lineRule="exact"/>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8"/>
          <w:szCs w:val="28"/>
          <w:highlight w:val="none"/>
        </w:rPr>
        <w:t>第二部分</w:t>
      </w:r>
      <w:r>
        <w:rPr>
          <w:rFonts w:ascii="宋体" w:hAnsi="宋体"/>
          <w:b/>
          <w:bCs/>
          <w:color w:val="auto"/>
          <w:sz w:val="28"/>
          <w:szCs w:val="28"/>
          <w:highlight w:val="none"/>
        </w:rPr>
        <w:t xml:space="preserve"> </w:t>
      </w:r>
      <w:r>
        <w:rPr>
          <w:rFonts w:hint="eastAsia" w:ascii="宋体" w:hAnsi="宋体"/>
          <w:b/>
          <w:bCs/>
          <w:color w:val="auto"/>
          <w:sz w:val="28"/>
          <w:szCs w:val="28"/>
          <w:highlight w:val="none"/>
        </w:rPr>
        <w:t>通用条款</w:t>
      </w:r>
    </w:p>
    <w:p>
      <w:pPr>
        <w:spacing w:line="440" w:lineRule="exact"/>
        <w:jc w:val="center"/>
        <w:rPr>
          <w:rFonts w:ascii="宋体" w:hAnsi="宋体"/>
          <w:color w:val="auto"/>
          <w:sz w:val="24"/>
          <w:highlight w:val="none"/>
        </w:rPr>
      </w:pP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一、词语定义及合同文件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词语定义</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 通用条款：是根据法律、行政法规规定及建设工程施工的需要订立，通用于建设工程施工的条款。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 发包人：指在协议书中约定，具有工程发包主体资格和支付工程价款能力的当事人以及取得该当事人资格的合法继承人。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 承包人：指在协议书中约定，被发包人接受的具有工程施工承包主体资格的当事人以及取得该当事人资格的合法继承人。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 </w:t>
      </w:r>
      <w:r>
        <w:rPr>
          <w:rFonts w:hint="eastAsia" w:ascii="宋体" w:hAnsi="宋体"/>
          <w:color w:val="auto"/>
          <w:sz w:val="21"/>
          <w:szCs w:val="21"/>
          <w:highlight w:val="none"/>
        </w:rPr>
        <w:t>项目负责人：指承包人在专用条款中指定的负责施工管理和合同履行的代表。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 设计单位：指发包人委托的负责本工程设计并取得相应工程设计资质等级证书的单位。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 监理单位：指发包人委托的负责本工程监理并取得相应在工程监理资质等级证书的单位。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 工程造价管理部门：指国务院有关部门、县级以上人民政府建设行政主管部门或其委托的工程造价管理机构。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1.10 工程：指发包人承包人在协议书中约定的承包范围内的工程。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1.12 追加合同价款：指在合同履行中发生需要增加合同价款的情况，经发包人确认后按计算合同价款的方法增加的合同价款。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1.13 </w:t>
      </w:r>
      <w:r>
        <w:rPr>
          <w:rFonts w:hint="eastAsia" w:ascii="宋体" w:hAnsi="宋体"/>
          <w:color w:val="auto"/>
          <w:sz w:val="21"/>
          <w:szCs w:val="21"/>
          <w:highlight w:val="none"/>
        </w:rPr>
        <w:t>费用：指不包含在合同价款之内的应当由发包人或承包人承担的经济支出。</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工期：指发包人承包人在协议书中约定，按总日历天数（包括法定节假日）计算的承包天数。</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1.15 开工日期：指发包人承包人在协议书中约定，承包人开始施工的绝对或相对的日期。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1.16 竣工日期：指发包人承包人在协议书中约定，承包人完成承包范围内工程的绝对或相对的日期。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1.17 图纸：指由发包人提供或承包人提供并经发包人批准，满足承包人施工需要的所有图纸（包括配套说明和有关资料）。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1.18 施工场地：指由发包人提供的用于工程施工的场所以及发包人在图纸中具体指定的供施工使用的任何其他场所。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1.19 书面形式：指合同书、信件和数据电文（包括电报、电传、传真、电子数据交换和电子邮件）等可以有形地表现所载内容的形式。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1.20 违约责任：指合同一方不履行合同义务或履行合同义务不符合约定所应承担的责任。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1.22 不可抗力：指不能预见、不能避免并不能克服的客观情况。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2、合同文件及解释顺序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 合同文件应能相互解释，互为说明。除专用条款另有约定外，组成本合同的文件及优先解释顺序如下：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1）本合同协议书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2）中标通知书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3）投标书及其附件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4）本合同专用条款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5）本合同通用条款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6）标准、规范及有关技术文件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7）图纸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8）工程量清单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9）工程报价单或预算书</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合同履行中，发包人承包人有关工程的洽商、变更等书面协议或文件视为本合同的组成部分。</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3、语言文字和适用法律、标准及规范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 语言文字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 适用法律和法规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 适用标准、规范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可后执行。发包人要求使用国外标准、规范的，应负责提供中文译本。</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4、图纸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 </w:t>
      </w:r>
      <w:r>
        <w:rPr>
          <w:rFonts w:hint="eastAsia" w:ascii="宋体" w:hAnsi="宋体"/>
          <w:color w:val="auto"/>
          <w:sz w:val="21"/>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 承包人应在施工现场保留一套完整图纸，供工程师及有关人员进行工程检查时使用。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二、双方一般权利和义务</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5、工程师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5.1实行工程监理的，发包人应在实施监理前将委托的监理单位名称、监理内容及监理权限以书面形式通知承包人。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5.4 </w:t>
      </w:r>
      <w:r>
        <w:rPr>
          <w:rFonts w:hint="eastAsia" w:ascii="宋体" w:hAnsi="宋体"/>
          <w:color w:val="auto"/>
          <w:sz w:val="21"/>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 w:val="21"/>
          <w:szCs w:val="21"/>
          <w:highlight w:val="none"/>
        </w:rPr>
        <w:t xml:space="preserve">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5.5 </w:t>
      </w:r>
      <w:r>
        <w:rPr>
          <w:rFonts w:hint="eastAsia" w:ascii="宋体" w:hAnsi="宋体"/>
          <w:color w:val="auto"/>
          <w:sz w:val="21"/>
          <w:szCs w:val="21"/>
          <w:highlight w:val="none"/>
        </w:rPr>
        <w:t>除合同内有明确约定或经发包人同意外，负责监理的工程师无权解除本合同约定的承包人的任何权利与义务。</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5.6 不实行工程监理的，本合同中工程师专指发包人派驻施工现场履行合同的代表，其具体职权由发包人在专用条款中写明。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6、工程师的委派和指令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除工程师或工程师代表外，发包人派驻工地的其他人员均无权向承包人发出任何指令。</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6.2 </w:t>
      </w:r>
      <w:r>
        <w:rPr>
          <w:rFonts w:hint="eastAsia" w:ascii="宋体" w:hAnsi="宋体"/>
          <w:color w:val="auto"/>
          <w:sz w:val="21"/>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 w:val="21"/>
          <w:szCs w:val="21"/>
          <w:highlight w:val="none"/>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承包人认为工程师指令不合理，应在收到指令后</w:t>
      </w:r>
      <w:r>
        <w:rPr>
          <w:rFonts w:ascii="宋体" w:hAnsi="宋体"/>
          <w:color w:val="auto"/>
          <w:sz w:val="21"/>
          <w:szCs w:val="21"/>
          <w:highlight w:val="none"/>
        </w:rPr>
        <w:t>24小时内向工程师提出修改指令的书面报告，工程师在收到承包人报告后24小时内</w:t>
      </w:r>
      <w:r>
        <w:rPr>
          <w:rFonts w:hint="eastAsia" w:ascii="宋体" w:hAnsi="宋体"/>
          <w:color w:val="auto"/>
          <w:sz w:val="21"/>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6.3 </w:t>
      </w:r>
      <w:r>
        <w:rPr>
          <w:rFonts w:hint="eastAsia" w:ascii="宋体" w:hAnsi="宋体"/>
          <w:color w:val="auto"/>
          <w:sz w:val="21"/>
          <w:szCs w:val="21"/>
          <w:highlight w:val="none"/>
        </w:rPr>
        <w:t>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担延误造成的追加合同价款，并赔偿承包人有关损失，顺延延误的工期。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项目负责人</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7.1 </w:t>
      </w:r>
      <w:r>
        <w:rPr>
          <w:rFonts w:hint="eastAsia" w:ascii="宋体" w:hAnsi="宋体"/>
          <w:color w:val="auto"/>
          <w:sz w:val="21"/>
          <w:szCs w:val="21"/>
          <w:highlight w:val="none"/>
        </w:rPr>
        <w:t>项目负责人的姓名、职务在专用条款内写明。</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承包人依据合同发出的通知，以书面形式由项目负责人签字后送交工程师，工程师在回执上签署姓名和收到时间后生效。</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 w:val="21"/>
          <w:szCs w:val="21"/>
          <w:highlight w:val="none"/>
        </w:rPr>
        <w:t xml:space="preserve">48小时内向工程师送交报告。责任在发包人或第三人，由发包人承担由此发生的追加合同价款，相应顺延工期；责任在承包人，由承包人承担费用，不顺延工期。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7.4 </w:t>
      </w:r>
      <w:r>
        <w:rPr>
          <w:rFonts w:hint="eastAsia" w:ascii="宋体" w:hAnsi="宋体"/>
          <w:color w:val="auto"/>
          <w:sz w:val="21"/>
          <w:szCs w:val="21"/>
          <w:highlight w:val="none"/>
        </w:rPr>
        <w:t>承包人如需更换项目负责人，应至少提前</w:t>
      </w:r>
      <w:r>
        <w:rPr>
          <w:rFonts w:ascii="宋体" w:hAnsi="宋体"/>
          <w:color w:val="auto"/>
          <w:sz w:val="21"/>
          <w:szCs w:val="21"/>
          <w:highlight w:val="none"/>
        </w:rPr>
        <w:t xml:space="preserve">7天以书面形式通知发包人，并征得发包人同意。后任继续行使合同文件约定的前任的职权，履行前任的义务。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7.5 </w:t>
      </w:r>
      <w:r>
        <w:rPr>
          <w:rFonts w:hint="eastAsia" w:ascii="宋体" w:hAnsi="宋体"/>
          <w:color w:val="auto"/>
          <w:sz w:val="21"/>
          <w:szCs w:val="21"/>
          <w:highlight w:val="none"/>
        </w:rPr>
        <w:t>发包人可以与承包人协商，建议更换其认为不称职的项目负责人。</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8、发包人工作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8.1 发包人按专用条款约定的内容和时间完成以下工作: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办理土地征用、拆迁补偿、平整施工场地等工作，使施工场地具备施工条件，在开工后继续负责解决以上事项遗留问题；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将施工所需水、电、电讯线路从施工场地外部接至专用条款约定地点，保证施工期间的需要；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向承包人提供施工场地的工程地质和地下管线资料，对资料的真实准确性负责；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办理施工许可证及其他施工所需证件、批件和临时用地、停水、停电、中断道路交通、爆破作业等的申请批准文件（证明承包人自身资质的证件除外）；</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确定水准点与坐标控制点，以书面形式交给承包人，进行现场交验；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组织承包人和设计单位进行图纸会审和设计交底；</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 协调管理施工场地周围地下管线和邻近建筑物、构筑物（包括文物保护建筑）、古树名木的保护工作，承担有关费用；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 发包人应做的其他工作，双方在专用条款内约定。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8.2 发包人未履行8.1款各项义务，导致工期延误或给承包人造成损失的，发包人赔偿承包人有关损失，顺延延误的工期。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9、承包人工作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9.1 承包人按专用条款约定的内容和时间完成以下工作：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根据发包人委托，在其设计资质等级和业务允许的范围内，完成施工图设计或与工程配套的设计，经工程师确认后使用，发包人承担由此发生的费用；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向工程师提供年、季、月度工程进度计划及相应进度统计报表；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根据工程需要，提供和维修非夜间施工使用的照明、围栏设施，并负责安全保卫；</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按专用条款约定的数量和要求，向发包人提供施工场地办公和生活的房屋及设施，发包人承担由此发生的费用；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按专用条款约定做好施工场地地下管线和邻近建筑物、构筑物（包括文物保护建筑）、古树名木的保护工作；</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保证施工场地清洁符合环境卫生管理的有关规定，交工前清理现场达到专用条款约定的要求，承担因自身原因违反有关规定造成的损失和罚款；</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(10)承包人应做的其他工作，双方在专用条款内约定。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9.2承包人未能履行9.1款各项义务，造成发包人损失的，承包人赔偿发包人有关损失。</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三、施工组织设计和工期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10、进度计划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11、开工及延期开工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11.2因发包人原因不能按照协议书约定的开工日期开工，工程师应以书面形式通知承</w:t>
      </w:r>
      <w:r>
        <w:rPr>
          <w:rFonts w:hint="eastAsia" w:ascii="宋体" w:hAnsi="宋体"/>
          <w:color w:val="auto"/>
          <w:sz w:val="21"/>
          <w:szCs w:val="21"/>
          <w:highlight w:val="none"/>
        </w:rPr>
        <w:t>包人，推迟开工日期。发包人赔偿承包人因延期开工造成的损失，并相应顺延工期。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12、暂停施工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工程师认为确有必要暂停施工时，应当以书面形式要求承包人暂停施工，并在提出要求后</w:t>
      </w:r>
      <w:r>
        <w:rPr>
          <w:rFonts w:ascii="宋体" w:hAnsi="宋体"/>
          <w:color w:val="auto"/>
          <w:sz w:val="21"/>
          <w:szCs w:val="21"/>
          <w:highlight w:val="none"/>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13、工期延误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13.1因以下原因造成工期延误，经工程师确认工期相应顺延；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发包人未能按专用条款的约定提供图纸及开工条件；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发包人未能按约定日期支付工程预付款、进度款，致使施工不能正常进行；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工程师未按合同约定提供所需指令、批准等，致使施工不能正常进行；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设计变更和工程量增加；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一周内非承包人原因停水、停电、停气造成停工累计超过</w:t>
      </w:r>
      <w:r>
        <w:rPr>
          <w:rFonts w:ascii="宋体" w:hAnsi="宋体"/>
          <w:color w:val="auto"/>
          <w:sz w:val="21"/>
          <w:szCs w:val="21"/>
          <w:highlight w:val="none"/>
        </w:rPr>
        <w:t>8小时；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不可抗力；</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专用条款中约定或工程师同意工期顺延的其他情况。</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14、工程竣工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14.1 承包人必须按照协议书约定的竣工日期或工程师同意顺延的工期竣工。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14.2 因承包人原因不能按照协议书约定的竣工日期或工程师同意顺延的工期竣工的，承包人承担违约责任。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四、质量与检验</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15、工程质量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pacing w:val="6"/>
          <w:sz w:val="21"/>
          <w:szCs w:val="21"/>
          <w:highlight w:val="none"/>
        </w:rPr>
        <w:t xml:space="preserve">5.1 </w:t>
      </w:r>
      <w:r>
        <w:rPr>
          <w:rFonts w:hint="eastAsia" w:ascii="宋体" w:hAnsi="宋体"/>
          <w:color w:val="auto"/>
          <w:spacing w:val="6"/>
          <w:sz w:val="21"/>
          <w:szCs w:val="21"/>
          <w:highlight w:val="none"/>
        </w:rPr>
        <w:t>工程质量应当达到协议书约定的质量标准，质量标准的评定以国家或</w:t>
      </w:r>
      <w:r>
        <w:rPr>
          <w:rFonts w:hint="eastAsia" w:ascii="宋体" w:hAnsi="宋体"/>
          <w:color w:val="auto"/>
          <w:sz w:val="21"/>
          <w:szCs w:val="21"/>
          <w:highlight w:val="none"/>
        </w:rPr>
        <w:t>行业的质量检验评定标准为依据。因承包人原因工程质量达不到约定的质量标准，承包人承担违约责任。</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16、检查和返工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16.4 因工程师指令失误或其他非承包人原因发生的追加合同价款，由发包人承担。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17、隐蔽工程和中间验收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17.1 </w:t>
      </w:r>
      <w:r>
        <w:rPr>
          <w:rFonts w:hint="eastAsia" w:ascii="宋体" w:hAnsi="宋体"/>
          <w:color w:val="auto"/>
          <w:sz w:val="21"/>
          <w:szCs w:val="21"/>
          <w:highlight w:val="none"/>
        </w:rPr>
        <w:t>工程具备隐蔽条件或达到专用条款约定的中间验收部位，承包人进行自检，并在隐蔽或中间验收前</w:t>
      </w:r>
      <w:r>
        <w:rPr>
          <w:rFonts w:ascii="宋体" w:hAnsi="宋体"/>
          <w:color w:val="auto"/>
          <w:sz w:val="21"/>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，承包人在工程师限定的时间内修改后重新验收。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17.3 </w:t>
      </w:r>
      <w:r>
        <w:rPr>
          <w:rFonts w:hint="eastAsia" w:ascii="宋体" w:hAnsi="宋体"/>
          <w:color w:val="auto"/>
          <w:sz w:val="21"/>
          <w:szCs w:val="21"/>
          <w:highlight w:val="none"/>
        </w:rPr>
        <w:t>经工程师验收，工程质量符合标准、规范和设计图纸等要求，验收</w:t>
      </w:r>
      <w:r>
        <w:rPr>
          <w:rFonts w:ascii="宋体" w:hAnsi="宋体"/>
          <w:color w:val="auto"/>
          <w:sz w:val="21"/>
          <w:szCs w:val="21"/>
          <w:highlight w:val="none"/>
        </w:rPr>
        <w:t>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人可进行隐蔽或继续施工。</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18、重新检验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19、工程试车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19.1 双方约定需要试车的，试车内容应与承包人承包的安装范围相一致。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19.5双方责任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w:t>
      </w:r>
      <w:r>
        <w:rPr>
          <w:rFonts w:hint="eastAsia" w:ascii="宋体" w:hAnsi="宋体"/>
          <w:color w:val="auto"/>
          <w:sz w:val="21"/>
          <w:szCs w:val="21"/>
          <w:highlight w:val="none"/>
        </w:rPr>
        <w:t>试车费用除已包括在合同价款之内或专用条款另有约定外，均由发包人承担。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五、安全施工</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20、安全施工与检查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21、安全防护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w:t>
      </w:r>
      <w:r>
        <w:rPr>
          <w:rFonts w:ascii="宋体" w:hAnsi="宋体"/>
          <w:color w:val="auto"/>
          <w:spacing w:val="2"/>
          <w:sz w:val="21"/>
          <w:szCs w:val="21"/>
          <w:highlight w:val="none"/>
        </w:rPr>
        <w:t>,由发包人承担安全</w:t>
      </w:r>
      <w:r>
        <w:rPr>
          <w:rFonts w:hint="eastAsia" w:ascii="宋体" w:hAnsi="宋体"/>
          <w:color w:val="auto"/>
          <w:sz w:val="21"/>
          <w:szCs w:val="21"/>
          <w:highlight w:val="none"/>
        </w:rPr>
        <w:t>防护措施费用。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22、事故处理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22.2发包人承包人对事故责任有争议时，应按政府有关部门的认定处理。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六、合同价款与支付</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23、合同价款及调整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可调价格合同。合同价款可根据双方的约定而调整，双方在专用条款内约定合同价款调整方法。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成本加酬金合同。合同价款包括成本和酬金两部分，双方在专用条款内约定成本构成和酬金的计算方法。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23.3可调价格合同中合同价款的调整因素包括：</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法律、行政法规和国家有关政策变化影响合同价款；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工程造价管理部门公布的价格调整；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一周内非承包人原因停水、停电、停气造成的停工累计超过8小时；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双方约定的其他因素。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24、工程预付款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 w:val="21"/>
          <w:szCs w:val="21"/>
          <w:highlight w:val="none"/>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25、工程量的确认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25.3对承包人超出设计图纸范围和因承包人原因造成返工的工程量，工程师不予计量。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26、工程款（进度款）支付。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七、材料设备供应</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27、发包人供应材料设备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发包人未通知承包人清点，承包人不负责材料设备的保管，丢失损坏由发包人负责。</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材料设备单价与一览表不符，由发包人承担所有价差；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材料设备的品种、规格、型号、质量等级与一览表不符，承包人可拒绝接收保管，由发包人运出施工场地并重新采购；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发包人供应的材料规格、型号与一览表不符，经发包人同意，承包人可代为调剂串换，由发包人承担相应费用；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到货地点与一览表不符，由发包人负责运至一览表指定地点：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供应数量少于一览表约定的数量时，由发包人补齐，多于一览表约定数量时，发包人负责将多出部分运出施工场地；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27.5发包人供应的材料设备使用前，由承包人负责检验或试验，不合格的不得使用，检验或试验费用由发包人承担。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27.6发包人供应材料设备的结算方法，双方在专用条款内约定。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28、承包人采购材料设备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28.1 </w:t>
      </w:r>
      <w:r>
        <w:rPr>
          <w:rFonts w:hint="eastAsia" w:ascii="宋体" w:hAnsi="宋体"/>
          <w:color w:val="auto"/>
          <w:sz w:val="21"/>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 w:val="21"/>
          <w:szCs w:val="21"/>
          <w:highlight w:val="none"/>
        </w:rPr>
        <w:t>24小时通知工程师清点。</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28.2</w:t>
      </w:r>
      <w:r>
        <w:rPr>
          <w:rFonts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求的时间运出施工场地，重新采购符合要求的产品，承担由此发生的费用，由此延误的工期不予顺延。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28.5 承包人需要使用代用材料时，应经工程师认可后才能使用，由此增减的合同价款双方以书面形式议定。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28.6 由承包人采购的材料设备，发包人不得指定生产厂或供应商。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八、工程变更</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29、工程设计变更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更改工程有关部分的标高、基线、位置和尺寸；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增减合同中约定的工程量；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改变有关工程的施工时间和顺序；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其他有关工程变更需要的附加工作。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因变更导致合同价款的增减及造成的承包人损失，由发包人承担，延误的工期相应顺延。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工程师同意采用承包人合理化建议，所发生的费用和获得的收益，发包人承包人另行约定分担或分享。</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30、其他变更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合同履行中发包人要求变更工程质量标准及发生其他实质性变更，由双方协商解决。</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31、确定变更价款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合同中已有适用于变更工程的价格，按合同已有的价格变更合同价款；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合同中只有类似于变更工程的价格，可以参照类似价格变更合同价款；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合同中没有适用或类似于变更工程的价格，由承包人提出适当的变更价格，经工程师确认后执行。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31.2承包人在双方确定变更后14天内不向工程师提出变更工程价款报告时，视为该项变更不涉及合同价款的变更。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31.4工程师不同意承包人提出的变更价款，按本通用条款第37条关于争议的约定处理。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31.5工程师确认增加的工程变更价款作为追加合同价款，与工程款同期支付。</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31.6因承包人自身原因导致的工程变更，承包人无权要求追加合同价款。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九、竣工验收与结算</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32、竣工验收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32.1 </w:t>
      </w:r>
      <w:r>
        <w:rPr>
          <w:rFonts w:hint="eastAsia" w:ascii="宋体" w:hAnsi="宋体"/>
          <w:color w:val="auto"/>
          <w:sz w:val="21"/>
          <w:szCs w:val="21"/>
          <w:highlight w:val="none"/>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发包人收到竣工验收报告后</w:t>
      </w:r>
      <w:r>
        <w:rPr>
          <w:rFonts w:ascii="宋体" w:hAnsi="宋体"/>
          <w:color w:val="auto"/>
          <w:sz w:val="21"/>
          <w:szCs w:val="21"/>
          <w:highlight w:val="none"/>
        </w:rPr>
        <w:t>28天内组织有关单位验收，并在验收后14天内给予认可或提出修改意见。承包人按要求修改，并承担由自身原因造成修改的费用。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32.5 发包人收到承包人竣工验收报告后28天内不组织验收，从第29天起承担工程保管及一切意外责任。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32.6 中间交工工程的范围和竣工时间，双方在专用条款内约定，其验收程序按本通用条款32.1款至32.4款办理。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33、竣工结算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33.3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28天内无正当理由不支付工程竣工结算价款，从第29天起按承包人同期向银行贷款利率支付拖欠工程价款的利息，并承担违约责任。</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33.4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33.6 发包人承包人对工程竣工结算价款发生争议时，按本通用条款37条关于争议的约定处理。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34、质量保修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34.2 质量保修工作的实施。承包人应在工程竣工验收之前，与发包人签订质量保修书，作为本合同附件（附件3）。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34.3 质量保修书的主要内容包括：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质量保修项目内容及范围；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质量保修期；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质量保修责任；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质量保修金的支付方法。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十、违约、索赔和争议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35、违约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35.1发包人违约。当发生下列情况时：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本通用条款第24条提到的发包人不按时支付工程预付款；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本通用条款第26.4款提到的发包人不按合同约定支付工程款，导致施工无法进行；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本通用条款第</w:t>
      </w:r>
      <w:r>
        <w:rPr>
          <w:rFonts w:ascii="宋体" w:hAnsi="宋体"/>
          <w:color w:val="auto"/>
          <w:sz w:val="21"/>
          <w:szCs w:val="21"/>
          <w:highlight w:val="none"/>
        </w:rPr>
        <w:t>33.3款提到的发包人无正当理由不支付工程竣工结算价款；</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发包人不履行合同义务或不按合同约定履行义务的其他情况。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35.2承包人违约。当发生下列情况时：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本通用条款第14.2款提到的因承包人原因不能按照协议书约定的竣工日期或工程师同意顺延的工期竣工；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本通用条款第15.1款提到的因承包人原因工程质量达不到协议书约定的质量标准；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承包人不履行合同义务或不按合同约定履行义务的其他情况。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承包人承担违约责任，赔偿因其违约给发包人造成的损失。双方在专用条款内约定承包人赔偿发包人损失的计算方法或者承包人应当支付违约金的数额或计算方法。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35.3一方违约后，另一方要求违约方继续履行合同时，违约方承担上述违约责任后仍应继续履行合同。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36.1当</w:t>
      </w:r>
      <w:r>
        <w:rPr>
          <w:rFonts w:hint="eastAsia" w:ascii="宋体" w:hAnsi="宋体"/>
          <w:color w:val="auto"/>
          <w:sz w:val="21"/>
          <w:szCs w:val="21"/>
          <w:highlight w:val="none"/>
        </w:rPr>
        <w:t>一方向另一方提出索赔时，要有正当索赔理由，且有索赔事件发生时的有效证据。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索赔事件发生后28天内，向工程师发出索赔意向通知；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发出索赔意向通知后28天内，向工程师提出延长工期和（或）补偿经济损失的索赔报告及有关资料；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工程师在收到承包人送交的索赔报告及有关资料后，于28天内给予答复，或要求承包人进一步补充索赔理由和证据；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工程师在收到承包人送交的索赔报告和有关资料后28天内未予答复或未对承包人作进一步要求，视为该项索赔已经认可；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37、争议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第一种解决方式：双方达成仲裁协议，向约定的仲裁委员会申请仲裁；</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第二种解决方式：向有管辖权的人民法院起诉。</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37.2发生争议后，除非出现下列情况的，双方都应继续履行合同，保持施工连续，保护好已完工程：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单方违约导致合同确已无法履行，双方协议停止施工；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调解要求停止施工，且为双方接受；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仲裁机构要求停止施工；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法院要求停止施工。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十一、其他</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38、工程分包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38.2 承包人不得将其承包的全部工程转包给他人，也不得将其承包的全部工程肢解以后以分包的名义分别转包给他人。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38.4分包工程价款由承包人与分包单位结算。发包人未经承包人同意不得以任何形式向分包单位支付各种工程款项。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39、不可抗力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不可抗力包括因战争、动乱、空中飞行物体坠落或其他非发包人承包人责任造成的爆炸、火灾，以及专用条款约定的风、雨、雪、洪、震等自然灾害。</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39.3 </w:t>
      </w:r>
      <w:r>
        <w:rPr>
          <w:rFonts w:hint="eastAsia" w:ascii="宋体" w:hAnsi="宋体"/>
          <w:color w:val="auto"/>
          <w:sz w:val="21"/>
          <w:szCs w:val="21"/>
          <w:highlight w:val="none"/>
        </w:rPr>
        <w:t>因不可抗力事件导致的费用及延误的工期由双方按以下方法分别承担：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工程本身的损害、因工程损害导致第三人人员伤亡和财产损失以及运至施工场地用于施工的材料和待安装的设备的损害，由发包人承担；</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发包人承包人人员伤亡由其所在单位负责，并承担相应费用；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承包人机械设备损坏及停工损失，由承包人承担；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停工期间，承包人应工程师要求留在施工场地的必要的管理人员及保卫人员的费用由发包人承担；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工程所需清理、修复费用，由发包人承担；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延误的工期相应顺延。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39.4因合同一方迟延履行合同后发生不可抗力的，不能免除迟延履行方的相应责任。</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40、保险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40.1工程开工前，发包人为建设工程和施工场地内的自有人员及第三</w:t>
      </w:r>
      <w:r>
        <w:rPr>
          <w:rFonts w:hint="eastAsia" w:ascii="宋体" w:hAnsi="宋体"/>
          <w:color w:val="auto"/>
          <w:sz w:val="21"/>
          <w:szCs w:val="21"/>
          <w:highlight w:val="none"/>
        </w:rPr>
        <w:t>人人员生命财产办理保险，支付保险费用。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40.2运至施工场内用于工程的材料和待安装设备，由发包人办理保险，并支付保险费用。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40.3发包人可以将有关保险事项委托承包人办理，费用由发包人承担。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40.5保险事故发生时，发包人承包人有责任尽力采取必要的措施，防止或者减少损失。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40.6具体投保内容和相关责任，发包人承包人在专用条款中约定。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41、担保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41.1发包人、承包人为了全面履行合同，应互相提供以下担保：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发包人向承包人提供履约担保，按合同约定支付工程价款及履行合同约定的其他义务。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承包人向发包人提供履约担保，按合同约定履行自己的各项义务。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41.2 一方违约后，另一方可要求提供担保的第三人承担相应责任。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42、专利技术及特殊工艺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42.1 </w:t>
      </w:r>
      <w:r>
        <w:rPr>
          <w:rFonts w:hint="eastAsia" w:ascii="宋体" w:hAnsi="宋体"/>
          <w:color w:val="auto"/>
          <w:sz w:val="21"/>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42.2 擅自使用专利技术侵犯他人专利权的，责任者依法承担相应责任。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43、文物和地下障碍物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43.1 </w:t>
      </w:r>
      <w:r>
        <w:rPr>
          <w:rFonts w:hint="eastAsia" w:ascii="宋体" w:hAnsi="宋体"/>
          <w:color w:val="auto"/>
          <w:sz w:val="21"/>
          <w:szCs w:val="21"/>
          <w:highlight w:val="none"/>
        </w:rPr>
        <w:t>在施工中发现古墓、古建筑遗址等文物及化石或其他有考古、地质研究等价值的物品时，承包人应立即保护好现场并于</w:t>
      </w:r>
      <w:r>
        <w:rPr>
          <w:rFonts w:ascii="宋体" w:hAnsi="宋体"/>
          <w:color w:val="auto"/>
          <w:sz w:val="21"/>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如发现后隐瞒不报，致使文物遭受破坏，责任者依法承担相应责任。</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43.2 </w:t>
      </w:r>
      <w:r>
        <w:rPr>
          <w:rFonts w:hint="eastAsia" w:ascii="宋体" w:hAnsi="宋体"/>
          <w:color w:val="auto"/>
          <w:sz w:val="21"/>
          <w:szCs w:val="21"/>
          <w:highlight w:val="none"/>
        </w:rPr>
        <w:t>施工中发现影响施工的地下障碍物时，承包人应于</w:t>
      </w:r>
      <w:r>
        <w:rPr>
          <w:rFonts w:ascii="宋体" w:hAnsi="宋体"/>
          <w:color w:val="auto"/>
          <w:sz w:val="21"/>
          <w:szCs w:val="21"/>
          <w:highlight w:val="none"/>
        </w:rPr>
        <w:t>8小时内以书面形式通知工程师，同时提出处置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w:t>
      </w:r>
      <w:r>
        <w:rPr>
          <w:rFonts w:ascii="宋体" w:hAnsi="宋体"/>
          <w:color w:val="auto"/>
          <w:sz w:val="21"/>
          <w:szCs w:val="21"/>
          <w:highlight w:val="none"/>
        </w:rPr>
        <w:t>24小时内予以认可或提出修正方案。发包人承担由此发生的费用，顺延延误的工期。</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所发现的地下障碍物有归属单位时，发包人应报请有关部门协同处置。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44、合同解除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44.1 发包人承包人协商一致，可以解除合同。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44.2 发生本通用条款第26.4款情况，停止施工超过56天，发包人仍不支付工程款（进度款），承包人有权解除合同。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44.4 有下列情形之一的，发包人承包人可以解除合同：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因不可抗力致使合同无法履行；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因一方违约（包括因发包人原因造成工程停建或缓建）致使合同无法履行。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 w:val="21"/>
          <w:szCs w:val="21"/>
          <w:highlight w:val="none"/>
        </w:rPr>
        <w:t>合同解除给对方造成的损失。</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44.7合同解除后，不影响双方在合同中约定的结算和清理条款的效力。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45、合同生效与终止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45.1双方在协议书中约定合同生效方式。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45.3合同的权利义务终止后，发包人承包人应当遵循诚实信用原则，履行通知、协助、保密等义务。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46、合同份数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46.1本合同正本两份，具有同等效力，由发包人承包人分别保存一份。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46.2本合同副本份数，由双方根据需要在专用条款内约定。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47、补充条款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pPr>
        <w:spacing w:line="440" w:lineRule="exact"/>
        <w:ind w:firstLine="359" w:firstLineChars="171"/>
        <w:jc w:val="center"/>
        <w:rPr>
          <w:rFonts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第三部分</w:t>
      </w:r>
      <w:r>
        <w:rPr>
          <w:rFonts w:ascii="宋体" w:hAnsi="宋体"/>
          <w:b/>
          <w:color w:val="auto"/>
          <w:sz w:val="28"/>
          <w:szCs w:val="28"/>
          <w:highlight w:val="none"/>
        </w:rPr>
        <w:t xml:space="preserve">  </w:t>
      </w:r>
      <w:r>
        <w:rPr>
          <w:rFonts w:hint="eastAsia" w:ascii="宋体" w:hAnsi="宋体"/>
          <w:b/>
          <w:color w:val="auto"/>
          <w:sz w:val="28"/>
          <w:szCs w:val="28"/>
          <w:highlight w:val="none"/>
        </w:rPr>
        <w:t>专用条款</w:t>
      </w:r>
    </w:p>
    <w:p>
      <w:pPr>
        <w:snapToGrid w:val="0"/>
        <w:spacing w:line="440" w:lineRule="exact"/>
        <w:ind w:firstLine="397"/>
        <w:rPr>
          <w:rFonts w:ascii="宋体" w:hAnsi="宋体"/>
          <w:b/>
          <w:color w:val="auto"/>
          <w:sz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1.词语定义</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rPr>
        <w:t>式中的中标价格及招标控制价均不含不可竞争的绿色施工安全防护措施费及暂列金额。</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 xml:space="preserve"> 7.7现场管理机构</w:t>
      </w:r>
    </w:p>
    <w:p>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发包人按现有场地移交给承包人，承包人应无条件接受。</w:t>
      </w:r>
      <w:r>
        <w:rPr>
          <w:rFonts w:ascii="宋体" w:hAnsi="宋体" w:cs="宋体"/>
          <w:color w:val="auto"/>
          <w:sz w:val="24"/>
          <w:szCs w:val="24"/>
          <w:highlight w:val="none"/>
          <w:u w:val="single"/>
        </w:rPr>
        <w:t xml:space="preserve">   </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pPr>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（适用于一般项目）</w:t>
      </w:r>
    </w:p>
    <w:p>
      <w:pPr>
        <w:snapToGrid w:val="0"/>
        <w:spacing w:line="440" w:lineRule="exact"/>
        <w:ind w:firstLine="397"/>
        <w:rPr>
          <w:rFonts w:ascii="宋体" w:hAnsi="宋体" w:cs="宋体"/>
          <w:color w:val="auto"/>
          <w:sz w:val="24"/>
          <w:szCs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日历天。其中开工时间初定为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工程的质量标准要求合格，且达到投标承诺的质量标准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20.6</w:t>
      </w:r>
      <w:r>
        <w:rPr>
          <w:rFonts w:hint="eastAsia" w:ascii="宋体" w:hAnsi="宋体" w:cs="宋体"/>
          <w:color w:val="auto"/>
          <w:sz w:val="24"/>
          <w:szCs w:val="24"/>
          <w:highlight w:val="none"/>
          <w:u w:val="single"/>
        </w:rPr>
        <w:t>承包人在编制施工组织设计时，应当根据工程的特点编制相应的安全技术措施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pPr>
        <w:tabs>
          <w:tab w:val="left" w:pos="2340"/>
        </w:tabs>
        <w:spacing w:line="440" w:lineRule="exact"/>
        <w:jc w:val="left"/>
        <w:rPr>
          <w:rFonts w:ascii="宋体" w:hAnsi="宋体" w:cs="宋体"/>
          <w:color w:val="auto"/>
          <w:sz w:val="24"/>
          <w:highlight w:val="none"/>
        </w:rPr>
      </w:pPr>
      <w:r>
        <w:rPr>
          <w:rFonts w:ascii="宋体" w:hAnsi="宋体" w:cs="宋体"/>
          <w:color w:val="auto"/>
          <w:sz w:val="24"/>
          <w:szCs w:val="24"/>
          <w:highlight w:val="none"/>
        </w:rPr>
        <w:t xml:space="preserve">    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w:t>
      </w:r>
      <w:r>
        <w:rPr>
          <w:rFonts w:hint="eastAsia" w:ascii="宋体" w:hAnsi="宋体" w:cs="宋体"/>
          <w:color w:val="auto"/>
          <w:sz w:val="24"/>
          <w:szCs w:val="24"/>
          <w:highlight w:val="none"/>
          <w:u w:val="single"/>
        </w:rPr>
        <w:t>《黄埔区住房和城乡建设局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广州开发区建设和交通局关于进一步规范全区建设工程施工围蔽标准的通知》（穗埔建﹝</w:t>
      </w:r>
      <w:r>
        <w:rPr>
          <w:rFonts w:ascii="宋体" w:hAnsi="宋体" w:cs="宋体"/>
          <w:color w:val="auto"/>
          <w:sz w:val="24"/>
          <w:szCs w:val="24"/>
          <w:highlight w:val="none"/>
          <w:u w:val="single"/>
        </w:rPr>
        <w:t>2020﹞183号）实施。</w:t>
      </w:r>
      <w:r>
        <w:rPr>
          <w:rFonts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竖井提升设备、非标龙门吊、贝雷架式或扒杆式起重装置等。</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税金：税金按实计取，费率固定不变</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pStyle w:val="44"/>
        <w:adjustRightInd w:val="0"/>
        <w:snapToGrid w:val="0"/>
        <w:spacing w:line="440" w:lineRule="exact"/>
        <w:ind w:right="11"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按上述原则确定价格时，措施项目费用（除施工围蔽外）不计取</w:t>
      </w:r>
      <w:r>
        <w:rPr>
          <w:rFonts w:ascii="宋体" w:hAnsi="宋体" w:cs="宋体"/>
          <w:color w:val="auto"/>
          <w:sz w:val="24"/>
          <w:szCs w:val="24"/>
          <w:highlight w:val="none"/>
          <w:u w:val="single"/>
        </w:rPr>
        <w:t>,清单计价及</w:t>
      </w:r>
      <w:r>
        <w:rPr>
          <w:rFonts w:hint="eastAsia" w:ascii="宋体" w:hAnsi="宋体" w:cs="宋体"/>
          <w:color w:val="auto"/>
          <w:sz w:val="24"/>
          <w:szCs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szCs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w:t>
      </w:r>
      <w:r>
        <w:rPr>
          <w:rFonts w:hint="eastAsia" w:ascii="宋体" w:hAnsi="宋体" w:cs="宋体"/>
          <w:color w:val="auto"/>
          <w:sz w:val="24"/>
          <w:szCs w:val="24"/>
          <w:highlight w:val="none"/>
          <w:u w:val="single"/>
        </w:rPr>
        <w:t>等相关文件的规定。</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各调价材料、设备的信息价格按广州市建设工程造价管理部门发布的当月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“综合价格”计取，综合价格中没有的材料、设备单价，价差不予调整。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24.1.1发包人向承包人预付工程款的时间和金额或占合同价款总额的比例：按广州开发区财政投资建设项目管理中心 </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%作为预付款，但最高不超过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1000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万元。预付款中，（预付款×工人工资比例）的部分需支付至工人工资专用账户。</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24.1.2承包人收取预付款后，应优先用于按有关规定缴纳工伤保险和办理建筑意外伤害险，专款专用。</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24.1.3扣回预付款的时间、比例：按本合同专用条款26条约定执行。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26.1.2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方式进行：</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工程款（含绿色施工安全防护措施费）至合同价若有暂定金（含暂列金额及暂估价）则扣除未计量部分暂定金后的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pPr>
        <w:pStyle w:val="26"/>
        <w:snapToGrid w:val="0"/>
        <w:spacing w:line="440" w:lineRule="exact"/>
        <w:ind w:firstLine="480" w:firstLineChars="200"/>
        <w:rPr>
          <w:rFonts w:ascii="宋体" w:hAnsi="宋体" w:cs="宋体"/>
          <w:color w:val="auto"/>
          <w:sz w:val="24"/>
          <w:szCs w:val="24"/>
          <w:highlight w:val="none"/>
        </w:rPr>
      </w:pPr>
    </w:p>
    <w:p>
      <w:pPr>
        <w:pStyle w:val="26"/>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26.5</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支付的支付条件：</w:t>
      </w:r>
    </w:p>
    <w:p>
      <w:pPr>
        <w:pStyle w:val="26"/>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按在工程投标最高报价中的</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用计取，专款专用，并从本施工合同价款中提取（</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已包含在本工程中标价即施工合同价中）。该费用根据《关于加强安全文明施工管理及措施费支付管理的通知》（穗开建管〔</w:t>
      </w:r>
      <w:r>
        <w:rPr>
          <w:rFonts w:ascii="宋体" w:hAnsi="宋体" w:cs="宋体"/>
          <w:color w:val="auto"/>
          <w:sz w:val="24"/>
          <w:szCs w:val="24"/>
          <w:highlight w:val="none"/>
        </w:rPr>
        <w:t>2015〕7号）及“穗建筑【2008】967号</w:t>
      </w:r>
      <w:r>
        <w:rPr>
          <w:rFonts w:hint="eastAsia" w:ascii="宋体" w:hAnsi="宋体" w:cs="宋体"/>
          <w:color w:val="auto"/>
          <w:sz w:val="24"/>
          <w:szCs w:val="24"/>
          <w:highlight w:val="none"/>
        </w:rPr>
        <w:t>及“穗建筑【</w:t>
      </w:r>
      <w:r>
        <w:rPr>
          <w:rFonts w:ascii="宋体" w:hAnsi="宋体" w:cs="宋体"/>
          <w:color w:val="auto"/>
          <w:sz w:val="24"/>
          <w:szCs w:val="24"/>
          <w:highlight w:val="none"/>
        </w:rPr>
        <w:t>2018】981号</w:t>
      </w:r>
      <w:r>
        <w:rPr>
          <w:rFonts w:hint="eastAsia" w:ascii="宋体" w:hAnsi="宋体" w:cs="宋体"/>
          <w:color w:val="auto"/>
          <w:sz w:val="24"/>
          <w:szCs w:val="24"/>
          <w:highlight w:val="none"/>
        </w:rPr>
        <w:t>”文规定，分阶段支付</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w:t>
      </w:r>
      <w:r>
        <w:rPr>
          <w:rFonts w:ascii="宋体" w:hAnsi="宋体" w:cs="宋体"/>
          <w:color w:val="auto"/>
          <w:sz w:val="24"/>
          <w:szCs w:val="24"/>
          <w:highlight w:val="none"/>
        </w:rPr>
        <w:t>50%</w:t>
      </w:r>
      <w:r>
        <w:rPr>
          <w:rFonts w:hint="eastAsia" w:ascii="宋体" w:hAnsi="宋体" w:cs="宋体"/>
          <w:color w:val="auto"/>
          <w:sz w:val="24"/>
          <w:szCs w:val="24"/>
          <w:highlight w:val="none"/>
        </w:rPr>
        <w:t>。</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、房建工程完成主体结构封顶、市政工程完成路基工作、其它工程完成合同约定工程量的</w:t>
      </w:r>
      <w:r>
        <w:rPr>
          <w:rFonts w:ascii="宋体" w:hAnsi="宋体" w:cs="宋体"/>
          <w:color w:val="auto"/>
          <w:sz w:val="24"/>
          <w:szCs w:val="24"/>
          <w:highlight w:val="none"/>
        </w:rPr>
        <w:t>60%</w:t>
      </w:r>
      <w:r>
        <w:rPr>
          <w:rFonts w:hint="eastAsia" w:ascii="宋体" w:hAnsi="宋体" w:cs="宋体"/>
          <w:color w:val="auto"/>
          <w:sz w:val="24"/>
          <w:szCs w:val="24"/>
          <w:highlight w:val="none"/>
        </w:rPr>
        <w:t>后，再次按上述要求进行现场验收并拍照留存，《建筑工程安全中间检查评价表》或者《建设工程项目安全生产及文明施工检查记录表》评为合格或以上且财政拨款到位后，再支付绿色施工安全防护措施费的</w:t>
      </w:r>
      <w:r>
        <w:rPr>
          <w:rFonts w:ascii="宋体" w:hAnsi="宋体" w:cs="宋体"/>
          <w:color w:val="auto"/>
          <w:sz w:val="24"/>
          <w:szCs w:val="24"/>
          <w:highlight w:val="none"/>
        </w:rPr>
        <w:t>40%</w:t>
      </w:r>
      <w:r>
        <w:rPr>
          <w:rFonts w:hint="eastAsia" w:ascii="宋体" w:hAnsi="宋体" w:cs="宋体"/>
          <w:color w:val="auto"/>
          <w:sz w:val="24"/>
          <w:szCs w:val="24"/>
          <w:highlight w:val="none"/>
        </w:rPr>
        <w:t>。</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w:t>
      </w:r>
      <w:r>
        <w:rPr>
          <w:rFonts w:hint="eastAsia" w:ascii="宋体" w:hAnsi="宋体" w:cs="宋体"/>
          <w:color w:val="auto"/>
          <w:sz w:val="24"/>
          <w:szCs w:val="24"/>
          <w:highlight w:val="none"/>
        </w:rPr>
        <w:t>、工程完工，《建设工程施工安全评价书》评为合格或以上后，再支付相应绿色施工安全防护措施费的</w:t>
      </w:r>
      <w:r>
        <w:rPr>
          <w:rFonts w:ascii="宋体" w:hAnsi="宋体" w:cs="宋体"/>
          <w:color w:val="auto"/>
          <w:sz w:val="24"/>
          <w:szCs w:val="24"/>
          <w:highlight w:val="none"/>
        </w:rPr>
        <w:t>10%</w:t>
      </w:r>
      <w:r>
        <w:rPr>
          <w:rFonts w:hint="eastAsia" w:ascii="宋体" w:hAnsi="宋体" w:cs="宋体"/>
          <w:color w:val="auto"/>
          <w:sz w:val="24"/>
          <w:szCs w:val="24"/>
          <w:highlight w:val="none"/>
        </w:rPr>
        <w:t>。</w:t>
      </w:r>
    </w:p>
    <w:p>
      <w:pPr>
        <w:pStyle w:val="46"/>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336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0pt;margin-top:0pt;height:0pt;width:0.05pt;z-index:25166336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l5BDTAAAABQEAAA8AAAAAAAAAAQAgAAAAIgAAAGRycy9kb3ducmV2LnhtbFBLAQIUABQA&#10;AAAIAIdO4kB30ANz9QEAAO4DAAAOAAAAAAAAAAEAIAAAACIBAABkcnMvZTJvRG9jLnhtbFBLBQYA&#10;AAAABgAGAFkBAACJBQ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pPr>
        <w:snapToGrid w:val="0"/>
        <w:spacing w:line="440" w:lineRule="exact"/>
        <w:ind w:firstLine="397"/>
        <w:rPr>
          <w:rFonts w:hint="eastAsia"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《广州开发区财政投资建设项目管理中心工程量清单错漏申报管理办法（2021年）》（穗开建管〔2021〕78号）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承包人须按《广州开发区财政投资建设项目管理中心施工类合同结算编审指引（试行）》及区有关规定编制及办理建设项目工程结算</w:t>
      </w:r>
      <w:r>
        <w:rPr>
          <w:rFonts w:hint="eastAsia" w:ascii="宋体" w:hAnsi="宋体" w:cs="宋体"/>
          <w:color w:val="auto"/>
          <w:sz w:val="24"/>
          <w:szCs w:val="24"/>
          <w:highlight w:val="none"/>
        </w:rPr>
        <w:t>。</w:t>
      </w:r>
    </w:p>
    <w:p>
      <w:pPr>
        <w:pStyle w:val="45"/>
        <w:spacing w:line="440" w:lineRule="exact"/>
        <w:rPr>
          <w:rFonts w:ascii="宋体" w:hAnsi="宋体" w:cs="宋体"/>
          <w:color w:val="auto"/>
          <w:sz w:val="24"/>
          <w:szCs w:val="24"/>
          <w:highlight w:val="none"/>
        </w:rPr>
      </w:pPr>
      <w:r>
        <w:rPr>
          <w:rFonts w:ascii="宋体" w:hAnsi="宋体" w:cs="宋体"/>
          <w:b/>
          <w:bCs/>
          <w:color w:val="auto"/>
          <w:sz w:val="24"/>
          <w:szCs w:val="24"/>
          <w:highlight w:val="none"/>
        </w:rPr>
        <w:t xml:space="preserve">    </w:t>
      </w: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highlight w:val="none"/>
        </w:rPr>
        <w:t>、违约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35.2.2</w:t>
      </w:r>
      <w:r>
        <w:rPr>
          <w:rFonts w:hint="eastAsia" w:ascii="宋体" w:hAnsi="宋体" w:cs="宋体"/>
          <w:color w:val="auto"/>
          <w:sz w:val="24"/>
          <w:szCs w:val="24"/>
          <w:highlight w:val="none"/>
        </w:rPr>
        <w:t>安全、文明施工要求及违约处理：</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Pr>
          <w:rFonts w:ascii="宋体" w:hAnsi="宋体" w:cs="宋体"/>
          <w:color w:val="auto"/>
          <w:sz w:val="24"/>
          <w:szCs w:val="24"/>
          <w:highlight w:val="none"/>
          <w:u w:val="single"/>
        </w:rPr>
        <w:t>10000</w:t>
      </w:r>
      <w:r>
        <w:rPr>
          <w:rFonts w:hint="eastAsia" w:ascii="宋体" w:hAnsi="宋体" w:cs="宋体"/>
          <w:color w:val="auto"/>
          <w:sz w:val="24"/>
          <w:szCs w:val="24"/>
          <w:highlight w:val="none"/>
          <w:u w:val="single"/>
        </w:rPr>
        <w:t>元人民币违约金给发包人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3）对施工质量问题存在争议，应请国家认可的第三方机构出具检测报告，检测费用由责任方承担。</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pPr>
        <w:pStyle w:val="44"/>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35.2.6</w:t>
      </w:r>
      <w:r>
        <w:rPr>
          <w:rFonts w:hint="eastAsia" w:ascii="宋体" w:hAnsi="宋体" w:cs="宋体"/>
          <w:color w:val="auto"/>
          <w:sz w:val="24"/>
          <w:szCs w:val="24"/>
          <w:highlight w:val="none"/>
        </w:rPr>
        <w:t>项目管理机构人员、机械设备、劳动力到位方面的违约责任：</w:t>
      </w:r>
    </w:p>
    <w:p>
      <w:pPr>
        <w:pStyle w:val="44"/>
        <w:numPr>
          <w:ilvl w:val="0"/>
          <w:numId w:val="3"/>
        </w:num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szCs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szCs w:val="24"/>
          <w:highlight w:val="none"/>
        </w:rPr>
        <w:t>。但征得</w:t>
      </w:r>
      <w:r>
        <w:rPr>
          <w:rFonts w:hint="eastAsia" w:ascii="宋体" w:hAnsi="宋体" w:cs="宋体"/>
          <w:color w:val="auto"/>
          <w:sz w:val="24"/>
          <w:szCs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szCs w:val="24"/>
          <w:highlight w:val="none"/>
          <w:u w:val="single"/>
        </w:rPr>
        <w:t>30000元违约金给发包人，更换主要施工管理人员的，每更换一人次，承包人需支付10000元违约金给发包人</w:t>
      </w:r>
    </w:p>
    <w:p>
      <w:pPr>
        <w:pStyle w:val="44"/>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szCs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pPr>
        <w:pStyle w:val="44"/>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szCs w:val="24"/>
          <w:highlight w:val="none"/>
          <w:u w:val="single"/>
        </w:rPr>
        <w:t>10000元违约金给发包人</w:t>
      </w:r>
      <w:r>
        <w:rPr>
          <w:rFonts w:hint="eastAsia" w:ascii="宋体" w:hAnsi="宋体" w:cs="宋体"/>
          <w:color w:val="auto"/>
          <w:sz w:val="24"/>
          <w:szCs w:val="24"/>
          <w:highlight w:val="none"/>
        </w:rPr>
        <w:t>。</w:t>
      </w:r>
    </w:p>
    <w:p>
      <w:pPr>
        <w:pStyle w:val="44"/>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szCs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szCs w:val="24"/>
          <w:highlight w:val="none"/>
          <w:u w:val="single"/>
        </w:rPr>
        <w:t>承包人除需按本条第（</w:t>
      </w:r>
      <w:r>
        <w:rPr>
          <w:rFonts w:ascii="宋体" w:hAnsi="宋体" w:cs="宋体"/>
          <w:color w:val="auto"/>
          <w:sz w:val="24"/>
          <w:szCs w:val="24"/>
          <w:highlight w:val="none"/>
          <w:u w:val="single"/>
        </w:rPr>
        <w:t>1）项支付违约金外，发包人将发出书面警告，警告发出后15</w:t>
      </w:r>
      <w:r>
        <w:rPr>
          <w:rFonts w:hint="eastAsia" w:ascii="宋体" w:hAnsi="宋体" w:cs="宋体"/>
          <w:color w:val="auto"/>
          <w:sz w:val="24"/>
          <w:szCs w:val="24"/>
          <w:highlight w:val="none"/>
          <w:u w:val="single"/>
        </w:rPr>
        <w:t>天内，主要工序的工期延误仍然超过</w:t>
      </w:r>
      <w:r>
        <w:rPr>
          <w:rFonts w:ascii="宋体" w:hAnsi="宋体" w:cs="宋体"/>
          <w:color w:val="auto"/>
          <w:sz w:val="24"/>
          <w:szCs w:val="24"/>
          <w:highlight w:val="none"/>
          <w:u w:val="single"/>
        </w:rPr>
        <w:t>10天，发包人将作为不良纪录报区建</w:t>
      </w:r>
      <w:r>
        <w:rPr>
          <w:rFonts w:hint="eastAsia" w:ascii="宋体" w:hAnsi="宋体" w:cs="宋体"/>
          <w:color w:val="auto"/>
          <w:sz w:val="24"/>
          <w:szCs w:val="24"/>
          <w:highlight w:val="none"/>
          <w:u w:val="single"/>
        </w:rPr>
        <w:t>设行政主管部门备案。对此，承包人不得有异议</w:t>
      </w:r>
      <w:r>
        <w:rPr>
          <w:rFonts w:hint="eastAsia" w:ascii="宋体" w:hAnsi="宋体" w:cs="宋体"/>
          <w:color w:val="auto"/>
          <w:sz w:val="24"/>
          <w:szCs w:val="24"/>
          <w:highlight w:val="none"/>
        </w:rPr>
        <w:t>。</w:t>
      </w:r>
    </w:p>
    <w:p>
      <w:pPr>
        <w:pStyle w:val="44"/>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szCs w:val="24"/>
          <w:highlight w:val="none"/>
          <w:u w:val="single"/>
        </w:rPr>
        <w:t>5000元人民币违约金</w:t>
      </w:r>
      <w:r>
        <w:rPr>
          <w:rFonts w:hint="eastAsia" w:ascii="宋体" w:hAnsi="宋体" w:cs="宋体"/>
          <w:color w:val="auto"/>
          <w:sz w:val="24"/>
          <w:szCs w:val="24"/>
          <w:highlight w:val="none"/>
        </w:rPr>
        <w:t>。</w:t>
      </w:r>
    </w:p>
    <w:p>
      <w:pPr>
        <w:snapToGrid w:val="0"/>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35.2.7工程转包违约责任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承包人不执行《广州开发区财政投资建设项目管理中心施工类合同结算编审指引（试行）》有关规定的，须按该指引有关规定承担违约责任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38.1（1）本工程发包人同意承包人分包的工程：</w:t>
      </w:r>
      <w:r>
        <w:rPr>
          <w:rFonts w:hint="eastAsia" w:ascii="宋体" w:hAnsi="宋体" w:cs="宋体"/>
          <w:color w:val="auto"/>
          <w:sz w:val="24"/>
          <w:szCs w:val="24"/>
          <w:highlight w:val="none"/>
        </w:rPr>
        <w:t>非主体非关键工程。承包人分包工程的，需先报发包人同意，分包合同签订后必须报发包人备案。承包人与分包单位签订的分包合同中应明确工人工资比例及支付期限。</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41.1</w:t>
      </w:r>
      <w:r>
        <w:rPr>
          <w:rFonts w:hint="eastAsia" w:ascii="宋体" w:hAnsi="宋体" w:cs="宋体"/>
          <w:color w:val="auto"/>
          <w:sz w:val="24"/>
          <w:szCs w:val="24"/>
          <w:highlight w:val="none"/>
        </w:rPr>
        <w:t>本工程双方约定担保事项如下：</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发包人向承包人提供履约担保，担保方式为：</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，担保合同作为本合同附件。</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承包人按如下方式向发包人提供履约担保：</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履约担保：</w:t>
      </w:r>
      <w:r>
        <w:rPr>
          <w:rFonts w:hint="eastAsia" w:ascii="宋体" w:hAnsi="宋体" w:cs="宋体"/>
          <w:color w:val="auto"/>
          <w:sz w:val="24"/>
          <w:szCs w:val="24"/>
          <w:highlight w:val="none"/>
          <w:u w:val="single"/>
        </w:rPr>
        <w:t>承包人向发包人提交担保金额为中标价</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首次办理履约保函，如合同工期低于</w:t>
      </w:r>
      <w:r>
        <w:rPr>
          <w:rFonts w:ascii="宋体" w:hAnsi="宋体" w:cs="宋体"/>
          <w:color w:val="auto"/>
          <w:sz w:val="24"/>
          <w:szCs w:val="24"/>
          <w:highlight w:val="none"/>
        </w:rPr>
        <w:t>1年的，担保期限可按合同工期，如合同工期高于1年的，担保期限不低于1年。</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履约保函</w:t>
      </w:r>
      <w:r>
        <w:rPr>
          <w:rFonts w:hint="eastAsia" w:ascii="宋体" w:hAnsi="宋体" w:cs="宋体"/>
          <w:color w:val="auto"/>
          <w:sz w:val="24"/>
          <w:szCs w:val="24"/>
          <w:highlight w:val="none"/>
          <w:u w:val="single"/>
        </w:rPr>
        <w:t>办理延期手续</w:t>
      </w:r>
      <w:r>
        <w:rPr>
          <w:rFonts w:hint="eastAsia" w:ascii="宋体" w:hAnsi="宋体" w:cs="宋体"/>
          <w:color w:val="auto"/>
          <w:sz w:val="24"/>
          <w:szCs w:val="24"/>
          <w:highlight w:val="none"/>
        </w:rPr>
        <w:t>时，若项目的完成工程量不足一半，担保金额按中标价的</w:t>
      </w:r>
      <w:r>
        <w:rPr>
          <w:rFonts w:ascii="宋体" w:hAnsi="宋体" w:cs="宋体"/>
          <w:color w:val="auto"/>
          <w:sz w:val="24"/>
          <w:szCs w:val="24"/>
          <w:highlight w:val="none"/>
        </w:rPr>
        <w:t>10%；若项目的完成工程量超过一半，担保金额可按中标价的5%；其他特殊情况需调整的，需报发包人审议同意。</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履约担保的返还方式：</w:t>
      </w:r>
      <w:r>
        <w:rPr>
          <w:rFonts w:ascii="宋体" w:hAnsi="宋体" w:cs="宋体"/>
          <w:color w:val="auto"/>
          <w:sz w:val="24"/>
          <w:szCs w:val="24"/>
          <w:highlight w:val="none"/>
          <w:u w:val="single"/>
        </w:rPr>
        <w:t>履约担保为银行保函的，在工程验收合格</w:t>
      </w:r>
      <w:r>
        <w:rPr>
          <w:rFonts w:hint="eastAsia" w:ascii="宋体" w:hAnsi="宋体" w:cs="宋体"/>
          <w:color w:val="auto"/>
          <w:sz w:val="24"/>
          <w:szCs w:val="24"/>
          <w:highlight w:val="none"/>
          <w:u w:val="single"/>
        </w:rPr>
        <w:t>后返还承包人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银行保函的管理和格式按《广州开发区财政投资建设项目管理中心建设工程保函管理细则》执行</w:t>
      </w:r>
      <w:r>
        <w:rPr>
          <w:rFonts w:hint="eastAsia" w:ascii="宋体" w:hAnsi="宋体" w:cs="宋体"/>
          <w:color w:val="auto"/>
          <w:sz w:val="24"/>
          <w:szCs w:val="24"/>
          <w:highlight w:val="none"/>
        </w:rPr>
        <w:t>。</w:t>
      </w:r>
    </w:p>
    <w:p>
      <w:pPr>
        <w:adjustRightInd w:val="0"/>
        <w:snapToGrid w:val="0"/>
        <w:spacing w:line="440" w:lineRule="exact"/>
        <w:ind w:right="11" w:firstLine="480" w:firstLineChars="200"/>
        <w:outlineLvl w:val="3"/>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安全、文明、科学、规范的施工要求</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农民工佣工要求</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w:t>
      </w:r>
      <w:r>
        <w:rPr>
          <w:rFonts w:ascii="宋体" w:hAnsi="宋体" w:cs="宋体"/>
          <w:color w:val="auto"/>
          <w:sz w:val="24"/>
          <w:szCs w:val="24"/>
          <w:highlight w:val="none"/>
          <w:u w:val="single"/>
        </w:rPr>
        <w:t>2004』58号文的有关要求及规定优先使用广州开发区的农民工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pPr>
        <w:snapToGrid w:val="0"/>
        <w:spacing w:line="440" w:lineRule="exact"/>
        <w:ind w:firstLine="480"/>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项目管理机构人员、机械设备、劳动力到位方面的要求</w:t>
      </w:r>
      <w:r>
        <w:rPr>
          <w:rFonts w:hint="eastAsia" w:ascii="宋体" w:hAnsi="宋体" w:eastAsia="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投标报价及造价承包和变更结算方式的要求</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工程量清单中的标志杆基础中的土方开挖、运输、外运等费用包含在相应项目中，不包含在土石方工程的相关项目中</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弃运的土方单价按定额计算。</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ascii="宋体" w:hAnsi="宋体" w:cs="宋体"/>
          <w:color w:val="auto"/>
          <w:sz w:val="24"/>
          <w:szCs w:val="24"/>
          <w:highlight w:val="none"/>
          <w:u w:val="single"/>
        </w:rPr>
        <w:t xml:space="preserve"> 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pPr>
        <w:pBdr>
          <w:top w:val="single" w:color="auto" w:sz="4" w:space="1"/>
          <w:bottom w:val="single" w:color="auto" w:sz="6" w:space="1"/>
        </w:pBd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47.26</w:t>
      </w:r>
      <w:r>
        <w:rPr>
          <w:rFonts w:hint="eastAsia" w:ascii="宋体" w:hAnsi="宋体" w:cs="宋体"/>
          <w:color w:val="auto"/>
          <w:sz w:val="24"/>
          <w:szCs w:val="24"/>
          <w:highlight w:val="none"/>
          <w:u w:val="single"/>
        </w:rPr>
        <w:t>承包人人应按有关规定协助发包人完成公共排水设施竣工图纸备案工作。</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所有材料品牌选择均须报发包人、监理工程师确认，且经检验合格后方能使用。</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47.50 </w:t>
      </w:r>
      <w:r>
        <w:rPr>
          <w:rFonts w:hint="eastAsia" w:ascii="宋体" w:hAnsi="宋体" w:cs="宋体"/>
          <w:color w:val="auto"/>
          <w:sz w:val="24"/>
          <w:szCs w:val="24"/>
          <w:highlight w:val="none"/>
          <w:u w:val="single"/>
        </w:rPr>
        <w:t>未尽事宜，经双方友好协商解决。</w:t>
      </w: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rPr>
          <w:rFonts w:ascii="宋体" w:hAnsi="宋体"/>
          <w:color w:val="auto"/>
          <w:sz w:val="21"/>
          <w:szCs w:val="21"/>
          <w:highlight w:val="none"/>
          <w:u w:val="single"/>
        </w:rPr>
      </w:pPr>
      <w:r>
        <w:rPr>
          <w:rFonts w:ascii="宋体" w:hAnsi="宋体"/>
          <w:color w:val="auto"/>
          <w:sz w:val="21"/>
          <w:szCs w:val="21"/>
          <w:highlight w:val="none"/>
          <w:u w:val="single"/>
        </w:rPr>
        <w:br w:type="page"/>
      </w:r>
    </w:p>
    <w:p>
      <w:pPr>
        <w:pStyle w:val="2"/>
        <w:rPr>
          <w:color w:val="auto"/>
          <w:highlight w:val="none"/>
        </w:rPr>
      </w:pPr>
    </w:p>
    <w:p>
      <w:pPr>
        <w:numPr>
          <w:ilvl w:val="0"/>
          <w:numId w:val="4"/>
        </w:numPr>
        <w:jc w:val="center"/>
        <w:rPr>
          <w:rFonts w:ascii="宋体" w:hAnsi="宋体" w:cs="宋体"/>
          <w:b/>
          <w:bCs/>
          <w:color w:val="auto"/>
          <w:sz w:val="28"/>
          <w:szCs w:val="28"/>
          <w:highlight w:val="none"/>
        </w:rPr>
      </w:pPr>
      <w:r>
        <w:rPr>
          <w:rFonts w:ascii="宋体" w:hAnsi="宋体" w:cs="宋体"/>
          <w:b/>
          <w:color w:val="auto"/>
          <w:sz w:val="28"/>
          <w:szCs w:val="28"/>
          <w:highlight w:val="none"/>
        </w:rPr>
        <w:t xml:space="preserve"> </w:t>
      </w:r>
      <w:r>
        <w:rPr>
          <w:rFonts w:hint="eastAsia" w:ascii="宋体" w:hAnsi="宋体" w:cs="宋体"/>
          <w:b/>
          <w:bCs/>
          <w:color w:val="auto"/>
          <w:sz w:val="28"/>
          <w:szCs w:val="28"/>
          <w:highlight w:val="none"/>
        </w:rPr>
        <w:t>绿化种植专篇</w:t>
      </w:r>
    </w:p>
    <w:p>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r>
        <w:rPr>
          <w:rFonts w:ascii="宋体" w:hAnsi="宋体" w:cs="宋体"/>
          <w:color w:val="auto"/>
          <w:sz w:val="24"/>
          <w:szCs w:val="24"/>
          <w:highlight w:val="none"/>
          <w:u w:val="single"/>
        </w:rPr>
        <w:t xml:space="preserve">                    </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项目绿化种植和养护管理标准，制订本项目绿化种植专篇。</w:t>
      </w:r>
    </w:p>
    <w:p>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本项目施工合同约定的承包范围内的全部绿化工程内容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9"/>
        <w:spacing w:line="440" w:lineRule="exact"/>
        <w:rPr>
          <w:rFonts w:ascii="宋体" w:hAnsi="宋体" w:cs="宋体"/>
          <w:color w:val="auto"/>
          <w:sz w:val="24"/>
          <w:szCs w:val="24"/>
          <w:highlight w:val="none"/>
        </w:rPr>
      </w:pPr>
      <w:r>
        <w:rPr>
          <w:rFonts w:ascii="宋体" w:hAnsi="宋体" w:cs="宋体"/>
          <w:color w:val="auto"/>
          <w:kern w:val="0"/>
          <w:sz w:val="24"/>
          <w:szCs w:val="24"/>
          <w:highlight w:val="none"/>
        </w:rPr>
        <w:t xml:space="preserve">    2、</w:t>
      </w:r>
      <w:r>
        <w:rPr>
          <w:rFonts w:hint="eastAsia" w:ascii="宋体" w:hAnsi="宋体" w:eastAsia="宋体" w:cs="宋体"/>
          <w:color w:val="auto"/>
          <w:kern w:val="0"/>
          <w:sz w:val="24"/>
          <w:highlight w:val="none"/>
        </w:rPr>
        <w:t>本项目苗木供应清单，详见招标工程量清单。</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r>
        <w:rPr>
          <w:rFonts w:ascii="宋体" w:hAnsi="宋体" w:cs="宋体"/>
          <w:color w:val="auto"/>
          <w:sz w:val="24"/>
          <w:szCs w:val="24"/>
          <w:highlight w:val="none"/>
        </w:rPr>
        <w:t xml:space="preserve"> </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相关法律法规与政策文件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pPr>
        <w:pStyle w:val="18"/>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12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8 </w:t>
      </w:r>
      <w:r>
        <w:rPr>
          <w:rFonts w:hint="eastAsia" w:ascii="宋体" w:hAnsi="宋体" w:cs="宋体"/>
          <w:color w:val="auto"/>
          <w:sz w:val="24"/>
          <w:szCs w:val="24"/>
          <w:highlight w:val="none"/>
        </w:rPr>
        <w:t>日中国共产党广东省第十三届委员会第二次全体会议通过）</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pPr>
        <w:pStyle w:val="18"/>
        <w:spacing w:line="440" w:lineRule="exact"/>
        <w:ind w:firstLine="2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《黄埔区住房和城乡建设局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广州开发区建设和交通局关于加强科学绿化工作的提醒函》（穗埔建函</w:t>
      </w:r>
      <w:r>
        <w:rPr>
          <w:rFonts w:ascii="宋体" w:hAnsi="宋体" w:cs="宋体"/>
          <w:color w:val="auto"/>
          <w:sz w:val="24"/>
          <w:szCs w:val="24"/>
          <w:highlight w:val="none"/>
        </w:rPr>
        <w:t>[2023]2767号）</w:t>
      </w:r>
    </w:p>
    <w:p>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 相关标准规范</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6）《园林树木安全性评价技术规范》DB4401/T17—2019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7）《广东城市绿化工程施工和验收规范》DBBT581-2009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135-2001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pPr>
        <w:numPr>
          <w:ilvl w:val="0"/>
          <w:numId w:val="5"/>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r>
        <w:rPr>
          <w:rFonts w:ascii="宋体" w:hAnsi="宋体" w:cs="宋体"/>
          <w:b/>
          <w:bCs/>
          <w:color w:val="auto"/>
          <w:sz w:val="24"/>
          <w:szCs w:val="24"/>
          <w:highlight w:val="none"/>
        </w:rPr>
        <w:t xml:space="preserve"> </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pPr>
        <w:pStyle w:val="2"/>
        <w:spacing w:line="440" w:lineRule="exact"/>
        <w:ind w:left="0" w:leftChars="0" w:firstLine="560" w:firstLineChars="0"/>
        <w:rPr>
          <w:rFonts w:hint="default" w:ascii="宋体" w:hAnsi="宋体" w:cs="宋体"/>
          <w:color w:val="auto"/>
          <w:sz w:val="24"/>
          <w:szCs w:val="24"/>
          <w:highlight w:val="none"/>
        </w:rPr>
      </w:pPr>
      <w:r>
        <w:rPr>
          <w:rFonts w:ascii="宋体" w:hAnsi="宋体" w:cs="宋体"/>
          <w:color w:val="auto"/>
          <w:sz w:val="24"/>
          <w:szCs w:val="24"/>
          <w:highlight w:val="none"/>
        </w:rPr>
        <w:t>承包人应认真学习并执行《黄埔区园林绿化养护技术指引（</w:t>
      </w:r>
      <w:r>
        <w:rPr>
          <w:rFonts w:hint="default" w:ascii="宋体" w:hAnsi="宋体" w:cs="宋体"/>
          <w:color w:val="auto"/>
          <w:sz w:val="24"/>
          <w:szCs w:val="24"/>
          <w:highlight w:val="none"/>
        </w:rPr>
        <w:t>1.0版）》的具体要求，规范项目中</w:t>
      </w:r>
      <w:r>
        <w:rPr>
          <w:rFonts w:ascii="宋体" w:hAnsi="宋体" w:cs="宋体"/>
          <w:color w:val="auto"/>
          <w:sz w:val="24"/>
          <w:szCs w:val="24"/>
          <w:highlight w:val="none"/>
        </w:rPr>
        <w:t>绿化灌溉、施肥、修剪、病虫害综合防治、日常养护管理工作。</w:t>
      </w:r>
    </w:p>
    <w:p>
      <w:pPr>
        <w:snapToGrid w:val="0"/>
        <w:spacing w:line="440" w:lineRule="exact"/>
        <w:ind w:firstLine="581" w:firstLineChars="241"/>
        <w:rPr>
          <w:rFonts w:hint="default"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pPr>
        <w:pStyle w:val="18"/>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pPr>
        <w:pStyle w:val="18"/>
        <w:spacing w:line="440" w:lineRule="exact"/>
        <w:ind w:firstLine="240"/>
        <w:rPr>
          <w:rFonts w:ascii="宋体" w:hAnsi="宋体" w:cs="宋体"/>
          <w:color w:val="auto"/>
          <w:sz w:val="24"/>
          <w:szCs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pPr>
        <w:spacing w:line="520" w:lineRule="exact"/>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pPr>
        <w:pStyle w:val="13"/>
        <w:spacing w:line="520" w:lineRule="exact"/>
        <w:ind w:left="0" w:leftChars="0"/>
        <w:rPr>
          <w:rFonts w:ascii="宋体" w:hAnsi="宋体" w:cs="宋体"/>
          <w:color w:val="auto"/>
          <w:sz w:val="24"/>
          <w:highlight w:val="none"/>
        </w:rPr>
      </w:pPr>
      <w:r>
        <w:rPr>
          <w:rFonts w:hint="eastAsia" w:ascii="宋体" w:hAnsi="宋体" w:cs="宋体"/>
          <w:color w:val="auto"/>
          <w:sz w:val="24"/>
          <w:highlight w:val="none"/>
        </w:rPr>
        <w:t>项目名称：</w:t>
      </w:r>
    </w:p>
    <w:tbl>
      <w:tblPr>
        <w:tblStyle w:val="20"/>
        <w:tblW w:w="9352" w:type="dxa"/>
        <w:tblInd w:w="93" w:type="dxa"/>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规格（ 单位：个）</w:t>
            </w:r>
          </w:p>
        </w:tc>
      </w:tr>
      <w:tr>
        <w:tblPrEx>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分枝数量</w:t>
            </w: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bl>
    <w:p>
      <w:pPr>
        <w:pStyle w:val="13"/>
        <w:spacing w:line="480" w:lineRule="exact"/>
        <w:ind w:left="0" w:leftChars="0"/>
        <w:rPr>
          <w:color w:val="auto"/>
          <w:sz w:val="24"/>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spacing w:line="440" w:lineRule="exact"/>
        <w:rPr>
          <w:rFonts w:ascii="宋体" w:hAnsi="宋体"/>
          <w:b/>
          <w:color w:val="auto"/>
          <w:sz w:val="28"/>
          <w:szCs w:val="28"/>
          <w:highlight w:val="none"/>
        </w:rPr>
      </w:pPr>
      <w:r>
        <w:rPr>
          <w:rFonts w:hint="eastAsia" w:ascii="宋体" w:hAnsi="宋体"/>
          <w:color w:val="auto"/>
          <w:sz w:val="21"/>
          <w:szCs w:val="21"/>
          <w:highlight w:val="none"/>
        </w:rPr>
        <w:t xml:space="preserve">                         </w:t>
      </w:r>
      <w:r>
        <w:rPr>
          <w:rFonts w:ascii="宋体" w:hAnsi="宋体"/>
          <w:color w:val="auto"/>
          <w:sz w:val="28"/>
          <w:szCs w:val="28"/>
          <w:highlight w:val="none"/>
        </w:rPr>
        <w:t xml:space="preserve">  </w:t>
      </w:r>
      <w:r>
        <w:rPr>
          <w:rFonts w:hint="eastAsia" w:ascii="宋体" w:hAnsi="宋体"/>
          <w:b/>
          <w:color w:val="auto"/>
          <w:sz w:val="28"/>
          <w:szCs w:val="28"/>
          <w:highlight w:val="none"/>
        </w:rPr>
        <w:t>第五部分</w:t>
      </w: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 xml:space="preserve">                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个采暖期及供冷期；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pPr>
        <w:numPr>
          <w:ilvl w:val="0"/>
          <w:numId w:val="6"/>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rPr>
          <w:rFonts w:ascii="宋体" w:hAnsi="宋体"/>
          <w:color w:val="auto"/>
          <w:szCs w:val="24"/>
          <w:highlight w:val="none"/>
        </w:rPr>
      </w:pPr>
      <w:r>
        <w:rPr>
          <w:rFonts w:ascii="宋体" w:hAnsi="宋体"/>
          <w:color w:val="auto"/>
          <w:szCs w:val="24"/>
          <w:highlight w:val="none"/>
        </w:rPr>
        <w:br w:type="page"/>
      </w:r>
    </w:p>
    <w:p>
      <w:pPr>
        <w:pStyle w:val="49"/>
        <w:spacing w:line="440" w:lineRule="exact"/>
        <w:ind w:firstLine="397"/>
        <w:jc w:val="left"/>
        <w:rPr>
          <w:rFonts w:ascii="宋体" w:hAnsi="宋体"/>
          <w:color w:val="auto"/>
          <w:szCs w:val="24"/>
          <w:highlight w:val="none"/>
        </w:rPr>
      </w:pPr>
    </w:p>
    <w:p>
      <w:pPr>
        <w:pStyle w:val="47"/>
        <w:adjustRightInd w:val="0"/>
        <w:snapToGrid w:val="0"/>
        <w:rPr>
          <w:rFonts w:ascii="宋体" w:hAnsi="宋体"/>
          <w:b/>
          <w:bCs/>
          <w:color w:val="auto"/>
          <w:sz w:val="28"/>
          <w:szCs w:val="28"/>
          <w:highlight w:val="none"/>
        </w:rPr>
      </w:pPr>
      <w:r>
        <w:rPr>
          <w:rFonts w:ascii="宋体" w:hAnsi="宋体" w:cs="宋体"/>
          <w:b/>
          <w:bCs/>
          <w:snapToGrid w:val="0"/>
          <w:color w:val="auto"/>
          <w:kern w:val="0"/>
          <w:sz w:val="28"/>
          <w:szCs w:val="28"/>
          <w:highlight w:val="none"/>
        </w:rPr>
        <w:t xml:space="preserve"> 附件：            </w:t>
      </w:r>
      <w:r>
        <w:rPr>
          <w:rFonts w:ascii="宋体" w:hAnsi="宋体" w:cs="宋体"/>
          <w:snapToGrid w:val="0"/>
          <w:color w:val="auto"/>
          <w:kern w:val="0"/>
          <w:sz w:val="28"/>
          <w:szCs w:val="28"/>
          <w:highlight w:val="none"/>
        </w:rPr>
        <w:t xml:space="preserve">  </w:t>
      </w:r>
      <w:r>
        <w:rPr>
          <w:rFonts w:hint="eastAsia" w:ascii="宋体" w:hAnsi="宋体" w:cs="宋体"/>
          <w:b/>
          <w:bCs/>
          <w:snapToGrid w:val="0"/>
          <w:color w:val="auto"/>
          <w:kern w:val="0"/>
          <w:sz w:val="28"/>
          <w:szCs w:val="28"/>
          <w:highlight w:val="none"/>
        </w:rPr>
        <w:t>工程建设项目廉政责任书</w:t>
      </w:r>
    </w:p>
    <w:p>
      <w:pPr>
        <w:pStyle w:val="48"/>
        <w:adjustRightInd w:val="0"/>
        <w:snapToGrid w:val="0"/>
        <w:spacing w:line="400" w:lineRule="exact"/>
        <w:ind w:firstLine="0"/>
        <w:rPr>
          <w:rFonts w:ascii="宋体" w:hAnsi="宋体"/>
          <w:snapToGrid w:val="0"/>
          <w:color w:val="auto"/>
          <w:kern w:val="0"/>
          <w:sz w:val="24"/>
          <w:highlight w:val="none"/>
        </w:rPr>
      </w:pPr>
    </w:p>
    <w:p>
      <w:pPr>
        <w:pStyle w:val="47"/>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pPr>
        <w:pStyle w:val="47"/>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rPr>
      </w:pP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snapToGrid w:val="0"/>
          <w:color w:val="auto"/>
          <w:kern w:val="0"/>
          <w:sz w:val="24"/>
          <w:highlight w:val="none"/>
        </w:rPr>
        <w:t>甲、乙双方的责任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snapToGrid w:val="0"/>
          <w:color w:val="auto"/>
          <w:kern w:val="0"/>
          <w:sz w:val="24"/>
          <w:highlight w:val="none"/>
        </w:rPr>
        <w:t>甲方的责任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snapToGrid w:val="0"/>
          <w:color w:val="auto"/>
          <w:kern w:val="0"/>
          <w:sz w:val="24"/>
          <w:highlight w:val="none"/>
        </w:rPr>
        <w:t>乙方的责任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snapToGrid w:val="0"/>
          <w:color w:val="auto"/>
          <w:kern w:val="0"/>
          <w:sz w:val="24"/>
          <w:highlight w:val="none"/>
        </w:rPr>
        <w:t>违约责任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snapToGrid w:val="0"/>
          <w:color w:val="auto"/>
          <w:kern w:val="0"/>
          <w:sz w:val="24"/>
          <w:highlight w:val="none"/>
        </w:rPr>
        <w:t>本廉政责任书作为合同的附件，与合同具有同等法律效力。经双方签署后立即生效。</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snapToGrid w:val="0"/>
          <w:color w:val="auto"/>
          <w:kern w:val="0"/>
          <w:sz w:val="24"/>
          <w:highlight w:val="none"/>
        </w:rPr>
        <w:t>本廉政责任书的有效期与合同的有效期相同。</w:t>
      </w:r>
    </w:p>
    <w:p>
      <w:pPr>
        <w:adjustRightInd w:val="0"/>
        <w:snapToGrid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rPr>
        <w:t xml:space="preserve">    </w:t>
      </w:r>
      <w:r>
        <w:rPr>
          <w:rFonts w:hint="eastAsia" w:ascii="宋体" w:hAnsi="宋体" w:cs="宋体"/>
          <w:b/>
          <w:snapToGrid w:val="0"/>
          <w:color w:val="auto"/>
          <w:kern w:val="0"/>
          <w:sz w:val="24"/>
          <w:highlight w:val="none"/>
        </w:rPr>
        <w:t>第七条</w:t>
      </w:r>
      <w:r>
        <w:rPr>
          <w:rFonts w:hint="eastAsia" w:ascii="宋体" w:hAnsi="宋体" w:cs="宋体"/>
          <w:snapToGrid w:val="0"/>
          <w:color w:val="auto"/>
          <w:kern w:val="0"/>
          <w:sz w:val="24"/>
          <w:highlight w:val="none"/>
        </w:rPr>
        <w:t>本廉政责任书份数和合同份数一致</w:t>
      </w:r>
      <w:r>
        <w:rPr>
          <w:rFonts w:hint="eastAsia" w:ascii="宋体" w:hAnsi="宋体" w:cs="宋体"/>
          <w:bCs/>
          <w:color w:val="auto"/>
          <w:kern w:val="0"/>
          <w:sz w:val="24"/>
          <w:highlight w:val="none"/>
        </w:rPr>
        <w:t>。</w:t>
      </w:r>
    </w:p>
    <w:p>
      <w:pPr>
        <w:adjustRightInd w:val="0"/>
        <w:snapToGrid w:val="0"/>
        <w:spacing w:line="380" w:lineRule="exact"/>
        <w:ind w:right="11"/>
        <w:rPr>
          <w:rFonts w:ascii="宋体" w:hAnsi="宋体" w:cs="宋体"/>
          <w:snapToGrid w:val="0"/>
          <w:color w:val="auto"/>
          <w:kern w:val="0"/>
          <w:sz w:val="24"/>
          <w:highlight w:val="none"/>
        </w:rPr>
      </w:pPr>
    </w:p>
    <w:p>
      <w:pPr>
        <w:pStyle w:val="47"/>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 xml:space="preserve">甲方：                                 乙方： </w:t>
      </w:r>
    </w:p>
    <w:p>
      <w:pPr>
        <w:pStyle w:val="47"/>
        <w:adjustRightInd w:val="0"/>
        <w:snapToGrid w:val="0"/>
        <w:spacing w:line="360" w:lineRule="auto"/>
        <w:ind w:left="1917" w:leftChars="513" w:right="11" w:hanging="840" w:hangingChars="350"/>
        <w:rPr>
          <w:rFonts w:ascii="宋体" w:hAnsi="宋体"/>
          <w:color w:val="auto"/>
          <w:sz w:val="24"/>
          <w:highlight w:val="none"/>
        </w:rPr>
      </w:pPr>
      <w:r>
        <w:rPr>
          <w:rFonts w:hint="eastAsia" w:ascii="宋体" w:hAnsi="宋体"/>
          <w:color w:val="auto"/>
          <w:sz w:val="24"/>
          <w:highlight w:val="none"/>
        </w:rPr>
        <w:t xml:space="preserve">                          </w:t>
      </w:r>
    </w:p>
    <w:p>
      <w:pPr>
        <w:pStyle w:val="47"/>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                           法定代表人：</w:t>
      </w:r>
    </w:p>
    <w:p>
      <w:pPr>
        <w:pStyle w:val="47"/>
        <w:tabs>
          <w:tab w:val="left" w:pos="5460"/>
        </w:tabs>
        <w:adjustRightInd w:val="0"/>
        <w:snapToGrid w:val="0"/>
        <w:spacing w:line="360" w:lineRule="auto"/>
        <w:ind w:left="-2" w:leftChars="-1" w:right="11"/>
        <w:rPr>
          <w:rFonts w:ascii="宋体" w:hAnsi="宋体"/>
          <w:color w:val="auto"/>
          <w:sz w:val="24"/>
          <w:highlight w:val="none"/>
        </w:rPr>
      </w:pPr>
    </w:p>
    <w:p>
      <w:pPr>
        <w:pStyle w:val="47"/>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                           委托代理人：</w:t>
      </w:r>
    </w:p>
    <w:p>
      <w:pPr>
        <w:pStyle w:val="47"/>
        <w:tabs>
          <w:tab w:val="left" w:pos="5460"/>
        </w:tabs>
        <w:adjustRightInd w:val="0"/>
        <w:snapToGrid w:val="0"/>
        <w:spacing w:line="400" w:lineRule="exact"/>
        <w:ind w:left="-2" w:leftChars="-1" w:right="11"/>
        <w:rPr>
          <w:rFonts w:ascii="宋体" w:hAnsi="宋体"/>
          <w:color w:val="auto"/>
          <w:sz w:val="24"/>
          <w:highlight w:val="none"/>
        </w:rPr>
      </w:pPr>
    </w:p>
    <w:p>
      <w:pPr>
        <w:pStyle w:val="47"/>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pPr>
        <w:pStyle w:val="47"/>
        <w:spacing w:line="400" w:lineRule="exact"/>
        <w:rPr>
          <w:rFonts w:hAnsi="宋体" w:eastAsia="仿宋_GB2312"/>
          <w:color w:val="auto"/>
          <w:sz w:val="28"/>
          <w:szCs w:val="28"/>
          <w:highlight w:val="none"/>
        </w:rPr>
      </w:pPr>
      <w:r>
        <w:rPr>
          <w:rFonts w:hint="eastAsia" w:ascii="宋体" w:hAnsi="宋体"/>
          <w:color w:val="auto"/>
          <w:sz w:val="24"/>
          <w:highlight w:val="none"/>
        </w:rPr>
        <w:t>签约地点：广东省广州市黄埔区。</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7"/>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8"/>
          <w:szCs w:val="28"/>
          <w:highlight w:val="none"/>
        </w:r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b/>
          <w:bCs w:val="0"/>
          <w:color w:val="auto"/>
          <w:sz w:val="32"/>
          <w:szCs w:val="32"/>
          <w:highlight w:val="none"/>
        </w:rPr>
      </w:pPr>
      <w:bookmarkStart w:id="31" w:name="_Toc30083"/>
      <w:r>
        <w:rPr>
          <w:rFonts w:hint="eastAsia" w:ascii="宋体" w:hAnsi="宋体" w:eastAsia="宋体" w:cs="宋体"/>
          <w:b/>
          <w:bCs w:val="0"/>
          <w:color w:val="auto"/>
          <w:sz w:val="32"/>
          <w:szCs w:val="32"/>
          <w:highlight w:val="none"/>
        </w:rPr>
        <w:t>第四章  投标文件格式</w:t>
      </w:r>
      <w:bookmarkEnd w:id="31"/>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color w:val="auto"/>
          <w:sz w:val="32"/>
          <w:szCs w:val="32"/>
          <w:highlight w:val="none"/>
        </w:rPr>
      </w:pP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一、投标文件技术标部分（含资格审查文件）格式</w:t>
      </w:r>
    </w:p>
    <w:p>
      <w:pPr>
        <w:pageBreakBefore w:val="0"/>
        <w:kinsoku/>
        <w:overflowPunct/>
        <w:topLinePunct/>
        <w:bidi w:val="0"/>
        <w:adjustRightInd w:val="0"/>
        <w:snapToGrid w:val="0"/>
        <w:spacing w:beforeAutospacing="0" w:afterAutospacing="0" w:line="360" w:lineRule="auto"/>
        <w:jc w:val="left"/>
        <w:rPr>
          <w:rFonts w:hint="eastAsia" w:ascii="宋体" w:hAnsi="宋体" w:eastAsia="宋体" w:cs="宋体"/>
          <w:color w:val="auto"/>
          <w:sz w:val="24"/>
          <w:szCs w:val="24"/>
          <w:highlight w:val="none"/>
        </w:rPr>
      </w:pPr>
      <w:bookmarkStart w:id="32" w:name="_Toc6493845"/>
    </w:p>
    <w:p>
      <w:pPr>
        <w:pageBreakBefore w:val="0"/>
        <w:kinsoku/>
        <w:overflowPunct/>
        <w:topLinePunct/>
        <w:bidi w:val="0"/>
        <w:adjustRightInd w:val="0"/>
        <w:snapToGrid w:val="0"/>
        <w:spacing w:beforeAutospacing="0" w:afterAutospacing="0" w:line="360" w:lineRule="auto"/>
        <w:jc w:val="left"/>
        <w:rPr>
          <w:rFonts w:hint="eastAsia" w:ascii="宋体" w:hAnsi="宋体" w:eastAsia="宋体" w:cs="宋体"/>
          <w:bCs/>
          <w:color w:val="auto"/>
          <w:spacing w:val="4"/>
          <w:kern w:val="0"/>
          <w:sz w:val="24"/>
          <w:szCs w:val="24"/>
          <w:highlight w:val="none"/>
          <w:lang w:eastAsia="zh-CN"/>
        </w:rPr>
      </w:pPr>
      <w:r>
        <w:rPr>
          <w:rFonts w:hint="eastAsia" w:ascii="宋体" w:hAnsi="宋体" w:eastAsia="宋体" w:cs="宋体"/>
          <w:color w:val="auto"/>
          <w:sz w:val="24"/>
          <w:szCs w:val="24"/>
          <w:highlight w:val="none"/>
        </w:rPr>
        <w:t>技术标</w:t>
      </w:r>
      <w:r>
        <w:rPr>
          <w:rFonts w:hint="eastAsia" w:ascii="宋体" w:hAnsi="宋体" w:eastAsia="宋体" w:cs="宋体"/>
          <w:bCs/>
          <w:color w:val="auto"/>
          <w:spacing w:val="4"/>
          <w:kern w:val="0"/>
          <w:sz w:val="24"/>
          <w:szCs w:val="24"/>
          <w:highlight w:val="none"/>
        </w:rPr>
        <w:t>格式一</w:t>
      </w:r>
      <w:bookmarkEnd w:id="32"/>
      <w:r>
        <w:rPr>
          <w:rFonts w:hint="eastAsia" w:ascii="宋体" w:hAnsi="宋体" w:eastAsia="宋体" w:cs="宋体"/>
          <w:bCs/>
          <w:color w:val="auto"/>
          <w:spacing w:val="4"/>
          <w:kern w:val="0"/>
          <w:sz w:val="24"/>
          <w:szCs w:val="24"/>
          <w:highlight w:val="none"/>
          <w:lang w:eastAsia="zh-CN"/>
        </w:rPr>
        <w:t>：</w:t>
      </w:r>
    </w:p>
    <w:p>
      <w:pPr>
        <w:pageBreakBefore w:val="0"/>
        <w:kinsoku/>
        <w:overflowPunct/>
        <w:autoSpaceDE w:val="0"/>
        <w:autoSpaceDN w:val="0"/>
        <w:bidi w:val="0"/>
        <w:adjustRightInd w:val="0"/>
        <w:snapToGrid w:val="0"/>
        <w:spacing w:beforeAutospacing="0" w:afterAutospacing="0" w:line="360" w:lineRule="auto"/>
        <w:jc w:val="center"/>
        <w:outlineLvl w:val="1"/>
        <w:rPr>
          <w:rFonts w:hint="eastAsia" w:ascii="宋体" w:hAnsi="宋体" w:eastAsia="宋体" w:cs="宋体"/>
          <w:b/>
          <w:bCs/>
          <w:color w:val="auto"/>
          <w:sz w:val="36"/>
          <w:szCs w:val="36"/>
          <w:highlight w:val="none"/>
          <w:lang w:val="zh-CN"/>
        </w:rPr>
      </w:pPr>
      <w:bookmarkStart w:id="33" w:name="_Toc17590"/>
      <w:bookmarkStart w:id="34" w:name="_Toc10308"/>
      <w:r>
        <w:rPr>
          <w:rFonts w:hint="eastAsia" w:ascii="宋体" w:hAnsi="宋体" w:eastAsia="宋体" w:cs="宋体"/>
          <w:b/>
          <w:bCs/>
          <w:color w:val="auto"/>
          <w:sz w:val="36"/>
          <w:szCs w:val="36"/>
          <w:highlight w:val="none"/>
          <w:lang w:val="zh-CN"/>
        </w:rPr>
        <w:t>广州建设工程施工招标投标书（技术标）</w:t>
      </w:r>
      <w:bookmarkEnd w:id="33"/>
      <w:bookmarkEnd w:id="34"/>
    </w:p>
    <w:tbl>
      <w:tblPr>
        <w:tblStyle w:val="2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保 修 期 限</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bl>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b/>
          <w:color w:val="auto"/>
          <w:highlight w:val="none"/>
        </w:rPr>
        <w:br w:type="page"/>
      </w:r>
      <w:r>
        <w:rPr>
          <w:rFonts w:hint="eastAsia" w:ascii="宋体" w:hAnsi="宋体" w:eastAsia="宋体" w:cs="宋体"/>
          <w:color w:val="auto"/>
          <w:sz w:val="24"/>
          <w:szCs w:val="24"/>
          <w:highlight w:val="none"/>
        </w:rPr>
        <w:t>技术标</w:t>
      </w:r>
      <w:r>
        <w:rPr>
          <w:rFonts w:hint="eastAsia" w:ascii="宋体" w:hAnsi="宋体" w:eastAsia="宋体" w:cs="宋体"/>
          <w:bCs/>
          <w:color w:val="auto"/>
          <w:sz w:val="24"/>
          <w:szCs w:val="24"/>
          <w:highlight w:val="none"/>
        </w:rPr>
        <w:t>格式二</w:t>
      </w:r>
      <w:r>
        <w:rPr>
          <w:rFonts w:hint="eastAsia" w:ascii="宋体" w:hAnsi="宋体" w:eastAsia="宋体" w:cs="宋体"/>
          <w:bCs/>
          <w:color w:val="auto"/>
          <w:sz w:val="24"/>
          <w:szCs w:val="24"/>
          <w:highlight w:val="none"/>
          <w:lang w:eastAsia="zh-CN"/>
        </w:rPr>
        <w:t>：</w:t>
      </w: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snapToGrid w:val="0"/>
          <w:color w:val="auto"/>
          <w:spacing w:val="4"/>
          <w:kern w:val="0"/>
          <w:sz w:val="32"/>
          <w:szCs w:val="32"/>
          <w:highlight w:val="none"/>
        </w:rPr>
      </w:pPr>
      <w:r>
        <w:rPr>
          <w:rFonts w:hint="eastAsia" w:ascii="宋体" w:hAnsi="宋体" w:eastAsia="宋体" w:cs="宋体"/>
          <w:b/>
          <w:snapToGrid w:val="0"/>
          <w:color w:val="auto"/>
          <w:spacing w:val="4"/>
          <w:kern w:val="0"/>
          <w:sz w:val="32"/>
          <w:szCs w:val="32"/>
          <w:highlight w:val="none"/>
        </w:rPr>
        <w:t>投 标 函</w:t>
      </w:r>
    </w:p>
    <w:p>
      <w:pPr>
        <w:pageBreakBefore w:val="0"/>
        <w:kinsoku/>
        <w:overflowPunct/>
        <w:topLinePunct/>
        <w:bidi w:val="0"/>
        <w:adjustRightInd w:val="0"/>
        <w:snapToGrid w:val="0"/>
        <w:spacing w:beforeAutospacing="0" w:afterAutospacing="0" w:line="360" w:lineRule="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致：</w:t>
      </w:r>
      <w:r>
        <w:rPr>
          <w:rFonts w:hint="eastAsia" w:ascii="宋体" w:hAnsi="宋体" w:eastAsia="宋体" w:cs="宋体"/>
          <w:snapToGrid w:val="0"/>
          <w:color w:val="auto"/>
          <w:spacing w:val="4"/>
          <w:kern w:val="0"/>
          <w:sz w:val="24"/>
          <w:szCs w:val="24"/>
          <w:highlight w:val="none"/>
          <w:u w:val="single"/>
        </w:rPr>
        <w:t xml:space="preserve"> （招标人名称） </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1.根据已收到贵方的项目编号为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工程的招标文件，并已详细审核了全部招标文件及有关附件。</w:t>
      </w:r>
    </w:p>
    <w:p>
      <w:pPr>
        <w:pageBreakBefore w:val="0"/>
        <w:kinsoku/>
        <w:overflowPunct/>
        <w:bidi w:val="0"/>
        <w:snapToGrid w:val="0"/>
        <w:spacing w:beforeAutospacing="0" w:afterAutospacing="0"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愿以经济标中的投标报价并按上述合同条款、标准和技术规范、图纸、工程量清单等的要求承包上述工程的施工、竣工并修补其任何缺陷。</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4.我方理解贵方将不受必须接受你们所收到的最低标价或其它任何投标文件的约束。</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5.如果我方中标，我方保证按招标文件中规定的工期，在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日历天内完成并移交本工程，质量标准达到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要求。</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6.如果我方中标，我方将按照规定递交由招标人认可，并在招标文件中规定金额的履约保函。</w:t>
      </w:r>
    </w:p>
    <w:p>
      <w:pPr>
        <w:pageBreakBefore w:val="0"/>
        <w:kinsoku/>
        <w:overflowPunct/>
        <w:bidi w:val="0"/>
        <w:snapToGrid w:val="0"/>
        <w:spacing w:beforeAutospacing="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7.除非另外达成协议并生效，贵方的中标通知书和本投标文件将成为约束双方的合同文件的组成部分。</w:t>
      </w:r>
    </w:p>
    <w:p>
      <w:pPr>
        <w:pageBreakBefore w:val="0"/>
        <w:kinsoku/>
        <w:overflowPunct/>
        <w:bidi w:val="0"/>
        <w:snapToGrid w:val="0"/>
        <w:spacing w:beforeAutospacing="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pageBreakBefore w:val="0"/>
        <w:kinsoku/>
        <w:overflowPunct/>
        <w:bidi w:val="0"/>
        <w:snapToGrid w:val="0"/>
        <w:spacing w:beforeAutospacing="0" w:afterAutospacing="0" w:line="360" w:lineRule="auto"/>
        <w:ind w:firstLine="481"/>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bCs/>
          <w:color w:val="auto"/>
          <w:kern w:val="0"/>
          <w:sz w:val="24"/>
          <w:szCs w:val="24"/>
          <w:highlight w:val="none"/>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pageBreakBefore w:val="0"/>
        <w:kinsoku/>
        <w:overflowPunct/>
        <w:bidi w:val="0"/>
        <w:snapToGrid w:val="0"/>
        <w:spacing w:beforeAutospacing="0" w:afterAutospacing="0" w:line="360" w:lineRule="auto"/>
        <w:ind w:firstLine="481"/>
        <w:rPr>
          <w:rFonts w:hint="eastAsia" w:ascii="宋体" w:hAnsi="宋体" w:eastAsia="宋体" w:cs="宋体"/>
          <w:snapToGrid w:val="0"/>
          <w:color w:val="auto"/>
          <w:spacing w:val="4"/>
          <w:kern w:val="0"/>
          <w:sz w:val="24"/>
          <w:szCs w:val="24"/>
          <w:highlight w:val="none"/>
        </w:rPr>
      </w:pPr>
    </w:p>
    <w:p>
      <w:pPr>
        <w:pageBreakBefore w:val="0"/>
        <w:kinsoku/>
        <w:overflowPunct/>
        <w:topLinePunct/>
        <w:bidi w:val="0"/>
        <w:adjustRightInd w:val="0"/>
        <w:snapToGrid w:val="0"/>
        <w:spacing w:beforeAutospacing="0" w:afterAutospacing="0" w:line="360" w:lineRule="auto"/>
        <w:ind w:firstLine="691" w:firstLineChars="279"/>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 xml:space="preserve">投 标 人（盖章）：    </w:t>
      </w:r>
    </w:p>
    <w:p>
      <w:pPr>
        <w:pageBreakBefore w:val="0"/>
        <w:kinsoku/>
        <w:overflowPunct/>
        <w:topLinePunct/>
        <w:bidi w:val="0"/>
        <w:adjustRightInd w:val="0"/>
        <w:snapToGrid w:val="0"/>
        <w:spacing w:beforeAutospacing="0" w:afterAutospacing="0" w:line="360" w:lineRule="auto"/>
        <w:ind w:firstLine="691" w:firstLineChars="279"/>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法定代表人或授权代理人（签字或盖章）：</w:t>
      </w:r>
    </w:p>
    <w:p>
      <w:pPr>
        <w:pageBreakBefore w:val="0"/>
        <w:kinsoku/>
        <w:overflowPunct/>
        <w:topLinePunct/>
        <w:bidi w:val="0"/>
        <w:adjustRightInd w:val="0"/>
        <w:snapToGrid w:val="0"/>
        <w:spacing w:beforeAutospacing="0" w:afterAutospacing="0" w:line="360" w:lineRule="auto"/>
        <w:ind w:firstLine="691" w:firstLineChars="279"/>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 xml:space="preserve">日    期：    年    月    日 </w:t>
      </w:r>
    </w:p>
    <w:p>
      <w:pPr>
        <w:pageBreakBefore w:val="0"/>
        <w:kinsoku/>
        <w:overflowPunct/>
        <w:topLinePunct/>
        <w:bidi w:val="0"/>
        <w:adjustRightInd w:val="0"/>
        <w:snapToGrid w:val="0"/>
        <w:spacing w:beforeAutospacing="0" w:afterAutospacing="0" w:line="360" w:lineRule="auto"/>
        <w:ind w:firstLine="691" w:firstLineChars="279"/>
        <w:rPr>
          <w:rFonts w:hint="eastAsia" w:ascii="宋体" w:hAnsi="宋体" w:eastAsia="宋体" w:cs="宋体"/>
          <w:snapToGrid w:val="0"/>
          <w:color w:val="auto"/>
          <w:spacing w:val="4"/>
          <w:kern w:val="0"/>
          <w:sz w:val="24"/>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color w:val="auto"/>
          <w:szCs w:val="21"/>
          <w:highlight w:val="none"/>
        </w:rPr>
      </w:pPr>
    </w:p>
    <w:p>
      <w:pPr>
        <w:pageBreakBefore w:val="0"/>
        <w:kinsoku/>
        <w:overflowPunct/>
        <w:topLinePunct/>
        <w:bidi w:val="0"/>
        <w:adjustRightInd w:val="0"/>
        <w:snapToGrid w:val="0"/>
        <w:spacing w:beforeAutospacing="0" w:afterAutospacing="0" w:line="360" w:lineRule="auto"/>
        <w:ind w:firstLine="585" w:firstLineChars="279"/>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注：《投标函》第5条内容“在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eastAsia="宋体" w:cs="宋体"/>
          <w:snapToGrid w:val="0"/>
          <w:color w:val="auto"/>
          <w:spacing w:val="4"/>
          <w:kern w:val="0"/>
          <w:sz w:val="24"/>
          <w:szCs w:val="24"/>
          <w:highlight w:val="none"/>
          <w:lang w:eastAsia="zh-CN"/>
        </w:rPr>
        <w:t>。</w:t>
      </w:r>
      <w:r>
        <w:rPr>
          <w:rFonts w:hint="eastAsia" w:ascii="宋体" w:hAnsi="宋体" w:eastAsia="宋体" w:cs="宋体"/>
          <w:snapToGrid w:val="0"/>
          <w:color w:val="auto"/>
          <w:spacing w:val="4"/>
          <w:kern w:val="0"/>
          <w:sz w:val="24"/>
          <w:szCs w:val="24"/>
          <w:highlight w:val="none"/>
        </w:rPr>
        <w:t xml:space="preserve"> </w:t>
      </w: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eastAsia="zh-CN"/>
        </w:rPr>
      </w:pPr>
      <w:bookmarkStart w:id="35" w:name="_Toc478375101"/>
      <w:bookmarkStart w:id="36" w:name="_Toc474749524"/>
      <w:r>
        <w:rPr>
          <w:rFonts w:hint="eastAsia" w:ascii="宋体" w:hAnsi="宋体" w:eastAsia="宋体" w:cs="宋体"/>
          <w:bCs/>
          <w:color w:val="auto"/>
          <w:sz w:val="24"/>
          <w:szCs w:val="24"/>
          <w:highlight w:val="none"/>
        </w:rPr>
        <w:br w:type="page"/>
      </w:r>
      <w:r>
        <w:rPr>
          <w:rFonts w:hint="eastAsia" w:ascii="宋体" w:hAnsi="宋体" w:eastAsia="宋体" w:cs="宋体"/>
          <w:color w:val="auto"/>
          <w:sz w:val="24"/>
          <w:szCs w:val="24"/>
          <w:highlight w:val="none"/>
        </w:rPr>
        <w:t>技术标格式三</w:t>
      </w:r>
      <w:r>
        <w:rPr>
          <w:rFonts w:hint="eastAsia" w:ascii="宋体" w:hAnsi="宋体" w:eastAsia="宋体" w:cs="宋体"/>
          <w:color w:val="auto"/>
          <w:sz w:val="24"/>
          <w:szCs w:val="24"/>
          <w:highlight w:val="none"/>
          <w:lang w:eastAsia="zh-CN"/>
        </w:rPr>
        <w:t>：</w:t>
      </w: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rPr>
        <w:t>已竣工验收的类似工程业绩表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308"/>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工程对应的企业资质</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49" w:type="pc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中标金额或合同金额 (人民币：万元)</w:t>
            </w:r>
          </w:p>
        </w:tc>
        <w:tc>
          <w:tcPr>
            <w:tcW w:w="1249" w:type="pc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项目经理姓名</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项目业主名称</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竣工质量评定等级</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工程获奖情况</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tc>
      </w:tr>
    </w:tbl>
    <w:p>
      <w:pPr>
        <w:pageBreakBefore w:val="0"/>
        <w:kinsoku/>
        <w:overflowPunct/>
        <w:bidi w:val="0"/>
        <w:snapToGrid w:val="0"/>
        <w:spacing w:beforeAutospacing="0" w:afterAutospacing="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注：由投标人按评审要求填写本表，并按《技术标详细审查评分表》要求附相关证明材料。 </w:t>
      </w:r>
    </w:p>
    <w:p>
      <w:pPr>
        <w:pageBreakBefore w:val="0"/>
        <w:kinsoku/>
        <w:overflowPunct/>
        <w:bidi w:val="0"/>
        <w:snapToGrid w:val="0"/>
        <w:spacing w:beforeAutospacing="0" w:afterAutospacing="0" w:line="360" w:lineRule="auto"/>
        <w:jc w:val="left"/>
        <w:rPr>
          <w:rFonts w:hint="eastAsia" w:ascii="宋体" w:hAnsi="宋体" w:eastAsia="宋体" w:cs="宋体"/>
          <w:color w:val="auto"/>
          <w:szCs w:val="21"/>
          <w:highlight w:val="none"/>
        </w:rPr>
      </w:pPr>
    </w:p>
    <w:p>
      <w:pPr>
        <w:pageBreakBefore w:val="0"/>
        <w:kinsoku/>
        <w:overflowPunct/>
        <w:topLinePunct/>
        <w:bidi w:val="0"/>
        <w:adjustRightInd w:val="0"/>
        <w:snapToGrid w:val="0"/>
        <w:spacing w:beforeAutospacing="0" w:afterAutospacing="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投标人（盖章）：　　</w:t>
      </w:r>
    </w:p>
    <w:p>
      <w:pPr>
        <w:pageBreakBefore w:val="0"/>
        <w:kinsoku/>
        <w:overflowPunct/>
        <w:topLinePunct/>
        <w:bidi w:val="0"/>
        <w:adjustRightInd w:val="0"/>
        <w:snapToGrid w:val="0"/>
        <w:spacing w:beforeAutospacing="0" w:afterAutospacing="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pageBreakBefore w:val="0"/>
        <w:kinsoku/>
        <w:overflowPunct/>
        <w:autoSpaceDE w:val="0"/>
        <w:autoSpaceDN w:val="0"/>
        <w:bidi w:val="0"/>
        <w:adjustRightInd w:val="0"/>
        <w:snapToGrid w:val="0"/>
        <w:spacing w:beforeAutospacing="0" w:afterAutospacing="0" w:line="360" w:lineRule="auto"/>
        <w:ind w:firstLine="3720" w:firstLineChars="15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pageBreakBefore w:val="0"/>
        <w:kinsoku/>
        <w:overflowPunct/>
        <w:bidi w:val="0"/>
        <w:snapToGrid w:val="0"/>
        <w:spacing w:beforeAutospacing="0" w:afterAutospacing="0" w:line="360" w:lineRule="auto"/>
        <w:ind w:firstLine="400" w:firstLineChars="200"/>
        <w:rPr>
          <w:rFonts w:hint="eastAsia" w:ascii="宋体" w:hAnsi="宋体" w:eastAsia="宋体" w:cs="宋体"/>
          <w:color w:val="auto"/>
          <w:sz w:val="20"/>
          <w:szCs w:val="24"/>
          <w:highlight w:val="none"/>
        </w:rPr>
      </w:pPr>
    </w:p>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
          <w:bCs/>
          <w:color w:val="auto"/>
          <w:sz w:val="36"/>
          <w:szCs w:val="36"/>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highlight w:val="none"/>
          <w:lang w:val="zh-CN"/>
        </w:rPr>
      </w:pPr>
    </w:p>
    <w:p>
      <w:pPr>
        <w:pageBreakBefore w:val="0"/>
        <w:kinsoku/>
        <w:overflowPunct/>
        <w:bidi w:val="0"/>
        <w:snapToGrid w:val="0"/>
        <w:spacing w:beforeAutospacing="0" w:afterAutospacing="0" w:line="360" w:lineRule="auto"/>
        <w:rPr>
          <w:rFonts w:hint="eastAsia" w:ascii="宋体" w:hAnsi="宋体" w:eastAsia="宋体" w:cs="宋体"/>
          <w:color w:val="auto"/>
          <w:highlight w:val="none"/>
          <w:lang w:val="zh-CN"/>
        </w:rPr>
      </w:pPr>
    </w:p>
    <w:p>
      <w:pPr>
        <w:pStyle w:val="2"/>
        <w:pageBreakBefore w:val="0"/>
        <w:kinsoku/>
        <w:overflowPunct/>
        <w:bidi w:val="0"/>
        <w:snapToGrid w:val="0"/>
        <w:spacing w:beforeAutospacing="0" w:afterAutospacing="0" w:line="360" w:lineRule="auto"/>
        <w:rPr>
          <w:rFonts w:hint="eastAsia" w:ascii="宋体" w:hAnsi="宋体" w:eastAsia="宋体" w:cs="宋体"/>
          <w:color w:val="auto"/>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p>
    <w:p>
      <w:pPr>
        <w:pageBreakBefore w:val="0"/>
        <w:widowControl/>
        <w:kinsoku/>
        <w:overflowPunct/>
        <w:bidi w:val="0"/>
        <w:snapToGrid w:val="0"/>
        <w:spacing w:beforeAutospacing="0" w:afterAutospacing="0" w:line="360" w:lineRule="auto"/>
        <w:ind w:right="102"/>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技术标</w:t>
      </w:r>
      <w:r>
        <w:rPr>
          <w:rFonts w:hint="eastAsia" w:ascii="宋体" w:hAnsi="宋体" w:eastAsia="宋体" w:cs="宋体"/>
          <w:color w:val="auto"/>
          <w:sz w:val="24"/>
          <w:szCs w:val="24"/>
          <w:highlight w:val="none"/>
          <w:lang w:val="zh-CN"/>
        </w:rPr>
        <w:t>格式四：</w:t>
      </w:r>
    </w:p>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企业承建工程获奖情况表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401"/>
        <w:gridCol w:w="1400"/>
        <w:gridCol w:w="1401"/>
        <w:gridCol w:w="1400"/>
        <w:gridCol w:w="140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项目概况</w:t>
            </w: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完成情况</w:t>
            </w: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颁发单位</w:t>
            </w: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获奖奖项</w:t>
            </w: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0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napToGrid w:val="0"/>
              <w:spacing w:beforeAutospacing="0" w:afterAutospacing="0" w:line="360" w:lineRule="auto"/>
              <w:jc w:val="center"/>
              <w:rPr>
                <w:rFonts w:hint="eastAsia" w:ascii="宋体" w:hAnsi="宋体" w:eastAsia="宋体" w:cs="宋体"/>
                <w:color w:val="auto"/>
                <w:highlight w:val="none"/>
              </w:rPr>
            </w:pPr>
          </w:p>
        </w:tc>
      </w:tr>
    </w:tbl>
    <w:p>
      <w:pPr>
        <w:pageBreakBefore w:val="0"/>
        <w:kinsoku/>
        <w:overflowPunct/>
        <w:bidi w:val="0"/>
        <w:snapToGrid w:val="0"/>
        <w:spacing w:beforeAutospacing="0" w:afterAutospacing="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r>
        <w:rPr>
          <w:rFonts w:hint="eastAsia" w:ascii="宋体" w:hAnsi="宋体" w:eastAsia="宋体" w:cs="宋体"/>
          <w:color w:val="auto"/>
          <w:szCs w:val="21"/>
          <w:highlight w:val="none"/>
        </w:rPr>
        <w:t>由投标人按评审要求填写本表，并按《技术标详细审查评分表》要求附相关证明材料</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 xml:space="preserve"> </w:t>
      </w:r>
    </w:p>
    <w:p>
      <w:pPr>
        <w:pageBreakBefore w:val="0"/>
        <w:kinsoku/>
        <w:overflowPunct/>
        <w:bidi w:val="0"/>
        <w:snapToGrid w:val="0"/>
        <w:spacing w:beforeAutospacing="0" w:afterAutospacing="0" w:line="360" w:lineRule="auto"/>
        <w:jc w:val="left"/>
        <w:rPr>
          <w:rFonts w:hint="eastAsia" w:ascii="宋体" w:hAnsi="宋体" w:eastAsia="宋体" w:cs="宋体"/>
          <w:color w:val="auto"/>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投标人（盖章）：　　</w:t>
      </w:r>
    </w:p>
    <w:p>
      <w:pPr>
        <w:pageBreakBefore w:val="0"/>
        <w:kinsoku/>
        <w:overflowPunct/>
        <w:bidi w:val="0"/>
        <w:snapToGrid w:val="0"/>
        <w:spacing w:beforeAutospacing="0" w:afterAutospacing="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法定代表人或授权代理人(签字或盖章)：</w:t>
      </w:r>
    </w:p>
    <w:p>
      <w:pPr>
        <w:pageBreakBefore w:val="0"/>
        <w:kinsoku/>
        <w:overflowPunct/>
        <w:bidi w:val="0"/>
        <w:snapToGrid w:val="0"/>
        <w:spacing w:beforeAutospacing="0" w:afterAutospacing="0" w:line="360" w:lineRule="auto"/>
        <w:jc w:val="left"/>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日   期：    年    月    日</w:t>
      </w:r>
    </w:p>
    <w:p>
      <w:pPr>
        <w:pageBreakBefore w:val="0"/>
        <w:kinsoku/>
        <w:overflowPunct/>
        <w:bidi w:val="0"/>
        <w:snapToGrid w:val="0"/>
        <w:spacing w:beforeAutospacing="0" w:afterAutospacing="0" w:line="360" w:lineRule="auto"/>
        <w:jc w:val="left"/>
        <w:rPr>
          <w:rFonts w:hint="eastAsia" w:ascii="宋体" w:hAnsi="宋体" w:eastAsia="宋体" w:cs="宋体"/>
          <w:bCs/>
          <w:color w:val="auto"/>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bCs/>
          <w:color w:val="auto"/>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bCs/>
          <w:color w:val="auto"/>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bCs/>
          <w:color w:val="auto"/>
          <w:szCs w:val="24"/>
          <w:highlight w:val="none"/>
        </w:rPr>
      </w:pPr>
    </w:p>
    <w:p>
      <w:pPr>
        <w:pageBreakBefore w:val="0"/>
        <w:kinsoku/>
        <w:overflowPunct/>
        <w:bidi w:val="0"/>
        <w:snapToGrid w:val="0"/>
        <w:spacing w:beforeAutospacing="0" w:afterAutospacing="0" w:line="360" w:lineRule="auto"/>
        <w:jc w:val="left"/>
        <w:rPr>
          <w:rFonts w:hint="eastAsia" w:ascii="宋体" w:hAnsi="宋体" w:eastAsia="宋体" w:cs="宋体"/>
          <w:bCs/>
          <w:color w:val="auto"/>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kinsoku/>
        <w:overflowPunct/>
        <w:topLinePunct/>
        <w:bidi w:val="0"/>
        <w:adjustRightInd w:val="0"/>
        <w:snapToGrid w:val="0"/>
        <w:spacing w:beforeAutospacing="0" w:afterAutospacing="0" w:line="360" w:lineRule="auto"/>
        <w:rPr>
          <w:rFonts w:hint="eastAsia" w:ascii="宋体" w:hAnsi="宋体" w:eastAsia="宋体" w:cs="宋体"/>
          <w:b/>
          <w:snapToGrid w:val="0"/>
          <w:color w:val="auto"/>
          <w:spacing w:val="4"/>
          <w:kern w:val="0"/>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color w:val="auto"/>
          <w:sz w:val="24"/>
          <w:szCs w:val="24"/>
          <w:highlight w:val="none"/>
        </w:rPr>
        <w:t>格式五：</w:t>
      </w:r>
      <w:r>
        <w:rPr>
          <w:rFonts w:hint="eastAsia" w:ascii="宋体" w:hAnsi="宋体" w:eastAsia="宋体" w:cs="宋体"/>
          <w:b/>
          <w:snapToGrid w:val="0"/>
          <w:color w:val="auto"/>
          <w:spacing w:val="4"/>
          <w:kern w:val="0"/>
          <w:sz w:val="24"/>
          <w:szCs w:val="24"/>
          <w:highlight w:val="none"/>
        </w:rPr>
        <w:t xml:space="preserve">                     </w:t>
      </w: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color w:val="auto"/>
          <w:spacing w:val="4"/>
          <w:kern w:val="0"/>
          <w:sz w:val="36"/>
          <w:szCs w:val="36"/>
          <w:highlight w:val="none"/>
          <w:lang w:val="en-US" w:eastAsia="zh-CN"/>
        </w:rPr>
      </w:pPr>
      <w:r>
        <w:rPr>
          <w:rFonts w:hint="eastAsia" w:ascii="宋体" w:hAnsi="宋体" w:eastAsia="宋体" w:cs="宋体"/>
          <w:b/>
          <w:color w:val="auto"/>
          <w:spacing w:val="4"/>
          <w:kern w:val="0"/>
          <w:sz w:val="36"/>
          <w:szCs w:val="36"/>
          <w:highlight w:val="none"/>
        </w:rPr>
        <w:t>投入主要人员汇总表</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41"/>
        <w:gridCol w:w="1669"/>
        <w:gridCol w:w="1364"/>
        <w:gridCol w:w="22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4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序号</w:t>
            </w:r>
          </w:p>
        </w:tc>
        <w:tc>
          <w:tcPr>
            <w:tcW w:w="56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姓名</w:t>
            </w:r>
          </w:p>
        </w:tc>
        <w:tc>
          <w:tcPr>
            <w:tcW w:w="90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职位</w:t>
            </w:r>
          </w:p>
        </w:tc>
        <w:tc>
          <w:tcPr>
            <w:tcW w:w="73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专业类别</w:t>
            </w:r>
          </w:p>
        </w:tc>
        <w:tc>
          <w:tcPr>
            <w:tcW w:w="119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人员资格情况</w:t>
            </w: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right w:val="single" w:color="auto" w:sz="4" w:space="0"/>
            </w:tcBorders>
            <w:noWrap w:val="0"/>
            <w:vAlign w:val="center"/>
          </w:tcPr>
          <w:p>
            <w:pPr>
              <w:pageBreakBefore w:val="0"/>
              <w:widowControl/>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right w:val="single" w:color="auto" w:sz="4" w:space="0"/>
            </w:tcBorders>
            <w:noWrap w:val="0"/>
            <w:vAlign w:val="center"/>
          </w:tcPr>
          <w:p>
            <w:pPr>
              <w:pageBreakBefore w:val="0"/>
              <w:widowControl/>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bottom w:val="single" w:color="auto" w:sz="4" w:space="0"/>
              <w:right w:val="single" w:color="auto" w:sz="4" w:space="0"/>
            </w:tcBorders>
            <w:noWrap w:val="0"/>
            <w:vAlign w:val="center"/>
          </w:tcPr>
          <w:p>
            <w:pPr>
              <w:pageBreakBefore w:val="0"/>
              <w:widowControl/>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adjustRightInd w:val="0"/>
              <w:snapToGrid w:val="0"/>
              <w:spacing w:beforeAutospacing="0" w:afterAutospacing="0" w:line="360" w:lineRule="auto"/>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pct"/>
            <w:tcBorders>
              <w:top w:val="single" w:color="auto" w:sz="4" w:space="0"/>
              <w:left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ind w:left="-361" w:leftChars="-172" w:firstLine="420" w:firstLineChars="200"/>
              <w:jc w:val="center"/>
              <w:rPr>
                <w:rFonts w:hint="eastAsia" w:ascii="宋体" w:hAnsi="宋体" w:eastAsia="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bidi w:val="0"/>
              <w:adjustRightInd w:val="0"/>
              <w:snapToGrid w:val="0"/>
              <w:spacing w:beforeAutospacing="0" w:afterAutospacing="0" w:line="360" w:lineRule="auto"/>
              <w:jc w:val="left"/>
              <w:rPr>
                <w:rFonts w:hint="eastAsia" w:ascii="宋体" w:hAnsi="宋体" w:eastAsia="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adjustRightInd w:val="0"/>
              <w:snapToGrid w:val="0"/>
              <w:spacing w:beforeAutospacing="0" w:afterAutospacing="0" w:line="360" w:lineRule="auto"/>
              <w:jc w:val="center"/>
              <w:rPr>
                <w:rFonts w:hint="eastAsia" w:ascii="宋体" w:hAnsi="宋体" w:eastAsia="宋体" w:cs="宋体"/>
                <w:bCs/>
                <w:color w:val="auto"/>
                <w:spacing w:val="-10"/>
                <w:szCs w:val="21"/>
                <w:highlight w:val="none"/>
              </w:rPr>
            </w:pPr>
          </w:p>
        </w:tc>
      </w:tr>
    </w:tbl>
    <w:p>
      <w:pPr>
        <w:pageBreakBefore w:val="0"/>
        <w:kinsoku/>
        <w:overflowPunct/>
        <w:topLinePunct/>
        <w:bidi w:val="0"/>
        <w:adjustRightInd w:val="0"/>
        <w:snapToGrid w:val="0"/>
        <w:spacing w:beforeAutospacing="0" w:afterAutospacing="0"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注：</w:t>
      </w:r>
      <w:r>
        <w:rPr>
          <w:rFonts w:hint="eastAsia" w:ascii="宋体" w:hAnsi="宋体" w:eastAsia="宋体" w:cs="宋体"/>
          <w:color w:val="auto"/>
          <w:spacing w:val="4"/>
          <w:kern w:val="0"/>
          <w:sz w:val="24"/>
          <w:szCs w:val="24"/>
          <w:highlight w:val="none"/>
        </w:rPr>
        <w:br w:type="textWrapping"/>
      </w:r>
      <w:r>
        <w:rPr>
          <w:rFonts w:hint="eastAsia" w:ascii="宋体" w:hAnsi="宋体" w:eastAsia="宋体" w:cs="宋体"/>
          <w:color w:val="auto"/>
          <w:spacing w:val="4"/>
          <w:kern w:val="0"/>
          <w:sz w:val="24"/>
          <w:szCs w:val="24"/>
          <w:highlight w:val="none"/>
        </w:rPr>
        <w:t>1.本表投标人视本工程具体情况结合招标人对本工程的具体要求自行配备。</w:t>
      </w:r>
    </w:p>
    <w:p>
      <w:pPr>
        <w:pageBreakBefore w:val="0"/>
        <w:kinsoku/>
        <w:overflowPunct/>
        <w:topLinePunct/>
        <w:bidi w:val="0"/>
        <w:adjustRightInd w:val="0"/>
        <w:snapToGrid w:val="0"/>
        <w:spacing w:beforeAutospacing="0" w:afterAutospacing="0"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2.上述人员须为投标单位人员，并须提供居民身份证及投标截止前近一个月（202</w:t>
      </w:r>
      <w:r>
        <w:rPr>
          <w:rFonts w:hint="eastAsia" w:ascii="宋体" w:hAnsi="宋体" w:eastAsia="宋体" w:cs="宋体"/>
          <w:color w:val="auto"/>
          <w:spacing w:val="4"/>
          <w:kern w:val="0"/>
          <w:sz w:val="24"/>
          <w:szCs w:val="24"/>
          <w:highlight w:val="none"/>
          <w:lang w:val="en-US" w:eastAsia="zh-CN"/>
        </w:rPr>
        <w:t>4</w:t>
      </w:r>
      <w:r>
        <w:rPr>
          <w:rFonts w:hint="eastAsia" w:ascii="宋体" w:hAnsi="宋体" w:eastAsia="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4</w:t>
      </w:r>
      <w:r>
        <w:rPr>
          <w:rFonts w:hint="eastAsia" w:ascii="宋体" w:hAnsi="宋体" w:eastAsia="宋体" w:cs="宋体"/>
          <w:color w:val="auto"/>
          <w:spacing w:val="4"/>
          <w:kern w:val="0"/>
          <w:sz w:val="24"/>
          <w:szCs w:val="24"/>
          <w:highlight w:val="none"/>
        </w:rPr>
        <w:t>月）有效社保证明。</w:t>
      </w:r>
    </w:p>
    <w:p>
      <w:pPr>
        <w:pageBreakBefore w:val="0"/>
        <w:kinsoku/>
        <w:overflowPunct/>
        <w:topLinePunct/>
        <w:bidi w:val="0"/>
        <w:adjustRightInd w:val="0"/>
        <w:snapToGrid w:val="0"/>
        <w:spacing w:beforeAutospacing="0" w:afterAutospacing="0"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上述人员须按招标公告及《技术标详细审查评分表》相应要求提供居民身份证、职称证（如有），有效期内的注册证（如有）、岗位证（如有）或培训合格证（如有）等相关证明资料。所有资料为原件扫描件并加盖投标人电于印章。</w:t>
      </w:r>
    </w:p>
    <w:p>
      <w:pPr>
        <w:pageBreakBefore w:val="0"/>
        <w:kinsoku/>
        <w:overflowPunct/>
        <w:topLinePunct/>
        <w:bidi w:val="0"/>
        <w:adjustRightInd w:val="0"/>
        <w:snapToGrid w:val="0"/>
        <w:spacing w:beforeAutospacing="0" w:afterAutospacing="0"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4.本表中填报的所有人员均需接《主要人员简历表》格式要求提交《主要人员简历表》。</w:t>
      </w:r>
    </w:p>
    <w:p>
      <w:pPr>
        <w:pageBreakBefore w:val="0"/>
        <w:kinsoku/>
        <w:overflowPunct/>
        <w:topLinePunct/>
        <w:bidi w:val="0"/>
        <w:adjustRightInd w:val="0"/>
        <w:snapToGrid w:val="0"/>
        <w:spacing w:beforeAutospacing="0" w:afterAutospacing="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投标人（盖章）：　　</w:t>
      </w:r>
    </w:p>
    <w:p>
      <w:pPr>
        <w:pageBreakBefore w:val="0"/>
        <w:kinsoku/>
        <w:overflowPunct/>
        <w:topLinePunct/>
        <w:bidi w:val="0"/>
        <w:adjustRightInd w:val="0"/>
        <w:snapToGrid w:val="0"/>
        <w:spacing w:beforeAutospacing="0" w:afterAutospacing="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pageBreakBefore w:val="0"/>
        <w:kinsoku/>
        <w:overflowPunct/>
        <w:topLinePunct/>
        <w:bidi w:val="0"/>
        <w:adjustRightInd w:val="0"/>
        <w:snapToGrid w:val="0"/>
        <w:spacing w:beforeAutospacing="0" w:afterAutospacing="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pageBreakBefore w:val="0"/>
        <w:kinsoku/>
        <w:overflowPunct/>
        <w:topLinePunct/>
        <w:bidi w:val="0"/>
        <w:adjustRightInd w:val="0"/>
        <w:snapToGrid w:val="0"/>
        <w:spacing w:beforeAutospacing="0" w:afterAutospacing="0" w:line="360" w:lineRule="auto"/>
        <w:rPr>
          <w:rFonts w:hint="eastAsia" w:ascii="宋体" w:hAnsi="宋体" w:eastAsia="宋体" w:cs="宋体"/>
          <w:b/>
          <w:snapToGrid w:val="0"/>
          <w:color w:val="auto"/>
          <w:spacing w:val="4"/>
          <w:kern w:val="0"/>
          <w:sz w:val="24"/>
          <w:szCs w:val="24"/>
          <w:highlight w:val="none"/>
        </w:rPr>
      </w:pPr>
    </w:p>
    <w:p>
      <w:pPr>
        <w:pStyle w:val="12"/>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rPr>
        <w:t>主要人员简历表</w:t>
      </w:r>
    </w:p>
    <w:p>
      <w:pPr>
        <w:pageBreakBefore w:val="0"/>
        <w:kinsoku/>
        <w:overflowPunct/>
        <w:topLinePunct/>
        <w:bidi w:val="0"/>
        <w:adjustRightInd w:val="0"/>
        <w:snapToGrid w:val="0"/>
        <w:spacing w:beforeAutospacing="0" w:afterAutospacing="0"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工程名称： </w:t>
      </w:r>
    </w:p>
    <w:tbl>
      <w:tblPr>
        <w:tblStyle w:val="20"/>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323"/>
        <w:gridCol w:w="1791"/>
        <w:gridCol w:w="1060"/>
        <w:gridCol w:w="592"/>
        <w:gridCol w:w="181"/>
        <w:gridCol w:w="1283"/>
        <w:gridCol w:w="1005"/>
        <w:gridCol w:w="34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72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76"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578"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22" w:type="pct"/>
            <w:gridSpan w:val="3"/>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36"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6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76"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578"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22" w:type="pct"/>
            <w:gridSpan w:val="3"/>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36"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6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000" w:type="pct"/>
            <w:gridSpan w:val="3"/>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1248"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担任相应职务年限</w:t>
            </w:r>
          </w:p>
        </w:tc>
        <w:tc>
          <w:tcPr>
            <w:tcW w:w="1051"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300" w:type="pct"/>
            <w:gridSpan w:val="7"/>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月毕业于     学校    系，学制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资格证书号</w:t>
            </w:r>
          </w:p>
        </w:tc>
        <w:tc>
          <w:tcPr>
            <w:tcW w:w="3300" w:type="pct"/>
            <w:gridSpan w:val="7"/>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976" w:type="pct"/>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901" w:type="pct"/>
            <w:gridSpan w:val="2"/>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799" w:type="pct"/>
            <w:gridSpan w:val="2"/>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736" w:type="pct"/>
            <w:gridSpan w:val="2"/>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在建或已完工程质量</w:t>
            </w:r>
          </w:p>
        </w:tc>
        <w:tc>
          <w:tcPr>
            <w:tcW w:w="862" w:type="pct"/>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976"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901"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99"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36"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86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976"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901"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99"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36"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86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976"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901"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99"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736" w:type="pct"/>
            <w:gridSpan w:val="2"/>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c>
          <w:tcPr>
            <w:tcW w:w="862" w:type="pct"/>
            <w:noWrap w:val="0"/>
            <w:vAlign w:val="center"/>
          </w:tcPr>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p>
        </w:tc>
      </w:tr>
    </w:tbl>
    <w:p>
      <w:pPr>
        <w:pageBreakBefore w:val="0"/>
        <w:kinsoku/>
        <w:overflowPunct/>
        <w:topLinePunct/>
        <w:bidi w:val="0"/>
        <w:adjustRightInd w:val="0"/>
        <w:snapToGrid w:val="0"/>
        <w:spacing w:beforeAutospacing="0" w:afterAutospacing="0" w:line="360" w:lineRule="auto"/>
        <w:ind w:firstLine="496" w:firstLineChars="200"/>
        <w:rPr>
          <w:rFonts w:hint="eastAsia" w:ascii="宋体" w:hAnsi="宋体" w:eastAsia="宋体" w:cs="宋体"/>
          <w:color w:val="auto"/>
          <w:spacing w:val="4"/>
          <w:kern w:val="0"/>
          <w:sz w:val="24"/>
          <w:szCs w:val="24"/>
          <w:highlight w:val="none"/>
        </w:rPr>
      </w:pPr>
    </w:p>
    <w:p>
      <w:pPr>
        <w:pageBreakBefore w:val="0"/>
        <w:kinsoku/>
        <w:overflowPunct/>
        <w:topLinePunct/>
        <w:bidi w:val="0"/>
        <w:adjustRightInd w:val="0"/>
        <w:snapToGrid w:val="0"/>
        <w:spacing w:beforeAutospacing="0" w:afterAutospacing="0"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投标人（盖章）：　　</w:t>
      </w:r>
    </w:p>
    <w:p>
      <w:pPr>
        <w:pageBreakBefore w:val="0"/>
        <w:kinsoku/>
        <w:overflowPunct/>
        <w:topLinePunct/>
        <w:bidi w:val="0"/>
        <w:adjustRightInd w:val="0"/>
        <w:snapToGrid w:val="0"/>
        <w:spacing w:beforeAutospacing="0" w:afterAutospacing="0"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pageBreakBefore w:val="0"/>
        <w:kinsoku/>
        <w:overflowPunct/>
        <w:topLinePunct/>
        <w:bidi w:val="0"/>
        <w:adjustRightInd w:val="0"/>
        <w:snapToGrid w:val="0"/>
        <w:spacing w:beforeAutospacing="0" w:afterAutospacing="0"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pStyle w:val="2"/>
        <w:pageBreakBefore w:val="0"/>
        <w:kinsoku/>
        <w:overflowPunct/>
        <w:bidi w:val="0"/>
        <w:snapToGrid w:val="0"/>
        <w:spacing w:beforeAutospacing="0" w:afterAutospacing="0" w:line="360" w:lineRule="auto"/>
        <w:rPr>
          <w:rFonts w:hint="eastAsia" w:ascii="宋体" w:hAnsi="宋体" w:eastAsia="宋体" w:cs="宋体"/>
          <w:color w:val="auto"/>
          <w:highlight w:val="none"/>
          <w:lang w:val="en-US" w:eastAsia="zh-CN"/>
        </w:rPr>
      </w:pPr>
    </w:p>
    <w:p>
      <w:pPr>
        <w:pageBreakBefore w:val="0"/>
        <w:kinsoku/>
        <w:overflowPunct/>
        <w:bidi w:val="0"/>
        <w:snapToGrid w:val="0"/>
        <w:spacing w:beforeAutospacing="0" w:afterAutospacing="0" w:line="360" w:lineRule="auto"/>
        <w:rPr>
          <w:rFonts w:hint="eastAsia" w:ascii="宋体" w:hAnsi="宋体" w:eastAsia="宋体" w:cs="宋体"/>
          <w:color w:val="auto"/>
          <w:highlight w:val="none"/>
          <w:lang w:val="en-US" w:eastAsia="zh-CN"/>
        </w:rPr>
      </w:pP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snapToGrid w:val="0"/>
          <w:color w:val="auto"/>
          <w:spacing w:val="4"/>
          <w:kern w:val="0"/>
          <w:sz w:val="24"/>
          <w:szCs w:val="24"/>
          <w:highlight w:val="none"/>
        </w:rPr>
      </w:pP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snapToGrid w:val="0"/>
          <w:color w:val="auto"/>
          <w:spacing w:val="4"/>
          <w:kern w:val="0"/>
          <w:sz w:val="24"/>
          <w:szCs w:val="24"/>
          <w:highlight w:val="none"/>
        </w:rPr>
      </w:pPr>
    </w:p>
    <w:p>
      <w:pPr>
        <w:pageBreakBefore w:val="0"/>
        <w:kinsoku/>
        <w:overflowPunct/>
        <w:topLinePunct/>
        <w:bidi w:val="0"/>
        <w:adjustRightInd w:val="0"/>
        <w:snapToGrid w:val="0"/>
        <w:spacing w:beforeAutospacing="0" w:afterAutospacing="0" w:line="360" w:lineRule="auto"/>
        <w:jc w:val="left"/>
        <w:outlineLvl w:val="2"/>
        <w:rPr>
          <w:rFonts w:hint="eastAsia" w:ascii="宋体" w:hAnsi="宋体" w:eastAsia="宋体" w:cs="宋体"/>
          <w:snapToGrid w:val="0"/>
          <w:color w:val="auto"/>
          <w:spacing w:val="4"/>
          <w:kern w:val="0"/>
          <w:sz w:val="24"/>
          <w:szCs w:val="24"/>
          <w:highlight w:val="none"/>
          <w:lang w:eastAsia="zh-CN"/>
        </w:rPr>
      </w:pPr>
      <w:bookmarkStart w:id="37" w:name="_Toc13235"/>
      <w:bookmarkStart w:id="38" w:name="_Toc4573"/>
      <w:r>
        <w:rPr>
          <w:rFonts w:hint="eastAsia" w:ascii="宋体" w:hAnsi="宋体" w:eastAsia="宋体" w:cs="宋体"/>
          <w:color w:val="auto"/>
          <w:sz w:val="24"/>
          <w:szCs w:val="24"/>
          <w:highlight w:val="none"/>
        </w:rPr>
        <w:t>技术标</w:t>
      </w:r>
      <w:r>
        <w:rPr>
          <w:rFonts w:hint="eastAsia" w:ascii="宋体" w:hAnsi="宋体" w:eastAsia="宋体" w:cs="宋体"/>
          <w:bCs/>
          <w:color w:val="auto"/>
          <w:spacing w:val="4"/>
          <w:kern w:val="0"/>
          <w:sz w:val="24"/>
          <w:szCs w:val="24"/>
          <w:highlight w:val="none"/>
        </w:rPr>
        <w:t>格式</w:t>
      </w:r>
      <w:bookmarkEnd w:id="35"/>
      <w:bookmarkEnd w:id="36"/>
      <w:r>
        <w:rPr>
          <w:rFonts w:hint="eastAsia" w:ascii="宋体" w:hAnsi="宋体" w:eastAsia="宋体" w:cs="宋体"/>
          <w:snapToGrid w:val="0"/>
          <w:color w:val="auto"/>
          <w:spacing w:val="4"/>
          <w:kern w:val="0"/>
          <w:sz w:val="24"/>
          <w:szCs w:val="24"/>
          <w:highlight w:val="none"/>
        </w:rPr>
        <w:t>六</w:t>
      </w:r>
      <w:bookmarkEnd w:id="37"/>
      <w:bookmarkEnd w:id="38"/>
      <w:r>
        <w:rPr>
          <w:rFonts w:hint="eastAsia" w:ascii="宋体" w:hAnsi="宋体" w:eastAsia="宋体" w:cs="宋体"/>
          <w:snapToGrid w:val="0"/>
          <w:color w:val="auto"/>
          <w:spacing w:val="4"/>
          <w:kern w:val="0"/>
          <w:sz w:val="24"/>
          <w:szCs w:val="24"/>
          <w:highlight w:val="none"/>
          <w:lang w:eastAsia="zh-CN"/>
        </w:rPr>
        <w:t>：</w:t>
      </w:r>
    </w:p>
    <w:p>
      <w:pPr>
        <w:pageBreakBefore w:val="0"/>
        <w:kinsoku/>
        <w:overflowPunct/>
        <w:topLinePunct/>
        <w:bidi w:val="0"/>
        <w:adjustRightInd w:val="0"/>
        <w:snapToGrid w:val="0"/>
        <w:spacing w:beforeAutospacing="0" w:afterAutospacing="0" w:line="360" w:lineRule="auto"/>
        <w:jc w:val="center"/>
        <w:rPr>
          <w:rFonts w:hint="eastAsia" w:ascii="宋体" w:hAnsi="宋体"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rPr>
        <w:t>标函承诺书</w:t>
      </w:r>
    </w:p>
    <w:p>
      <w:pPr>
        <w:pStyle w:val="28"/>
        <w:pageBreakBefore w:val="0"/>
        <w:kinsoku/>
        <w:overflowPunct/>
        <w:bidi w:val="0"/>
        <w:snapToGrid w:val="0"/>
        <w:spacing w:beforeAutospacing="0" w:after="0" w:afterAutospacing="0" w:line="360" w:lineRule="auto"/>
        <w:ind w:left="339" w:leftChars="101" w:hanging="127" w:hangingChars="53"/>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eastAsia="zh-CN"/>
        </w:rPr>
        <w:t>广州开发区财政投资建设项目管理中心</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如果在本招标工程中我司中标，我司将积极响应贵单位提出的合同条件及招标文件的要求，并做出如下承诺：</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1、若我公司中标，我公司承诺按时交纳履约保证金。</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2、在本工程施工期间，拟投入的人力不少于下表中的人数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left="-422" w:leftChars="-201"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firstLine="420" w:firstLineChars="200"/>
              <w:jc w:val="center"/>
              <w:rPr>
                <w:rFonts w:hint="eastAsia" w:ascii="宋体" w:hAnsi="宋体" w:eastAsia="宋体" w:cs="宋体"/>
                <w:color w:val="auto"/>
                <w:kern w:val="0"/>
                <w:szCs w:val="21"/>
                <w:highlight w:val="none"/>
                <w:u w:val="single"/>
              </w:rPr>
            </w:pPr>
          </w:p>
        </w:tc>
      </w:tr>
    </w:tbl>
    <w:p>
      <w:pPr>
        <w:pageBreakBefore w:val="0"/>
        <w:kinsoku/>
        <w:overflowPunct/>
        <w:bidi w:val="0"/>
        <w:snapToGrid w:val="0"/>
        <w:spacing w:beforeAutospacing="0" w:afterAutospacing="0" w:line="360" w:lineRule="auto"/>
        <w:ind w:left="441" w:leftChars="210" w:firstLine="480" w:firstLineChars="200"/>
        <w:jc w:val="left"/>
        <w:rPr>
          <w:rFonts w:hint="eastAsia" w:ascii="宋体" w:hAnsi="宋体" w:eastAsia="宋体" w:cs="宋体"/>
          <w:color w:val="auto"/>
          <w:sz w:val="24"/>
          <w:szCs w:val="24"/>
          <w:highlight w:val="none"/>
          <w:u w:val="single"/>
        </w:rPr>
      </w:pP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3、在工程施工期间，拟投入的主要机械设备按投标文件所附的《拟投入本工程施工的主要机械设备配备表》。</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4、所选用的主要材料品牌符合招标文件的要求。</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pPr>
        <w:pageBreakBefore w:val="0"/>
        <w:kinsoku/>
        <w:overflowPunct/>
        <w:bidi w:val="0"/>
        <w:snapToGrid w:val="0"/>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要求。</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8、在确保工程质量的前提下，我司严格控制工程工期，确保工程在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pageBreakBefore w:val="0"/>
        <w:kinsoku/>
        <w:overflowPunct/>
        <w:bidi w:val="0"/>
        <w:snapToGrid w:val="0"/>
        <w:spacing w:beforeAutospacing="0" w:after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pPr>
        <w:pageBreakBefore w:val="0"/>
        <w:kinsoku/>
        <w:overflowPunct/>
        <w:bidi w:val="0"/>
        <w:snapToGrid w:val="0"/>
        <w:spacing w:beforeAutospacing="0" w:afterAutospacing="0"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ind w:left="-105" w:leftChars="-50" w:firstLine="90" w:firstLineChars="43"/>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u w:val="single"/>
              </w:rPr>
            </w:pPr>
          </w:p>
        </w:tc>
      </w:tr>
    </w:tbl>
    <w:p>
      <w:pPr>
        <w:pageBreakBefore w:val="0"/>
        <w:tabs>
          <w:tab w:val="left" w:pos="315"/>
        </w:tabs>
        <w:kinsoku/>
        <w:overflowPunct/>
        <w:bidi w:val="0"/>
        <w:snapToGrid w:val="0"/>
        <w:spacing w:beforeAutospacing="0" w:afterAutospacing="0" w:line="360" w:lineRule="auto"/>
        <w:ind w:left="19" w:leftChars="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pageBreakBefore w:val="0"/>
        <w:tabs>
          <w:tab w:val="left" w:pos="0"/>
        </w:tabs>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14、我司承诺积极响应并接受招标文件中合同专用专款关于合同价款的调整办法。</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pageBreakBefore w:val="0"/>
        <w:kinsoku/>
        <w:overflowPunct/>
        <w:bidi w:val="0"/>
        <w:snapToGrid w:val="0"/>
        <w:spacing w:beforeAutospacing="0" w:afterAutospacing="0" w:line="360" w:lineRule="auto"/>
        <w:ind w:left="318"/>
        <w:rPr>
          <w:rFonts w:hint="eastAsia" w:ascii="宋体" w:hAnsi="宋体" w:eastAsia="宋体" w:cs="宋体"/>
          <w:color w:val="auto"/>
          <w:sz w:val="24"/>
          <w:szCs w:val="24"/>
          <w:highlight w:val="none"/>
          <w:u w:val="single"/>
        </w:rPr>
      </w:pPr>
    </w:p>
    <w:p>
      <w:pPr>
        <w:pageBreakBefore w:val="0"/>
        <w:kinsoku/>
        <w:overflowPunct/>
        <w:bidi w:val="0"/>
        <w:snapToGrid w:val="0"/>
        <w:spacing w:beforeAutospacing="0" w:afterAutospacing="0" w:line="360" w:lineRule="auto"/>
        <w:ind w:left="420" w:leftChars="200" w:firstLine="3547" w:firstLineChars="147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投标单位：（公章） </w:t>
      </w:r>
    </w:p>
    <w:p>
      <w:pPr>
        <w:pageBreakBefore w:val="0"/>
        <w:kinsoku/>
        <w:overflowPunct/>
        <w:bidi w:val="0"/>
        <w:snapToGrid w:val="0"/>
        <w:spacing w:beforeAutospacing="0" w:after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法人代表或其授权代理人：（签名或盖章）</w:t>
      </w:r>
    </w:p>
    <w:p>
      <w:pPr>
        <w:pageBreakBefore w:val="0"/>
        <w:kinsoku/>
        <w:overflowPunct/>
        <w:bidi w:val="0"/>
        <w:snapToGrid w:val="0"/>
        <w:spacing w:beforeAutospacing="0" w:afterAutospacing="0" w:line="360" w:lineRule="auto"/>
        <w:ind w:left="420" w:leftChars="200" w:right="560"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ageBreakBefore w:val="0"/>
        <w:kinsoku/>
        <w:overflowPunct/>
        <w:bidi w:val="0"/>
        <w:snapToGrid w:val="0"/>
        <w:spacing w:beforeAutospacing="0" w:afterAutospacing="0" w:line="360" w:lineRule="auto"/>
        <w:ind w:left="420" w:leftChars="200"/>
        <w:jc w:val="left"/>
        <w:rPr>
          <w:rFonts w:hint="eastAsia" w:ascii="宋体" w:hAnsi="宋体" w:eastAsia="宋体" w:cs="宋体"/>
          <w:color w:val="auto"/>
          <w:sz w:val="24"/>
          <w:szCs w:val="24"/>
          <w:highlight w:val="none"/>
          <w:u w:val="single"/>
        </w:rPr>
      </w:pPr>
    </w:p>
    <w:p>
      <w:pPr>
        <w:pageBreakBefore w:val="0"/>
        <w:kinsoku/>
        <w:overflowPunct/>
        <w:bidi w:val="0"/>
        <w:snapToGrid w:val="0"/>
        <w:spacing w:beforeAutospacing="0" w:afterAutospacing="0" w:line="360" w:lineRule="auto"/>
        <w:ind w:left="-2" w:leftChars="-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pageBreakBefore w:val="0"/>
        <w:kinsoku/>
        <w:overflowPunct/>
        <w:bidi w:val="0"/>
        <w:snapToGrid w:val="0"/>
        <w:spacing w:beforeAutospacing="0" w:afterAutospacing="0" w:line="360" w:lineRule="auto"/>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pageBreakBefore w:val="0"/>
        <w:kinsoku/>
        <w:overflowPunct/>
        <w:bidi w:val="0"/>
        <w:snapToGrid w:val="0"/>
        <w:spacing w:beforeAutospacing="0" w:afterAutospacing="0" w:line="360" w:lineRule="auto"/>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2、《标函承诺书》第7条内容“确保本工程质量达到</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rPr>
        <w:t>要求” 横线上要求按照本工程《广州建设工程施工招标投标书（技术标）》承诺的质量标准填写，否则视作未按规定的格式填写，作无效标处理。</w:t>
      </w:r>
    </w:p>
    <w:p>
      <w:pPr>
        <w:pageBreakBefore w:val="0"/>
        <w:kinsoku/>
        <w:overflowPunct/>
        <w:topLinePunct w:val="0"/>
        <w:bidi w:val="0"/>
        <w:adjustRightInd/>
        <w:snapToGrid w:val="0"/>
        <w:spacing w:beforeAutospacing="0" w:afterAutospacing="0"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3、《标函承诺书》第8条内容“确保工程在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39" w:name="_Toc24943"/>
      <w:bookmarkStart w:id="40" w:name="_Toc14656"/>
      <w:r>
        <w:rPr>
          <w:rFonts w:hint="eastAsia" w:ascii="宋体" w:hAnsi="宋体" w:eastAsia="宋体" w:cs="宋体"/>
          <w:color w:val="auto"/>
          <w:sz w:val="24"/>
          <w:szCs w:val="24"/>
          <w:highlight w:val="none"/>
        </w:rPr>
        <w:br w:type="page"/>
      </w:r>
    </w:p>
    <w:p>
      <w:pPr>
        <w:pageBreakBefore w:val="0"/>
        <w:kinsoku/>
        <w:overflowPunct/>
        <w:topLinePunct w:val="0"/>
        <w:bidi w:val="0"/>
        <w:adjustRightInd/>
        <w:snapToGrid w:val="0"/>
        <w:spacing w:beforeAutospacing="0" w:afterAutospacing="0" w:line="360" w:lineRule="auto"/>
        <w:ind w:left="-2" w:leftChars="-1"/>
        <w:jc w:val="left"/>
        <w:outlineLvl w:val="9"/>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snapToGrid w:val="0"/>
          <w:color w:val="auto"/>
          <w:spacing w:val="4"/>
          <w:kern w:val="0"/>
          <w:sz w:val="24"/>
          <w:szCs w:val="24"/>
          <w:highlight w:val="none"/>
        </w:rPr>
        <w:t>七</w:t>
      </w:r>
      <w:bookmarkEnd w:id="39"/>
      <w:bookmarkEnd w:id="40"/>
      <w:r>
        <w:rPr>
          <w:rFonts w:hint="eastAsia" w:ascii="宋体" w:hAnsi="宋体" w:eastAsia="宋体" w:cs="宋体"/>
          <w:snapToGrid w:val="0"/>
          <w:color w:val="auto"/>
          <w:spacing w:val="4"/>
          <w:kern w:val="0"/>
          <w:sz w:val="24"/>
          <w:szCs w:val="24"/>
          <w:highlight w:val="none"/>
          <w:lang w:eastAsia="zh-CN"/>
        </w:rPr>
        <w:t>：</w:t>
      </w:r>
    </w:p>
    <w:p>
      <w:pPr>
        <w:pStyle w:val="18"/>
        <w:pageBreakBefore w:val="0"/>
        <w:kinsoku/>
        <w:overflowPunct/>
        <w:bidi w:val="0"/>
        <w:snapToGrid w:val="0"/>
        <w:spacing w:beforeAutospacing="0" w:after="0" w:afterAutospacing="0" w:line="360" w:lineRule="auto"/>
        <w:ind w:left="-2" w:leftChars="-1" w:firstLine="562" w:firstLineChars="17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项目负责人驻场承诺书</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致（业主）                                           ：</w:t>
      </w:r>
    </w:p>
    <w:p>
      <w:pPr>
        <w:pageBreakBefore w:val="0"/>
        <w:kinsoku/>
        <w:overflowPunct/>
        <w:bidi w:val="0"/>
        <w:snapToGrid w:val="0"/>
        <w:spacing w:beforeAutospacing="0" w:afterAutospacing="0" w:line="360" w:lineRule="auto"/>
        <w:ind w:left="0" w:firstLine="523" w:firstLineChars="218"/>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本人（姓名） ，项目负责人证书注册编号：             受（投标人</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rPr>
        <w:t>）委派，拟在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  担任项目负责人一职。为加强本工程项目管理，保证我公司在中标后严格履行与业主签定的工程建设承包合同，圆满的完成本项工程，我愿就此做出以下承诺；</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4．项目负责人本人身份证原件彩色清晰扫描件和两寸相片扫描件：</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u w:val="single"/>
        </w:rPr>
      </w:pP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 w:val="24"/>
                <w:szCs w:val="24"/>
                <w:highlight w:val="none"/>
                <w:u w:val="single"/>
              </w:rPr>
              <w:t>身份证原件彩色清晰扫描件</w:t>
            </w:r>
          </w:p>
        </w:tc>
        <w:tc>
          <w:tcPr>
            <w:tcW w:w="249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相片</w:t>
            </w:r>
            <w:r>
              <w:rPr>
                <w:rFonts w:hint="eastAsia" w:ascii="宋体" w:hAnsi="宋体" w:eastAsia="宋体" w:cs="宋体"/>
                <w:color w:val="auto"/>
                <w:sz w:val="24"/>
                <w:szCs w:val="24"/>
                <w:highlight w:val="none"/>
                <w:u w:val="single"/>
                <w:lang w:val="en-US" w:eastAsia="zh-CN"/>
              </w:rPr>
              <w:t>扫描件</w:t>
            </w:r>
          </w:p>
        </w:tc>
      </w:tr>
    </w:tbl>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u w:val="single"/>
        </w:rPr>
      </w:pPr>
    </w:p>
    <w:p>
      <w:pPr>
        <w:pageBreakBefore w:val="0"/>
        <w:kinsoku/>
        <w:overflowPunct/>
        <w:bidi w:val="0"/>
        <w:snapToGrid w:val="0"/>
        <w:spacing w:beforeAutospacing="0" w:afterAutospacing="0" w:line="360" w:lineRule="auto"/>
        <w:ind w:firstLine="3840" w:firstLineChars="16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0"/>
          <w:highlight w:val="none"/>
        </w:rPr>
        <w:t>投标人名称（盖法人公章）</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pPr>
        <w:pageBreakBefore w:val="0"/>
        <w:kinsoku/>
        <w:overflowPunct/>
        <w:bidi w:val="0"/>
        <w:snapToGrid w:val="0"/>
        <w:spacing w:beforeAutospacing="0" w:afterAutospacing="0" w:line="360" w:lineRule="auto"/>
        <w:ind w:firstLine="3840" w:firstLineChars="16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none"/>
        </w:rPr>
        <w:t>项目负责人签名：</w:t>
      </w:r>
      <w:r>
        <w:rPr>
          <w:rFonts w:hint="eastAsia" w:ascii="宋体" w:hAnsi="宋体" w:eastAsia="宋体" w:cs="宋体"/>
          <w:color w:val="auto"/>
          <w:sz w:val="24"/>
          <w:szCs w:val="24"/>
          <w:highlight w:val="none"/>
          <w:u w:val="single"/>
        </w:rPr>
        <w:t xml:space="preserve">                 </w:t>
      </w:r>
    </w:p>
    <w:p>
      <w:pPr>
        <w:pageBreakBefore w:val="0"/>
        <w:kinsoku/>
        <w:overflowPunct/>
        <w:autoSpaceDE/>
        <w:autoSpaceDN/>
        <w:bidi w:val="0"/>
        <w:adjustRightInd/>
        <w:snapToGrid w:val="0"/>
        <w:spacing w:beforeAutospacing="0" w:afterAutospacing="0" w:line="360" w:lineRule="auto"/>
        <w:ind w:firstLine="3840" w:firstLineChars="1600"/>
        <w:rPr>
          <w:rFonts w:hint="eastAsia" w:ascii="宋体" w:hAnsi="宋体" w:eastAsia="宋体" w:cs="宋体"/>
          <w:bCs/>
          <w:color w:val="auto"/>
          <w:sz w:val="24"/>
          <w:szCs w:val="24"/>
          <w:highlight w:val="non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overflowPunct/>
        <w:autoSpaceDE/>
        <w:autoSpaceDN/>
        <w:bidi w:val="0"/>
        <w:adjustRightInd/>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响应招标文件所附施工组织设计要点承诺书</w:t>
      </w:r>
    </w:p>
    <w:p>
      <w:pPr>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广州开发区财政投资建设项目管理中心</w:t>
      </w:r>
      <w:r>
        <w:rPr>
          <w:rFonts w:hint="eastAsia" w:ascii="宋体" w:hAnsi="宋体" w:eastAsia="宋体" w:cs="宋体"/>
          <w:color w:val="auto"/>
          <w:sz w:val="24"/>
          <w:highlight w:val="none"/>
        </w:rPr>
        <w:t>：</w:t>
      </w:r>
    </w:p>
    <w:p>
      <w:pPr>
        <w:pageBreakBefore w:val="0"/>
        <w:kinsoku/>
        <w:overflowPunct/>
        <w:bidi w:val="0"/>
        <w:snapToGrid w:val="0"/>
        <w:spacing w:beforeAutospacing="0" w:afterAutospacing="0"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我方承诺，如中标承建</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，将按招标文件所附的本工程</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进行响应的基础上自行组织施工。并承诺在中标后按招标文件所附的</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基础上编制详细的施工组织设计，并报经监理单位和建设单位审批后实施。</w:t>
      </w:r>
    </w:p>
    <w:p>
      <w:pPr>
        <w:pageBreakBefore w:val="0"/>
        <w:kinsoku/>
        <w:overflowPunct/>
        <w:bidi w:val="0"/>
        <w:snapToGrid w:val="0"/>
        <w:spacing w:beforeAutospacing="0" w:afterAutospacing="0" w:line="360" w:lineRule="auto"/>
        <w:ind w:firstLine="435"/>
        <w:rPr>
          <w:rFonts w:hint="eastAsia" w:ascii="宋体" w:hAnsi="宋体" w:eastAsia="宋体" w:cs="宋体"/>
          <w:color w:val="auto"/>
          <w:sz w:val="24"/>
          <w:szCs w:val="20"/>
          <w:highlight w:val="none"/>
        </w:rPr>
      </w:pPr>
    </w:p>
    <w:p>
      <w:pPr>
        <w:pageBreakBefore w:val="0"/>
        <w:kinsoku/>
        <w:overflowPunct/>
        <w:bidi w:val="0"/>
        <w:snapToGrid w:val="0"/>
        <w:spacing w:beforeAutospacing="0" w:afterAutospacing="0" w:line="360" w:lineRule="auto"/>
        <w:ind w:firstLine="435"/>
        <w:rPr>
          <w:rFonts w:hint="eastAsia" w:ascii="宋体" w:hAnsi="宋体" w:eastAsia="宋体" w:cs="宋体"/>
          <w:color w:val="auto"/>
          <w:sz w:val="24"/>
          <w:szCs w:val="20"/>
          <w:highlight w:val="none"/>
        </w:rPr>
      </w:pPr>
    </w:p>
    <w:p>
      <w:pPr>
        <w:pageBreakBefore w:val="0"/>
        <w:kinsoku/>
        <w:overflowPunct/>
        <w:bidi w:val="0"/>
        <w:snapToGrid w:val="0"/>
        <w:spacing w:beforeAutospacing="0" w:afterAutospacing="0" w:line="360" w:lineRule="auto"/>
        <w:ind w:firstLine="435"/>
        <w:rPr>
          <w:rFonts w:hint="eastAsia" w:ascii="宋体" w:hAnsi="宋体" w:eastAsia="宋体" w:cs="宋体"/>
          <w:color w:val="auto"/>
          <w:sz w:val="24"/>
          <w:szCs w:val="20"/>
          <w:highlight w:val="none"/>
        </w:rPr>
      </w:pPr>
    </w:p>
    <w:p>
      <w:pPr>
        <w:pageBreakBefore w:val="0"/>
        <w:kinsoku/>
        <w:overflowPunct/>
        <w:bidi w:val="0"/>
        <w:snapToGrid w:val="0"/>
        <w:spacing w:beforeAutospacing="0" w:afterAutospacing="0" w:line="360" w:lineRule="auto"/>
        <w:ind w:firstLine="3000" w:firstLineChars="1250"/>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投标人名称（盖法人公章）：</w:t>
      </w:r>
      <w:r>
        <w:rPr>
          <w:rFonts w:hint="eastAsia" w:ascii="宋体" w:hAnsi="宋体" w:eastAsia="宋体" w:cs="宋体"/>
          <w:color w:val="auto"/>
          <w:sz w:val="24"/>
          <w:szCs w:val="20"/>
          <w:highlight w:val="none"/>
          <w:u w:val="single"/>
        </w:rPr>
        <w:t xml:space="preserve">                   </w:t>
      </w:r>
    </w:p>
    <w:p>
      <w:pPr>
        <w:pageBreakBefore w:val="0"/>
        <w:kinsoku/>
        <w:overflowPunct/>
        <w:bidi w:val="0"/>
        <w:snapToGrid w:val="0"/>
        <w:spacing w:beforeAutospacing="0" w:afterAutospacing="0" w:line="360" w:lineRule="auto"/>
        <w:ind w:firstLine="3000" w:firstLineChars="1250"/>
        <w:rPr>
          <w:rFonts w:hint="eastAsia" w:ascii="宋体" w:hAnsi="宋体" w:eastAsia="宋体" w:cs="宋体"/>
          <w:color w:val="auto"/>
          <w:sz w:val="24"/>
          <w:szCs w:val="20"/>
          <w:highlight w:val="none"/>
          <w:u w:val="none"/>
        </w:rPr>
      </w:pPr>
      <w:r>
        <w:rPr>
          <w:rFonts w:hint="eastAsia" w:ascii="宋体" w:hAnsi="宋体" w:eastAsia="宋体" w:cs="宋体"/>
          <w:color w:val="auto"/>
          <w:sz w:val="24"/>
          <w:szCs w:val="20"/>
          <w:highlight w:val="none"/>
        </w:rPr>
        <w:t>法定代表人或被授权人（签字或盖章）：</w:t>
      </w:r>
      <w:r>
        <w:rPr>
          <w:rFonts w:hint="eastAsia" w:ascii="宋体" w:hAnsi="宋体" w:eastAsia="宋体" w:cs="宋体"/>
          <w:color w:val="auto"/>
          <w:sz w:val="24"/>
          <w:szCs w:val="20"/>
          <w:highlight w:val="none"/>
          <w:u w:val="single"/>
        </w:rPr>
        <w:t xml:space="preserve">         </w:t>
      </w:r>
    </w:p>
    <w:p>
      <w:pPr>
        <w:pageBreakBefore w:val="0"/>
        <w:kinsoku/>
        <w:overflowPunct/>
        <w:bidi w:val="0"/>
        <w:snapToGrid w:val="0"/>
        <w:spacing w:beforeAutospacing="0" w:afterAutospacing="0" w:line="360" w:lineRule="auto"/>
        <w:ind w:firstLine="3000" w:firstLineChars="125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b/>
          <w:color w:val="auto"/>
          <w:sz w:val="28"/>
          <w:szCs w:val="28"/>
          <w:highlight w:val="none"/>
        </w:rPr>
        <w:br w:type="page"/>
      </w:r>
    </w:p>
    <w:p>
      <w:pPr>
        <w:pStyle w:val="31"/>
        <w:pageBreakBefore w:val="0"/>
        <w:kinsoku/>
        <w:overflowPunct/>
        <w:bidi w:val="0"/>
        <w:snapToGrid w:val="0"/>
        <w:spacing w:beforeAutospacing="0" w:afterAutospacing="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参与编制技术标投标文件人员名单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Cs w:val="21"/>
                <w:highlight w:val="none"/>
              </w:rPr>
            </w:pPr>
          </w:p>
        </w:tc>
      </w:tr>
    </w:tbl>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注：参与编制技术标书所有人员名单应包括如编制技术投标方案、负责清样校对、负责打印及复印等所有人员在内的人员名单。</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1"/>
        <w:pageBreakBefore w:val="0"/>
        <w:kinsoku/>
        <w:overflowPunct/>
        <w:bidi w:val="0"/>
        <w:snapToGrid w:val="0"/>
        <w:spacing w:beforeAutospacing="0" w:afterAutospacing="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color w:val="auto"/>
          <w:highlight w:val="none"/>
        </w:rPr>
        <w:t>十：</w:t>
      </w:r>
    </w:p>
    <w:p>
      <w:pPr>
        <w:pageBreakBefore w:val="0"/>
        <w:kinsoku/>
        <w:overflowPunct/>
        <w:bidi w:val="0"/>
        <w:snapToGrid w:val="0"/>
        <w:spacing w:beforeAutospacing="0" w:afterAutospacing="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拟投入本工程施工的主要机械设备配备表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来源</w:t>
            </w:r>
          </w:p>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w:t>
            </w:r>
          </w:p>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beforeAutospacing="0" w:afterAutospacing="0" w:line="360" w:lineRule="auto"/>
              <w:jc w:val="center"/>
              <w:textAlignment w:val="center"/>
              <w:rPr>
                <w:rFonts w:hint="eastAsia" w:ascii="宋体" w:hAnsi="宋体" w:eastAsia="宋体" w:cs="宋体"/>
                <w:color w:val="auto"/>
                <w:szCs w:val="21"/>
                <w:highlight w:val="none"/>
              </w:rPr>
            </w:pPr>
          </w:p>
        </w:tc>
      </w:tr>
    </w:tbl>
    <w:p>
      <w:pPr>
        <w:pageBreakBefore w:val="0"/>
        <w:numPr>
          <w:ilvl w:val="-1"/>
          <w:numId w:val="0"/>
        </w:numPr>
        <w:tabs>
          <w:tab w:val="left" w:pos="720"/>
        </w:tabs>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eastAsia="宋体" w:cs="宋体"/>
          <w:color w:val="auto"/>
          <w:sz w:val="24"/>
          <w:szCs w:val="24"/>
          <w:highlight w:val="none"/>
        </w:rPr>
        <w:t>。</w:t>
      </w: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ageBreakBefore w:val="0"/>
        <w:kinsoku/>
        <w:overflowPunct/>
        <w:topLinePunct/>
        <w:bidi w:val="0"/>
        <w:adjustRightInd w:val="0"/>
        <w:snapToGrid w:val="0"/>
        <w:spacing w:beforeAutospacing="0" w:afterAutospacing="0" w:line="360" w:lineRule="auto"/>
        <w:ind w:firstLine="3161" w:firstLineChars="1450"/>
        <w:rPr>
          <w:rFonts w:hint="eastAsia" w:ascii="宋体" w:hAnsi="宋体" w:eastAsia="宋体" w:cs="宋体"/>
          <w:snapToGrid w:val="0"/>
          <w:color w:val="auto"/>
          <w:spacing w:val="4"/>
          <w:kern w:val="0"/>
          <w:szCs w:val="21"/>
          <w:highlight w:val="none"/>
        </w:rPr>
      </w:pPr>
    </w:p>
    <w:p>
      <w:pPr>
        <w:pageBreakBefore w:val="0"/>
        <w:kinsoku/>
        <w:overflowPunct/>
        <w:topLinePunct/>
        <w:bidi w:val="0"/>
        <w:adjustRightInd w:val="0"/>
        <w:snapToGrid w:val="0"/>
        <w:spacing w:beforeAutospacing="0" w:afterAutospacing="0"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投标人（盖章）：　　</w:t>
      </w:r>
    </w:p>
    <w:p>
      <w:pPr>
        <w:pageBreakBefore w:val="0"/>
        <w:kinsoku/>
        <w:overflowPunct/>
        <w:topLinePunct/>
        <w:bidi w:val="0"/>
        <w:adjustRightInd w:val="0"/>
        <w:snapToGrid w:val="0"/>
        <w:spacing w:beforeAutospacing="0" w:afterAutospacing="0"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法定代表人或授权代理人（签字或盖章）：</w:t>
      </w:r>
    </w:p>
    <w:p>
      <w:pPr>
        <w:pageBreakBefore w:val="0"/>
        <w:kinsoku/>
        <w:overflowPunct/>
        <w:topLinePunct/>
        <w:bidi w:val="0"/>
        <w:adjustRightInd w:val="0"/>
        <w:snapToGrid w:val="0"/>
        <w:spacing w:beforeAutospacing="0" w:afterAutospacing="0"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日期：  年  月  日</w:t>
      </w: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Style w:val="2"/>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keepNext/>
        <w:keepLines/>
        <w:pageBreakBefore w:val="0"/>
        <w:numPr>
          <w:ilvl w:val="1"/>
          <w:numId w:val="0"/>
        </w:numPr>
        <w:kinsoku/>
        <w:overflowPunct/>
        <w:bidi w:val="0"/>
        <w:snapToGrid w:val="0"/>
        <w:spacing w:beforeAutospacing="0" w:afterAutospacing="0" w:line="360" w:lineRule="auto"/>
        <w:outlineLvl w:val="1"/>
        <w:rPr>
          <w:rFonts w:hint="eastAsia" w:ascii="宋体" w:hAnsi="宋体" w:eastAsia="宋体" w:cs="宋体"/>
          <w:b w:val="0"/>
          <w:bCs/>
          <w:color w:val="auto"/>
          <w:kern w:val="0"/>
          <w:sz w:val="24"/>
          <w:szCs w:val="24"/>
          <w:highlight w:val="none"/>
        </w:rPr>
      </w:pPr>
      <w:bookmarkStart w:id="41" w:name="_Toc22483"/>
      <w:r>
        <w:rPr>
          <w:rFonts w:hint="eastAsia" w:ascii="宋体" w:hAnsi="宋体" w:eastAsia="宋体" w:cs="宋体"/>
          <w:b w:val="0"/>
          <w:bCs/>
          <w:color w:val="auto"/>
          <w:kern w:val="0"/>
          <w:sz w:val="24"/>
          <w:szCs w:val="24"/>
          <w:highlight w:val="none"/>
        </w:rPr>
        <w:t>技术标格式十</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p>
    <w:p>
      <w:pPr>
        <w:keepNext/>
        <w:keepLines/>
        <w:pageBreakBefore w:val="0"/>
        <w:numPr>
          <w:ilvl w:val="1"/>
          <w:numId w:val="0"/>
        </w:numPr>
        <w:kinsoku/>
        <w:overflowPunct/>
        <w:bidi w:val="0"/>
        <w:snapToGrid w:val="0"/>
        <w:spacing w:beforeAutospacing="0" w:afterAutospacing="0"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kern w:val="0"/>
          <w:sz w:val="24"/>
          <w:szCs w:val="24"/>
          <w:highlight w:val="none"/>
        </w:rPr>
        <w:t>危险性较大的分部分项工程安全管理措施</w:t>
      </w:r>
      <w:bookmarkEnd w:id="41"/>
    </w:p>
    <w:p>
      <w:pPr>
        <w:pageBreakBefore w:val="0"/>
        <w:widowControl/>
        <w:numPr>
          <w:ilvl w:val="0"/>
          <w:numId w:val="7"/>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snapToGrid w:val="0"/>
          <w:color w:val="auto"/>
          <w:spacing w:val="4"/>
          <w:kern w:val="0"/>
          <w:sz w:val="24"/>
          <w:szCs w:val="24"/>
          <w:highlight w:val="none"/>
        </w:rPr>
      </w:pPr>
      <w:r>
        <w:rPr>
          <w:rFonts w:hint="eastAsia" w:ascii="宋体" w:hAnsi="宋体" w:eastAsia="宋体" w:cs="宋体"/>
          <w:color w:val="auto"/>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eastAsia="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pageBreakBefore w:val="0"/>
        <w:widowControl/>
        <w:numPr>
          <w:ilvl w:val="0"/>
          <w:numId w:val="7"/>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eastAsia="宋体" w:cs="宋体"/>
          <w:color w:val="auto"/>
          <w:kern w:val="0"/>
          <w:sz w:val="24"/>
          <w:szCs w:val="36"/>
          <w:highlight w:val="none"/>
        </w:rPr>
        <w:t>√”标识。</w:t>
      </w:r>
    </w:p>
    <w:p>
      <w:pPr>
        <w:pageBreakBefore w:val="0"/>
        <w:widowControl/>
        <w:numPr>
          <w:ilvl w:val="0"/>
          <w:numId w:val="8"/>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28"/>
          <w:highlight w:val="none"/>
        </w:rPr>
        <w:t>投标单位同意建设单位在清单中标识的该项请在对应项打“</w:t>
      </w:r>
      <w:r>
        <w:rPr>
          <w:rFonts w:hint="eastAsia" w:ascii="宋体" w:hAnsi="宋体" w:eastAsia="宋体" w:cs="宋体"/>
          <w:color w:val="auto"/>
          <w:kern w:val="0"/>
          <w:sz w:val="24"/>
          <w:szCs w:val="36"/>
          <w:highlight w:val="none"/>
        </w:rPr>
        <w:t>√”标识，并在投标文件中提供相应的安全管理措施。</w:t>
      </w:r>
    </w:p>
    <w:p>
      <w:pPr>
        <w:pageBreakBefore w:val="0"/>
        <w:widowControl/>
        <w:numPr>
          <w:ilvl w:val="0"/>
          <w:numId w:val="8"/>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28"/>
          <w:highlight w:val="none"/>
        </w:rPr>
        <w:t>投标单位对清单中认为需要补充的该项请在对应项打“</w:t>
      </w:r>
      <w:r>
        <w:rPr>
          <w:rFonts w:hint="eastAsia" w:ascii="宋体" w:hAnsi="宋体" w:eastAsia="宋体" w:cs="宋体"/>
          <w:color w:val="auto"/>
          <w:kern w:val="0"/>
          <w:sz w:val="24"/>
          <w:szCs w:val="36"/>
          <w:highlight w:val="none"/>
        </w:rPr>
        <w:t>√”标识，并在投标文件中提供相应的安全管理措施。</w:t>
      </w:r>
    </w:p>
    <w:p>
      <w:pPr>
        <w:pageBreakBefore w:val="0"/>
        <w:widowControl/>
        <w:numPr>
          <w:ilvl w:val="0"/>
          <w:numId w:val="8"/>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36"/>
          <w:highlight w:val="none"/>
        </w:rPr>
        <w:t>投标单位不同意建设单位</w:t>
      </w:r>
      <w:r>
        <w:rPr>
          <w:rFonts w:hint="eastAsia" w:ascii="宋体" w:hAnsi="宋体" w:eastAsia="宋体" w:cs="宋体"/>
          <w:color w:val="auto"/>
          <w:kern w:val="0"/>
          <w:sz w:val="24"/>
          <w:szCs w:val="28"/>
          <w:highlight w:val="none"/>
        </w:rPr>
        <w:t>在清单中标识的该项</w:t>
      </w:r>
      <w:r>
        <w:rPr>
          <w:rFonts w:hint="eastAsia" w:ascii="宋体" w:hAnsi="宋体" w:eastAsia="宋体" w:cs="宋体"/>
          <w:color w:val="auto"/>
          <w:kern w:val="0"/>
          <w:sz w:val="24"/>
          <w:szCs w:val="36"/>
          <w:highlight w:val="none"/>
        </w:rPr>
        <w:t>请在对应项打“×”标识，并在备注栏填上相关说明。</w:t>
      </w:r>
    </w:p>
    <w:p>
      <w:pPr>
        <w:pageBreakBefore w:val="0"/>
        <w:widowControl/>
        <w:numPr>
          <w:ilvl w:val="0"/>
          <w:numId w:val="7"/>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投标单位应当在投标时根据招标人提供的下述第5点清单，在投标文件中编制专项施工方案。</w:t>
      </w:r>
    </w:p>
    <w:p>
      <w:pPr>
        <w:pageBreakBefore w:val="0"/>
        <w:widowControl/>
        <w:numPr>
          <w:ilvl w:val="0"/>
          <w:numId w:val="7"/>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ageBreakBefore w:val="0"/>
        <w:numPr>
          <w:ilvl w:val="0"/>
          <w:numId w:val="9"/>
        </w:numPr>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kern w:val="0"/>
          <w:sz w:val="24"/>
          <w:szCs w:val="28"/>
          <w:highlight w:val="none"/>
        </w:rPr>
        <w:t>危险性较大的分部分项工程清单及超过一定规模的危险性较大的分部分项工程清单（参考版）（招标时要请前期部门和项目部核填）</w:t>
      </w:r>
      <w:r>
        <w:rPr>
          <w:rFonts w:hint="eastAsia" w:ascii="宋体" w:hAnsi="宋体" w:eastAsia="宋体" w:cs="宋体"/>
          <w:color w:val="auto"/>
          <w:sz w:val="24"/>
          <w:szCs w:val="28"/>
          <w:highlight w:val="none"/>
        </w:rPr>
        <w:t>：</w:t>
      </w:r>
    </w:p>
    <w:p>
      <w:pPr>
        <w:pageBreakBefore w:val="0"/>
        <w:kinsoku/>
        <w:overflowPunct/>
        <w:autoSpaceDE w:val="0"/>
        <w:autoSpaceDN w:val="0"/>
        <w:bidi w:val="0"/>
        <w:adjustRightInd w:val="0"/>
        <w:snapToGrid w:val="0"/>
        <w:spacing w:beforeAutospacing="0" w:afterAutospacing="0" w:line="360" w:lineRule="auto"/>
        <w:jc w:val="left"/>
        <w:rPr>
          <w:rFonts w:hint="eastAsia" w:ascii="宋体" w:hAnsi="宋体" w:eastAsia="宋体" w:cs="宋体"/>
          <w:color w:val="auto"/>
          <w:sz w:val="24"/>
          <w:szCs w:val="28"/>
          <w:highlight w:val="none"/>
        </w:rPr>
      </w:pP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8"/>
          <w:highlight w:val="none"/>
        </w:rPr>
      </w:pP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8"/>
          <w:highlight w:val="none"/>
        </w:rPr>
      </w:pP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8"/>
          <w:highlight w:val="none"/>
        </w:rPr>
      </w:pP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8"/>
          <w:highlight w:val="none"/>
        </w:rPr>
      </w:pP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8"/>
          <w:highlight w:val="none"/>
        </w:rPr>
      </w:pPr>
    </w:p>
    <w:p>
      <w:pPr>
        <w:pStyle w:val="6"/>
        <w:pageBreakBefore w:val="0"/>
        <w:kinsoku/>
        <w:overflowPunct/>
        <w:bidi w:val="0"/>
        <w:snapToGrid w:val="0"/>
        <w:spacing w:beforeAutospacing="0" w:afterAutospacing="0" w:line="360" w:lineRule="auto"/>
        <w:rPr>
          <w:rFonts w:hint="eastAsia" w:ascii="宋体" w:hAnsi="宋体" w:eastAsia="宋体" w:cs="宋体"/>
          <w:color w:val="auto"/>
          <w:sz w:val="24"/>
          <w:szCs w:val="2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一、危险性较大的分部分项工程清单</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建设单位</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投标单位</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一、基坑工程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（一）开挖深度超过3m（含3m）的基坑（槽）的土方开挖、支护、降水工程。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二、模板工程及支撑体系</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（一）各类工具式模板工程：包括滑模、爬模、飞模、隧道模等工程。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（三）承重支撑体系：用于钢结构安装等满堂支撑体系。</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三、起重吊装及起重机械安装拆卸工程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（一）采用非常规起重设备、方法，且单件起吊重量在10kN及以上的起重吊装工程。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（二）采用起重机械进行安装的工程。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xml:space="preserve">(  </w:t>
            </w:r>
            <w:r>
              <w:rPr>
                <w:rFonts w:hint="default" w:ascii="Arial" w:hAnsi="Arial" w:eastAsia="宋体" w:cs="Arial"/>
                <w:color w:val="auto"/>
                <w:kern w:val="0"/>
                <w:sz w:val="24"/>
                <w:szCs w:val="36"/>
                <w:highlight w:val="none"/>
              </w:rPr>
              <w:t>√</w:t>
            </w:r>
            <w:r>
              <w:rPr>
                <w:rFonts w:hint="eastAsia" w:ascii="宋体" w:hAnsi="宋体" w:eastAsia="宋体" w:cs="宋体"/>
                <w:color w:val="auto"/>
                <w:kern w:val="0"/>
                <w:sz w:val="24"/>
                <w:szCs w:val="36"/>
                <w:highlight w:val="none"/>
              </w:rPr>
              <w:t xml:space="preserve">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pageBreakBefore w:val="0"/>
              <w:widowControl/>
              <w:kinsoku/>
              <w:overflowPunct/>
              <w:bidi w:val="0"/>
              <w:snapToGrid w:val="0"/>
              <w:spacing w:beforeAutospacing="0" w:afterAutospacing="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（三）起重机械安装和拆卸工程。</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353"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r>
              <w:rPr>
                <w:rFonts w:hint="eastAsia" w:ascii="宋体" w:hAnsi="宋体" w:eastAsia="宋体" w:cs="宋体"/>
                <w:color w:val="auto"/>
                <w:kern w:val="0"/>
                <w:sz w:val="24"/>
                <w:szCs w:val="36"/>
                <w:highlight w:val="none"/>
              </w:rPr>
              <w:t>(    )</w:t>
            </w:r>
          </w:p>
        </w:tc>
        <w:tc>
          <w:tcPr>
            <w:tcW w:w="1057" w:type="dxa"/>
            <w:noWrap w:val="0"/>
            <w:vAlign w:val="center"/>
          </w:tcPr>
          <w:p>
            <w:pPr>
              <w:pageBreakBefore w:val="0"/>
              <w:widowControl/>
              <w:kinsoku/>
              <w:overflowPunct/>
              <w:bidi w:val="0"/>
              <w:snapToGrid w:val="0"/>
              <w:spacing w:beforeAutospacing="0" w:afterAutospacing="0" w:line="360" w:lineRule="auto"/>
              <w:jc w:val="center"/>
              <w:rPr>
                <w:rFonts w:hint="eastAsia" w:ascii="宋体" w:hAnsi="宋体" w:eastAsia="宋体" w:cs="宋体"/>
                <w:color w:val="auto"/>
                <w:kern w:val="0"/>
                <w:sz w:val="24"/>
                <w:szCs w:val="36"/>
                <w:highlight w:val="none"/>
              </w:rPr>
            </w:pPr>
          </w:p>
        </w:tc>
      </w:tr>
    </w:tbl>
    <w:p>
      <w:pPr>
        <w:pageBreakBefore w:val="0"/>
        <w:kinsoku/>
        <w:overflowPunct/>
        <w:topLinePunct/>
        <w:bidi w:val="0"/>
        <w:adjustRightInd w:val="0"/>
        <w:snapToGrid w:val="0"/>
        <w:spacing w:beforeAutospacing="0" w:afterAutospacing="0" w:line="360" w:lineRule="auto"/>
        <w:ind w:firstLine="436" w:firstLineChars="200"/>
        <w:rPr>
          <w:rFonts w:hint="eastAsia" w:ascii="宋体" w:hAnsi="宋体" w:eastAsia="宋体" w:cs="宋体"/>
          <w:color w:val="auto"/>
          <w:spacing w:val="4"/>
          <w:kern w:val="0"/>
          <w:szCs w:val="21"/>
          <w:highlight w:val="none"/>
        </w:rPr>
      </w:pPr>
    </w:p>
    <w:p>
      <w:pPr>
        <w:pageBreakBefore w:val="0"/>
        <w:kinsoku/>
        <w:overflowPunct/>
        <w:bidi w:val="0"/>
        <w:snapToGrid w:val="0"/>
        <w:spacing w:beforeAutospacing="0" w:afterAutospacing="0" w:line="360" w:lineRule="auto"/>
        <w:ind w:firstLine="4320" w:firstLineChars="18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投标人名称（盖法人公章）：</w:t>
      </w:r>
    </w:p>
    <w:p>
      <w:pPr>
        <w:pageBreakBefore w:val="0"/>
        <w:kinsoku/>
        <w:overflowPunct/>
        <w:bidi w:val="0"/>
        <w:snapToGrid w:val="0"/>
        <w:spacing w:beforeAutospacing="0" w:afterAutospacing="0" w:line="360" w:lineRule="auto"/>
        <w:ind w:firstLine="3120" w:firstLineChars="1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法定代表人或被授权人（签字或盖章）：</w:t>
      </w:r>
    </w:p>
    <w:p>
      <w:pPr>
        <w:pageBreakBefore w:val="0"/>
        <w:kinsoku/>
        <w:overflowPunct/>
        <w:autoSpaceDE w:val="0"/>
        <w:autoSpaceDN w:val="0"/>
        <w:bidi w:val="0"/>
        <w:adjustRightInd w:val="0"/>
        <w:snapToGrid w:val="0"/>
        <w:spacing w:beforeAutospacing="0" w:afterAutospacing="0" w:line="360" w:lineRule="auto"/>
        <w:ind w:firstLine="5040" w:firstLineChars="2400"/>
        <w:rPr>
          <w:rFonts w:hint="eastAsia" w:ascii="宋体" w:hAnsi="宋体" w:eastAsia="宋体" w:cs="宋体"/>
          <w:bCs/>
          <w:color w:val="auto"/>
          <w:sz w:val="24"/>
          <w:szCs w:val="24"/>
          <w:highlight w:val="none"/>
        </w:rPr>
      </w:pPr>
      <w:r>
        <w:rPr>
          <w:rFonts w:hint="eastAsia" w:ascii="宋体" w:hAnsi="宋体" w:eastAsia="宋体" w:cs="宋体"/>
          <w:color w:val="auto"/>
          <w:szCs w:val="20"/>
          <w:highlight w:val="none"/>
        </w:rPr>
        <w:t>日期：   年  月  日</w:t>
      </w:r>
    </w:p>
    <w:p>
      <w:pPr>
        <w:pageBreakBefore w:val="0"/>
        <w:kinsoku/>
        <w:overflowPunct/>
        <w:bidi w:val="0"/>
        <w:snapToGrid w:val="0"/>
        <w:spacing w:beforeAutospacing="0" w:afterAutospacing="0" w:line="360" w:lineRule="auto"/>
        <w:ind w:right="-130" w:rightChars="-62"/>
        <w:rPr>
          <w:rFonts w:hint="eastAsia" w:ascii="宋体" w:hAnsi="宋体" w:eastAsia="宋体" w:cs="宋体"/>
          <w:color w:val="auto"/>
          <w:highlight w:val="none"/>
        </w:rPr>
      </w:pPr>
    </w:p>
    <w:p>
      <w:pPr>
        <w:pageBreakBefore w:val="0"/>
        <w:kinsoku/>
        <w:overflowPunct/>
        <w:topLinePunct w:val="0"/>
        <w:autoSpaceDE w:val="0"/>
        <w:autoSpaceDN w:val="0"/>
        <w:bidi w:val="0"/>
        <w:adjustRightInd w:val="0"/>
        <w:snapToGrid w:val="0"/>
        <w:spacing w:beforeAutospacing="0" w:afterAutospacing="0" w:line="360" w:lineRule="auto"/>
        <w:jc w:val="center"/>
        <w:outlineLvl w:val="9"/>
        <w:rPr>
          <w:rFonts w:hint="eastAsia" w:ascii="宋体" w:hAnsi="宋体" w:eastAsia="宋体" w:cs="宋体"/>
          <w:b w:val="0"/>
          <w:bCs w:val="0"/>
          <w:color w:val="auto"/>
          <w:sz w:val="32"/>
          <w:szCs w:val="32"/>
          <w:highlight w:val="none"/>
          <w:lang w:val="zh-CN"/>
        </w:rPr>
      </w:pPr>
      <w:bookmarkStart w:id="42" w:name="_Toc26315"/>
      <w:r>
        <w:rPr>
          <w:rFonts w:hint="eastAsia" w:ascii="宋体" w:hAnsi="宋体" w:eastAsia="宋体" w:cs="宋体"/>
          <w:color w:val="auto"/>
          <w:spacing w:val="0"/>
          <w:kern w:val="2"/>
          <w:sz w:val="32"/>
          <w:szCs w:val="32"/>
          <w:highlight w:val="none"/>
        </w:rPr>
        <w:t>二、经济标投标文件格式</w:t>
      </w:r>
      <w:bookmarkEnd w:id="42"/>
    </w:p>
    <w:p>
      <w:pPr>
        <w:pageBreakBefore w:val="0"/>
        <w:widowControl/>
        <w:kinsoku/>
        <w:overflowPunct/>
        <w:bidi w:val="0"/>
        <w:snapToGrid w:val="0"/>
        <w:spacing w:beforeAutospacing="0" w:afterAutospacing="0" w:line="360" w:lineRule="auto"/>
        <w:jc w:val="left"/>
        <w:outlineLvl w:val="2"/>
        <w:rPr>
          <w:rFonts w:hint="eastAsia" w:ascii="宋体" w:hAnsi="宋体" w:eastAsia="宋体" w:cs="宋体"/>
          <w:bCs/>
          <w:color w:val="auto"/>
          <w:spacing w:val="4"/>
          <w:sz w:val="24"/>
          <w:szCs w:val="24"/>
          <w:highlight w:val="none"/>
        </w:rPr>
      </w:pPr>
      <w:bookmarkStart w:id="43" w:name="_Toc16171"/>
    </w:p>
    <w:p>
      <w:pPr>
        <w:pageBreakBefore w:val="0"/>
        <w:widowControl/>
        <w:kinsoku/>
        <w:overflowPunct/>
        <w:bidi w:val="0"/>
        <w:snapToGrid w:val="0"/>
        <w:spacing w:beforeAutospacing="0" w:afterAutospacing="0" w:line="360" w:lineRule="auto"/>
        <w:jc w:val="left"/>
        <w:outlineLvl w:val="2"/>
        <w:rPr>
          <w:rFonts w:hint="eastAsia" w:ascii="宋体" w:hAnsi="宋体" w:eastAsia="宋体" w:cs="宋体"/>
          <w:b/>
          <w:bCs/>
          <w:color w:val="auto"/>
          <w:kern w:val="0"/>
          <w:sz w:val="44"/>
          <w:szCs w:val="44"/>
          <w:highlight w:val="none"/>
          <w:lang w:val="zh-CN" w:eastAsia="zh-CN"/>
        </w:rPr>
      </w:pPr>
      <w:r>
        <w:rPr>
          <w:rFonts w:hint="eastAsia" w:ascii="宋体" w:hAnsi="宋体" w:eastAsia="宋体" w:cs="宋体"/>
          <w:bCs/>
          <w:color w:val="auto"/>
          <w:spacing w:val="4"/>
          <w:sz w:val="24"/>
          <w:szCs w:val="24"/>
          <w:highlight w:val="none"/>
        </w:rPr>
        <w:t>经济标格式一</w:t>
      </w:r>
      <w:r>
        <w:rPr>
          <w:rFonts w:hint="eastAsia" w:ascii="宋体" w:hAnsi="宋体" w:eastAsia="宋体" w:cs="宋体"/>
          <w:bCs/>
          <w:color w:val="auto"/>
          <w:spacing w:val="4"/>
          <w:sz w:val="24"/>
          <w:szCs w:val="24"/>
          <w:highlight w:val="none"/>
          <w:lang w:eastAsia="zh-CN"/>
        </w:rPr>
        <w:t>：</w:t>
      </w:r>
      <w:bookmarkEnd w:id="43"/>
    </w:p>
    <w:p>
      <w:pPr>
        <w:pageBreakBefore w:val="0"/>
        <w:widowControl/>
        <w:kinsoku/>
        <w:overflowPunct/>
        <w:topLinePunct/>
        <w:bidi w:val="0"/>
        <w:adjustRightInd w:val="0"/>
        <w:snapToGrid w:val="0"/>
        <w:spacing w:beforeAutospacing="0" w:afterAutospacing="0" w:line="360" w:lineRule="auto"/>
        <w:jc w:val="center"/>
        <w:outlineLvl w:val="1"/>
        <w:rPr>
          <w:rFonts w:hint="eastAsia" w:ascii="宋体" w:hAnsi="宋体" w:eastAsia="宋体" w:cs="宋体"/>
          <w:b/>
          <w:bCs/>
          <w:color w:val="auto"/>
          <w:spacing w:val="4"/>
          <w:kern w:val="0"/>
          <w:sz w:val="36"/>
          <w:szCs w:val="36"/>
          <w:highlight w:val="none"/>
        </w:rPr>
      </w:pPr>
      <w:bookmarkStart w:id="44" w:name="_Toc21286"/>
      <w:r>
        <w:rPr>
          <w:rFonts w:hint="eastAsia" w:ascii="宋体" w:hAnsi="宋体" w:eastAsia="宋体" w:cs="宋体"/>
          <w:b/>
          <w:bCs/>
          <w:color w:val="auto"/>
          <w:spacing w:val="4"/>
          <w:kern w:val="0"/>
          <w:sz w:val="36"/>
          <w:szCs w:val="36"/>
          <w:highlight w:val="none"/>
        </w:rPr>
        <w:t>广州建设工程施工招标投标书（经济标）</w:t>
      </w:r>
      <w:bookmarkEnd w:id="44"/>
    </w:p>
    <w:tbl>
      <w:tblPr>
        <w:tblStyle w:val="20"/>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napToGrid w:val="0"/>
              <w:spacing w:beforeAutospacing="0" w:afterAutospacing="0" w:line="360" w:lineRule="auto"/>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其中：</w:t>
            </w:r>
            <w:r>
              <w:rPr>
                <w:rFonts w:hint="eastAsia" w:ascii="宋体" w:hAnsi="宋体" w:eastAsia="宋体" w:cs="宋体"/>
                <w:bCs/>
                <w:color w:val="auto"/>
                <w:sz w:val="24"/>
                <w:szCs w:val="24"/>
                <w:highlight w:val="none"/>
                <w:lang w:val="zh-CN"/>
              </w:rPr>
              <w:t>人工费</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napToGrid w:val="0"/>
              <w:spacing w:beforeAutospacing="0" w:afterAutospacing="0" w:line="360" w:lineRule="auto"/>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noWrap w:val="0"/>
            <w:vAlign w:val="center"/>
          </w:tcPr>
          <w:p>
            <w:pPr>
              <w:pageBreakBefore w:val="0"/>
              <w:widowControl/>
              <w:kinsoku/>
              <w:overflowPunct/>
              <w:bidi w:val="0"/>
              <w:snapToGrid w:val="0"/>
              <w:spacing w:beforeAutospacing="0" w:afterAutospacing="0"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其中：</w:t>
            </w:r>
            <w:r>
              <w:rPr>
                <w:rFonts w:hint="eastAsia" w:ascii="宋体" w:hAnsi="宋体" w:eastAsia="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pPr>
              <w:pageBreakBefore w:val="0"/>
              <w:widowControl/>
              <w:kinsoku/>
              <w:overflowPunct/>
              <w:bidi w:val="0"/>
              <w:snapToGrid w:val="0"/>
              <w:spacing w:beforeAutospacing="0" w:afterAutospacing="0" w:line="360" w:lineRule="auto"/>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noWrap w:val="0"/>
            <w:vAlign w:val="center"/>
          </w:tcPr>
          <w:p>
            <w:pPr>
              <w:pageBreakBefore w:val="0"/>
              <w:widowControl/>
              <w:kinsoku/>
              <w:overflowPunct/>
              <w:bidi w:val="0"/>
              <w:snapToGrid w:val="0"/>
              <w:spacing w:beforeAutospacing="0" w:afterAutospacing="0"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 暂列金额</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noWrap w:val="0"/>
            <w:vAlign w:val="center"/>
          </w:tcPr>
          <w:p>
            <w:pPr>
              <w:pageBreakBefore w:val="0"/>
              <w:widowControl/>
              <w:kinsoku/>
              <w:overflowPunct/>
              <w:bidi w:val="0"/>
              <w:snapToGrid w:val="0"/>
              <w:spacing w:beforeAutospacing="0" w:afterAutospacing="0" w:line="360" w:lineRule="auto"/>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bl>
    <w:p>
      <w:pPr>
        <w:pageBreakBefore w:val="0"/>
        <w:widowControl/>
        <w:kinsoku/>
        <w:overflowPunct/>
        <w:bidi w:val="0"/>
        <w:snapToGrid w:val="0"/>
        <w:spacing w:beforeAutospacing="0" w:afterAutospacing="0" w:line="360" w:lineRule="auto"/>
        <w:jc w:val="left"/>
        <w:outlineLvl w:val="2"/>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br w:type="page"/>
      </w:r>
      <w:bookmarkStart w:id="45" w:name="_Toc30992"/>
      <w:r>
        <w:rPr>
          <w:rFonts w:hint="eastAsia" w:ascii="宋体" w:hAnsi="宋体" w:eastAsia="宋体" w:cs="宋体"/>
          <w:bCs/>
          <w:color w:val="auto"/>
          <w:spacing w:val="4"/>
          <w:sz w:val="24"/>
          <w:szCs w:val="24"/>
          <w:highlight w:val="none"/>
        </w:rPr>
        <w:t>经济标格式</w:t>
      </w:r>
      <w:r>
        <w:rPr>
          <w:rFonts w:hint="eastAsia" w:ascii="宋体" w:hAnsi="宋体" w:eastAsia="宋体" w:cs="宋体"/>
          <w:bCs/>
          <w:color w:val="auto"/>
          <w:spacing w:val="4"/>
          <w:sz w:val="24"/>
          <w:szCs w:val="24"/>
          <w:highlight w:val="none"/>
          <w:lang w:val="en-US" w:eastAsia="zh-CN"/>
        </w:rPr>
        <w:t>二：</w:t>
      </w:r>
      <w:bookmarkEnd w:id="45"/>
    </w:p>
    <w:p>
      <w:pPr>
        <w:pageBreakBefore w:val="0"/>
        <w:widowControl/>
        <w:kinsoku/>
        <w:overflowPunct/>
        <w:topLinePunct/>
        <w:bidi w:val="0"/>
        <w:adjustRightInd w:val="0"/>
        <w:snapToGrid w:val="0"/>
        <w:spacing w:beforeAutospacing="0" w:afterAutospacing="0" w:line="360" w:lineRule="auto"/>
        <w:jc w:val="center"/>
        <w:outlineLvl w:val="1"/>
        <w:rPr>
          <w:rFonts w:hint="eastAsia" w:ascii="宋体" w:hAnsi="宋体" w:eastAsia="宋体" w:cs="宋体"/>
          <w:b/>
          <w:bCs/>
          <w:color w:val="auto"/>
          <w:spacing w:val="4"/>
          <w:kern w:val="0"/>
          <w:sz w:val="36"/>
          <w:szCs w:val="36"/>
          <w:highlight w:val="none"/>
        </w:rPr>
      </w:pPr>
      <w:bookmarkStart w:id="46" w:name="_Toc30258"/>
      <w:r>
        <w:rPr>
          <w:rFonts w:hint="eastAsia" w:ascii="宋体" w:hAnsi="宋体" w:eastAsia="宋体" w:cs="宋体"/>
          <w:b/>
          <w:bCs/>
          <w:color w:val="auto"/>
          <w:spacing w:val="4"/>
          <w:kern w:val="0"/>
          <w:sz w:val="36"/>
          <w:szCs w:val="36"/>
          <w:highlight w:val="none"/>
        </w:rPr>
        <w:t>参与编制经济标投标文件人员名单</w:t>
      </w:r>
      <w:bookmarkEnd w:id="4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所承担工作</w:t>
            </w: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4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461"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235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c>
          <w:tcPr>
            <w:tcW w:w="1419" w:type="dxa"/>
            <w:noWrap w:val="0"/>
            <w:vAlign w:val="center"/>
          </w:tcPr>
          <w:p>
            <w:pPr>
              <w:pageBreakBefore w:val="0"/>
              <w:tabs>
                <w:tab w:val="left" w:pos="720"/>
              </w:tabs>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p>
        </w:tc>
      </w:tr>
    </w:tbl>
    <w:p>
      <w:pPr>
        <w:pageBreakBefore w:val="0"/>
        <w:tabs>
          <w:tab w:val="left" w:pos="720"/>
        </w:tabs>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topLinePunct/>
        <w:bidi w:val="0"/>
        <w:adjustRightInd w:val="0"/>
        <w:snapToGrid w:val="0"/>
        <w:spacing w:beforeAutospacing="0" w:afterAutospacing="0"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注：参与编制经济标书所有人员名单应包括如编制各种专业工程量清单投标报价、负责清样校对、负责打印及复印等所有人员在内的人员名单。 </w:t>
      </w: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
          <w:bCs/>
          <w:color w:val="auto"/>
          <w:sz w:val="44"/>
          <w:szCs w:val="44"/>
          <w:highlight w:val="none"/>
          <w:lang w:val="zh-CN"/>
        </w:rPr>
      </w:pP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
          <w:bCs/>
          <w:color w:val="auto"/>
          <w:sz w:val="44"/>
          <w:szCs w:val="44"/>
          <w:highlight w:val="none"/>
          <w:lang w:val="zh-CN"/>
        </w:rPr>
      </w:pP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
          <w:bCs/>
          <w:color w:val="auto"/>
          <w:sz w:val="44"/>
          <w:szCs w:val="44"/>
          <w:highlight w:val="none"/>
          <w:lang w:val="zh-CN"/>
        </w:rPr>
      </w:pP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b/>
          <w:bCs/>
          <w:color w:val="auto"/>
          <w:sz w:val="44"/>
          <w:szCs w:val="44"/>
          <w:highlight w:val="none"/>
          <w:lang w:val="zh-CN"/>
        </w:rPr>
      </w:pP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kinsoku/>
        <w:overflowPunct/>
        <w:topLinePunct/>
        <w:bidi w:val="0"/>
        <w:adjustRightInd w:val="0"/>
        <w:snapToGrid w:val="0"/>
        <w:spacing w:beforeAutospacing="0" w:afterAutospacing="0" w:line="360" w:lineRule="auto"/>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bCs/>
          <w:color w:val="auto"/>
          <w:spacing w:val="4"/>
          <w:sz w:val="24"/>
          <w:szCs w:val="24"/>
          <w:highlight w:val="none"/>
        </w:rPr>
        <w:t>经济标格式</w:t>
      </w:r>
      <w:r>
        <w:rPr>
          <w:rFonts w:hint="eastAsia" w:ascii="宋体" w:hAnsi="宋体" w:eastAsia="宋体" w:cs="宋体"/>
          <w:bCs/>
          <w:color w:val="auto"/>
          <w:spacing w:val="4"/>
          <w:sz w:val="24"/>
          <w:szCs w:val="24"/>
          <w:highlight w:val="none"/>
          <w:lang w:val="en-US" w:eastAsia="zh-CN"/>
        </w:rPr>
        <w:t>三：</w:t>
      </w:r>
    </w:p>
    <w:p>
      <w:pPr>
        <w:pageBreakBefore w:val="0"/>
        <w:widowControl/>
        <w:kinsoku/>
        <w:overflowPunct/>
        <w:topLinePunct/>
        <w:bidi w:val="0"/>
        <w:adjustRightInd w:val="0"/>
        <w:snapToGrid w:val="0"/>
        <w:spacing w:beforeAutospacing="0" w:afterAutospacing="0" w:line="360" w:lineRule="auto"/>
        <w:jc w:val="center"/>
        <w:outlineLvl w:val="1"/>
        <w:rPr>
          <w:rFonts w:hint="eastAsia" w:ascii="宋体" w:hAnsi="宋体" w:eastAsia="宋体" w:cs="宋体"/>
          <w:b/>
          <w:bCs/>
          <w:color w:val="auto"/>
          <w:spacing w:val="4"/>
          <w:kern w:val="0"/>
          <w:sz w:val="36"/>
          <w:szCs w:val="36"/>
          <w:highlight w:val="none"/>
        </w:rPr>
      </w:pPr>
      <w:bookmarkStart w:id="47" w:name="_Toc13531"/>
      <w:r>
        <w:rPr>
          <w:rFonts w:hint="eastAsia" w:ascii="宋体" w:hAnsi="宋体" w:eastAsia="宋体" w:cs="宋体"/>
          <w:b/>
          <w:bCs/>
          <w:color w:val="auto"/>
          <w:spacing w:val="4"/>
          <w:kern w:val="0"/>
          <w:sz w:val="36"/>
          <w:szCs w:val="36"/>
          <w:highlight w:val="none"/>
        </w:rPr>
        <w:t>对投标文件编制的承诺</w:t>
      </w:r>
      <w:bookmarkEnd w:id="47"/>
    </w:p>
    <w:p>
      <w:pPr>
        <w:pageBreakBefore w:val="0"/>
        <w:kinsoku/>
        <w:overflowPunct/>
        <w:bidi w:val="0"/>
        <w:snapToGrid w:val="0"/>
        <w:spacing w:beforeAutospacing="0" w:afterAutospacing="0"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本公司授权</w:t>
      </w:r>
      <w:r>
        <w:rPr>
          <w:rFonts w:hint="eastAsia" w:ascii="宋体" w:hAnsi="宋体" w:eastAsia="宋体" w:cs="宋体"/>
          <w:color w:val="auto"/>
          <w:kern w:val="0"/>
          <w:sz w:val="24"/>
          <w:szCs w:val="24"/>
          <w:highlight w:val="none"/>
          <w:u w:val="single"/>
        </w:rPr>
        <w:t xml:space="preserve">         （身份证号：               ）</w:t>
      </w:r>
      <w:r>
        <w:rPr>
          <w:rFonts w:hint="eastAsia" w:ascii="宋体" w:hAnsi="宋体" w:eastAsia="宋体" w:cs="宋体"/>
          <w:color w:val="auto"/>
          <w:kern w:val="0"/>
          <w:sz w:val="24"/>
          <w:szCs w:val="24"/>
          <w:highlight w:val="none"/>
        </w:rPr>
        <w:t>负责对投标文件的编制及内容进行解释、说明，并承诺以下事项：</w:t>
      </w:r>
    </w:p>
    <w:p>
      <w:pPr>
        <w:pageBreakBefore w:val="0"/>
        <w:kinsoku/>
        <w:overflowPunct/>
        <w:bidi w:val="0"/>
        <w:snapToGrid w:val="0"/>
        <w:spacing w:beforeAutospacing="0" w:afterAutospacing="0"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1.被授权人清楚投标文件编制的具体情况，包括技术方案文件、工程量清单、以及投标文件的加密打包的理解；</w:t>
      </w:r>
    </w:p>
    <w:p>
      <w:pPr>
        <w:pageBreakBefore w:val="0"/>
        <w:kinsoku/>
        <w:overflowPunct/>
        <w:bidi w:val="0"/>
        <w:snapToGrid w:val="0"/>
        <w:spacing w:beforeAutospacing="0" w:afterAutospacing="0"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2.在本项目开标至评标结束前，努力确保被授权人在项目评标所在地附近；</w:t>
      </w:r>
    </w:p>
    <w:p>
      <w:pPr>
        <w:pageBreakBefore w:val="0"/>
        <w:kinsoku/>
        <w:overflowPunct/>
        <w:bidi w:val="0"/>
        <w:snapToGrid w:val="0"/>
        <w:spacing w:beforeAutospacing="0" w:afterAutospacing="0"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3.从评标委员会要求澄清起二小时内，被授权人应如实地书面澄清。</w:t>
      </w:r>
    </w:p>
    <w:p>
      <w:pPr>
        <w:pageBreakBefore w:val="0"/>
        <w:kinsoku/>
        <w:overflowPunct/>
        <w:bidi w:val="0"/>
        <w:snapToGrid w:val="0"/>
        <w:spacing w:beforeAutospacing="0" w:afterAutospacing="0"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如由于未遵守上述承诺内容之一导致无法进行澄清的，我公司认可和接受评标委员会作出的评审结论。                                 </w:t>
      </w:r>
    </w:p>
    <w:p>
      <w:pPr>
        <w:pageBreakBefore w:val="0"/>
        <w:kinsoku/>
        <w:overflowPunct/>
        <w:bidi w:val="0"/>
        <w:snapToGrid w:val="0"/>
        <w:spacing w:beforeAutospacing="0" w:afterAutospacing="0"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附件：《投标文件编制情况》</w:t>
      </w:r>
    </w:p>
    <w:p>
      <w:pPr>
        <w:pageBreakBefore w:val="0"/>
        <w:kinsoku/>
        <w:overflowPunct/>
        <w:bidi w:val="0"/>
        <w:snapToGrid w:val="0"/>
        <w:spacing w:beforeAutospacing="0" w:afterAutospacing="0"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投标人名称（盖法人公章）：</w:t>
      </w:r>
      <w:r>
        <w:rPr>
          <w:rFonts w:hint="eastAsia" w:ascii="宋体" w:hAnsi="宋体" w:eastAsia="宋体" w:cs="宋体"/>
          <w:color w:val="auto"/>
          <w:sz w:val="24"/>
          <w:szCs w:val="24"/>
          <w:highlight w:val="none"/>
          <w:u w:val="single"/>
        </w:rPr>
        <w:t xml:space="preserve">                  </w:t>
      </w:r>
    </w:p>
    <w:p>
      <w:pPr>
        <w:pageBreakBefore w:val="0"/>
        <w:kinsoku/>
        <w:overflowPunct/>
        <w:bidi w:val="0"/>
        <w:snapToGrid w:val="0"/>
        <w:spacing w:beforeAutospacing="0" w:afterAutospacing="0" w:line="360" w:lineRule="auto"/>
        <w:ind w:firstLine="2160" w:firstLineChars="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p>
    <w:p>
      <w:pPr>
        <w:pageBreakBefore w:val="0"/>
        <w:kinsoku/>
        <w:overflowPunct/>
        <w:bidi w:val="0"/>
        <w:snapToGrid w:val="0"/>
        <w:spacing w:beforeAutospacing="0" w:afterAutospacing="0" w:line="360" w:lineRule="auto"/>
        <w:ind w:firstLine="4440" w:firstLineChars="185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48" w:name="_Toc3751"/>
      <w:r>
        <w:rPr>
          <w:rFonts w:hint="eastAsia" w:ascii="宋体" w:hAnsi="宋体" w:eastAsia="宋体" w:cs="宋体"/>
          <w:color w:val="auto"/>
          <w:sz w:val="24"/>
          <w:szCs w:val="24"/>
          <w:highlight w:val="none"/>
        </w:rPr>
        <w:t>日期：      年   月   日</w:t>
      </w:r>
      <w:bookmarkEnd w:id="48"/>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24"/>
          <w:szCs w:val="24"/>
          <w:highlight w:val="none"/>
        </w:rPr>
        <w:t xml:space="preserve">    </w:t>
      </w:r>
    </w:p>
    <w:p>
      <w:pPr>
        <w:pageBreakBefore w:val="0"/>
        <w:widowControl/>
        <w:kinsoku/>
        <w:overflowPunct/>
        <w:topLinePunct/>
        <w:bidi w:val="0"/>
        <w:adjustRightInd w:val="0"/>
        <w:snapToGrid w:val="0"/>
        <w:spacing w:beforeAutospacing="0" w:afterAutospacing="0" w:line="360" w:lineRule="auto"/>
        <w:jc w:val="center"/>
        <w:outlineLvl w:val="1"/>
        <w:rPr>
          <w:rFonts w:hint="eastAsia" w:ascii="宋体" w:hAnsi="宋体" w:eastAsia="宋体" w:cs="宋体"/>
          <w:b/>
          <w:bCs/>
          <w:color w:val="auto"/>
          <w:spacing w:val="4"/>
          <w:kern w:val="0"/>
          <w:sz w:val="36"/>
          <w:szCs w:val="36"/>
          <w:highlight w:val="none"/>
        </w:rPr>
      </w:pPr>
      <w:bookmarkStart w:id="49" w:name="_Toc22554"/>
      <w:r>
        <w:rPr>
          <w:rFonts w:hint="eastAsia" w:ascii="宋体" w:hAnsi="宋体" w:eastAsia="宋体" w:cs="宋体"/>
          <w:b/>
          <w:bCs/>
          <w:color w:val="auto"/>
          <w:spacing w:val="4"/>
          <w:kern w:val="0"/>
          <w:sz w:val="36"/>
          <w:szCs w:val="36"/>
          <w:highlight w:val="none"/>
        </w:rPr>
        <w:t>投标文件编制情况</w:t>
      </w:r>
      <w:bookmarkEnd w:id="49"/>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1.投标文件报价编制方式: □自行编制的，编制的负责人：</w:t>
      </w:r>
      <w:r>
        <w:rPr>
          <w:rFonts w:hint="eastAsia" w:ascii="宋体" w:hAnsi="宋体" w:eastAsia="宋体" w:cs="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kern w:val="0"/>
          <w:sz w:val="24"/>
          <w:szCs w:val="24"/>
          <w:highlight w:val="none"/>
        </w:rPr>
        <w:t>。□委托编制的，受委托单位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，编制的负责人：</w:t>
      </w:r>
      <w:r>
        <w:rPr>
          <w:rFonts w:hint="eastAsia" w:ascii="宋体" w:hAnsi="宋体" w:eastAsia="宋体" w:cs="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kern w:val="0"/>
          <w:sz w:val="24"/>
          <w:szCs w:val="24"/>
          <w:highlight w:val="none"/>
        </w:rPr>
        <w:t>。</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2.投标文件加密打包的电脑情况</w:t>
      </w:r>
    </w:p>
    <w:p>
      <w:pPr>
        <w:pStyle w:val="12"/>
        <w:pageBreakBefore w:val="0"/>
        <w:kinsoku/>
        <w:overflowPunct/>
        <w:bidi w:val="0"/>
        <w:snapToGrid w:val="0"/>
        <w:spacing w:beforeAutospacing="0" w:afterAutospacing="0" w:line="360" w:lineRule="auto"/>
        <w:rPr>
          <w:rFonts w:hint="eastAsia" w:ascii="宋体" w:hAnsi="宋体" w:eastAsia="宋体" w:cs="宋体"/>
          <w:color w:val="auto"/>
          <w:kern w:val="0"/>
          <w:sz w:val="24"/>
          <w:szCs w:val="24"/>
          <w:highlight w:val="none"/>
        </w:rPr>
      </w:pPr>
    </w:p>
    <w:tbl>
      <w:tblPr>
        <w:tblStyle w:val="20"/>
        <w:tblW w:w="0" w:type="auto"/>
        <w:tblInd w:w="0" w:type="dxa"/>
        <w:tblLayout w:type="fixed"/>
        <w:tblCellMar>
          <w:top w:w="0" w:type="dxa"/>
          <w:left w:w="108" w:type="dxa"/>
          <w:bottom w:w="0" w:type="dxa"/>
          <w:right w:w="108" w:type="dxa"/>
        </w:tblCellMar>
      </w:tblPr>
      <w:tblGrid>
        <w:gridCol w:w="9740"/>
      </w:tblGrid>
      <w:tr>
        <w:tblPrEx>
          <w:tblCellMar>
            <w:top w:w="0" w:type="dxa"/>
            <w:left w:w="108" w:type="dxa"/>
            <w:bottom w:w="0" w:type="dxa"/>
            <w:right w:w="108" w:type="dxa"/>
          </w:tblCellMar>
        </w:tblPrEx>
        <w:trPr>
          <w:trHeight w:val="2744" w:hRule="atLeast"/>
        </w:trPr>
        <w:tc>
          <w:tcPr>
            <w:tcW w:w="9740" w:type="dxa"/>
            <w:noWrap w:val="0"/>
            <w:vAlign w:val="top"/>
          </w:tcPr>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pPr>
        <w:pageBreakBefore w:val="0"/>
        <w:kinsoku/>
        <w:overflowPunct/>
        <w:bidi w:val="0"/>
        <w:snapToGrid w:val="0"/>
        <w:spacing w:beforeAutospacing="0" w:afterAutospacing="0" w:line="360" w:lineRule="auto"/>
        <w:rPr>
          <w:rFonts w:hint="eastAsia" w:ascii="宋体" w:hAnsi="宋体" w:eastAsia="宋体" w:cs="宋体"/>
          <w:color w:val="auto"/>
          <w:szCs w:val="21"/>
          <w:highlight w:val="none"/>
        </w:rPr>
      </w:pPr>
    </w:p>
    <w:p>
      <w:pPr>
        <w:pageBreakBefore w:val="0"/>
        <w:tabs>
          <w:tab w:val="left" w:pos="720"/>
        </w:tabs>
        <w:kinsoku/>
        <w:overflowPunct/>
        <w:bidi w:val="0"/>
        <w:snapToGrid w:val="0"/>
        <w:spacing w:beforeAutospacing="0" w:afterAutospacing="0" w:line="360" w:lineRule="auto"/>
        <w:jc w:val="center"/>
        <w:rPr>
          <w:rStyle w:val="33"/>
          <w:rFonts w:hint="eastAsia" w:ascii="宋体" w:hAnsi="宋体" w:eastAsia="宋体" w:cs="宋体"/>
          <w:b/>
          <w:bCs w:val="0"/>
          <w:color w:val="auto"/>
          <w:sz w:val="32"/>
          <w:szCs w:val="32"/>
          <w:highlight w:val="none"/>
        </w:rPr>
      </w:pPr>
      <w:bookmarkStart w:id="50" w:name="_Toc2272568"/>
      <w:bookmarkStart w:id="51" w:name="_Toc9312"/>
      <w:bookmarkStart w:id="52" w:name="_Toc2272569"/>
      <w:r>
        <w:rPr>
          <w:rStyle w:val="33"/>
          <w:rFonts w:hint="eastAsia" w:ascii="宋体" w:hAnsi="宋体" w:eastAsia="宋体" w:cs="宋体"/>
          <w:b/>
          <w:bCs w:val="0"/>
          <w:color w:val="auto"/>
          <w:sz w:val="32"/>
          <w:szCs w:val="32"/>
          <w:highlight w:val="none"/>
        </w:rPr>
        <w:t>第五章  技术条件（工程建设标准）</w:t>
      </w:r>
      <w:bookmarkEnd w:id="50"/>
    </w:p>
    <w:bookmarkEnd w:id="51"/>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一、标准</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以现行的中华人民共和国及有关部委颁布的标准、规范、和规程。若施工时期建设主管部门颁布新的规范、标准，则按照新的规范、标准执行。</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二、施工组织设计要点</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（一）工程概况及特点</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工程概况</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工程简述，工程规模，工程承包范围，地质及地貌状况，自然环境，交通情况等。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工程特点</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设计特点、工程特点、影响施工的主要和特殊环节分析等。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（二）施工现场组织机构</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组织机构关系图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工程主要负责人简介。</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（三）施工现场总平面布置图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施工现场平面布置图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（四）施工方案</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施工准备</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简要叙述施工技术资料、材料、通讯、施工场地的准备，施工机械、施工力量的配置，以及生活设施等的准备情况。主要施工机械设备表。</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施工工序总体安排</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主要工序和特殊工序的施工方法和施工效率估计，潜在问题的分析。</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工程成本的控制措施为控制成本，提高效益，拟采取的措施。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（五）工期及施工进度计划</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工期规划及要求</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用横道图反映各主要施工过程的计划进度，深度达到全面、准确、清楚的描述工程实施过程，从中可衍生出各种施工资源计划及其过程管理信息。</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施工进度计划网络图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施工网络图应明确工程开工、竣工日期，工程施工的关键路线，并针对关键工序，提出确保工期拟采取的措施。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施工资源（人力、材料、机具、场地及进场道路、公共关系）计划</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施工进度计划分析</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计划潜在问题，计划中的潜力及其开发途径等。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计划控制</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程序、方法及制度等。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（六）质量目标、质量保证体系及技术组织措施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质量目标</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本工程要求的质量目标：合格。</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用单位工程和分项工程合格率、优良品率表示，欲达到的工程质量等级。</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质量管理组织机构及主要职责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用框图表示质量管理组织机构，并简要叙述各质量管理部门的主要职责。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质量管理的措施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简要叙述质量管理的措施和关键工序的质量控制。</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质量管理及检验的标准</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执行的主要质量标准、规范。</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质量保证技术措施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针对本工程特点，分析质量薄弱环节，拟将采取的技术措施。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（七）安全目标、安全保证体系及技术组织措施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安全管理目标</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安全管理组织机构及主要职责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用框图表示安全管理组织机构，并简要叙述各安全管理部门及人员的主要职责。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安全管理制度及办法</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安全组织技术措施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针对本工程特点，分析安全薄弱环节，拟将采取的技术措施。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重要施工方案和特殊施工工序的安全过程控制</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bookmarkStart w:id="53" w:name="_Hlt531956504"/>
      <w:r>
        <w:rPr>
          <w:rFonts w:hint="eastAsia" w:ascii="宋体" w:hAnsi="宋体" w:eastAsia="宋体" w:cs="宋体"/>
          <w:color w:val="auto"/>
          <w:sz w:val="24"/>
          <w:szCs w:val="24"/>
          <w:highlight w:val="none"/>
        </w:rPr>
        <w:t>安全生产目标：杜绝本项目施工人员重大伤亡事故。</w:t>
      </w:r>
      <w:bookmarkEnd w:id="53"/>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文明施工目标：标准化管理。</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（八）环境保护及文明施工</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环境保护</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分析因施工可能引起的环境保护方面的问题。</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加强施工管理、严格保护环境</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提出环境保护的目标及采取的具体措施。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文明施工的目标、组织机构和实施方案</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文明施工考核、管理办法</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（九）计划、统计和信息管理</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计划、统计报表的编制与传递；</w:t>
      </w:r>
    </w:p>
    <w:p>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信息管理</w:t>
      </w:r>
    </w:p>
    <w:p>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提出信息管理的目标及拟将采取的措施。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Cs w:val="20"/>
          <w:highlight w:val="none"/>
        </w:rPr>
      </w:pPr>
    </w:p>
    <w:p>
      <w:pPr>
        <w:pageBreakBefore w:val="0"/>
        <w:kinsoku/>
        <w:overflowPunct/>
        <w:autoSpaceDE w:val="0"/>
        <w:autoSpaceDN w:val="0"/>
        <w:bidi w:val="0"/>
        <w:adjustRightInd w:val="0"/>
        <w:snapToGrid w:val="0"/>
        <w:spacing w:beforeAutospacing="0" w:afterAutospacing="0" w:line="360" w:lineRule="auto"/>
        <w:rPr>
          <w:rFonts w:hint="eastAsia" w:ascii="宋体" w:hAnsi="宋体" w:eastAsia="宋体" w:cs="宋体"/>
          <w:color w:val="auto"/>
          <w:sz w:val="24"/>
          <w:szCs w:val="24"/>
          <w:highlight w:val="none"/>
        </w:r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color w:val="auto"/>
          <w:sz w:val="24"/>
          <w:szCs w:val="24"/>
          <w:highlight w:val="none"/>
        </w:r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rPr>
      </w:pPr>
      <w:bookmarkStart w:id="54" w:name="_Toc9353"/>
      <w:r>
        <w:rPr>
          <w:rFonts w:hint="eastAsia" w:ascii="宋体" w:hAnsi="宋体" w:eastAsia="宋体" w:cs="宋体"/>
          <w:color w:val="auto"/>
          <w:sz w:val="24"/>
          <w:szCs w:val="24"/>
          <w:highlight w:val="none"/>
        </w:rPr>
        <w:br w:type="page"/>
      </w:r>
    </w:p>
    <w:p>
      <w:pPr>
        <w:tabs>
          <w:tab w:val="left" w:pos="720"/>
        </w:tabs>
        <w:jc w:val="center"/>
        <w:rPr>
          <w:rStyle w:val="33"/>
          <w:rFonts w:hint="eastAsia" w:ascii="宋体" w:hAnsi="宋体" w:eastAsia="宋体" w:cs="宋体"/>
          <w:b/>
          <w:color w:val="auto"/>
          <w:sz w:val="32"/>
          <w:szCs w:val="32"/>
          <w:highlight w:val="none"/>
        </w:rPr>
      </w:pPr>
      <w:r>
        <w:rPr>
          <w:rStyle w:val="33"/>
          <w:rFonts w:hint="eastAsia" w:ascii="宋体" w:hAnsi="宋体" w:eastAsia="宋体" w:cs="宋体"/>
          <w:b/>
          <w:color w:val="auto"/>
          <w:sz w:val="32"/>
          <w:szCs w:val="32"/>
          <w:highlight w:val="none"/>
        </w:rPr>
        <w:t>第六章  图纸及勘察资料</w:t>
      </w:r>
      <w:bookmarkEnd w:id="52"/>
      <w:bookmarkEnd w:id="54"/>
    </w:p>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注：本章由招标人自行制定，另册。</w:t>
      </w: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5" w:name="_Toc22481"/>
      <w:bookmarkStart w:id="56" w:name="_Toc2272570"/>
      <w:r>
        <w:rPr>
          <w:rStyle w:val="33"/>
          <w:rFonts w:hint="eastAsia" w:ascii="宋体" w:hAnsi="宋体" w:eastAsia="宋体" w:cs="宋体"/>
          <w:b/>
          <w:color w:val="auto"/>
          <w:sz w:val="32"/>
          <w:szCs w:val="32"/>
          <w:highlight w:val="none"/>
          <w:lang w:val="en-US" w:eastAsia="zh-CN" w:bidi="ar-SA"/>
        </w:rPr>
        <w:t>第七章  工程量清单</w:t>
      </w:r>
      <w:bookmarkEnd w:id="55"/>
      <w:bookmarkEnd w:id="56"/>
    </w:p>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注：本章由招标人自行制定。</w:t>
      </w:r>
    </w:p>
    <w:p>
      <w:pPr>
        <w:pStyle w:val="18"/>
        <w:pageBreakBefore w:val="0"/>
        <w:kinsoku/>
        <w:overflowPunct/>
        <w:bidi w:val="0"/>
        <w:snapToGrid w:val="0"/>
        <w:spacing w:beforeAutospacing="0" w:after="0" w:afterAutospacing="0" w:line="360" w:lineRule="auto"/>
        <w:ind w:left="-2" w:leftChars="-1" w:firstLine="960" w:firstLineChars="400"/>
        <w:rPr>
          <w:rFonts w:hint="eastAsia" w:ascii="宋体" w:hAnsi="宋体" w:eastAsia="宋体" w:cs="宋体"/>
          <w:color w:val="auto"/>
          <w:sz w:val="24"/>
          <w:szCs w:val="24"/>
          <w:highlight w:val="none"/>
        </w:rPr>
      </w:pPr>
    </w:p>
    <w:p>
      <w:pPr>
        <w:pStyle w:val="3"/>
        <w:pageBreakBefore w:val="0"/>
        <w:kinsoku/>
        <w:overflowPunct/>
        <w:bidi w:val="0"/>
        <w:snapToGrid w:val="0"/>
        <w:spacing w:before="0" w:beforeAutospacing="0" w:after="0" w:afterAutospacing="0" w:line="360" w:lineRule="auto"/>
        <w:rPr>
          <w:rFonts w:hint="eastAsia" w:ascii="宋体" w:hAnsi="宋体" w:eastAsia="宋体" w:cs="宋体"/>
          <w:color w:val="auto"/>
          <w:sz w:val="24"/>
          <w:szCs w:val="24"/>
          <w:highlight w:val="none"/>
        </w:r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7" w:name="_Toc3710"/>
      <w:bookmarkStart w:id="58" w:name="_Toc2272571"/>
      <w:r>
        <w:rPr>
          <w:rStyle w:val="33"/>
          <w:rFonts w:hint="eastAsia" w:ascii="宋体" w:hAnsi="宋体" w:eastAsia="宋体" w:cs="宋体"/>
          <w:b/>
          <w:color w:val="auto"/>
          <w:sz w:val="32"/>
          <w:szCs w:val="32"/>
          <w:highlight w:val="none"/>
          <w:lang w:val="en-US" w:eastAsia="zh-CN" w:bidi="ar-SA"/>
        </w:rPr>
        <w:t>第八章  最高投标限价</w:t>
      </w:r>
      <w:bookmarkEnd w:id="57"/>
      <w:bookmarkEnd w:id="58"/>
    </w:p>
    <w:p>
      <w:pPr>
        <w:pageBreakBefore w:val="0"/>
        <w:kinsoku/>
        <w:overflowPunct/>
        <w:bidi w:val="0"/>
        <w:snapToGrid w:val="0"/>
        <w:spacing w:beforeAutospacing="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（另册）</w:t>
      </w:r>
    </w:p>
    <w:p>
      <w:pPr>
        <w:pageBreakBefore w:val="0"/>
        <w:kinsoku/>
        <w:overflowPunct/>
        <w:bidi w:val="0"/>
        <w:snapToGrid w:val="0"/>
        <w:spacing w:beforeAutospacing="0" w:afterAutospacing="0" w:line="360" w:lineRule="auto"/>
        <w:ind w:firstLine="480"/>
        <w:rPr>
          <w:rFonts w:hint="eastAsia" w:ascii="宋体" w:hAnsi="宋体" w:eastAsia="宋体" w:cs="宋体"/>
          <w:color w:val="auto"/>
          <w:sz w:val="24"/>
          <w:szCs w:val="24"/>
          <w:highlight w:val="none"/>
          <w:u w:val="single"/>
        </w:rPr>
      </w:pPr>
    </w:p>
    <w:p>
      <w:pPr>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pageBreakBefore w:val="0"/>
        <w:kinsoku/>
        <w:overflowPunct/>
        <w:bidi w:val="0"/>
        <w:snapToGrid w:val="0"/>
        <w:spacing w:beforeAutospacing="0" w:afterAutospacing="0"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6" w:type="default"/>
      <w:footerReference r:id="rId17"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21</w:t>
    </w:r>
    <w:r>
      <w:fldChar w:fldCharType="end"/>
    </w:r>
  </w:p>
  <w:p>
    <w:pPr>
      <w:pStyle w:val="14"/>
      <w:ind w:firstLine="39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pPr>
      <w:pStyle w:val="14"/>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11</w:t>
    </w:r>
    <w:r>
      <w:fldChar w:fldCharType="end"/>
    </w:r>
  </w:p>
  <w:p>
    <w:pPr>
      <w:pStyle w:val="14"/>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109</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57</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1BB16A0"/>
    <w:multiLevelType w:val="singleLevel"/>
    <w:tmpl w:val="01BB16A0"/>
    <w:lvl w:ilvl="0" w:tentative="0">
      <w:start w:val="4"/>
      <w:numFmt w:val="chineseCounting"/>
      <w:suff w:val="space"/>
      <w:lvlText w:val="第%1部分"/>
      <w:lvlJc w:val="left"/>
      <w:rPr>
        <w:rFonts w:hint="eastAsia"/>
      </w:rPr>
    </w:lvl>
  </w:abstractNum>
  <w:abstractNum w:abstractNumId="6">
    <w:nsid w:val="14181B7E"/>
    <w:multiLevelType w:val="singleLevel"/>
    <w:tmpl w:val="14181B7E"/>
    <w:lvl w:ilvl="0" w:tentative="0">
      <w:start w:val="1"/>
      <w:numFmt w:val="decimal"/>
      <w:suff w:val="nothing"/>
      <w:lvlText w:val="%1、"/>
      <w:lvlJc w:val="left"/>
    </w:lvl>
  </w:abstractNum>
  <w:abstractNum w:abstractNumId="7">
    <w:nsid w:val="5CADBC91"/>
    <w:multiLevelType w:val="singleLevel"/>
    <w:tmpl w:val="5CADBC91"/>
    <w:lvl w:ilvl="0" w:tentative="0">
      <w:start w:val="1"/>
      <w:numFmt w:val="decimal"/>
      <w:suff w:val="nothing"/>
      <w:lvlText w:val="（%1）"/>
      <w:lvlJc w:val="left"/>
    </w:lvl>
  </w:abstractNum>
  <w:abstractNum w:abstractNumId="8">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VhZTA2OWIwNjliNTc2OGM5MzY4NWRlZDQ4NjAifQ=="/>
  </w:docVars>
  <w:rsids>
    <w:rsidRoot w:val="6ECA11E3"/>
    <w:rsid w:val="005B5E13"/>
    <w:rsid w:val="00A24B21"/>
    <w:rsid w:val="00D95AE5"/>
    <w:rsid w:val="016025FC"/>
    <w:rsid w:val="019D4E55"/>
    <w:rsid w:val="02182ED7"/>
    <w:rsid w:val="02EF1E8A"/>
    <w:rsid w:val="04F875A0"/>
    <w:rsid w:val="06011F07"/>
    <w:rsid w:val="06B900B8"/>
    <w:rsid w:val="07867FE9"/>
    <w:rsid w:val="07DE427B"/>
    <w:rsid w:val="07F77C97"/>
    <w:rsid w:val="082A3964"/>
    <w:rsid w:val="0A081EEC"/>
    <w:rsid w:val="0CA77331"/>
    <w:rsid w:val="0CD4440C"/>
    <w:rsid w:val="100D0BBD"/>
    <w:rsid w:val="105F163C"/>
    <w:rsid w:val="11647F5F"/>
    <w:rsid w:val="12C43AFC"/>
    <w:rsid w:val="134231CE"/>
    <w:rsid w:val="15472268"/>
    <w:rsid w:val="16815D1C"/>
    <w:rsid w:val="16EA1425"/>
    <w:rsid w:val="178A7F7B"/>
    <w:rsid w:val="19C3747C"/>
    <w:rsid w:val="1D100F23"/>
    <w:rsid w:val="1D554B87"/>
    <w:rsid w:val="1E263889"/>
    <w:rsid w:val="1E651EA7"/>
    <w:rsid w:val="1E65704C"/>
    <w:rsid w:val="1EEC53C1"/>
    <w:rsid w:val="1F3E6060"/>
    <w:rsid w:val="1F8025E1"/>
    <w:rsid w:val="212D7572"/>
    <w:rsid w:val="21470119"/>
    <w:rsid w:val="2184175C"/>
    <w:rsid w:val="221413B9"/>
    <w:rsid w:val="223D0F38"/>
    <w:rsid w:val="23E3562A"/>
    <w:rsid w:val="247C4C34"/>
    <w:rsid w:val="24AC2947"/>
    <w:rsid w:val="2546353E"/>
    <w:rsid w:val="254774AC"/>
    <w:rsid w:val="255F65A3"/>
    <w:rsid w:val="25F969F8"/>
    <w:rsid w:val="26796F4A"/>
    <w:rsid w:val="26BE3237"/>
    <w:rsid w:val="27A1606E"/>
    <w:rsid w:val="27A95429"/>
    <w:rsid w:val="2A3E56F6"/>
    <w:rsid w:val="2A675350"/>
    <w:rsid w:val="2BDF4B0D"/>
    <w:rsid w:val="2C2C5AB4"/>
    <w:rsid w:val="2CD06DD8"/>
    <w:rsid w:val="2D14731D"/>
    <w:rsid w:val="2D7B31C8"/>
    <w:rsid w:val="2DCE2518"/>
    <w:rsid w:val="2E112C5C"/>
    <w:rsid w:val="2EB27755"/>
    <w:rsid w:val="2EFA19CE"/>
    <w:rsid w:val="2F2A2D4D"/>
    <w:rsid w:val="2F654979"/>
    <w:rsid w:val="2FB7406E"/>
    <w:rsid w:val="30753757"/>
    <w:rsid w:val="3331759D"/>
    <w:rsid w:val="33BA52ED"/>
    <w:rsid w:val="33CB0C74"/>
    <w:rsid w:val="34E15963"/>
    <w:rsid w:val="35727C2D"/>
    <w:rsid w:val="35CD711E"/>
    <w:rsid w:val="36933369"/>
    <w:rsid w:val="36BD576F"/>
    <w:rsid w:val="36DB190F"/>
    <w:rsid w:val="36F823B4"/>
    <w:rsid w:val="3701042F"/>
    <w:rsid w:val="371D536D"/>
    <w:rsid w:val="37373A04"/>
    <w:rsid w:val="37ED0850"/>
    <w:rsid w:val="38136029"/>
    <w:rsid w:val="389425B0"/>
    <w:rsid w:val="38C62993"/>
    <w:rsid w:val="39595C88"/>
    <w:rsid w:val="3ADC4083"/>
    <w:rsid w:val="3C466D4E"/>
    <w:rsid w:val="3DAE273F"/>
    <w:rsid w:val="3DD504CF"/>
    <w:rsid w:val="3E813523"/>
    <w:rsid w:val="3EDC0ECC"/>
    <w:rsid w:val="4067023A"/>
    <w:rsid w:val="407960B9"/>
    <w:rsid w:val="40AB650D"/>
    <w:rsid w:val="412A3AB2"/>
    <w:rsid w:val="415E375B"/>
    <w:rsid w:val="428B04D9"/>
    <w:rsid w:val="42D37FA3"/>
    <w:rsid w:val="42FB288E"/>
    <w:rsid w:val="43566DE0"/>
    <w:rsid w:val="43AF5C05"/>
    <w:rsid w:val="44BD25D7"/>
    <w:rsid w:val="450A60D4"/>
    <w:rsid w:val="464B166D"/>
    <w:rsid w:val="466963C3"/>
    <w:rsid w:val="483C5694"/>
    <w:rsid w:val="49125FFB"/>
    <w:rsid w:val="491C4628"/>
    <w:rsid w:val="497A283B"/>
    <w:rsid w:val="49FD2121"/>
    <w:rsid w:val="4A144EDF"/>
    <w:rsid w:val="4A7E62C5"/>
    <w:rsid w:val="4AC24D5B"/>
    <w:rsid w:val="4B01452B"/>
    <w:rsid w:val="4C1363D0"/>
    <w:rsid w:val="4C3479F8"/>
    <w:rsid w:val="4C4B0ACB"/>
    <w:rsid w:val="4CDB7E70"/>
    <w:rsid w:val="4DB56DF9"/>
    <w:rsid w:val="4DD47E42"/>
    <w:rsid w:val="4F0612C4"/>
    <w:rsid w:val="4FE45773"/>
    <w:rsid w:val="50E81293"/>
    <w:rsid w:val="524424F9"/>
    <w:rsid w:val="52532C9B"/>
    <w:rsid w:val="52AA6800"/>
    <w:rsid w:val="52C16224"/>
    <w:rsid w:val="5316330F"/>
    <w:rsid w:val="54931516"/>
    <w:rsid w:val="54F46459"/>
    <w:rsid w:val="550C072E"/>
    <w:rsid w:val="56E90F5B"/>
    <w:rsid w:val="57174FB2"/>
    <w:rsid w:val="573C16D0"/>
    <w:rsid w:val="57B462A2"/>
    <w:rsid w:val="57E417E0"/>
    <w:rsid w:val="58634CBB"/>
    <w:rsid w:val="58FA2E94"/>
    <w:rsid w:val="591311F4"/>
    <w:rsid w:val="598B6E78"/>
    <w:rsid w:val="59E3160A"/>
    <w:rsid w:val="59F36F78"/>
    <w:rsid w:val="5A222E87"/>
    <w:rsid w:val="5A5D23AA"/>
    <w:rsid w:val="5A9D1E29"/>
    <w:rsid w:val="5B622594"/>
    <w:rsid w:val="5B9938B6"/>
    <w:rsid w:val="5B9A46F8"/>
    <w:rsid w:val="5D083339"/>
    <w:rsid w:val="5E793C16"/>
    <w:rsid w:val="60C16F3B"/>
    <w:rsid w:val="60F65306"/>
    <w:rsid w:val="631B2E02"/>
    <w:rsid w:val="64106469"/>
    <w:rsid w:val="64943E02"/>
    <w:rsid w:val="65312DB1"/>
    <w:rsid w:val="65734A62"/>
    <w:rsid w:val="65F57186"/>
    <w:rsid w:val="67224816"/>
    <w:rsid w:val="67A755AC"/>
    <w:rsid w:val="67BE6D26"/>
    <w:rsid w:val="68384D1D"/>
    <w:rsid w:val="684923CA"/>
    <w:rsid w:val="69910253"/>
    <w:rsid w:val="69CF1EED"/>
    <w:rsid w:val="69E629B4"/>
    <w:rsid w:val="6A303F94"/>
    <w:rsid w:val="6B50669B"/>
    <w:rsid w:val="6C127F06"/>
    <w:rsid w:val="6E021FD1"/>
    <w:rsid w:val="6E8F15D9"/>
    <w:rsid w:val="6ECA11E3"/>
    <w:rsid w:val="6F007327"/>
    <w:rsid w:val="6F434296"/>
    <w:rsid w:val="6F5361F2"/>
    <w:rsid w:val="702B4B0F"/>
    <w:rsid w:val="715274D7"/>
    <w:rsid w:val="72DB4A4B"/>
    <w:rsid w:val="74A36100"/>
    <w:rsid w:val="75087A63"/>
    <w:rsid w:val="763F1AD3"/>
    <w:rsid w:val="76683E52"/>
    <w:rsid w:val="776C5995"/>
    <w:rsid w:val="781A5362"/>
    <w:rsid w:val="788A03B6"/>
    <w:rsid w:val="79892D64"/>
    <w:rsid w:val="79A33E26"/>
    <w:rsid w:val="79F44419"/>
    <w:rsid w:val="7A316896"/>
    <w:rsid w:val="7B095F8D"/>
    <w:rsid w:val="7B352923"/>
    <w:rsid w:val="7B9F686F"/>
    <w:rsid w:val="7C4C3032"/>
    <w:rsid w:val="7C9F72EF"/>
    <w:rsid w:val="7D175611"/>
    <w:rsid w:val="7F0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33"/>
    <w:autoRedefine/>
    <w:qFormat/>
    <w:uiPriority w:val="0"/>
    <w:pPr>
      <w:keepNext/>
      <w:keepLines/>
      <w:spacing w:after="120" w:line="360" w:lineRule="auto"/>
      <w:jc w:val="left"/>
      <w:outlineLvl w:val="0"/>
    </w:pPr>
    <w:rPr>
      <w:kern w:val="44"/>
      <w:sz w:val="28"/>
      <w:szCs w:val="28"/>
    </w:rPr>
  </w:style>
  <w:style w:type="paragraph" w:styleId="5">
    <w:name w:val="heading 2"/>
    <w:basedOn w:val="1"/>
    <w:next w:val="6"/>
    <w:autoRedefine/>
    <w:qFormat/>
    <w:uiPriority w:val="0"/>
    <w:pPr>
      <w:keepNext/>
      <w:keepLines/>
      <w:numPr>
        <w:ilvl w:val="1"/>
        <w:numId w:val="0"/>
      </w:numPr>
      <w:spacing w:before="120" w:after="120" w:line="415" w:lineRule="auto"/>
      <w:ind w:left="454"/>
      <w:jc w:val="center"/>
      <w:outlineLvl w:val="1"/>
    </w:pPr>
    <w:rPr>
      <w:rFonts w:ascii="Arial" w:hAnsi="Arial" w:eastAsia="宋体"/>
      <w:b/>
      <w:color w:val="000000"/>
      <w:kern w:val="0"/>
      <w:sz w:val="24"/>
      <w:szCs w:val="24"/>
    </w:rPr>
  </w:style>
  <w:style w:type="paragraph" w:styleId="7">
    <w:name w:val="heading 3"/>
    <w:basedOn w:val="1"/>
    <w:next w:val="1"/>
    <w:autoRedefine/>
    <w:qFormat/>
    <w:uiPriority w:val="0"/>
    <w:pPr>
      <w:widowControl/>
      <w:spacing w:before="100" w:beforeAutospacing="1" w:after="100" w:afterAutospacing="1"/>
      <w:jc w:val="left"/>
      <w:outlineLvl w:val="2"/>
    </w:pPr>
    <w:rPr>
      <w:rFonts w:ascii="宋体" w:hAnsi="宋体" w:eastAsia="宋体"/>
      <w:kern w:val="0"/>
      <w:sz w:val="27"/>
      <w:szCs w:val="27"/>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4">
    <w:name w:val="Title"/>
    <w:basedOn w:val="1"/>
    <w:autoRedefine/>
    <w:qFormat/>
    <w:uiPriority w:val="0"/>
    <w:pPr>
      <w:spacing w:before="120" w:after="60"/>
      <w:jc w:val="center"/>
    </w:pPr>
    <w:rPr>
      <w:rFonts w:ascii="Arial" w:hAnsi="Arial" w:eastAsia="宋体"/>
      <w:b/>
      <w:kern w:val="0"/>
      <w:sz w:val="44"/>
      <w:szCs w:val="20"/>
    </w:rPr>
  </w:style>
  <w:style w:type="paragraph" w:styleId="6">
    <w:name w:val="Normal Indent"/>
    <w:basedOn w:val="1"/>
    <w:autoRedefine/>
    <w:qFormat/>
    <w:uiPriority w:val="0"/>
    <w:pPr>
      <w:ind w:firstLine="420"/>
    </w:pPr>
    <w:rPr>
      <w:rFonts w:ascii="Times New Roman" w:hAnsi="Times New Roman"/>
      <w:szCs w:val="20"/>
    </w:rPr>
  </w:style>
  <w:style w:type="paragraph" w:styleId="8">
    <w:name w:val="annotation text"/>
    <w:basedOn w:val="1"/>
    <w:autoRedefine/>
    <w:qFormat/>
    <w:uiPriority w:val="0"/>
    <w:pPr>
      <w:spacing w:line="360" w:lineRule="auto"/>
      <w:ind w:firstLine="523" w:firstLineChars="218"/>
      <w:jc w:val="left"/>
    </w:pPr>
    <w:rPr>
      <w:rFonts w:ascii="宋体" w:hAnsi="宋体" w:eastAsia="宋体"/>
      <w:kern w:val="0"/>
      <w:sz w:val="24"/>
      <w:szCs w:val="24"/>
    </w:rPr>
  </w:style>
  <w:style w:type="paragraph" w:styleId="9">
    <w:name w:val="Body Text"/>
    <w:basedOn w:val="1"/>
    <w:next w:val="10"/>
    <w:autoRedefine/>
    <w:qFormat/>
    <w:uiPriority w:val="0"/>
    <w:pPr>
      <w:spacing w:after="120"/>
    </w:pPr>
    <w:rPr>
      <w:rFonts w:ascii="Times New Roman" w:hAnsi="Times New Roman" w:eastAsia="宋体"/>
      <w:kern w:val="0"/>
      <w:sz w:val="20"/>
      <w:szCs w:val="20"/>
    </w:rPr>
  </w:style>
  <w:style w:type="paragraph" w:styleId="10">
    <w:name w:val="Body Text Indent"/>
    <w:basedOn w:val="1"/>
    <w:autoRedefine/>
    <w:qFormat/>
    <w:uiPriority w:val="0"/>
    <w:pPr>
      <w:ind w:firstLine="570"/>
    </w:pPr>
    <w:rPr>
      <w:rFonts w:ascii="Times New Roman" w:hAnsi="Times New Roman" w:eastAsia="宋体"/>
      <w:kern w:val="0"/>
      <w:sz w:val="28"/>
      <w:szCs w:val="20"/>
    </w:rPr>
  </w:style>
  <w:style w:type="paragraph" w:styleId="11">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2">
    <w:name w:val="Plain Text"/>
    <w:basedOn w:val="1"/>
    <w:autoRedefine/>
    <w:qFormat/>
    <w:uiPriority w:val="0"/>
    <w:rPr>
      <w:rFonts w:ascii="宋体" w:hAnsi="Courier New" w:eastAsia="宋体"/>
      <w:kern w:val="0"/>
      <w:sz w:val="20"/>
      <w:szCs w:val="20"/>
    </w:rPr>
  </w:style>
  <w:style w:type="paragraph" w:styleId="13">
    <w:name w:val="Date"/>
    <w:basedOn w:val="1"/>
    <w:next w:val="1"/>
    <w:autoRedefine/>
    <w:qFormat/>
    <w:uiPriority w:val="0"/>
    <w:rPr>
      <w:rFonts w:ascii="Times New Roman" w:hAnsi="Times New Roman" w:eastAsia="宋体"/>
      <w:kern w:val="0"/>
      <w:sz w:val="20"/>
      <w:szCs w:val="20"/>
    </w:rPr>
  </w:style>
  <w:style w:type="paragraph" w:styleId="14">
    <w:name w:val="footer"/>
    <w:basedOn w:val="1"/>
    <w:autoRedefine/>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6">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Body Text 2"/>
    <w:basedOn w:val="1"/>
    <w:autoRedefine/>
    <w:qFormat/>
    <w:uiPriority w:val="0"/>
    <w:rPr>
      <w:rFonts w:ascii="宋体" w:hAnsi="宋体" w:eastAsia="宋体"/>
      <w:kern w:val="0"/>
      <w:sz w:val="20"/>
      <w:szCs w:val="24"/>
      <w:u w:val="single"/>
    </w:rPr>
  </w:style>
  <w:style w:type="paragraph" w:styleId="18">
    <w:name w:val="Body Text First Indent"/>
    <w:basedOn w:val="9"/>
    <w:autoRedefine/>
    <w:qFormat/>
    <w:uiPriority w:val="0"/>
    <w:pPr>
      <w:ind w:firstLine="420"/>
    </w:pPr>
  </w:style>
  <w:style w:type="paragraph" w:styleId="19">
    <w:name w:val="Body Text First Indent 2"/>
    <w:basedOn w:val="10"/>
    <w:autoRedefine/>
    <w:unhideWhenUsed/>
    <w:qFormat/>
    <w:uiPriority w:val="0"/>
    <w:pPr>
      <w:ind w:firstLine="420" w:firstLineChars="200"/>
    </w:pPr>
    <w:rPr>
      <w:sz w:val="21"/>
    </w:rPr>
  </w:style>
  <w:style w:type="character" w:styleId="22">
    <w:name w:val="page number"/>
    <w:basedOn w:val="21"/>
    <w:autoRedefine/>
    <w:qFormat/>
    <w:uiPriority w:val="0"/>
    <w:rPr>
      <w:rFonts w:cs="Times New Roman"/>
    </w:rPr>
  </w:style>
  <w:style w:type="character" w:styleId="23">
    <w:name w:val="Hyperlink"/>
    <w:autoRedefine/>
    <w:qFormat/>
    <w:uiPriority w:val="0"/>
    <w:rPr>
      <w:color w:val="0000FF"/>
      <w:u w:val="single"/>
    </w:rPr>
  </w:style>
  <w:style w:type="character" w:customStyle="1" w:styleId="24">
    <w:name w:val="font51"/>
    <w:autoRedefine/>
    <w:qFormat/>
    <w:uiPriority w:val="0"/>
    <w:rPr>
      <w:rFonts w:hint="eastAsia" w:ascii="宋体" w:hAnsi="宋体" w:eastAsia="宋体"/>
      <w:color w:val="000000"/>
      <w:sz w:val="24"/>
      <w:szCs w:val="24"/>
      <w:u w:val="none"/>
    </w:rPr>
  </w:style>
  <w:style w:type="character" w:customStyle="1" w:styleId="25">
    <w:name w:val="font11"/>
    <w:basedOn w:val="21"/>
    <w:autoRedefine/>
    <w:qFormat/>
    <w:uiPriority w:val="0"/>
    <w:rPr>
      <w:rFonts w:hint="eastAsia" w:ascii="宋体" w:hAnsi="宋体" w:eastAsia="宋体"/>
      <w:color w:val="000000"/>
      <w:sz w:val="24"/>
      <w:szCs w:val="24"/>
      <w:u w:val="single"/>
    </w:rPr>
  </w:style>
  <w:style w:type="paragraph" w:customStyle="1" w:styleId="26">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文本缩进 New New"/>
    <w:basedOn w:val="1"/>
    <w:autoRedefine/>
    <w:qFormat/>
    <w:uiPriority w:val="0"/>
    <w:pPr>
      <w:spacing w:after="120"/>
      <w:ind w:left="420" w:leftChars="200"/>
    </w:pPr>
    <w:rPr>
      <w:rFonts w:ascii="Times New Roman" w:eastAsia="楷体_GB2312"/>
      <w:szCs w:val="20"/>
    </w:rPr>
  </w:style>
  <w:style w:type="paragraph" w:customStyle="1" w:styleId="29">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30">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1">
    <w:name w:val="文一"/>
    <w:basedOn w:val="1"/>
    <w:next w:val="1"/>
    <w:autoRedefine/>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32">
    <w:name w:val="正题"/>
    <w:basedOn w:val="31"/>
    <w:next w:val="31"/>
    <w:autoRedefine/>
    <w:qFormat/>
    <w:uiPriority w:val="0"/>
    <w:pPr>
      <w:ind w:firstLine="0" w:firstLineChars="0"/>
      <w:jc w:val="center"/>
    </w:pPr>
    <w:rPr>
      <w:rFonts w:eastAsia="黑体"/>
      <w:b/>
      <w:sz w:val="36"/>
      <w:szCs w:val="36"/>
    </w:rPr>
  </w:style>
  <w:style w:type="character" w:customStyle="1" w:styleId="33">
    <w:name w:val="标题 1 Char"/>
    <w:link w:val="3"/>
    <w:autoRedefine/>
    <w:qFormat/>
    <w:uiPriority w:val="0"/>
    <w:rPr>
      <w:kern w:val="44"/>
      <w:sz w:val="28"/>
      <w:szCs w:val="28"/>
    </w:rPr>
  </w:style>
  <w:style w:type="paragraph" w:customStyle="1" w:styleId="34">
    <w:name w:val="样式 宋体 四号 首行缩进:  2 字符"/>
    <w:basedOn w:val="1"/>
    <w:autoRedefine/>
    <w:qFormat/>
    <w:uiPriority w:val="0"/>
    <w:pPr>
      <w:widowControl/>
    </w:pPr>
    <w:rPr>
      <w:rFonts w:ascii="Times New Roman" w:hAnsi="Times New Roman" w:eastAsia="宋体" w:cs="宋体"/>
      <w:color w:val="000000"/>
      <w:kern w:val="0"/>
      <w:szCs w:val="20"/>
    </w:rPr>
  </w:style>
  <w:style w:type="paragraph" w:styleId="35">
    <w:name w:val="No Spacing"/>
    <w:basedOn w:val="1"/>
    <w:autoRedefine/>
    <w:qFormat/>
    <w:uiPriority w:val="0"/>
    <w:rPr>
      <w:sz w:val="22"/>
      <w:szCs w:val="20"/>
    </w:rPr>
  </w:style>
  <w:style w:type="paragraph" w:customStyle="1" w:styleId="36">
    <w:name w:val="PlainText"/>
    <w:basedOn w:val="1"/>
    <w:autoRedefine/>
    <w:qFormat/>
    <w:uiPriority w:val="0"/>
    <w:rPr>
      <w:rFonts w:ascii="宋体" w:hAnsi="Courier New"/>
      <w:kern w:val="0"/>
      <w:sz w:val="20"/>
      <w:szCs w:val="20"/>
    </w:rPr>
  </w:style>
  <w:style w:type="paragraph" w:customStyle="1" w:styleId="37">
    <w:name w:val="章节三"/>
    <w:basedOn w:val="31"/>
    <w:next w:val="1"/>
    <w:autoRedefine/>
    <w:qFormat/>
    <w:uiPriority w:val="0"/>
    <w:pPr>
      <w:spacing w:before="156" w:beforeLines="50" w:line="240" w:lineRule="auto"/>
      <w:ind w:firstLine="0" w:firstLineChars="0"/>
      <w:jc w:val="left"/>
      <w:outlineLvl w:val="2"/>
    </w:pPr>
    <w:rPr>
      <w:rFonts w:ascii="黑体" w:eastAsia="黑体"/>
      <w:b/>
    </w:rPr>
  </w:style>
  <w:style w:type="paragraph" w:customStyle="1" w:styleId="38">
    <w:name w:val="封二"/>
    <w:basedOn w:val="31"/>
    <w:next w:val="31"/>
    <w:autoRedefine/>
    <w:qFormat/>
    <w:uiPriority w:val="0"/>
    <w:pPr>
      <w:ind w:firstLine="0" w:firstLineChars="0"/>
      <w:jc w:val="center"/>
    </w:pPr>
    <w:rPr>
      <w:rFonts w:eastAsia="黑体"/>
      <w:b/>
      <w:sz w:val="36"/>
      <w:szCs w:val="36"/>
    </w:rPr>
  </w:style>
  <w:style w:type="paragraph" w:customStyle="1" w:styleId="39">
    <w:name w:val="封一"/>
    <w:basedOn w:val="31"/>
    <w:next w:val="31"/>
    <w:autoRedefine/>
    <w:qFormat/>
    <w:uiPriority w:val="0"/>
    <w:pPr>
      <w:ind w:firstLine="0" w:firstLineChars="0"/>
      <w:jc w:val="center"/>
    </w:pPr>
    <w:rPr>
      <w:rFonts w:eastAsia="黑体"/>
      <w:b/>
      <w:sz w:val="84"/>
      <w:szCs w:val="84"/>
    </w:rPr>
  </w:style>
  <w:style w:type="paragraph" w:customStyle="1" w:styleId="40">
    <w:name w:val="封四"/>
    <w:basedOn w:val="31"/>
    <w:next w:val="31"/>
    <w:autoRedefine/>
    <w:qFormat/>
    <w:uiPriority w:val="0"/>
    <w:pPr>
      <w:jc w:val="left"/>
    </w:pPr>
    <w:rPr>
      <w:sz w:val="30"/>
      <w:szCs w:val="30"/>
    </w:rPr>
  </w:style>
  <w:style w:type="paragraph" w:customStyle="1" w:styleId="41">
    <w:name w:val="Body Text Indent"/>
    <w:basedOn w:val="1"/>
    <w:autoRedefine/>
    <w:qFormat/>
    <w:uiPriority w:val="0"/>
    <w:pPr>
      <w:ind w:firstLine="480"/>
    </w:pPr>
    <w:rPr>
      <w:sz w:val="24"/>
      <w:szCs w:val="20"/>
    </w:rPr>
  </w:style>
  <w:style w:type="paragraph" w:customStyle="1" w:styleId="42">
    <w:name w:val="Body Text Indent 3"/>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4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5">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8">
    <w:name w:val="正文缩进 New"/>
    <w:basedOn w:val="47"/>
    <w:autoRedefine/>
    <w:qFormat/>
    <w:uiPriority w:val="0"/>
    <w:pPr>
      <w:ind w:firstLine="420"/>
    </w:pPr>
    <w:rPr>
      <w:rFonts w:ascii="Times New Roman" w:hAnsi="Times New Roman" w:cs="Times New Roman"/>
      <w:snapToGrid/>
      <w:kern w:val="2"/>
      <w:szCs w:val="20"/>
    </w:rPr>
  </w:style>
  <w:style w:type="paragraph" w:customStyle="1" w:styleId="49">
    <w:name w:val="正文文本缩进1"/>
    <w:basedOn w:val="1"/>
    <w:autoRedefine/>
    <w:qFormat/>
    <w:uiPriority w:val="0"/>
    <w:pPr>
      <w:ind w:firstLine="480"/>
    </w:pPr>
    <w:rPr>
      <w:sz w:val="24"/>
      <w:szCs w:val="20"/>
    </w:rPr>
  </w:style>
  <w:style w:type="paragraph" w:customStyle="1" w:styleId="50">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image" Target="media/image7.emf"/><Relationship Id="rId24" Type="http://schemas.openxmlformats.org/officeDocument/2006/relationships/image" Target="media/image6.emf"/><Relationship Id="rId23" Type="http://schemas.openxmlformats.org/officeDocument/2006/relationships/image" Target="media/image5.emf"/><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158</Pages>
  <Words>110768</Words>
  <Characters>115927</Characters>
  <Lines>0</Lines>
  <Paragraphs>0</Paragraphs>
  <TotalTime>21</TotalTime>
  <ScaleCrop>false</ScaleCrop>
  <LinksUpToDate>false</LinksUpToDate>
  <CharactersWithSpaces>121310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yang</cp:lastModifiedBy>
  <cp:lastPrinted>2024-04-26T09:34:00Z</cp:lastPrinted>
  <dcterms:modified xsi:type="dcterms:W3CDTF">2024-05-11T08:40:20Z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EA55D4466FCC45E88C25C76856579CA1_13</vt:lpwstr>
  </property>
</Properties>
</file>