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宋体" w:hAnsi="宋体"/>
          <w:b/>
          <w:sz w:val="32"/>
          <w:szCs w:val="28"/>
          <w:lang w:val="en-US" w:eastAsia="zh-CN"/>
        </w:rPr>
      </w:pPr>
      <w:r>
        <w:rPr>
          <w:rFonts w:hint="eastAsia" w:ascii="宋体" w:hAnsi="宋体"/>
          <w:b/>
          <w:sz w:val="32"/>
          <w:szCs w:val="28"/>
          <w:lang w:eastAsia="zh-CN"/>
        </w:rPr>
        <w:t>达安基因香山路19号地块厂区2号楼8层耗材与提取试剂生产部装修工程</w:t>
      </w:r>
      <w:r>
        <w:rPr>
          <w:rFonts w:hint="eastAsia" w:ascii="宋体" w:hAnsi="宋体"/>
          <w:b/>
          <w:sz w:val="32"/>
          <w:szCs w:val="28"/>
          <w:lang w:val="en-US" w:eastAsia="zh-CN"/>
        </w:rPr>
        <w:t>澄清公告</w:t>
      </w:r>
    </w:p>
    <w:p>
      <w:pPr>
        <w:spacing w:line="500" w:lineRule="exact"/>
        <w:jc w:val="center"/>
        <w:rPr>
          <w:rFonts w:hint="default" w:ascii="宋体" w:hAnsi="宋体" w:eastAsia="宋体"/>
          <w:b/>
          <w:sz w:val="32"/>
          <w:szCs w:val="28"/>
          <w:lang w:val="en-US" w:eastAsia="zh-CN"/>
        </w:rPr>
      </w:pPr>
      <w:r>
        <w:rPr>
          <w:rFonts w:hint="eastAsia" w:ascii="宋体" w:hAnsi="宋体"/>
          <w:b/>
          <w:sz w:val="32"/>
          <w:szCs w:val="28"/>
          <w:lang w:val="en-US" w:eastAsia="zh-CN"/>
        </w:rPr>
        <w:t>（招标编号：JG2024-2023）</w:t>
      </w:r>
    </w:p>
    <w:p>
      <w:pPr>
        <w:pStyle w:val="17"/>
      </w:pPr>
    </w:p>
    <w:p>
      <w:pPr>
        <w:spacing w:line="500" w:lineRule="exact"/>
        <w:rPr>
          <w:rFonts w:hint="eastAsia" w:ascii="宋体" w:hAnsi="Times New Roman" w:eastAsia="宋体" w:cs="宋体"/>
          <w:color w:val="000000"/>
          <w:kern w:val="0"/>
          <w:sz w:val="24"/>
          <w:szCs w:val="22"/>
          <w:lang w:val="en-US" w:eastAsia="zh-CN" w:bidi="ar-SA"/>
        </w:rPr>
      </w:pPr>
      <w:r>
        <w:rPr>
          <w:rFonts w:hint="eastAsia" w:ascii="宋体" w:hAnsi="Times New Roman" w:eastAsia="宋体" w:cs="宋体"/>
          <w:color w:val="000000"/>
          <w:kern w:val="0"/>
          <w:sz w:val="24"/>
          <w:szCs w:val="22"/>
          <w:lang w:val="en-US" w:eastAsia="zh-CN" w:bidi="ar-SA"/>
        </w:rPr>
        <w:t>各投标单位：</w:t>
      </w:r>
    </w:p>
    <w:p>
      <w:pPr>
        <w:pStyle w:val="17"/>
        <w:rPr>
          <w:rFonts w:hint="eastAsia"/>
        </w:rPr>
      </w:pPr>
      <w:r>
        <w:rPr>
          <w:rFonts w:hint="eastAsia"/>
          <w:lang w:eastAsia="zh-CN"/>
        </w:rPr>
        <w:t>达安基因香山路19号地块厂区2号楼8层耗材与提取试剂生产部装修工程</w:t>
      </w:r>
      <w:r>
        <w:rPr>
          <w:rFonts w:hint="eastAsia"/>
        </w:rPr>
        <w:t>【项目编号：</w:t>
      </w:r>
      <w:r>
        <w:rPr>
          <w:rFonts w:hint="eastAsia"/>
          <w:lang w:eastAsia="zh-CN"/>
        </w:rPr>
        <w:t>JG2024-2023</w:t>
      </w:r>
      <w:r>
        <w:rPr>
          <w:rFonts w:hint="eastAsia"/>
        </w:rPr>
        <w:t>】作如下招标答疑及澄清修改(简称澄清文件)公布，除特别声明外，当招标文件(含澄清文件)在同一内容的表述上不一致时，以最后发出的文件为准。</w:t>
      </w:r>
    </w:p>
    <w:p>
      <w:pPr>
        <w:pStyle w:val="17"/>
        <w:ind w:left="0" w:leftChars="0" w:firstLine="480" w:firstLineChars="200"/>
        <w:rPr>
          <w:rFonts w:hint="eastAsia"/>
        </w:rPr>
      </w:pPr>
      <w:r>
        <w:rPr>
          <w:rFonts w:hint="eastAsia"/>
          <w:lang w:val="en-US" w:eastAsia="zh-CN"/>
        </w:rPr>
        <w:t>一、</w:t>
      </w:r>
      <w:r>
        <w:rPr>
          <w:rFonts w:hint="eastAsia"/>
        </w:rPr>
        <w:t>招标公告及招标文件答疑及澄清修改如下：</w:t>
      </w:r>
    </w:p>
    <w:tbl>
      <w:tblPr>
        <w:tblStyle w:val="18"/>
        <w:tblW w:w="6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1566"/>
        <w:gridCol w:w="4188"/>
        <w:gridCol w:w="4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258" w:type="pct"/>
            <w:shd w:val="clear" w:color="auto" w:fill="auto"/>
            <w:noWrap/>
            <w:tcMar>
              <w:top w:w="12" w:type="dxa"/>
              <w:left w:w="12" w:type="dxa"/>
              <w:right w:w="12" w:type="dxa"/>
            </w:tcMar>
            <w:vAlign w:val="center"/>
          </w:tcPr>
          <w:p>
            <w:pPr>
              <w:widowControl/>
              <w:jc w:val="center"/>
              <w:textAlignment w:val="bottom"/>
              <w:rPr>
                <w:rFonts w:ascii="宋体" w:hAnsi="宋体" w:cs="宋体"/>
                <w:b w:val="0"/>
                <w:bCs/>
                <w:color w:val="auto"/>
                <w:szCs w:val="21"/>
              </w:rPr>
            </w:pPr>
            <w:r>
              <w:rPr>
                <w:rFonts w:hint="eastAsia" w:ascii="宋体" w:hAnsi="宋体" w:cs="宋体"/>
                <w:b w:val="0"/>
                <w:bCs/>
                <w:color w:val="auto"/>
                <w:kern w:val="0"/>
                <w:szCs w:val="21"/>
                <w:lang w:bidi="ar"/>
              </w:rPr>
              <w:t>序号</w:t>
            </w:r>
          </w:p>
        </w:tc>
        <w:tc>
          <w:tcPr>
            <w:tcW w:w="735" w:type="pct"/>
            <w:shd w:val="clear" w:color="auto" w:fill="auto"/>
            <w:noWrap/>
            <w:tcMar>
              <w:top w:w="12" w:type="dxa"/>
              <w:left w:w="12" w:type="dxa"/>
              <w:right w:w="12" w:type="dxa"/>
            </w:tcMar>
            <w:vAlign w:val="center"/>
          </w:tcPr>
          <w:p>
            <w:pPr>
              <w:widowControl/>
              <w:jc w:val="center"/>
              <w:textAlignment w:val="bottom"/>
              <w:rPr>
                <w:rFonts w:hint="eastAsia" w:ascii="宋体" w:hAnsi="宋体" w:cs="宋体"/>
                <w:b w:val="0"/>
                <w:bCs/>
                <w:color w:val="auto"/>
                <w:kern w:val="0"/>
                <w:szCs w:val="21"/>
                <w:lang w:bidi="ar"/>
              </w:rPr>
            </w:pPr>
            <w:r>
              <w:rPr>
                <w:rFonts w:hint="eastAsia" w:ascii="宋体" w:hAnsi="宋体" w:cs="宋体"/>
                <w:b w:val="0"/>
                <w:bCs/>
                <w:color w:val="auto"/>
                <w:kern w:val="0"/>
                <w:szCs w:val="21"/>
                <w:lang w:bidi="ar"/>
              </w:rPr>
              <w:t>条款号</w:t>
            </w:r>
          </w:p>
        </w:tc>
        <w:tc>
          <w:tcPr>
            <w:tcW w:w="1966" w:type="pct"/>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b w:val="0"/>
                <w:bCs/>
                <w:color w:val="auto"/>
                <w:szCs w:val="21"/>
                <w:lang w:eastAsia="zh-CN"/>
              </w:rPr>
            </w:pPr>
            <w:r>
              <w:rPr>
                <w:rFonts w:hint="eastAsia" w:ascii="宋体" w:hAnsi="宋体" w:cs="宋体"/>
                <w:b w:val="0"/>
                <w:bCs/>
                <w:color w:val="auto"/>
                <w:kern w:val="0"/>
                <w:szCs w:val="21"/>
                <w:lang w:val="en-US" w:eastAsia="zh-CN" w:bidi="ar"/>
              </w:rPr>
              <w:t>原文</w:t>
            </w:r>
          </w:p>
        </w:tc>
        <w:tc>
          <w:tcPr>
            <w:tcW w:w="2040" w:type="pct"/>
            <w:shd w:val="clear" w:color="auto" w:fill="auto"/>
            <w:noWrap/>
            <w:tcMar>
              <w:top w:w="12" w:type="dxa"/>
              <w:left w:w="12" w:type="dxa"/>
              <w:right w:w="12" w:type="dxa"/>
            </w:tcMar>
            <w:vAlign w:val="center"/>
          </w:tcPr>
          <w:p>
            <w:pPr>
              <w:widowControl/>
              <w:jc w:val="center"/>
              <w:textAlignment w:val="bottom"/>
              <w:rPr>
                <w:rFonts w:hint="default"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258" w:type="pct"/>
            <w:shd w:val="clear" w:color="auto" w:fill="auto"/>
            <w:noWrap/>
            <w:tcMar>
              <w:top w:w="12" w:type="dxa"/>
              <w:left w:w="12" w:type="dxa"/>
              <w:right w:w="12" w:type="dxa"/>
            </w:tcMar>
            <w:vAlign w:val="center"/>
          </w:tcPr>
          <w:p>
            <w:pPr>
              <w:widowControl/>
              <w:jc w:val="center"/>
              <w:textAlignment w:val="bottom"/>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kern w:val="0"/>
                <w:szCs w:val="21"/>
                <w:lang w:bidi="ar"/>
              </w:rPr>
              <w:t>1</w:t>
            </w:r>
          </w:p>
        </w:tc>
        <w:tc>
          <w:tcPr>
            <w:tcW w:w="735" w:type="pct"/>
            <w:shd w:val="clear" w:color="auto" w:fill="auto"/>
            <w:noWrap/>
            <w:tcMar>
              <w:top w:w="12" w:type="dxa"/>
              <w:left w:w="12" w:type="dxa"/>
              <w:right w:w="12" w:type="dxa"/>
            </w:tcMar>
            <w:vAlign w:val="center"/>
          </w:tcPr>
          <w:p>
            <w:pPr>
              <w:widowControl/>
              <w:jc w:val="center"/>
              <w:textAlignment w:val="bottom"/>
              <w:rPr>
                <w:rFonts w:hint="default" w:ascii="宋体" w:hAnsi="宋体" w:eastAsia="宋体" w:cs="宋体"/>
                <w:b w:val="0"/>
                <w:bCs/>
                <w:color w:val="auto"/>
                <w:kern w:val="0"/>
                <w:szCs w:val="21"/>
                <w:lang w:val="en-US" w:eastAsia="zh-CN" w:bidi="ar"/>
              </w:rPr>
            </w:pPr>
            <w:r>
              <w:rPr>
                <w:rFonts w:hint="eastAsia" w:ascii="宋体" w:hAnsi="宋体" w:cs="宋体"/>
                <w:b w:val="0"/>
                <w:bCs/>
                <w:color w:val="auto"/>
                <w:szCs w:val="21"/>
                <w:highlight w:val="none"/>
                <w:lang w:val="en-US" w:eastAsia="zh-CN"/>
              </w:rPr>
              <w:t>招标文件第二章-技术标详细审查评分表第一条-</w:t>
            </w:r>
            <w:r>
              <w:rPr>
                <w:rFonts w:hint="eastAsia" w:ascii="宋体" w:hAnsi="宋体" w:cs="宋体"/>
                <w:b w:val="0"/>
                <w:bCs/>
                <w:color w:val="auto"/>
                <w:highlight w:val="none"/>
              </w:rPr>
              <w:t>项目管理机构</w:t>
            </w:r>
          </w:p>
        </w:tc>
        <w:tc>
          <w:tcPr>
            <w:tcW w:w="1966" w:type="pct"/>
            <w:shd w:val="clear" w:color="auto" w:fill="auto"/>
            <w:noWrap/>
            <w:tcMar>
              <w:top w:w="12" w:type="dxa"/>
              <w:left w:w="12" w:type="dxa"/>
              <w:right w:w="12" w:type="dxa"/>
            </w:tcMar>
            <w:vAlign w:val="center"/>
          </w:tcPr>
          <w:p>
            <w:pPr>
              <w:pStyle w:val="10"/>
              <w:spacing w:line="280" w:lineRule="atLeast"/>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投标人（联合体投标的，指联合体主办方）项目管理机构人员配备满足《项目管理部组成人员配备基本要求表》的得基础分4分，不满足《项目管理部组成人员配备基本要求表》的得0分。在此基础上：</w:t>
            </w:r>
          </w:p>
          <w:p>
            <w:pPr>
              <w:snapToGrid w:val="0"/>
              <w:spacing w:line="280" w:lineRule="atLeast"/>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（1）技术负责人(本项最高加8分)：</w:t>
            </w:r>
          </w:p>
          <w:p>
            <w:pPr>
              <w:snapToGrid w:val="0"/>
              <w:spacing w:line="280" w:lineRule="atLeast"/>
              <w:ind w:firstLine="420" w:firstLineChars="200"/>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①取得建筑装饰施工类高级工程师职称职称证书10年以下的，加4分；②具有建筑装饰施工类高级工程师职称，取得该职称证书10年（含）以上或建筑装饰施工类正高（教授）级工程师职称的，加8分；</w:t>
            </w:r>
          </w:p>
          <w:p>
            <w:pPr>
              <w:snapToGrid w:val="0"/>
              <w:spacing w:line="280" w:lineRule="atLeast"/>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（2）质量负责人(本项最高加8分)：</w:t>
            </w:r>
          </w:p>
          <w:p>
            <w:pPr>
              <w:snapToGrid w:val="0"/>
              <w:spacing w:line="280" w:lineRule="atLeast"/>
              <w:ind w:firstLine="420" w:firstLineChars="200"/>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①取得建筑装饰施工类高级工程师职称职称证书10年以下的，加4分；②具有建筑装饰施工类高级工程师职称，取得该职称证书10年（含）以上或建筑装饰施工类正高（教授）级工程师职称的，加8分；</w:t>
            </w:r>
          </w:p>
          <w:p>
            <w:pPr>
              <w:snapToGrid w:val="0"/>
              <w:spacing w:line="280" w:lineRule="atLeast"/>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（3）造价负责人(本项最高加10分)：</w:t>
            </w:r>
          </w:p>
          <w:p>
            <w:pPr>
              <w:snapToGrid w:val="0"/>
              <w:spacing w:line="280" w:lineRule="atLeast"/>
              <w:ind w:firstLine="420" w:firstLineChars="200"/>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拟投入的2名造价负责人①具有工程造价类高级工程师职称的，取得该职称证书8年以下的，每有一人加2分； ②具有工程造价类高级工程师职称的，取得该职称证书8年（含）以上或工程造价类正高（教授）级工程师职称的，每有一人加5分；</w:t>
            </w:r>
          </w:p>
          <w:p>
            <w:pPr>
              <w:snapToGrid w:val="0"/>
              <w:spacing w:line="280" w:lineRule="atLeast"/>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（4）安全负责人(本项最高加5分)：</w:t>
            </w:r>
          </w:p>
          <w:p>
            <w:pPr>
              <w:snapToGrid w:val="0"/>
              <w:spacing w:line="280" w:lineRule="atLeast"/>
              <w:ind w:firstLine="420" w:firstLineChars="200"/>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具有建筑装饰施工类高级工程师（或以上）职称及安全生产考核合格证（C类或C3类）的，加5分。</w:t>
            </w:r>
          </w:p>
          <w:p>
            <w:pPr>
              <w:snapToGrid w:val="0"/>
              <w:spacing w:line="280" w:lineRule="atLeast"/>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（5）装修工程师(本项最高加20分)：</w:t>
            </w:r>
          </w:p>
          <w:p>
            <w:pPr>
              <w:snapToGrid w:val="0"/>
              <w:spacing w:line="280" w:lineRule="atLeast"/>
              <w:ind w:firstLine="420" w:firstLineChars="200"/>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拟投入的5名装修工程师①取得建筑装饰施工类高级工程师职称职称证书8年以下的，每有一人加2分；②具有建筑装饰施工类高级工程师职称，取得该职称证书8年（含）以上或建筑装饰施工类正高（教授）级工程师职称的，每有一人加4分；</w:t>
            </w:r>
          </w:p>
          <w:p>
            <w:pPr>
              <w:snapToGrid w:val="0"/>
              <w:spacing w:line="280" w:lineRule="atLeast"/>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（6）深化设计工程师(本项最高加6分)：</w:t>
            </w:r>
          </w:p>
          <w:p>
            <w:pPr>
              <w:snapToGrid w:val="0"/>
              <w:spacing w:line="280" w:lineRule="atLeast"/>
              <w:ind w:firstLine="420" w:firstLineChars="200"/>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具有建筑装饰设计类高级工程师（或以上）职称的，每人加3分；</w:t>
            </w:r>
          </w:p>
          <w:p>
            <w:pPr>
              <w:snapToGrid w:val="0"/>
              <w:spacing w:line="280" w:lineRule="atLeast"/>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（7）电气工程师(本项最高加3分)：</w:t>
            </w:r>
          </w:p>
          <w:p>
            <w:pPr>
              <w:snapToGrid w:val="0"/>
              <w:spacing w:line="280" w:lineRule="atLeast"/>
              <w:ind w:firstLine="420" w:firstLineChars="200"/>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具有建筑电气安装类高级工程师（或以上）职称的，加3分；</w:t>
            </w:r>
          </w:p>
          <w:p>
            <w:pPr>
              <w:snapToGrid w:val="0"/>
              <w:spacing w:line="280" w:lineRule="atLeast"/>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（8）智能化工程师(本项最高加3分)：</w:t>
            </w:r>
          </w:p>
          <w:p>
            <w:pPr>
              <w:snapToGrid w:val="0"/>
              <w:spacing w:line="280" w:lineRule="atLeast"/>
              <w:ind w:firstLine="420" w:firstLineChars="200"/>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具有建筑智能化类高级工程师（或以上）职称的，加3分；</w:t>
            </w:r>
          </w:p>
          <w:p>
            <w:pPr>
              <w:snapToGrid w:val="0"/>
              <w:spacing w:line="280" w:lineRule="atLeast"/>
              <w:rPr>
                <w:rFonts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（9）材料工程师(本项最高加3分)：</w:t>
            </w:r>
          </w:p>
          <w:p>
            <w:pPr>
              <w:spacing w:line="240" w:lineRule="auto"/>
              <w:rPr>
                <w:rFonts w:hint="eastAsia" w:ascii="宋体" w:hAnsi="宋体" w:eastAsia="宋体" w:cs="宋体"/>
                <w:b w:val="0"/>
                <w:bCs/>
                <w:color w:val="auto"/>
                <w:szCs w:val="21"/>
                <w:highlight w:val="none"/>
                <w:lang w:val="en-US" w:eastAsia="zh-CN"/>
              </w:rPr>
            </w:pPr>
            <w:r>
              <w:rPr>
                <w:rFonts w:hint="eastAsia" w:asciiTheme="minorEastAsia" w:hAnsiTheme="minorEastAsia" w:eastAsiaTheme="minorEastAsia" w:cstheme="minorEastAsia"/>
                <w:b w:val="0"/>
                <w:bCs/>
                <w:color w:val="auto"/>
                <w:highlight w:val="none"/>
              </w:rPr>
              <w:t>具有建筑材料类高级工程师（或以上）职称的，加3分；</w:t>
            </w:r>
          </w:p>
        </w:tc>
        <w:tc>
          <w:tcPr>
            <w:tcW w:w="2040" w:type="pct"/>
            <w:shd w:val="clear" w:color="auto" w:fill="auto"/>
            <w:noWrap/>
            <w:tcMar>
              <w:top w:w="12" w:type="dxa"/>
              <w:left w:w="12" w:type="dxa"/>
              <w:right w:w="12" w:type="dxa"/>
            </w:tcMar>
            <w:vAlign w:val="center"/>
          </w:tcPr>
          <w:p>
            <w:pPr>
              <w:pStyle w:val="10"/>
              <w:spacing w:line="280" w:lineRule="atLeast"/>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投标人（联合体投标的，指联合体主办方）项目管理机构人员配备满足《项目管理部组成人员配备基本要求表》的得基础分16分，不满足《项目管理部组成人员配备基本要求表》的得0分。在此基础上：</w:t>
            </w:r>
          </w:p>
          <w:p>
            <w:pPr>
              <w:snapToGrid w:val="0"/>
              <w:spacing w:line="280" w:lineRule="atLeast"/>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（1）技术负责人(本项最高加10分)：</w:t>
            </w:r>
          </w:p>
          <w:p>
            <w:pPr>
              <w:snapToGrid w:val="0"/>
              <w:spacing w:line="280" w:lineRule="atLeast"/>
              <w:ind w:firstLine="42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①取得建筑装饰施工类高级工程师职称职称证书10年以下的，加5分；②具有建筑装饰施工类高级工程师职称，取得该职称证书10年（含）以上或建筑装饰施工类正高（教授）级工程师职称的，加10分；</w:t>
            </w:r>
          </w:p>
          <w:p>
            <w:pPr>
              <w:snapToGrid w:val="0"/>
              <w:spacing w:line="280" w:lineRule="atLeast"/>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（2）质量负责人(本项最高加10分)：</w:t>
            </w:r>
          </w:p>
          <w:p>
            <w:pPr>
              <w:snapToGrid w:val="0"/>
              <w:spacing w:line="280" w:lineRule="atLeast"/>
              <w:ind w:firstLine="42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①取得建筑装饰施工类高级工程师职称职称证书10年以下的，加5分；②具有建筑装饰施工类高级工程师职称，取得该职称证书10年（含）以上或建筑装饰施工类正高（教授）级工程师职称的，加10分；</w:t>
            </w:r>
          </w:p>
          <w:p>
            <w:pPr>
              <w:snapToGrid w:val="0"/>
              <w:spacing w:line="280" w:lineRule="atLeast"/>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（3）造价负责人(本项最高加10分)：</w:t>
            </w:r>
          </w:p>
          <w:p>
            <w:pPr>
              <w:snapToGrid w:val="0"/>
              <w:spacing w:line="280" w:lineRule="atLeast"/>
              <w:ind w:firstLine="42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①具有工程造价类高级工程师职称的，取得该职称证书8年以下的，加5分； ②具有工程造价类高级工程师职称的，取得该职称证书8年（含）以上或工程造价类正高（教授）级工程师职称的，加10分；</w:t>
            </w:r>
          </w:p>
          <w:p>
            <w:pPr>
              <w:snapToGrid w:val="0"/>
              <w:spacing w:line="280" w:lineRule="atLeast"/>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（4）安全负责人(本项最高加10分)：</w:t>
            </w:r>
          </w:p>
          <w:p>
            <w:pPr>
              <w:snapToGrid w:val="0"/>
              <w:spacing w:line="280" w:lineRule="atLeast"/>
              <w:ind w:firstLine="42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具有建筑装饰施工类高级工程师（或以上）职称及安全生产考核合格证（C类或C3类）的，加10分。</w:t>
            </w:r>
          </w:p>
          <w:p>
            <w:pPr>
              <w:snapToGrid w:val="0"/>
              <w:spacing w:line="280" w:lineRule="atLeast"/>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（5）装修工程师(本项最高加6分，最多计算3人)：</w:t>
            </w:r>
          </w:p>
          <w:p>
            <w:pPr>
              <w:snapToGrid w:val="0"/>
              <w:spacing w:line="280" w:lineRule="atLeast"/>
              <w:ind w:firstLine="42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具有建筑装饰施工类高级工程师（或以上）职称的，每一人加2分；</w:t>
            </w:r>
          </w:p>
          <w:p>
            <w:pPr>
              <w:snapToGrid w:val="0"/>
              <w:spacing w:line="280" w:lineRule="atLeast"/>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（6）深化设计工程师(本项最高加2分)：</w:t>
            </w:r>
          </w:p>
          <w:p>
            <w:pPr>
              <w:snapToGrid w:val="0"/>
              <w:spacing w:line="280" w:lineRule="atLeast"/>
              <w:ind w:firstLine="42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具有建筑装饰设计类高级工程师（或以上）职称的，加2分；</w:t>
            </w:r>
          </w:p>
          <w:p>
            <w:pPr>
              <w:snapToGrid w:val="0"/>
              <w:spacing w:line="280" w:lineRule="atLeast"/>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（7）智能化工程师(本项最高加2分)：</w:t>
            </w:r>
          </w:p>
          <w:p>
            <w:pPr>
              <w:snapToGrid w:val="0"/>
              <w:spacing w:line="280" w:lineRule="atLeast"/>
              <w:ind w:firstLine="420" w:firstLineChars="200"/>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具有建筑智能化类高级工程师（或以上）职称的，加2分；</w:t>
            </w:r>
          </w:p>
          <w:p>
            <w:pPr>
              <w:snapToGrid w:val="0"/>
              <w:spacing w:line="280" w:lineRule="atLeast"/>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（8）材料工程师(本项最高加2分)：</w:t>
            </w:r>
          </w:p>
          <w:p>
            <w:pPr>
              <w:pStyle w:val="2"/>
              <w:rPr>
                <w:b w:val="0"/>
                <w:bCs/>
                <w:color w:val="auto"/>
              </w:rPr>
            </w:pPr>
            <w:r>
              <w:rPr>
                <w:rFonts w:hint="eastAsia" w:asciiTheme="minorEastAsia" w:hAnsiTheme="minorEastAsia" w:eastAsiaTheme="minorEastAsia" w:cstheme="minorEastAsia"/>
                <w:b w:val="0"/>
                <w:bCs/>
                <w:color w:val="auto"/>
              </w:rPr>
              <w:t>具有建筑材料类高级工程师（或以上）职称的，加2分；</w:t>
            </w:r>
          </w:p>
          <w:p>
            <w:pPr>
              <w:snapToGrid w:val="0"/>
              <w:spacing w:line="280" w:lineRule="atLeast"/>
              <w:rPr>
                <w:rFonts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（9）造价工程师(本项最高加2分)：</w:t>
            </w:r>
          </w:p>
          <w:p>
            <w:pPr>
              <w:spacing w:line="240" w:lineRule="auto"/>
              <w:rPr>
                <w:rFonts w:hint="eastAsia" w:ascii="宋体" w:hAnsi="宋体" w:eastAsia="宋体" w:cs="宋体"/>
                <w:b w:val="0"/>
                <w:bCs/>
                <w:color w:val="auto"/>
                <w:szCs w:val="21"/>
                <w:highlight w:val="none"/>
                <w:lang w:val="en-US" w:eastAsia="zh-CN"/>
              </w:rPr>
            </w:pPr>
            <w:r>
              <w:rPr>
                <w:rFonts w:hint="eastAsia" w:asciiTheme="minorEastAsia" w:hAnsiTheme="minorEastAsia" w:eastAsiaTheme="minorEastAsia" w:cstheme="minorEastAsia"/>
                <w:b w:val="0"/>
                <w:bCs/>
                <w:color w:val="auto"/>
              </w:rPr>
              <w:t>具有工程造价类高级工程师（或以上）职称的，加2分；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258" w:type="pct"/>
            <w:shd w:val="clear" w:color="auto" w:fill="auto"/>
            <w:tcMar>
              <w:top w:w="12" w:type="dxa"/>
              <w:left w:w="12" w:type="dxa"/>
              <w:right w:w="12" w:type="dxa"/>
            </w:tcMar>
            <w:vAlign w:val="center"/>
          </w:tcPr>
          <w:p>
            <w:pPr>
              <w:widowControl/>
              <w:jc w:val="center"/>
              <w:textAlignment w:val="bottom"/>
              <w:rPr>
                <w:rFonts w:hint="eastAsia" w:ascii="宋体" w:hAnsi="宋体" w:eastAsia="宋体" w:cs="宋体"/>
                <w:b w:val="0"/>
                <w:bCs/>
                <w:color w:val="auto"/>
                <w:kern w:val="0"/>
                <w:sz w:val="21"/>
                <w:szCs w:val="21"/>
                <w:lang w:val="en-US" w:eastAsia="zh-CN" w:bidi="ar"/>
              </w:rPr>
            </w:pPr>
            <w:r>
              <w:rPr>
                <w:rFonts w:hint="eastAsia" w:ascii="宋体" w:hAnsi="宋体" w:cs="宋体"/>
                <w:b w:val="0"/>
                <w:bCs/>
                <w:color w:val="auto"/>
                <w:kern w:val="0"/>
                <w:szCs w:val="21"/>
                <w:lang w:val="en-US" w:eastAsia="zh-CN" w:bidi="ar"/>
              </w:rPr>
              <w:t>2</w:t>
            </w:r>
          </w:p>
        </w:tc>
        <w:tc>
          <w:tcPr>
            <w:tcW w:w="735" w:type="pct"/>
            <w:shd w:val="clear" w:color="auto" w:fill="auto"/>
            <w:tcMar>
              <w:top w:w="12" w:type="dxa"/>
              <w:left w:w="12" w:type="dxa"/>
              <w:right w:w="12" w:type="dxa"/>
            </w:tcMar>
            <w:vAlign w:val="center"/>
          </w:tcPr>
          <w:p>
            <w:pPr>
              <w:widowControl/>
              <w:jc w:val="left"/>
              <w:textAlignment w:val="bottom"/>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招标文件第二章-《项目管理部组成人员配备基本要求表》</w:t>
            </w:r>
          </w:p>
        </w:tc>
        <w:tc>
          <w:tcPr>
            <w:tcW w:w="4006" w:type="pct"/>
            <w:gridSpan w:val="2"/>
            <w:shd w:val="clear" w:color="auto" w:fill="auto"/>
            <w:tcMar>
              <w:top w:w="12" w:type="dxa"/>
              <w:left w:w="12" w:type="dxa"/>
              <w:right w:w="12" w:type="dxa"/>
            </w:tcMar>
            <w:vAlign w:val="center"/>
          </w:tcPr>
          <w:p>
            <w:pPr>
              <w:spacing w:line="240" w:lineRule="auto"/>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以本澄清公告附件1为准。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258" w:type="pct"/>
            <w:shd w:val="clear" w:color="auto" w:fill="auto"/>
            <w:tcMar>
              <w:top w:w="12" w:type="dxa"/>
              <w:left w:w="12" w:type="dxa"/>
              <w:right w:w="12" w:type="dxa"/>
            </w:tcMar>
            <w:vAlign w:val="center"/>
          </w:tcPr>
          <w:p>
            <w:pPr>
              <w:widowControl/>
              <w:jc w:val="center"/>
              <w:textAlignment w:val="bottom"/>
              <w:rPr>
                <w:rFonts w:hint="default" w:ascii="宋体" w:hAnsi="宋体" w:cs="宋体"/>
                <w:b w:val="0"/>
                <w:bCs/>
                <w:color w:val="auto"/>
                <w:kern w:val="0"/>
                <w:szCs w:val="21"/>
                <w:lang w:val="en-US" w:eastAsia="zh-CN" w:bidi="ar"/>
              </w:rPr>
            </w:pPr>
            <w:r>
              <w:rPr>
                <w:rFonts w:hint="eastAsia" w:ascii="宋体" w:hAnsi="宋体" w:cs="宋体"/>
                <w:b w:val="0"/>
                <w:bCs/>
                <w:color w:val="auto"/>
                <w:kern w:val="0"/>
                <w:szCs w:val="21"/>
                <w:lang w:val="en-US" w:eastAsia="zh-CN" w:bidi="ar"/>
              </w:rPr>
              <w:t>3</w:t>
            </w:r>
          </w:p>
        </w:tc>
        <w:tc>
          <w:tcPr>
            <w:tcW w:w="735" w:type="pct"/>
            <w:shd w:val="clear" w:color="auto" w:fill="auto"/>
            <w:tcMar>
              <w:top w:w="12" w:type="dxa"/>
              <w:left w:w="12" w:type="dxa"/>
              <w:right w:w="12" w:type="dxa"/>
            </w:tcMar>
            <w:vAlign w:val="center"/>
          </w:tcPr>
          <w:p>
            <w:pPr>
              <w:widowControl/>
              <w:jc w:val="left"/>
              <w:textAlignment w:val="bottom"/>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替换本项目投资项目备案证</w:t>
            </w:r>
          </w:p>
        </w:tc>
        <w:tc>
          <w:tcPr>
            <w:tcW w:w="4006" w:type="pct"/>
            <w:gridSpan w:val="2"/>
            <w:shd w:val="clear" w:color="auto" w:fill="auto"/>
            <w:tcMar>
              <w:top w:w="12" w:type="dxa"/>
              <w:left w:w="12" w:type="dxa"/>
              <w:right w:w="12" w:type="dxa"/>
            </w:tcMar>
            <w:vAlign w:val="center"/>
          </w:tcPr>
          <w:p>
            <w:pPr>
              <w:spacing w:line="240" w:lineRule="auto"/>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本项目的广东省企业投资项目备案证以本澄清附件2为准。</w:t>
            </w:r>
          </w:p>
        </w:tc>
      </w:tr>
    </w:tbl>
    <w:p>
      <w:pPr>
        <w:pStyle w:val="17"/>
        <w:rPr>
          <w:rFonts w:hint="eastAsia"/>
        </w:rPr>
      </w:pPr>
    </w:p>
    <w:p>
      <w:pPr>
        <w:pStyle w:val="17"/>
        <w:numPr>
          <w:ilvl w:val="0"/>
          <w:numId w:val="1"/>
        </w:numPr>
        <w:ind w:firstLine="480" w:firstLineChars="200"/>
        <w:rPr>
          <w:rFonts w:ascii="宋体" w:hAnsi="宋体"/>
          <w:szCs w:val="21"/>
        </w:rPr>
      </w:pPr>
      <w:r>
        <w:rPr>
          <w:rFonts w:hint="eastAsia" w:ascii="宋体" w:hAnsi="宋体"/>
          <w:kern w:val="44"/>
          <w:szCs w:val="21"/>
        </w:rPr>
        <w:t xml:space="preserve">  本项目原定的递交投标文件时间及开标时间和场地安排等作相应调整。具体时间和场地安排请各投标人密切留意广州公共资源交易中心公布的本项目的日程安排，投标人可登录广州公共资源交易中心网站首页，点击“交易业务-建设工程”专栏中的“项目查询（日程安排、答疑纪要）”，输入项目编号或项目名称查询最新信息。</w:t>
      </w:r>
    </w:p>
    <w:p>
      <w:pPr>
        <w:pStyle w:val="17"/>
        <w:numPr>
          <w:ilvl w:val="0"/>
          <w:numId w:val="1"/>
        </w:numPr>
        <w:ind w:firstLine="480" w:firstLineChars="200"/>
      </w:pPr>
      <w:r>
        <w:rPr>
          <w:rFonts w:hint="eastAsia"/>
          <w:lang w:val="en-US" w:eastAsia="zh-CN"/>
        </w:rPr>
        <w:t>原招标文件的内容与本补充公告发布的内容不一致之处的，以本澄清公告内容为准，本澄清公告为招标文件的组成部分，如对同一事项的表述与之前所发出的招标文件不符，则以本澄清公告为准，其他内容不变。</w:t>
      </w:r>
    </w:p>
    <w:p>
      <w:pPr>
        <w:spacing w:line="360" w:lineRule="exact"/>
        <w:ind w:right="1050"/>
        <w:jc w:val="right"/>
        <w:rPr>
          <w:rFonts w:hint="eastAsia" w:ascii="宋体" w:hAnsi="Times New Roman" w:eastAsia="宋体" w:cs="宋体"/>
          <w:color w:val="000000"/>
          <w:kern w:val="0"/>
          <w:sz w:val="24"/>
          <w:szCs w:val="22"/>
          <w:lang w:val="en-US" w:eastAsia="zh-CN" w:bidi="ar-SA"/>
        </w:rPr>
      </w:pPr>
    </w:p>
    <w:p>
      <w:pPr>
        <w:spacing w:line="360" w:lineRule="exact"/>
        <w:ind w:right="-94" w:rightChars="0" w:firstLine="3360" w:firstLineChars="1400"/>
        <w:jc w:val="left"/>
        <w:rPr>
          <w:rFonts w:hint="eastAsia" w:ascii="宋体" w:hAnsi="Times New Roman" w:eastAsia="宋体" w:cs="宋体"/>
          <w:color w:val="000000"/>
          <w:kern w:val="0"/>
          <w:sz w:val="24"/>
          <w:szCs w:val="22"/>
          <w:lang w:val="en-US" w:eastAsia="zh-CN" w:bidi="ar-SA"/>
        </w:rPr>
      </w:pPr>
      <w:r>
        <w:rPr>
          <w:rFonts w:hint="eastAsia" w:ascii="宋体" w:hAnsi="Times New Roman" w:eastAsia="宋体" w:cs="宋体"/>
          <w:color w:val="000000"/>
          <w:kern w:val="0"/>
          <w:sz w:val="24"/>
          <w:szCs w:val="22"/>
          <w:lang w:val="en-US" w:eastAsia="zh-CN" w:bidi="ar-SA"/>
        </w:rPr>
        <w:t>招标单位：</w:t>
      </w:r>
      <w:r>
        <w:rPr>
          <w:rFonts w:hint="eastAsia" w:ascii="宋体" w:cs="宋体"/>
          <w:color w:val="000000"/>
          <w:kern w:val="0"/>
          <w:sz w:val="24"/>
          <w:szCs w:val="22"/>
          <w:lang w:val="en-US" w:eastAsia="zh-CN" w:bidi="ar-SA"/>
        </w:rPr>
        <w:t xml:space="preserve">广州达安基因股份有限公司 </w:t>
      </w:r>
    </w:p>
    <w:p>
      <w:pPr>
        <w:spacing w:line="360" w:lineRule="exact"/>
        <w:ind w:right="420" w:firstLine="5040" w:firstLineChars="2100"/>
        <w:rPr>
          <w:rFonts w:ascii="宋体" w:hAnsi="宋体" w:cs="宋体"/>
          <w:sz w:val="28"/>
          <w:szCs w:val="28"/>
        </w:rPr>
      </w:pPr>
      <w:r>
        <w:rPr>
          <w:rFonts w:hint="eastAsia" w:ascii="宋体" w:hAnsi="Times New Roman" w:eastAsia="宋体" w:cs="宋体"/>
          <w:color w:val="000000"/>
          <w:kern w:val="0"/>
          <w:sz w:val="24"/>
          <w:szCs w:val="22"/>
          <w:lang w:val="en-US" w:eastAsia="zh-CN" w:bidi="ar-SA"/>
        </w:rPr>
        <w:t>202</w:t>
      </w:r>
      <w:r>
        <w:rPr>
          <w:rFonts w:hint="eastAsia" w:ascii="宋体" w:cs="宋体"/>
          <w:color w:val="000000"/>
          <w:kern w:val="0"/>
          <w:sz w:val="24"/>
          <w:szCs w:val="22"/>
          <w:lang w:val="en-US" w:eastAsia="zh-CN" w:bidi="ar-SA"/>
        </w:rPr>
        <w:t>4</w:t>
      </w:r>
      <w:r>
        <w:rPr>
          <w:rFonts w:hint="eastAsia" w:ascii="宋体" w:hAnsi="Times New Roman" w:eastAsia="宋体" w:cs="宋体"/>
          <w:color w:val="000000"/>
          <w:kern w:val="0"/>
          <w:sz w:val="24"/>
          <w:szCs w:val="22"/>
          <w:lang w:val="en-US" w:eastAsia="zh-CN" w:bidi="ar-SA"/>
        </w:rPr>
        <w:t>年</w:t>
      </w:r>
      <w:r>
        <w:rPr>
          <w:rFonts w:hint="eastAsia" w:ascii="宋体" w:cs="宋体"/>
          <w:color w:val="000000"/>
          <w:kern w:val="0"/>
          <w:sz w:val="24"/>
          <w:szCs w:val="22"/>
          <w:lang w:val="en-US" w:eastAsia="zh-CN" w:bidi="ar-SA"/>
        </w:rPr>
        <w:t>05</w:t>
      </w:r>
      <w:r>
        <w:rPr>
          <w:rFonts w:hint="eastAsia" w:ascii="宋体" w:hAnsi="Times New Roman" w:eastAsia="宋体" w:cs="宋体"/>
          <w:color w:val="000000"/>
          <w:kern w:val="0"/>
          <w:sz w:val="24"/>
          <w:szCs w:val="22"/>
          <w:lang w:val="en-US" w:eastAsia="zh-CN" w:bidi="ar-SA"/>
        </w:rPr>
        <w:t>月</w:t>
      </w:r>
      <w:r>
        <w:rPr>
          <w:rFonts w:hint="eastAsia" w:ascii="宋体" w:cs="宋体"/>
          <w:color w:val="000000"/>
          <w:kern w:val="0"/>
          <w:sz w:val="24"/>
          <w:szCs w:val="22"/>
          <w:lang w:val="en-US" w:eastAsia="zh-CN" w:bidi="ar-SA"/>
        </w:rPr>
        <w:t>10</w:t>
      </w:r>
      <w:bookmarkStart w:id="0" w:name="_GoBack"/>
      <w:bookmarkEnd w:id="0"/>
      <w:r>
        <w:rPr>
          <w:rFonts w:hint="eastAsia" w:ascii="宋体" w:hAnsi="Times New Roman" w:eastAsia="宋体" w:cs="宋体"/>
          <w:color w:val="000000"/>
          <w:kern w:val="0"/>
          <w:sz w:val="24"/>
          <w:szCs w:val="22"/>
          <w:lang w:val="en-US" w:eastAsia="zh-CN" w:bidi="ar-SA"/>
        </w:rPr>
        <w:t xml:space="preserve">日  </w:t>
      </w:r>
      <w:r>
        <w:rPr>
          <w:rFonts w:hint="eastAsia" w:ascii="宋体" w:hAnsi="宋体" w:cs="宋体"/>
          <w:szCs w:val="21"/>
        </w:rPr>
        <w:t xml:space="preserve">               </w:t>
      </w:r>
      <w:r>
        <w:rPr>
          <w:rFonts w:hint="eastAsia" w:ascii="宋体" w:hAnsi="宋体" w:cs="宋体"/>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A3B20"/>
    <w:multiLevelType w:val="singleLevel"/>
    <w:tmpl w:val="B14A3B2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F6"/>
    <w:rsid w:val="00025CE1"/>
    <w:rsid w:val="0003343A"/>
    <w:rsid w:val="00043FF9"/>
    <w:rsid w:val="0004745E"/>
    <w:rsid w:val="000F606D"/>
    <w:rsid w:val="001050C5"/>
    <w:rsid w:val="00106AE4"/>
    <w:rsid w:val="00111015"/>
    <w:rsid w:val="001762FA"/>
    <w:rsid w:val="001A5330"/>
    <w:rsid w:val="002220A8"/>
    <w:rsid w:val="00244019"/>
    <w:rsid w:val="00255E28"/>
    <w:rsid w:val="00276307"/>
    <w:rsid w:val="002C21E9"/>
    <w:rsid w:val="003430B1"/>
    <w:rsid w:val="003812FF"/>
    <w:rsid w:val="00391209"/>
    <w:rsid w:val="003B076F"/>
    <w:rsid w:val="0040547B"/>
    <w:rsid w:val="004444C6"/>
    <w:rsid w:val="004547A8"/>
    <w:rsid w:val="00467A74"/>
    <w:rsid w:val="004724F0"/>
    <w:rsid w:val="0049366A"/>
    <w:rsid w:val="004E397C"/>
    <w:rsid w:val="0060705A"/>
    <w:rsid w:val="00622184"/>
    <w:rsid w:val="006E4986"/>
    <w:rsid w:val="006E78B7"/>
    <w:rsid w:val="00721AC1"/>
    <w:rsid w:val="0078118D"/>
    <w:rsid w:val="00814317"/>
    <w:rsid w:val="00822F49"/>
    <w:rsid w:val="00915CA5"/>
    <w:rsid w:val="009C4A2A"/>
    <w:rsid w:val="009D0198"/>
    <w:rsid w:val="009D2F47"/>
    <w:rsid w:val="009D726D"/>
    <w:rsid w:val="00A100C1"/>
    <w:rsid w:val="00AF2768"/>
    <w:rsid w:val="00B06D53"/>
    <w:rsid w:val="00B53FAC"/>
    <w:rsid w:val="00C60CF8"/>
    <w:rsid w:val="00C61A5F"/>
    <w:rsid w:val="00C93E52"/>
    <w:rsid w:val="00CC10D4"/>
    <w:rsid w:val="00CF76D0"/>
    <w:rsid w:val="00DA3F59"/>
    <w:rsid w:val="00DE53C2"/>
    <w:rsid w:val="00DF29E5"/>
    <w:rsid w:val="00E00C64"/>
    <w:rsid w:val="00E10AB8"/>
    <w:rsid w:val="00E3471F"/>
    <w:rsid w:val="00E5495D"/>
    <w:rsid w:val="00E6318A"/>
    <w:rsid w:val="00F07DA9"/>
    <w:rsid w:val="00F15458"/>
    <w:rsid w:val="00F256F6"/>
    <w:rsid w:val="00F876B4"/>
    <w:rsid w:val="00FE6E4E"/>
    <w:rsid w:val="07B62015"/>
    <w:rsid w:val="0AB04650"/>
    <w:rsid w:val="11B51632"/>
    <w:rsid w:val="15927E34"/>
    <w:rsid w:val="17B30E91"/>
    <w:rsid w:val="191042E9"/>
    <w:rsid w:val="1E3A1CF5"/>
    <w:rsid w:val="1E503636"/>
    <w:rsid w:val="235247B9"/>
    <w:rsid w:val="24446AE3"/>
    <w:rsid w:val="28263736"/>
    <w:rsid w:val="29C3112A"/>
    <w:rsid w:val="2B240683"/>
    <w:rsid w:val="30477AE6"/>
    <w:rsid w:val="31E41CDD"/>
    <w:rsid w:val="3264081E"/>
    <w:rsid w:val="34D42355"/>
    <w:rsid w:val="36721E71"/>
    <w:rsid w:val="392B492A"/>
    <w:rsid w:val="3A446BCD"/>
    <w:rsid w:val="402C1C90"/>
    <w:rsid w:val="49EE680C"/>
    <w:rsid w:val="558077DA"/>
    <w:rsid w:val="566E3D27"/>
    <w:rsid w:val="5D121AF3"/>
    <w:rsid w:val="5F9C090A"/>
    <w:rsid w:val="61036E88"/>
    <w:rsid w:val="63AA5EDE"/>
    <w:rsid w:val="64160A29"/>
    <w:rsid w:val="66B915CE"/>
    <w:rsid w:val="68572D48"/>
    <w:rsid w:val="6B2F0BC8"/>
    <w:rsid w:val="6C3A2D13"/>
    <w:rsid w:val="6E1F5CCF"/>
    <w:rsid w:val="6F686DDA"/>
    <w:rsid w:val="6FF54EAA"/>
    <w:rsid w:val="710E3AAF"/>
    <w:rsid w:val="75E11513"/>
    <w:rsid w:val="78D23A49"/>
    <w:rsid w:val="78E34A14"/>
    <w:rsid w:val="7ABC030D"/>
    <w:rsid w:val="7E930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outlineLvl w:val="2"/>
    </w:pPr>
    <w:rPr>
      <w:rFonts w:ascii="Microsoft JhengHei" w:hAnsi="Microsoft JhengHei" w:eastAsia="Microsoft JhengHei"/>
      <w:b/>
      <w:bCs/>
      <w:sz w:val="36"/>
      <w:szCs w:val="36"/>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6">
    <w:name w:val="annotation text"/>
    <w:basedOn w:val="1"/>
    <w:link w:val="31"/>
    <w:unhideWhenUsed/>
    <w:qFormat/>
    <w:uiPriority w:val="99"/>
    <w:pPr>
      <w:jc w:val="left"/>
    </w:pPr>
    <w:rPr>
      <w:kern w:val="0"/>
      <w:sz w:val="20"/>
    </w:rPr>
  </w:style>
  <w:style w:type="paragraph" w:styleId="7">
    <w:name w:val="Body Text 3"/>
    <w:basedOn w:val="1"/>
    <w:qFormat/>
    <w:uiPriority w:val="0"/>
    <w:rPr>
      <w:rFonts w:ascii="宋体" w:hAnsi="Times New Roman"/>
      <w:kern w:val="0"/>
      <w:sz w:val="24"/>
      <w:szCs w:val="20"/>
    </w:rPr>
  </w:style>
  <w:style w:type="paragraph" w:styleId="8">
    <w:name w:val="Body Text"/>
    <w:basedOn w:val="9"/>
    <w:next w:val="9"/>
    <w:qFormat/>
    <w:uiPriority w:val="0"/>
    <w:pPr>
      <w:spacing w:after="120"/>
    </w:pPr>
  </w:style>
  <w:style w:type="paragraph" w:customStyle="1" w:styleId="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Plain Text"/>
    <w:basedOn w:val="1"/>
    <w:next w:val="1"/>
    <w:qFormat/>
    <w:uiPriority w:val="0"/>
    <w:rPr>
      <w:rFonts w:ascii="宋体" w:hAnsi="Courier New"/>
    </w:rPr>
  </w:style>
  <w:style w:type="paragraph" w:styleId="11">
    <w:name w:val="Balloon Text"/>
    <w:basedOn w:val="1"/>
    <w:link w:val="34"/>
    <w:unhideWhenUsed/>
    <w:qFormat/>
    <w:uiPriority w:val="99"/>
    <w:rPr>
      <w:kern w:val="0"/>
      <w:sz w:val="18"/>
      <w:szCs w:val="18"/>
    </w:rPr>
  </w:style>
  <w:style w:type="paragraph" w:styleId="12">
    <w:name w:val="footer"/>
    <w:basedOn w:val="1"/>
    <w:link w:val="33"/>
    <w:unhideWhenUsed/>
    <w:qFormat/>
    <w:uiPriority w:val="99"/>
    <w:pPr>
      <w:tabs>
        <w:tab w:val="center" w:pos="4153"/>
        <w:tab w:val="right" w:pos="8306"/>
      </w:tabs>
      <w:snapToGrid w:val="0"/>
      <w:jc w:val="left"/>
    </w:pPr>
    <w:rPr>
      <w:kern w:val="0"/>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annotation subject"/>
    <w:basedOn w:val="6"/>
    <w:next w:val="6"/>
    <w:link w:val="30"/>
    <w:unhideWhenUsed/>
    <w:qFormat/>
    <w:uiPriority w:val="99"/>
    <w:rPr>
      <w:b/>
      <w:bCs/>
    </w:rPr>
  </w:style>
  <w:style w:type="paragraph" w:styleId="17">
    <w:name w:val="Body Text First Indent"/>
    <w:basedOn w:val="8"/>
    <w:qFormat/>
    <w:uiPriority w:val="0"/>
    <w:pPr>
      <w:spacing w:line="312" w:lineRule="auto"/>
      <w:ind w:firstLine="420"/>
    </w:pPr>
    <w:rPr>
      <w:szCs w:val="22"/>
    </w:rPr>
  </w:style>
  <w:style w:type="character" w:styleId="20">
    <w:name w:val="Strong"/>
    <w:qFormat/>
    <w:uiPriority w:val="22"/>
    <w:rPr>
      <w:b/>
      <w:bCs/>
    </w:rPr>
  </w:style>
  <w:style w:type="character" w:styleId="21">
    <w:name w:val="FollowedHyperlink"/>
    <w:basedOn w:val="19"/>
    <w:semiHidden/>
    <w:unhideWhenUsed/>
    <w:qFormat/>
    <w:uiPriority w:val="99"/>
    <w:rPr>
      <w:rFonts w:hint="eastAsia" w:ascii="微软雅黑" w:hAnsi="微软雅黑" w:eastAsia="微软雅黑" w:cs="微软雅黑"/>
      <w:color w:val="337AB7"/>
      <w:u w:val="none"/>
    </w:rPr>
  </w:style>
  <w:style w:type="character" w:styleId="22">
    <w:name w:val="HTML Definition"/>
    <w:basedOn w:val="19"/>
    <w:semiHidden/>
    <w:unhideWhenUsed/>
    <w:qFormat/>
    <w:uiPriority w:val="99"/>
    <w:rPr>
      <w:i/>
      <w:sz w:val="20"/>
      <w:szCs w:val="20"/>
    </w:rPr>
  </w:style>
  <w:style w:type="character" w:styleId="23">
    <w:name w:val="Hyperlink"/>
    <w:basedOn w:val="19"/>
    <w:semiHidden/>
    <w:unhideWhenUsed/>
    <w:qFormat/>
    <w:uiPriority w:val="99"/>
    <w:rPr>
      <w:rFonts w:hint="eastAsia" w:ascii="微软雅黑" w:hAnsi="微软雅黑" w:eastAsia="微软雅黑" w:cs="微软雅黑"/>
      <w:color w:val="337AB7"/>
      <w:u w:val="none"/>
    </w:rPr>
  </w:style>
  <w:style w:type="character" w:styleId="24">
    <w:name w:val="HTML Code"/>
    <w:basedOn w:val="19"/>
    <w:semiHidden/>
    <w:unhideWhenUsed/>
    <w:qFormat/>
    <w:uiPriority w:val="99"/>
    <w:rPr>
      <w:rFonts w:hint="default" w:ascii="Consolas" w:hAnsi="Consolas" w:eastAsia="Consolas" w:cs="Consolas"/>
      <w:color w:val="C7254E"/>
      <w:sz w:val="21"/>
      <w:szCs w:val="21"/>
      <w:bdr w:val="single" w:color="E1E1E1" w:sz="6" w:space="0"/>
      <w:shd w:val="clear" w:fill="F9F2F4"/>
    </w:rPr>
  </w:style>
  <w:style w:type="character" w:styleId="25">
    <w:name w:val="annotation reference"/>
    <w:unhideWhenUsed/>
    <w:qFormat/>
    <w:uiPriority w:val="99"/>
    <w:rPr>
      <w:sz w:val="21"/>
      <w:szCs w:val="21"/>
    </w:rPr>
  </w:style>
  <w:style w:type="character" w:styleId="26">
    <w:name w:val="HTML Keyboard"/>
    <w:basedOn w:val="19"/>
    <w:semiHidden/>
    <w:unhideWhenUsed/>
    <w:qFormat/>
    <w:uiPriority w:val="99"/>
    <w:rPr>
      <w:rFonts w:ascii="Consolas" w:hAnsi="Consolas" w:eastAsia="Consolas" w:cs="Consolas"/>
      <w:color w:val="FFFFFF"/>
      <w:sz w:val="21"/>
      <w:szCs w:val="21"/>
      <w:shd w:val="clear" w:fill="333333"/>
    </w:rPr>
  </w:style>
  <w:style w:type="character" w:styleId="27">
    <w:name w:val="HTML Sample"/>
    <w:basedOn w:val="19"/>
    <w:semiHidden/>
    <w:unhideWhenUsed/>
    <w:qFormat/>
    <w:uiPriority w:val="99"/>
    <w:rPr>
      <w:rFonts w:hint="default" w:ascii="Consolas" w:hAnsi="Consolas" w:eastAsia="Consolas" w:cs="Consolas"/>
      <w:sz w:val="21"/>
      <w:szCs w:val="21"/>
    </w:rPr>
  </w:style>
  <w:style w:type="paragraph" w:customStyle="1" w:styleId="28">
    <w:name w:val="Other|1"/>
    <w:basedOn w:val="1"/>
    <w:qFormat/>
    <w:uiPriority w:val="0"/>
    <w:pPr>
      <w:spacing w:line="228" w:lineRule="exact"/>
    </w:pPr>
    <w:rPr>
      <w:rFonts w:ascii="宋体" w:hAnsi="宋体" w:cs="宋体"/>
      <w:sz w:val="17"/>
      <w:szCs w:val="17"/>
      <w:lang w:val="zh-TW" w:eastAsia="zh-TW" w:bidi="zh-TW"/>
    </w:rPr>
  </w:style>
  <w:style w:type="paragraph" w:customStyle="1" w:styleId="29">
    <w:name w:val="_Style 3"/>
    <w:qFormat/>
    <w:uiPriority w:val="0"/>
    <w:pPr>
      <w:widowControl w:val="0"/>
      <w:jc w:val="both"/>
    </w:pPr>
    <w:rPr>
      <w:rFonts w:ascii="Calibri" w:hAnsi="Calibri" w:eastAsia="宋体" w:cs="Calibri"/>
      <w:kern w:val="2"/>
      <w:sz w:val="21"/>
      <w:szCs w:val="22"/>
      <w:lang w:val="en-US" w:eastAsia="zh-CN" w:bidi="ar-SA"/>
    </w:rPr>
  </w:style>
  <w:style w:type="character" w:customStyle="1" w:styleId="30">
    <w:name w:val="批注主题 Char"/>
    <w:link w:val="16"/>
    <w:semiHidden/>
    <w:qFormat/>
    <w:uiPriority w:val="99"/>
    <w:rPr>
      <w:rFonts w:ascii="Times New Roman" w:hAnsi="Times New Roman" w:eastAsia="宋体" w:cs="Times New Roman"/>
      <w:b/>
      <w:bCs/>
      <w:szCs w:val="24"/>
    </w:rPr>
  </w:style>
  <w:style w:type="character" w:customStyle="1" w:styleId="31">
    <w:name w:val="批注文字 Char"/>
    <w:link w:val="6"/>
    <w:semiHidden/>
    <w:qFormat/>
    <w:uiPriority w:val="99"/>
    <w:rPr>
      <w:rFonts w:ascii="Times New Roman" w:hAnsi="Times New Roman" w:eastAsia="宋体" w:cs="Times New Roman"/>
      <w:szCs w:val="24"/>
    </w:rPr>
  </w:style>
  <w:style w:type="character" w:customStyle="1" w:styleId="32">
    <w:name w:val="页眉 Char"/>
    <w:link w:val="13"/>
    <w:qFormat/>
    <w:uiPriority w:val="99"/>
    <w:rPr>
      <w:sz w:val="18"/>
      <w:szCs w:val="18"/>
    </w:rPr>
  </w:style>
  <w:style w:type="character" w:customStyle="1" w:styleId="33">
    <w:name w:val="页脚 Char"/>
    <w:link w:val="12"/>
    <w:qFormat/>
    <w:uiPriority w:val="99"/>
    <w:rPr>
      <w:sz w:val="18"/>
      <w:szCs w:val="18"/>
    </w:rPr>
  </w:style>
  <w:style w:type="character" w:customStyle="1" w:styleId="34">
    <w:name w:val="批注框文本 Char"/>
    <w:link w:val="11"/>
    <w:semiHidden/>
    <w:qFormat/>
    <w:uiPriority w:val="99"/>
    <w:rPr>
      <w:rFonts w:ascii="Times New Roman" w:hAnsi="Times New Roman" w:eastAsia="宋体" w:cs="Times New Roman"/>
      <w:sz w:val="18"/>
      <w:szCs w:val="18"/>
    </w:rPr>
  </w:style>
  <w:style w:type="character" w:customStyle="1" w:styleId="35">
    <w:name w:val="username"/>
    <w:basedOn w:val="19"/>
    <w:qFormat/>
    <w:uiPriority w:val="0"/>
  </w:style>
  <w:style w:type="character" w:customStyle="1" w:styleId="36">
    <w:name w:val="title26"/>
    <w:basedOn w:val="19"/>
    <w:qFormat/>
    <w:uiPriority w:val="0"/>
  </w:style>
  <w:style w:type="character" w:customStyle="1" w:styleId="37">
    <w:name w:val="title24"/>
    <w:basedOn w:val="19"/>
    <w:qFormat/>
    <w:uiPriority w:val="0"/>
  </w:style>
  <w:style w:type="character" w:customStyle="1" w:styleId="38">
    <w:name w:val="title2"/>
    <w:basedOn w:val="19"/>
    <w:qFormat/>
    <w:uiPriority w:val="0"/>
  </w:style>
  <w:style w:type="character" w:customStyle="1" w:styleId="39">
    <w:name w:val="cm-string"/>
    <w:basedOn w:val="19"/>
    <w:qFormat/>
    <w:uiPriority w:val="0"/>
    <w:rPr>
      <w:color w:val="F08047"/>
    </w:rPr>
  </w:style>
  <w:style w:type="character" w:customStyle="1" w:styleId="40">
    <w:name w:val="cm-string1"/>
    <w:basedOn w:val="19"/>
    <w:qFormat/>
    <w:uiPriority w:val="0"/>
    <w:rPr>
      <w:color w:val="F08047"/>
    </w:rPr>
  </w:style>
  <w:style w:type="character" w:customStyle="1" w:styleId="41">
    <w:name w:val="num[data-v-014b66c3]"/>
    <w:basedOn w:val="19"/>
    <w:qFormat/>
    <w:uiPriority w:val="0"/>
    <w:rPr>
      <w:color w:val="95E68A"/>
      <w:sz w:val="30"/>
      <w:szCs w:val="30"/>
    </w:rPr>
  </w:style>
  <w:style w:type="character" w:customStyle="1" w:styleId="42">
    <w:name w:val="num[data-v-014b66c3]1"/>
    <w:basedOn w:val="19"/>
    <w:qFormat/>
    <w:uiPriority w:val="0"/>
    <w:rPr>
      <w:color w:val="54A8FF"/>
      <w:sz w:val="30"/>
      <w:szCs w:val="30"/>
    </w:rPr>
  </w:style>
  <w:style w:type="character" w:customStyle="1" w:styleId="43">
    <w:name w:val="num[data-v-014b66c3]2"/>
    <w:basedOn w:val="19"/>
    <w:qFormat/>
    <w:uiPriority w:val="0"/>
    <w:rPr>
      <w:color w:val="0052CC"/>
      <w:sz w:val="30"/>
      <w:szCs w:val="30"/>
    </w:rPr>
  </w:style>
  <w:style w:type="character" w:customStyle="1" w:styleId="44">
    <w:name w:val="hover"/>
    <w:basedOn w:val="19"/>
    <w:qFormat/>
    <w:uiPriority w:val="0"/>
    <w:rPr>
      <w:color w:val="3D89FA"/>
      <w:bdr w:val="single" w:color="3D89FA" w:sz="6" w:space="0"/>
    </w:rPr>
  </w:style>
  <w:style w:type="character" w:customStyle="1" w:styleId="45">
    <w:name w:val="hover1"/>
    <w:basedOn w:val="19"/>
    <w:qFormat/>
    <w:uiPriority w:val="0"/>
    <w:rPr>
      <w:color w:val="C0C4CC"/>
    </w:rPr>
  </w:style>
  <w:style w:type="character" w:customStyle="1" w:styleId="46">
    <w:name w:val="cm-keyword2"/>
    <w:basedOn w:val="19"/>
    <w:qFormat/>
    <w:uiPriority w:val="0"/>
    <w:rPr>
      <w:color w:val="FF00FF"/>
    </w:rPr>
  </w:style>
  <w:style w:type="character" w:customStyle="1" w:styleId="47">
    <w:name w:val="cm-special"/>
    <w:basedOn w:val="19"/>
    <w:qFormat/>
    <w:uiPriority w:val="0"/>
    <w:rPr>
      <w:color w:val="FF9D00"/>
    </w:rPr>
  </w:style>
  <w:style w:type="character" w:customStyle="1" w:styleId="48">
    <w:name w:val="checkbox[data-v-fe0f198c]"/>
    <w:basedOn w:val="19"/>
    <w:qFormat/>
    <w:uiPriority w:val="0"/>
    <w:rPr>
      <w:bdr w:val="single" w:color="DDDDDD" w:sz="6" w:space="0"/>
    </w:rPr>
  </w:style>
  <w:style w:type="character" w:customStyle="1" w:styleId="49">
    <w:name w:val="cm-builtin2"/>
    <w:basedOn w:val="19"/>
    <w:qFormat/>
    <w:uiPriority w:val="0"/>
    <w:rPr>
      <w:color w:val="FF9D00"/>
    </w:rPr>
  </w:style>
  <w:style w:type="character" w:customStyle="1" w:styleId="50">
    <w:name w:val="codemirror-nonmatchingbracket"/>
    <w:basedOn w:val="19"/>
    <w:qFormat/>
    <w:uiPriority w:val="0"/>
    <w:rPr>
      <w:color w:val="AA2222"/>
    </w:rPr>
  </w:style>
  <w:style w:type="character" w:customStyle="1" w:styleId="51">
    <w:name w:val="cm-meta2"/>
    <w:basedOn w:val="19"/>
    <w:qFormat/>
    <w:uiPriority w:val="0"/>
    <w:rPr>
      <w:color w:val="FF00FF"/>
    </w:rPr>
  </w:style>
  <w:style w:type="character" w:customStyle="1" w:styleId="52">
    <w:name w:val="cm-variable-32"/>
    <w:basedOn w:val="19"/>
    <w:qFormat/>
    <w:uiPriority w:val="0"/>
    <w:rPr>
      <w:color w:val="FFFFFF"/>
    </w:rPr>
  </w:style>
  <w:style w:type="character" w:customStyle="1" w:styleId="53">
    <w:name w:val="cm-def2"/>
    <w:basedOn w:val="19"/>
    <w:qFormat/>
    <w:uiPriority w:val="0"/>
    <w:rPr>
      <w:color w:val="FFFFFF"/>
    </w:rPr>
  </w:style>
  <w:style w:type="character" w:customStyle="1" w:styleId="54">
    <w:name w:val="not([class*=suffix])"/>
    <w:basedOn w:val="19"/>
    <w:qFormat/>
    <w:uiPriority w:val="0"/>
  </w:style>
  <w:style w:type="character" w:customStyle="1" w:styleId="55">
    <w:name w:val="not([class*=suffix])1"/>
    <w:basedOn w:val="19"/>
    <w:qFormat/>
    <w:uiPriority w:val="0"/>
    <w:rPr>
      <w:sz w:val="19"/>
      <w:szCs w:val="19"/>
    </w:rPr>
  </w:style>
  <w:style w:type="character" w:customStyle="1" w:styleId="56">
    <w:name w:val="before1"/>
    <w:basedOn w:val="19"/>
    <w:qFormat/>
    <w:uiPriority w:val="0"/>
    <w:rPr>
      <w:bdr w:val="single" w:color="FFFFFF" w:sz="6" w:space="0"/>
    </w:rPr>
  </w:style>
  <w:style w:type="character" w:customStyle="1" w:styleId="57">
    <w:name w:val="tip[data-v-6cd4468b]"/>
    <w:basedOn w:val="19"/>
    <w:qFormat/>
    <w:uiPriority w:val="0"/>
    <w:rPr>
      <w:color w:val="0056B1"/>
    </w:rPr>
  </w:style>
  <w:style w:type="character" w:customStyle="1" w:styleId="58">
    <w:name w:val="cm-tag2"/>
    <w:basedOn w:val="19"/>
    <w:qFormat/>
    <w:uiPriority w:val="0"/>
    <w:rPr>
      <w:color w:val="7BD827"/>
    </w:rPr>
  </w:style>
  <w:style w:type="character" w:customStyle="1" w:styleId="59">
    <w:name w:val="cm-comment2"/>
    <w:basedOn w:val="19"/>
    <w:qFormat/>
    <w:uiPriority w:val="0"/>
    <w:rPr>
      <w:i/>
      <w:color w:val="999999"/>
    </w:rPr>
  </w:style>
  <w:style w:type="character" w:customStyle="1" w:styleId="60">
    <w:name w:val="cm-number2"/>
    <w:basedOn w:val="19"/>
    <w:qFormat/>
    <w:uiPriority w:val="0"/>
    <w:rPr>
      <w:color w:val="82C6E0"/>
    </w:rPr>
  </w:style>
  <w:style w:type="character" w:customStyle="1" w:styleId="61">
    <w:name w:val="codemirror-matchingbracket"/>
    <w:basedOn w:val="19"/>
    <w:qFormat/>
    <w:uiPriority w:val="0"/>
    <w:rPr>
      <w:color w:val="00BB00"/>
    </w:rPr>
  </w:style>
  <w:style w:type="character" w:customStyle="1" w:styleId="62">
    <w:name w:val="codemirror-matchingbracket1"/>
    <w:basedOn w:val="19"/>
    <w:qFormat/>
    <w:uiPriority w:val="0"/>
  </w:style>
  <w:style w:type="character" w:customStyle="1" w:styleId="63">
    <w:name w:val="codemirror-selectedtext"/>
    <w:basedOn w:val="19"/>
    <w:qFormat/>
    <w:uiPriority w:val="0"/>
  </w:style>
  <w:style w:type="character" w:customStyle="1" w:styleId="64">
    <w:name w:val="cm-atom2"/>
    <w:basedOn w:val="19"/>
    <w:qFormat/>
    <w:uiPriority w:val="0"/>
    <w:rPr>
      <w:color w:val="F4C20B"/>
    </w:rPr>
  </w:style>
  <w:style w:type="character" w:customStyle="1" w:styleId="65">
    <w:name w:val="cm-attribute2"/>
    <w:basedOn w:val="19"/>
    <w:qFormat/>
    <w:uiPriority w:val="0"/>
    <w:rPr>
      <w:color w:val="82C6E0"/>
    </w:rPr>
  </w:style>
  <w:style w:type="character" w:customStyle="1" w:styleId="66">
    <w:name w:val="cm-variable-22"/>
    <w:basedOn w:val="19"/>
    <w:qFormat/>
    <w:uiPriority w:val="0"/>
    <w:rPr>
      <w:color w:val="7BD827"/>
    </w:rPr>
  </w:style>
  <w:style w:type="character" w:customStyle="1" w:styleId="67">
    <w:name w:val="cm-type2"/>
    <w:basedOn w:val="19"/>
    <w:qFormat/>
    <w:uiPriority w:val="0"/>
    <w:rPr>
      <w:color w:val="FFFFFF"/>
    </w:rPr>
  </w:style>
  <w:style w:type="character" w:customStyle="1" w:styleId="68">
    <w:name w:val="cm-bracket2"/>
    <w:basedOn w:val="19"/>
    <w:qFormat/>
    <w:uiPriority w:val="0"/>
    <w:rPr>
      <w:color w:val="FF00FF"/>
    </w:rPr>
  </w:style>
  <w:style w:type="character" w:customStyle="1" w:styleId="69">
    <w:name w:val="cm-link4"/>
    <w:basedOn w:val="19"/>
    <w:qFormat/>
    <w:uiPriority w:val="0"/>
    <w:rPr>
      <w:color w:val="F4C20B"/>
    </w:rPr>
  </w:style>
  <w:style w:type="character" w:customStyle="1" w:styleId="70">
    <w:name w:val="cm-error2"/>
    <w:basedOn w:val="19"/>
    <w:qFormat/>
    <w:uiPriority w:val="0"/>
    <w:rPr>
      <w:color w:val="AF2018"/>
    </w:rPr>
  </w:style>
  <w:style w:type="character" w:customStyle="1" w:styleId="71">
    <w:name w:val="required[data-v-5a92749f]"/>
    <w:basedOn w:val="19"/>
    <w:qFormat/>
    <w:uiPriority w:val="0"/>
  </w:style>
  <w:style w:type="character" w:customStyle="1" w:styleId="72">
    <w:name w:val="underline[data-v-3385ed30]"/>
    <w:basedOn w:val="19"/>
    <w:qFormat/>
    <w:uiPriority w:val="0"/>
  </w:style>
  <w:style w:type="character" w:customStyle="1" w:styleId="73">
    <w:name w:val="tabname[data-v-3385ed30]"/>
    <w:basedOn w:val="19"/>
    <w:qFormat/>
    <w:uiPriority w:val="0"/>
  </w:style>
  <w:style w:type="character" w:customStyle="1" w:styleId="74">
    <w:name w:val="active1"/>
    <w:basedOn w:val="19"/>
    <w:qFormat/>
    <w:uiPriority w:val="0"/>
    <w:rPr>
      <w:color w:val="C0C4CC"/>
    </w:rPr>
  </w:style>
  <w:style w:type="paragraph" w:customStyle="1" w:styleId="75">
    <w:name w:val="_Style 69"/>
    <w:basedOn w:val="1"/>
    <w:next w:val="1"/>
    <w:qFormat/>
    <w:uiPriority w:val="0"/>
    <w:pPr>
      <w:pBdr>
        <w:bottom w:val="single" w:color="auto" w:sz="6" w:space="1"/>
      </w:pBdr>
      <w:jc w:val="center"/>
    </w:pPr>
    <w:rPr>
      <w:rFonts w:ascii="Arial" w:eastAsia="宋体"/>
      <w:vanish/>
      <w:sz w:val="16"/>
    </w:rPr>
  </w:style>
  <w:style w:type="paragraph" w:customStyle="1" w:styleId="76">
    <w:name w:val="_Style 70"/>
    <w:basedOn w:val="1"/>
    <w:next w:val="1"/>
    <w:qFormat/>
    <w:uiPriority w:val="0"/>
    <w:pPr>
      <w:pBdr>
        <w:top w:val="single" w:color="auto" w:sz="6" w:space="1"/>
      </w:pBdr>
      <w:jc w:val="center"/>
    </w:pPr>
    <w:rPr>
      <w:rFonts w:ascii="Arial" w:eastAsia="宋体"/>
      <w:vanish/>
      <w:sz w:val="16"/>
    </w:rPr>
  </w:style>
  <w:style w:type="character" w:customStyle="1" w:styleId="77">
    <w:name w:val="cm-error"/>
    <w:basedOn w:val="19"/>
    <w:qFormat/>
    <w:uiPriority w:val="0"/>
    <w:rPr>
      <w:color w:val="AF2018"/>
      <w:bdr w:val="single" w:color="FFFFFF" w:sz="6" w:space="0"/>
    </w:rPr>
  </w:style>
  <w:style w:type="character" w:customStyle="1" w:styleId="78">
    <w:name w:val="cm-comment"/>
    <w:basedOn w:val="19"/>
    <w:qFormat/>
    <w:uiPriority w:val="0"/>
    <w:rPr>
      <w:i/>
      <w:color w:val="999999"/>
    </w:rPr>
  </w:style>
  <w:style w:type="character" w:customStyle="1" w:styleId="79">
    <w:name w:val="before"/>
    <w:basedOn w:val="19"/>
    <w:qFormat/>
    <w:uiPriority w:val="0"/>
    <w:rPr>
      <w:bdr w:val="single" w:color="FFFFFF" w:sz="6" w:space="0"/>
    </w:rPr>
  </w:style>
  <w:style w:type="character" w:customStyle="1" w:styleId="80">
    <w:name w:val="cm-number"/>
    <w:basedOn w:val="19"/>
    <w:qFormat/>
    <w:uiPriority w:val="0"/>
    <w:rPr>
      <w:color w:val="82C6E0"/>
    </w:rPr>
  </w:style>
  <w:style w:type="character" w:customStyle="1" w:styleId="81">
    <w:name w:val="hover3"/>
    <w:basedOn w:val="19"/>
    <w:qFormat/>
    <w:uiPriority w:val="0"/>
    <w:rPr>
      <w:color w:val="3D89FA"/>
      <w:bdr w:val="single" w:color="3D89FA" w:sz="6" w:space="0"/>
    </w:rPr>
  </w:style>
  <w:style w:type="character" w:customStyle="1" w:styleId="82">
    <w:name w:val="hover4"/>
    <w:basedOn w:val="19"/>
    <w:qFormat/>
    <w:uiPriority w:val="0"/>
    <w:rPr>
      <w:color w:val="C0C4CC"/>
    </w:rPr>
  </w:style>
  <w:style w:type="character" w:customStyle="1" w:styleId="83">
    <w:name w:val="cm-variable-3"/>
    <w:basedOn w:val="19"/>
    <w:qFormat/>
    <w:uiPriority w:val="0"/>
    <w:rPr>
      <w:color w:val="FFFFFF"/>
      <w:shd w:val="clear" w:fill="17304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564</Words>
  <Characters>3216</Characters>
  <Lines>26</Lines>
  <Paragraphs>7</Paragraphs>
  <TotalTime>1</TotalTime>
  <ScaleCrop>false</ScaleCrop>
  <LinksUpToDate>false</LinksUpToDate>
  <CharactersWithSpaces>3773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2022-07-26T08:40:00Z</dcterms:created>
  <dc:creator>嘉鹏 吴</dc:creator>
  <cp:lastModifiedBy>戴晟</cp:lastModifiedBy>
  <cp:lastPrinted>2022-08-16T10:13:00Z</cp:lastPrinted>
  <dcterms:modified xsi:type="dcterms:W3CDTF">2024-05-10T04:37:41Z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724B237D71AD462A81C6844A873A65DC</vt:lpwstr>
  </property>
</Properties>
</file>