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宋体" w:hAnsi="宋体" w:eastAsia="宋体" w:cs="宋体"/>
          <w:b/>
          <w:sz w:val="28"/>
          <w:szCs w:val="28"/>
          <w:highlight w:val="none"/>
          <w:lang w:eastAsia="zh-CN"/>
        </w:rPr>
      </w:pPr>
      <w:bookmarkStart w:id="0" w:name="_Toc221949921"/>
      <w:bookmarkStart w:id="1" w:name="_Toc222030983"/>
      <w:bookmarkStart w:id="2" w:name="_Toc229305341"/>
      <w:bookmarkStart w:id="3" w:name="_Toc222029481"/>
      <w:bookmarkStart w:id="4" w:name="_Toc221950007"/>
      <w:bookmarkStart w:id="5" w:name="_Toc222033832"/>
      <w:bookmarkStart w:id="6" w:name="_Toc168475642"/>
      <w:bookmarkStart w:id="7" w:name="_Toc222032650"/>
      <w:bookmarkStart w:id="8" w:name="_Toc168476045"/>
      <w:bookmarkStart w:id="9" w:name="_Toc144974495"/>
      <w:r>
        <w:rPr>
          <w:rFonts w:hint="eastAsia" w:ascii="宋体" w:hAnsi="宋体" w:cs="宋体"/>
          <w:b/>
          <w:sz w:val="28"/>
          <w:szCs w:val="28"/>
          <w:highlight w:val="none"/>
          <w:lang w:eastAsia="zh-CN"/>
        </w:rPr>
        <w:t>2024年度广州市从化区江埔街高标准农田改造提升建设项目</w:t>
      </w:r>
    </w:p>
    <w:p>
      <w:pPr>
        <w:spacing w:line="336" w:lineRule="auto"/>
        <w:jc w:val="center"/>
        <w:rPr>
          <w:rFonts w:ascii="宋体" w:hAnsi="宋体" w:cs="宋体"/>
          <w:sz w:val="28"/>
          <w:szCs w:val="28"/>
          <w:highlight w:val="none"/>
        </w:rPr>
      </w:pPr>
      <w:r>
        <w:rPr>
          <w:rFonts w:hint="eastAsia" w:ascii="宋体" w:hAnsi="宋体" w:cs="宋体"/>
          <w:b/>
          <w:sz w:val="28"/>
          <w:szCs w:val="28"/>
          <w:highlight w:val="none"/>
        </w:rPr>
        <w:t>招标公告</w:t>
      </w:r>
      <w:bookmarkEnd w:id="0"/>
    </w:p>
    <w:p>
      <w:pPr>
        <w:pStyle w:val="7"/>
        <w:keepNext w:val="0"/>
        <w:keepLines w:val="0"/>
        <w:spacing w:before="0" w:line="336" w:lineRule="auto"/>
        <w:outlineLvl w:val="2"/>
        <w:rPr>
          <w:highlight w:val="none"/>
        </w:rPr>
      </w:pPr>
      <w:bookmarkStart w:id="10" w:name="_Toc222033814"/>
      <w:bookmarkStart w:id="11" w:name="_Toc31377"/>
      <w:bookmarkStart w:id="12" w:name="_Toc3041"/>
      <w:bookmarkStart w:id="13" w:name="_Toc1233"/>
      <w:bookmarkStart w:id="14" w:name="_Toc168476029"/>
      <w:bookmarkStart w:id="15" w:name="_Toc229305323"/>
      <w:bookmarkStart w:id="16" w:name="_Toc18666"/>
      <w:bookmarkStart w:id="17" w:name="_Toc16974"/>
      <w:bookmarkStart w:id="18" w:name="_Toc168475626"/>
      <w:bookmarkStart w:id="19" w:name="_Toc387753532"/>
      <w:bookmarkStart w:id="20" w:name="_Toc19704"/>
      <w:bookmarkStart w:id="21" w:name="_Toc26515"/>
      <w:bookmarkStart w:id="22" w:name="_Toc32316"/>
      <w:bookmarkStart w:id="23" w:name="_Toc9777"/>
      <w:bookmarkStart w:id="24" w:name="_Toc40953892"/>
      <w:bookmarkStart w:id="25" w:name="_Toc29060"/>
      <w:bookmarkStart w:id="26" w:name="_Toc8168"/>
      <w:bookmarkStart w:id="27" w:name="_Toc19555"/>
      <w:bookmarkStart w:id="28" w:name="_Toc222032632"/>
      <w:bookmarkStart w:id="29" w:name="_Toc8356"/>
      <w:bookmarkStart w:id="30" w:name="_Toc222029463"/>
      <w:bookmarkStart w:id="31" w:name="_Toc32300"/>
      <w:bookmarkStart w:id="32" w:name="_Toc2272"/>
      <w:bookmarkStart w:id="33" w:name="_Toc1650171334"/>
      <w:bookmarkStart w:id="34" w:name="_Toc31636"/>
      <w:bookmarkStart w:id="35" w:name="_Toc12308"/>
      <w:bookmarkStart w:id="36" w:name="_Toc28236"/>
      <w:bookmarkStart w:id="37" w:name="_Toc32735"/>
      <w:bookmarkStart w:id="38" w:name="_Toc222030965"/>
      <w:bookmarkStart w:id="39" w:name="_Toc144974480"/>
      <w:bookmarkStart w:id="40" w:name="_Toc26698"/>
      <w:bookmarkStart w:id="41" w:name="_Toc24995"/>
      <w:bookmarkStart w:id="42" w:name="_Toc956"/>
      <w:bookmarkStart w:id="43" w:name="_Toc21316"/>
      <w:bookmarkStart w:id="44" w:name="_Toc221949922"/>
      <w:bookmarkStart w:id="45" w:name="_Toc27355"/>
      <w:bookmarkStart w:id="46" w:name="_Toc17358"/>
      <w:bookmarkStart w:id="47" w:name="_Toc18551"/>
      <w:r>
        <w:rPr>
          <w:rFonts w:hint="eastAsia"/>
          <w:highlight w:val="none"/>
        </w:rPr>
        <w:t>1. 招标条件</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336" w:lineRule="auto"/>
        <w:ind w:firstLine="420" w:firstLineChars="200"/>
        <w:rPr>
          <w:rFonts w:ascii="宋体" w:hAnsi="宋体" w:cs="宋体"/>
          <w:szCs w:val="21"/>
          <w:highlight w:val="none"/>
        </w:rPr>
      </w:pPr>
      <w:bookmarkStart w:id="48" w:name="_Toc221949923"/>
      <w:r>
        <w:rPr>
          <w:rFonts w:hint="eastAsia" w:ascii="宋体" w:hAnsi="宋体" w:cs="宋体"/>
          <w:szCs w:val="21"/>
          <w:highlight w:val="none"/>
        </w:rPr>
        <w:t>本招标项目</w:t>
      </w:r>
      <w:r>
        <w:rPr>
          <w:rFonts w:hint="eastAsia" w:ascii="宋体" w:hAnsi="宋体" w:cs="宋体"/>
          <w:szCs w:val="21"/>
          <w:highlight w:val="none"/>
          <w:u w:val="single"/>
          <w:lang w:eastAsia="zh-CN"/>
        </w:rPr>
        <w:t>2024年度广州市从化区江埔街高标准农田改造提升建设项目</w:t>
      </w:r>
      <w:r>
        <w:rPr>
          <w:rFonts w:hint="eastAsia" w:ascii="宋体" w:hAnsi="宋体" w:cs="宋体"/>
          <w:szCs w:val="21"/>
          <w:highlight w:val="none"/>
        </w:rPr>
        <w:t>已由</w:t>
      </w:r>
      <w:r>
        <w:rPr>
          <w:rFonts w:hint="eastAsia" w:ascii="宋体" w:hAnsi="宋体" w:cs="宋体"/>
          <w:szCs w:val="21"/>
          <w:highlight w:val="none"/>
          <w:u w:val="single"/>
        </w:rPr>
        <w:t>广州市农业农</w:t>
      </w:r>
      <w:r>
        <w:rPr>
          <w:rFonts w:hint="eastAsia" w:ascii="宋体" w:hAnsi="宋体" w:cs="宋体"/>
          <w:color w:val="000000" w:themeColor="text1"/>
          <w:szCs w:val="21"/>
          <w:highlight w:val="none"/>
          <w:u w:val="single"/>
          <w14:textFill>
            <w14:solidFill>
              <w14:schemeClr w14:val="tx1"/>
            </w14:solidFill>
          </w14:textFill>
        </w:rPr>
        <w:t>村局</w:t>
      </w:r>
      <w:r>
        <w:rPr>
          <w:rFonts w:hint="eastAsia" w:ascii="宋体" w:hAnsi="宋体" w:cs="宋体"/>
          <w:color w:val="000000" w:themeColor="text1"/>
          <w:szCs w:val="21"/>
          <w:highlight w:val="none"/>
          <w14:textFill>
            <w14:solidFill>
              <w14:schemeClr w14:val="tx1"/>
            </w14:solidFill>
          </w14:textFill>
        </w:rPr>
        <w:t>以</w:t>
      </w:r>
      <w:r>
        <w:rPr>
          <w:rFonts w:hint="eastAsia" w:ascii="宋体" w:hAnsi="宋体" w:cs="宋体"/>
          <w:color w:val="000000" w:themeColor="text1"/>
          <w:szCs w:val="21"/>
          <w:highlight w:val="none"/>
          <w:u w:val="single"/>
          <w14:textFill>
            <w14:solidFill>
              <w14:schemeClr w14:val="tx1"/>
            </w14:solidFill>
          </w14:textFill>
        </w:rPr>
        <w:t>穗农函</w:t>
      </w:r>
      <w:r>
        <w:rPr>
          <w:rFonts w:hint="eastAsia" w:ascii="宋体" w:hAnsi="宋体" w:cs="宋体"/>
          <w:color w:val="000000" w:themeColor="text1"/>
          <w:szCs w:val="21"/>
          <w:highlight w:val="none"/>
          <w:u w:val="single"/>
          <w:lang w:val="en-US" w:eastAsia="zh-CN"/>
          <w14:textFill>
            <w14:solidFill>
              <w14:schemeClr w14:val="tx1"/>
            </w14:solidFill>
          </w14:textFill>
        </w:rPr>
        <w:t>〔2023〕370号</w:t>
      </w:r>
      <w:r>
        <w:rPr>
          <w:rFonts w:hint="eastAsia" w:ascii="宋体" w:hAnsi="宋体" w:cs="宋体"/>
          <w:color w:val="000000" w:themeColor="text1"/>
          <w:szCs w:val="21"/>
          <w:highlight w:val="none"/>
          <w:u w:val="single"/>
          <w14:textFill>
            <w14:solidFill>
              <w14:schemeClr w14:val="tx1"/>
            </w14:solidFill>
          </w14:textFill>
        </w:rPr>
        <w:t>文</w:t>
      </w:r>
      <w:r>
        <w:rPr>
          <w:rFonts w:hint="eastAsia" w:ascii="宋体" w:hAnsi="宋体" w:cs="宋体"/>
          <w:color w:val="000000" w:themeColor="text1"/>
          <w:szCs w:val="21"/>
          <w:highlight w:val="none"/>
          <w14:textFill>
            <w14:solidFill>
              <w14:schemeClr w14:val="tx1"/>
            </w14:solidFill>
          </w14:textFill>
        </w:rPr>
        <w:t>批准建设，建设资金来自</w:t>
      </w:r>
      <w:r>
        <w:rPr>
          <w:rFonts w:hint="eastAsia"/>
          <w:color w:val="000000" w:themeColor="text1"/>
          <w:szCs w:val="21"/>
          <w:highlight w:val="none"/>
          <w:u w:val="single"/>
          <w14:textFill>
            <w14:solidFill>
              <w14:schemeClr w14:val="tx1"/>
            </w14:solidFill>
          </w14:textFill>
        </w:rPr>
        <w:t>财政资金</w:t>
      </w:r>
      <w:r>
        <w:rPr>
          <w:rFonts w:hint="eastAsia" w:ascii="宋体" w:hAnsi="宋体" w:cs="宋体"/>
          <w:color w:val="000000" w:themeColor="text1"/>
          <w:szCs w:val="21"/>
          <w:highlight w:val="none"/>
          <w14:textFill>
            <w14:solidFill>
              <w14:schemeClr w14:val="tx1"/>
            </w14:solidFill>
          </w14:textFill>
        </w:rPr>
        <w:t>，项目出资比例为</w:t>
      </w:r>
      <w:r>
        <w:rPr>
          <w:rFonts w:hint="eastAsia" w:ascii="宋体" w:hAnsi="宋体" w:cs="宋体"/>
          <w:color w:val="000000" w:themeColor="text1"/>
          <w:szCs w:val="21"/>
          <w:highlight w:val="none"/>
          <w:u w:val="single"/>
          <w14:textFill>
            <w14:solidFill>
              <w14:schemeClr w14:val="tx1"/>
            </w14:solidFill>
          </w14:textFill>
        </w:rPr>
        <w:t>100%</w:t>
      </w:r>
      <w:r>
        <w:rPr>
          <w:rFonts w:hint="eastAsia" w:ascii="宋体" w:hAnsi="宋体" w:cs="宋体"/>
          <w:color w:val="000000" w:themeColor="text1"/>
          <w:szCs w:val="21"/>
          <w:highlight w:val="none"/>
          <w14:textFill>
            <w14:solidFill>
              <w14:schemeClr w14:val="tx1"/>
            </w14:solidFill>
          </w14:textFill>
        </w:rPr>
        <w:t>，招标人为</w:t>
      </w:r>
      <w:r>
        <w:rPr>
          <w:rFonts w:hint="eastAsia" w:ascii="宋体" w:hAnsi="宋体" w:cs="宋体"/>
          <w:color w:val="000000" w:themeColor="text1"/>
          <w:szCs w:val="21"/>
          <w:highlight w:val="none"/>
          <w:u w:val="single"/>
          <w:lang w:eastAsia="zh-CN"/>
          <w14:textFill>
            <w14:solidFill>
              <w14:schemeClr w14:val="tx1"/>
            </w14:solidFill>
          </w14:textFill>
        </w:rPr>
        <w:t>广州市从化区江埔街道办事处</w:t>
      </w:r>
      <w:r>
        <w:rPr>
          <w:rFonts w:hint="eastAsia" w:ascii="宋体" w:hAnsi="宋体" w:cs="宋体"/>
          <w:szCs w:val="21"/>
          <w:highlight w:val="none"/>
        </w:rPr>
        <w:t>，招标代理机构为</w:t>
      </w:r>
      <w:r>
        <w:rPr>
          <w:rFonts w:hint="eastAsia"/>
          <w:szCs w:val="21"/>
          <w:highlight w:val="none"/>
          <w:u w:val="single"/>
          <w:lang w:eastAsia="zh-CN"/>
        </w:rPr>
        <w:t>广州高新工程顾问有限</w:t>
      </w:r>
      <w:bookmarkStart w:id="381" w:name="_GoBack"/>
      <w:bookmarkEnd w:id="381"/>
      <w:r>
        <w:rPr>
          <w:rFonts w:hint="eastAsia"/>
          <w:szCs w:val="21"/>
          <w:highlight w:val="none"/>
          <w:u w:val="single"/>
          <w:lang w:eastAsia="zh-CN"/>
        </w:rPr>
        <w:t>公司</w:t>
      </w:r>
      <w:r>
        <w:rPr>
          <w:rFonts w:hint="eastAsia" w:ascii="宋体" w:hAnsi="宋体" w:cs="宋体"/>
          <w:szCs w:val="21"/>
          <w:highlight w:val="none"/>
        </w:rPr>
        <w:t>。项目已具备招标条件，现对本项目施工进行公开招标。</w:t>
      </w:r>
      <w:bookmarkEnd w:id="48"/>
    </w:p>
    <w:p>
      <w:pPr>
        <w:pStyle w:val="7"/>
        <w:keepNext w:val="0"/>
        <w:keepLines w:val="0"/>
        <w:spacing w:before="0" w:line="336" w:lineRule="auto"/>
        <w:outlineLvl w:val="2"/>
        <w:rPr>
          <w:highlight w:val="none"/>
        </w:rPr>
      </w:pPr>
      <w:bookmarkStart w:id="49" w:name="_Toc144974481"/>
      <w:bookmarkStart w:id="50" w:name="_Toc1034972149"/>
      <w:bookmarkStart w:id="51" w:name="_Toc21750"/>
      <w:bookmarkStart w:id="52" w:name="_Toc2394"/>
      <w:bookmarkStart w:id="53" w:name="_Toc817"/>
      <w:bookmarkStart w:id="54" w:name="_Toc387753533"/>
      <w:bookmarkStart w:id="55" w:name="_Toc229305324"/>
      <w:bookmarkStart w:id="56" w:name="_Toc957"/>
      <w:bookmarkStart w:id="57" w:name="_Toc221949924"/>
      <w:bookmarkStart w:id="58" w:name="_Toc26894"/>
      <w:bookmarkStart w:id="59" w:name="_Toc24058"/>
      <w:bookmarkStart w:id="60" w:name="_Toc168475627"/>
      <w:bookmarkStart w:id="61" w:name="_Toc6490"/>
      <w:bookmarkStart w:id="62" w:name="_Toc22425"/>
      <w:bookmarkStart w:id="63" w:name="_Toc13235"/>
      <w:bookmarkStart w:id="64" w:name="_Toc10933"/>
      <w:bookmarkStart w:id="65" w:name="_Toc222033815"/>
      <w:bookmarkStart w:id="66" w:name="_Toc18869"/>
      <w:bookmarkStart w:id="67" w:name="_Toc22303"/>
      <w:bookmarkStart w:id="68" w:name="_Toc23244"/>
      <w:bookmarkStart w:id="69" w:name="_Toc10243"/>
      <w:bookmarkStart w:id="70" w:name="_Toc222032633"/>
      <w:bookmarkStart w:id="71" w:name="_Toc6395"/>
      <w:bookmarkStart w:id="72" w:name="_Toc25971"/>
      <w:bookmarkStart w:id="73" w:name="_Toc25279"/>
      <w:bookmarkStart w:id="74" w:name="_Toc28353"/>
      <w:bookmarkStart w:id="75" w:name="_Toc4991"/>
      <w:bookmarkStart w:id="76" w:name="_Toc168476030"/>
      <w:bookmarkStart w:id="77" w:name="_Toc30072"/>
      <w:bookmarkStart w:id="78" w:name="_Toc16398"/>
      <w:bookmarkStart w:id="79" w:name="_Toc22804"/>
      <w:bookmarkStart w:id="80" w:name="_Toc19957"/>
      <w:bookmarkStart w:id="81" w:name="_Toc222030966"/>
      <w:bookmarkStart w:id="82" w:name="_Toc5380"/>
      <w:bookmarkStart w:id="83" w:name="_Toc17337"/>
      <w:bookmarkStart w:id="84" w:name="_Toc9742"/>
      <w:bookmarkStart w:id="85" w:name="_Toc222029464"/>
      <w:bookmarkStart w:id="86" w:name="_Toc950596501"/>
      <w:r>
        <w:rPr>
          <w:rFonts w:hint="eastAsia"/>
          <w:highlight w:val="none"/>
        </w:rPr>
        <w:t>2. 项目概况与招标范围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336" w:lineRule="auto"/>
        <w:ind w:firstLine="420" w:firstLineChars="200"/>
        <w:rPr>
          <w:szCs w:val="21"/>
          <w:highlight w:val="none"/>
        </w:rPr>
      </w:pPr>
      <w:bookmarkStart w:id="87" w:name="_Toc109149738"/>
      <w:r>
        <w:rPr>
          <w:szCs w:val="21"/>
          <w:highlight w:val="none"/>
        </w:rPr>
        <w:t xml:space="preserve">2.1 </w:t>
      </w:r>
      <w:r>
        <w:rPr>
          <w:rFonts w:hint="eastAsia"/>
          <w:szCs w:val="21"/>
          <w:highlight w:val="none"/>
        </w:rPr>
        <w:t>项目概况</w:t>
      </w:r>
      <w:bookmarkEnd w:id="87"/>
    </w:p>
    <w:p>
      <w:pPr>
        <w:spacing w:line="336" w:lineRule="auto"/>
        <w:ind w:firstLine="840" w:firstLineChars="4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建设地点：</w:t>
      </w:r>
      <w:r>
        <w:rPr>
          <w:rFonts w:hint="eastAsia"/>
          <w:color w:val="000000" w:themeColor="text1"/>
          <w:szCs w:val="21"/>
          <w:highlight w:val="none"/>
          <w:u w:val="single"/>
          <w:lang w:val="en-US" w:eastAsia="zh-CN"/>
          <w14:textFill>
            <w14:solidFill>
              <w14:schemeClr w14:val="tx1"/>
            </w14:solidFill>
          </w14:textFill>
        </w:rPr>
        <w:t>广州市从化区江埔街</w:t>
      </w:r>
      <w:r>
        <w:rPr>
          <w:rFonts w:hint="eastAsia"/>
          <w:color w:val="000000" w:themeColor="text1"/>
          <w:szCs w:val="21"/>
          <w:highlight w:val="none"/>
          <w:u w:val="single"/>
          <w14:textFill>
            <w14:solidFill>
              <w14:schemeClr w14:val="tx1"/>
            </w14:solidFill>
          </w14:textFill>
        </w:rPr>
        <w:t>。</w:t>
      </w:r>
    </w:p>
    <w:p>
      <w:pPr>
        <w:spacing w:line="336" w:lineRule="auto"/>
        <w:ind w:firstLine="840" w:firstLineChars="400"/>
        <w:rPr>
          <w:rFonts w:hint="eastAsia" w:eastAsia="宋体"/>
          <w:color w:val="000000" w:themeColor="text1"/>
          <w:szCs w:val="21"/>
          <w:highlight w:val="none"/>
          <w:u w:val="singl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建设规模：</w:t>
      </w:r>
      <w:r>
        <w:rPr>
          <w:rFonts w:hint="eastAsia"/>
          <w:color w:val="000000" w:themeColor="text1"/>
          <w:szCs w:val="21"/>
          <w:highlight w:val="none"/>
          <w:u w:val="single"/>
          <w14:textFill>
            <w14:solidFill>
              <w14:schemeClr w14:val="tx1"/>
            </w14:solidFill>
          </w14:textFill>
        </w:rPr>
        <w:t>本项目建设规模</w:t>
      </w:r>
      <w:r>
        <w:rPr>
          <w:rFonts w:hint="eastAsia"/>
          <w:color w:val="000000" w:themeColor="text1"/>
          <w:szCs w:val="21"/>
          <w:highlight w:val="none"/>
          <w:u w:val="single"/>
          <w:lang w:val="en-US" w:eastAsia="zh-CN"/>
          <w14:textFill>
            <w14:solidFill>
              <w14:schemeClr w14:val="tx1"/>
            </w14:solidFill>
          </w14:textFill>
        </w:rPr>
        <w:t>2142</w:t>
      </w:r>
      <w:r>
        <w:rPr>
          <w:rFonts w:hint="eastAsia"/>
          <w:color w:val="000000" w:themeColor="text1"/>
          <w:szCs w:val="21"/>
          <w:highlight w:val="none"/>
          <w:u w:val="single"/>
          <w14:textFill>
            <w14:solidFill>
              <w14:schemeClr w14:val="tx1"/>
            </w14:solidFill>
          </w14:textFill>
        </w:rPr>
        <w:t>亩。</w:t>
      </w:r>
    </w:p>
    <w:p>
      <w:pPr>
        <w:spacing w:line="336" w:lineRule="auto"/>
        <w:ind w:firstLine="840" w:firstLineChars="4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w:t>
      </w:r>
      <w:r>
        <w:rPr>
          <w:rFonts w:hint="eastAsia"/>
          <w:color w:val="000000" w:themeColor="text1"/>
          <w:szCs w:val="21"/>
          <w:highlight w:val="none"/>
          <w:u w:val="single"/>
          <w14:textFill>
            <w14:solidFill>
              <w14:schemeClr w14:val="tx1"/>
            </w14:solidFill>
          </w14:textFill>
        </w:rPr>
        <w:t>/</w:t>
      </w:r>
      <w:r>
        <w:rPr>
          <w:rFonts w:hint="eastAsia"/>
          <w:color w:val="000000" w:themeColor="text1"/>
          <w:szCs w:val="21"/>
          <w:highlight w:val="none"/>
          <w14:textFill>
            <w14:solidFill>
              <w14:schemeClr w14:val="tx1"/>
            </w14:solidFill>
          </w14:textFill>
        </w:rPr>
        <w:t>。</w:t>
      </w:r>
    </w:p>
    <w:p>
      <w:pPr>
        <w:spacing w:line="336" w:lineRule="auto"/>
        <w:ind w:firstLine="420" w:firstLineChars="200"/>
        <w:rPr>
          <w:szCs w:val="21"/>
          <w:highlight w:val="none"/>
        </w:rPr>
      </w:pPr>
      <w:bookmarkStart w:id="88" w:name="_Toc109149739"/>
      <w:r>
        <w:rPr>
          <w:szCs w:val="21"/>
          <w:highlight w:val="none"/>
        </w:rPr>
        <w:t>2.</w:t>
      </w:r>
      <w:r>
        <w:rPr>
          <w:rFonts w:hint="eastAsia"/>
          <w:szCs w:val="21"/>
          <w:highlight w:val="none"/>
        </w:rPr>
        <w:t>2 标段划分及各标段招标内容、规模和最高投标限价</w:t>
      </w:r>
      <w:bookmarkEnd w:id="88"/>
    </w:p>
    <w:p>
      <w:pPr>
        <w:spacing w:line="336" w:lineRule="auto"/>
        <w:ind w:firstLine="638" w:firstLineChars="304"/>
        <w:rPr>
          <w:rFonts w:hint="eastAsia" w:eastAsia="宋体"/>
          <w:color w:val="000000" w:themeColor="text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招标范围及内容：</w:t>
      </w:r>
      <w:r>
        <w:rPr>
          <w:rFonts w:hint="eastAsia"/>
          <w:color w:val="000000" w:themeColor="text1"/>
          <w:szCs w:val="21"/>
          <w:highlight w:val="none"/>
          <w:u w:val="single"/>
          <w14:textFill>
            <w14:solidFill>
              <w14:schemeClr w14:val="tx1"/>
            </w14:solidFill>
          </w14:textFill>
        </w:rPr>
        <w:t>本项目建设规模</w:t>
      </w:r>
      <w:r>
        <w:rPr>
          <w:rFonts w:hint="eastAsia"/>
          <w:color w:val="000000" w:themeColor="text1"/>
          <w:szCs w:val="21"/>
          <w:highlight w:val="none"/>
          <w:u w:val="single"/>
          <w:lang w:val="en-US" w:eastAsia="zh-CN"/>
          <w14:textFill>
            <w14:solidFill>
              <w14:schemeClr w14:val="tx1"/>
            </w14:solidFill>
          </w14:textFill>
        </w:rPr>
        <w:t>2142</w:t>
      </w:r>
      <w:r>
        <w:rPr>
          <w:rFonts w:hint="eastAsia"/>
          <w:color w:val="000000" w:themeColor="text1"/>
          <w:szCs w:val="21"/>
          <w:highlight w:val="none"/>
          <w:u w:val="single"/>
          <w14:textFill>
            <w14:solidFill>
              <w14:schemeClr w14:val="tx1"/>
            </w14:solidFill>
          </w14:textFill>
        </w:rPr>
        <w:t>亩，项目建设内容包括</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灌渠、排沟、渠系建筑物、生产路、田间道、八字口、下田坡道、调头点、竣工公示牌、宣传栏、工程标识牌、路桩、量水尺。具体工作内容详见施工设计图纸和工程量清单</w:t>
      </w:r>
      <w:r>
        <w:rPr>
          <w:rFonts w:hint="eastAsia"/>
          <w:color w:val="000000" w:themeColor="text1"/>
          <w:szCs w:val="21"/>
          <w:highlight w:val="none"/>
          <w:u w:val="single"/>
          <w:lang w:eastAsia="zh-CN"/>
          <w14:textFill>
            <w14:solidFill>
              <w14:schemeClr w14:val="tx1"/>
            </w14:solidFill>
          </w14:textFill>
        </w:rPr>
        <w:t>。</w:t>
      </w:r>
    </w:p>
    <w:p>
      <w:pPr>
        <w:spacing w:line="336" w:lineRule="auto"/>
        <w:ind w:firstLine="840" w:firstLineChars="4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标段划分：</w:t>
      </w:r>
      <w:r>
        <w:rPr>
          <w:rFonts w:hint="eastAsia"/>
          <w:color w:val="000000" w:themeColor="text1"/>
          <w:szCs w:val="21"/>
          <w:highlight w:val="none"/>
          <w:u w:val="single"/>
          <w14:textFill>
            <w14:solidFill>
              <w14:schemeClr w14:val="tx1"/>
            </w14:solidFill>
          </w14:textFill>
        </w:rPr>
        <w:t>1个标段</w:t>
      </w:r>
      <w:r>
        <w:rPr>
          <w:rFonts w:hint="eastAsia"/>
          <w:color w:val="000000" w:themeColor="text1"/>
          <w:szCs w:val="21"/>
          <w:highlight w:val="none"/>
          <w14:textFill>
            <w14:solidFill>
              <w14:schemeClr w14:val="tx1"/>
            </w14:solidFill>
          </w14:textFill>
        </w:rPr>
        <w:t>。</w:t>
      </w:r>
    </w:p>
    <w:p>
      <w:pPr>
        <w:spacing w:line="336" w:lineRule="auto"/>
        <w:ind w:left="420" w:leftChars="200"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计划</w:t>
      </w:r>
      <w:r>
        <w:rPr>
          <w:rFonts w:hint="eastAsia"/>
          <w:color w:val="000000" w:themeColor="text1"/>
          <w:highlight w:val="none"/>
          <w14:textFill>
            <w14:solidFill>
              <w14:schemeClr w14:val="tx1"/>
            </w14:solidFill>
          </w14:textFill>
        </w:rPr>
        <w:t>工期</w:t>
      </w:r>
      <w:r>
        <w:rPr>
          <w:rFonts w:hint="eastAsia"/>
          <w:color w:val="000000" w:themeColor="text1"/>
          <w:szCs w:val="21"/>
          <w:highlight w:val="none"/>
          <w:u w:val="none"/>
          <w14:textFill>
            <w14:solidFill>
              <w14:schemeClr w14:val="tx1"/>
            </w14:solidFill>
          </w14:textFill>
        </w:rPr>
        <w:t>：</w:t>
      </w:r>
      <w:r>
        <w:rPr>
          <w:rFonts w:hint="eastAsia"/>
          <w:color w:val="000000" w:themeColor="text1"/>
          <w:szCs w:val="21"/>
          <w:highlight w:val="none"/>
          <w:u w:val="single"/>
          <w:lang w:val="en-US" w:eastAsia="zh-CN"/>
          <w14:textFill>
            <w14:solidFill>
              <w14:schemeClr w14:val="tx1"/>
            </w14:solidFill>
          </w14:textFill>
        </w:rPr>
        <w:t>120</w:t>
      </w:r>
      <w:r>
        <w:rPr>
          <w:rFonts w:hint="eastAsia"/>
          <w:color w:val="000000" w:themeColor="text1"/>
          <w:szCs w:val="21"/>
          <w:highlight w:val="none"/>
          <w:u w:val="single"/>
          <w14:textFill>
            <w14:solidFill>
              <w14:schemeClr w14:val="tx1"/>
            </w14:solidFill>
          </w14:textFill>
        </w:rPr>
        <w:t>日历天。</w:t>
      </w:r>
    </w:p>
    <w:p>
      <w:pPr>
        <w:spacing w:line="336" w:lineRule="auto"/>
        <w:ind w:firstLine="840" w:firstLineChars="4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最高投标限价：</w:t>
      </w:r>
      <w:r>
        <w:rPr>
          <w:rFonts w:hint="eastAsia"/>
          <w:color w:val="000000" w:themeColor="text1"/>
          <w:szCs w:val="21"/>
          <w:highlight w:val="none"/>
          <w:u w:val="single"/>
          <w:lang w:val="en-US" w:eastAsia="zh-CN"/>
          <w14:textFill>
            <w14:solidFill>
              <w14:schemeClr w14:val="tx1"/>
            </w14:solidFill>
          </w14:textFill>
        </w:rPr>
        <w:t>6789010.38</w:t>
      </w:r>
      <w:r>
        <w:rPr>
          <w:rFonts w:hint="eastAsia"/>
          <w:color w:val="000000" w:themeColor="text1"/>
          <w:szCs w:val="21"/>
          <w:highlight w:val="none"/>
          <w:u w:val="single"/>
          <w14:textFill>
            <w14:solidFill>
              <w14:schemeClr w14:val="tx1"/>
            </w14:solidFill>
          </w14:textFill>
        </w:rPr>
        <w:t>元</w:t>
      </w:r>
      <w:r>
        <w:rPr>
          <w:rFonts w:hint="eastAsia"/>
          <w:color w:val="000000" w:themeColor="text1"/>
          <w:szCs w:val="21"/>
          <w:highlight w:val="none"/>
          <w14:textFill>
            <w14:solidFill>
              <w14:schemeClr w14:val="tx1"/>
            </w14:solidFill>
          </w14:textFill>
        </w:rPr>
        <w:t>。</w:t>
      </w:r>
    </w:p>
    <w:p>
      <w:pPr>
        <w:spacing w:line="336" w:lineRule="auto"/>
        <w:ind w:firstLine="840" w:firstLineChars="4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承包方式：</w:t>
      </w:r>
      <w:r>
        <w:rPr>
          <w:rFonts w:hint="eastAsia"/>
          <w:color w:val="000000" w:themeColor="text1"/>
          <w:szCs w:val="21"/>
          <w:highlight w:val="none"/>
          <w:u w:val="single"/>
          <w14:textFill>
            <w14:solidFill>
              <w14:schemeClr w14:val="tx1"/>
            </w14:solidFill>
          </w14:textFill>
        </w:rPr>
        <w:t>总价承包</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包工、包料、包质量、包工期、包安全、包文明施工</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w:t>
      </w:r>
    </w:p>
    <w:p>
      <w:pPr>
        <w:spacing w:line="336" w:lineRule="auto"/>
        <w:ind w:firstLine="630" w:firstLineChars="300"/>
        <w:rPr>
          <w:szCs w:val="21"/>
          <w:highlight w:val="none"/>
        </w:rPr>
      </w:pPr>
      <w:r>
        <w:rPr>
          <w:szCs w:val="21"/>
          <w:highlight w:val="none"/>
        </w:rPr>
        <w:t>2.</w:t>
      </w:r>
      <w:r>
        <w:rPr>
          <w:rFonts w:hint="eastAsia"/>
          <w:szCs w:val="21"/>
          <w:highlight w:val="none"/>
        </w:rPr>
        <w:t>3 其他：</w:t>
      </w:r>
      <w:r>
        <w:rPr>
          <w:rFonts w:hint="eastAsia"/>
          <w:szCs w:val="21"/>
          <w:highlight w:val="none"/>
          <w:u w:val="single"/>
        </w:rPr>
        <w:t>/</w:t>
      </w:r>
      <w:r>
        <w:rPr>
          <w:rFonts w:hint="eastAsia"/>
          <w:szCs w:val="21"/>
          <w:highlight w:val="none"/>
        </w:rPr>
        <w:t>。</w:t>
      </w:r>
    </w:p>
    <w:p>
      <w:pPr>
        <w:pStyle w:val="7"/>
        <w:keepNext w:val="0"/>
        <w:keepLines w:val="0"/>
        <w:spacing w:before="0" w:line="336" w:lineRule="auto"/>
        <w:outlineLvl w:val="2"/>
        <w:rPr>
          <w:highlight w:val="none"/>
        </w:rPr>
      </w:pPr>
      <w:bookmarkStart w:id="89" w:name="_Toc32748"/>
      <w:bookmarkStart w:id="90" w:name="_Toc168475628"/>
      <w:bookmarkStart w:id="91" w:name="_Toc29540"/>
      <w:bookmarkStart w:id="92" w:name="_Toc24903"/>
      <w:bookmarkStart w:id="93" w:name="_Toc644469185"/>
      <w:bookmarkStart w:id="94" w:name="_Toc222029465"/>
      <w:bookmarkStart w:id="95" w:name="_Toc20762"/>
      <w:bookmarkStart w:id="96" w:name="_Toc16375"/>
      <w:bookmarkStart w:id="97" w:name="_Toc16006"/>
      <w:bookmarkStart w:id="98" w:name="_Toc15703"/>
      <w:bookmarkStart w:id="99" w:name="_Toc222033816"/>
      <w:bookmarkStart w:id="100" w:name="_Toc13802"/>
      <w:bookmarkStart w:id="101" w:name="_Toc8293"/>
      <w:bookmarkStart w:id="102" w:name="_Toc14722"/>
      <w:bookmarkStart w:id="103" w:name="_Toc9172"/>
      <w:bookmarkStart w:id="104" w:name="_Toc31300"/>
      <w:bookmarkStart w:id="105" w:name="_Toc30667"/>
      <w:bookmarkStart w:id="106" w:name="_Toc4214"/>
      <w:bookmarkStart w:id="107" w:name="_Toc168476031"/>
      <w:bookmarkStart w:id="108" w:name="_Toc15097"/>
      <w:bookmarkStart w:id="109" w:name="_Toc283061529"/>
      <w:bookmarkStart w:id="110" w:name="_Toc6582"/>
      <w:bookmarkStart w:id="111" w:name="_Toc17731"/>
      <w:bookmarkStart w:id="112" w:name="_Toc26544"/>
      <w:bookmarkStart w:id="113" w:name="_Toc8497"/>
      <w:bookmarkStart w:id="114" w:name="_Toc8387"/>
      <w:bookmarkStart w:id="115" w:name="_Toc22069"/>
      <w:bookmarkStart w:id="116" w:name="_Toc222032634"/>
      <w:bookmarkStart w:id="117" w:name="_Toc26764"/>
      <w:bookmarkStart w:id="118" w:name="_Toc229305325"/>
      <w:bookmarkStart w:id="119" w:name="_Toc144974482"/>
      <w:bookmarkStart w:id="120" w:name="_Toc22071"/>
      <w:bookmarkStart w:id="121" w:name="_Toc387753534"/>
      <w:bookmarkStart w:id="122" w:name="_Toc222030967"/>
      <w:bookmarkStart w:id="123" w:name="_Toc22773"/>
      <w:bookmarkStart w:id="124" w:name="_Toc880"/>
      <w:bookmarkStart w:id="125" w:name="_Toc8297"/>
      <w:bookmarkStart w:id="126" w:name="_Toc221949926"/>
      <w:r>
        <w:rPr>
          <w:rFonts w:hint="eastAsia"/>
          <w:highlight w:val="none"/>
        </w:rPr>
        <w:t>3. 投标人资格要求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336" w:lineRule="auto"/>
        <w:ind w:firstLine="420"/>
        <w:rPr>
          <w:rFonts w:ascii="宋体" w:hAnsi="宋体" w:cs="宋体"/>
          <w:highlight w:val="none"/>
        </w:rPr>
      </w:pPr>
      <w:bookmarkStart w:id="127" w:name="_Toc221949927"/>
      <w:r>
        <w:rPr>
          <w:rFonts w:hint="eastAsia" w:cs="宋体"/>
          <w:highlight w:val="none"/>
        </w:rPr>
        <w:t>3</w:t>
      </w:r>
      <w:r>
        <w:rPr>
          <w:rFonts w:hint="eastAsia" w:ascii="宋体" w:hAnsi="宋体" w:cs="宋体"/>
          <w:highlight w:val="none"/>
        </w:rPr>
        <w:t>.</w:t>
      </w:r>
      <w:r>
        <w:rPr>
          <w:rFonts w:hint="eastAsia" w:cs="宋体"/>
          <w:highlight w:val="none"/>
        </w:rPr>
        <w:t>1</w:t>
      </w:r>
      <w:r>
        <w:rPr>
          <w:rFonts w:hint="eastAsia" w:ascii="宋体" w:hAnsi="宋体" w:cs="宋体"/>
          <w:highlight w:val="none"/>
        </w:rPr>
        <w:t>投标人参加投标的意思表达清楚，投标人代表被授权有效。</w:t>
      </w:r>
    </w:p>
    <w:p>
      <w:pPr>
        <w:spacing w:line="336" w:lineRule="auto"/>
        <w:ind w:firstLine="420"/>
        <w:rPr>
          <w:rFonts w:ascii="宋体" w:hAnsi="宋体" w:cs="宋体"/>
          <w:highlight w:val="none"/>
        </w:rPr>
      </w:pPr>
      <w:r>
        <w:rPr>
          <w:rFonts w:hint="eastAsia" w:cs="宋体"/>
          <w:highlight w:val="none"/>
        </w:rPr>
        <w:t>3</w:t>
      </w:r>
      <w:r>
        <w:rPr>
          <w:rFonts w:hint="eastAsia" w:ascii="宋体" w:hAnsi="宋体" w:cs="宋体"/>
          <w:highlight w:val="none"/>
        </w:rPr>
        <w:t>.</w:t>
      </w:r>
      <w:r>
        <w:rPr>
          <w:rFonts w:hint="eastAsia" w:cs="宋体"/>
          <w:highlight w:val="none"/>
        </w:rPr>
        <w:t>2</w:t>
      </w:r>
      <w:r>
        <w:rPr>
          <w:rFonts w:hint="eastAsia" w:ascii="宋体" w:hAnsi="宋体" w:cs="宋体"/>
          <w:highlight w:val="none"/>
        </w:rPr>
        <w:t>投标人均具有独立法人资格，按国家法律经营。</w:t>
      </w:r>
    </w:p>
    <w:p>
      <w:pPr>
        <w:spacing w:line="336" w:lineRule="auto"/>
        <w:ind w:firstLine="420"/>
        <w:rPr>
          <w:rFonts w:ascii="宋体" w:hAnsi="宋体" w:cs="宋体"/>
          <w:highlight w:val="none"/>
        </w:rPr>
      </w:pPr>
      <w:r>
        <w:rPr>
          <w:rFonts w:hint="eastAsia" w:cs="宋体"/>
          <w:highlight w:val="none"/>
        </w:rPr>
        <w:t>3</w:t>
      </w:r>
      <w:r>
        <w:rPr>
          <w:rFonts w:hint="eastAsia" w:ascii="宋体" w:hAnsi="宋体" w:cs="宋体"/>
          <w:highlight w:val="none"/>
        </w:rPr>
        <w:t>.</w:t>
      </w:r>
      <w:r>
        <w:rPr>
          <w:rFonts w:hint="eastAsia" w:cs="宋体"/>
          <w:highlight w:val="none"/>
        </w:rPr>
        <w:t>3</w:t>
      </w:r>
      <w:r>
        <w:rPr>
          <w:rFonts w:hint="eastAsia" w:ascii="宋体" w:hAnsi="宋体" w:cs="宋体"/>
          <w:highlight w:val="none"/>
        </w:rPr>
        <w:t>投标人均持有相关主管部门颁发有效期内的企业资质证书及安全生产许可证。</w:t>
      </w:r>
    </w:p>
    <w:p>
      <w:pPr>
        <w:spacing w:line="336" w:lineRule="auto"/>
        <w:ind w:firstLine="420"/>
        <w:rPr>
          <w:rFonts w:ascii="宋体" w:hAnsi="宋体" w:cs="宋体"/>
          <w:highlight w:val="none"/>
        </w:rPr>
      </w:pPr>
      <w:r>
        <w:rPr>
          <w:rFonts w:hint="eastAsia" w:cs="宋体"/>
          <w:highlight w:val="none"/>
        </w:rPr>
        <w:t>3</w:t>
      </w:r>
      <w:r>
        <w:rPr>
          <w:rFonts w:hint="eastAsia" w:ascii="宋体" w:hAnsi="宋体" w:cs="宋体"/>
          <w:highlight w:val="none"/>
        </w:rPr>
        <w:t>.</w:t>
      </w:r>
      <w:r>
        <w:rPr>
          <w:rFonts w:hint="eastAsia" w:cs="宋体"/>
          <w:highlight w:val="none"/>
        </w:rPr>
        <w:t>4</w:t>
      </w:r>
      <w:r>
        <w:rPr>
          <w:rFonts w:hint="eastAsia" w:ascii="宋体" w:hAnsi="宋体" w:cs="宋体"/>
          <w:highlight w:val="none"/>
        </w:rPr>
        <w:t>本次招标要求投标人须具备以下资质：</w:t>
      </w:r>
    </w:p>
    <w:p>
      <w:pPr>
        <w:spacing w:line="336" w:lineRule="auto"/>
        <w:ind w:firstLine="420"/>
        <w:rPr>
          <w:rFonts w:ascii="宋体" w:hAnsi="宋体" w:cs="宋体"/>
          <w:highlight w:val="none"/>
        </w:rPr>
      </w:pPr>
      <w:r>
        <w:rPr>
          <w:rFonts w:hint="eastAsia" w:ascii="宋体" w:hAnsi="宋体" w:cs="宋体"/>
          <w:highlight w:val="none"/>
        </w:rPr>
        <w:t>投标人具有承接本工程所需的</w:t>
      </w:r>
      <w:r>
        <w:rPr>
          <w:rFonts w:hint="eastAsia" w:ascii="宋体" w:hAnsi="宋体" w:cs="宋体"/>
          <w:highlight w:val="none"/>
          <w:u w:val="single"/>
        </w:rPr>
        <w:t>水利水电工程施工总承包叁级</w:t>
      </w:r>
      <w:r>
        <w:rPr>
          <w:rFonts w:hint="eastAsia" w:ascii="宋体" w:hAnsi="宋体" w:cs="宋体"/>
          <w:highlight w:val="none"/>
        </w:rPr>
        <w:t>或以上级别施工总承包资质；</w:t>
      </w:r>
    </w:p>
    <w:p>
      <w:pPr>
        <w:spacing w:line="336" w:lineRule="auto"/>
        <w:ind w:firstLine="420"/>
        <w:rPr>
          <w:rFonts w:ascii="宋体" w:hAnsi="宋体" w:cs="宋体"/>
          <w:highlight w:val="none"/>
        </w:rPr>
      </w:pPr>
      <w:r>
        <w:rPr>
          <w:rFonts w:hint="eastAsia" w:cs="宋体"/>
          <w:highlight w:val="none"/>
        </w:rPr>
        <w:t>3</w:t>
      </w:r>
      <w:r>
        <w:rPr>
          <w:rFonts w:hint="eastAsia" w:ascii="宋体" w:hAnsi="宋体" w:cs="宋体"/>
          <w:highlight w:val="none"/>
        </w:rPr>
        <w:t>.</w:t>
      </w:r>
      <w:r>
        <w:rPr>
          <w:rFonts w:hint="eastAsia" w:cs="宋体"/>
          <w:highlight w:val="none"/>
        </w:rPr>
        <w:t>5</w:t>
      </w:r>
      <w:r>
        <w:rPr>
          <w:rFonts w:hint="eastAsia" w:ascii="宋体" w:hAnsi="宋体" w:cs="宋体"/>
          <w:highlight w:val="none"/>
        </w:rPr>
        <w:t>投标人拟担任本项目负责人的人员为：</w:t>
      </w:r>
      <w:r>
        <w:rPr>
          <w:rFonts w:hint="eastAsia" w:ascii="宋体" w:hAnsi="宋体" w:cs="宋体"/>
          <w:highlight w:val="none"/>
          <w:u w:val="single"/>
        </w:rPr>
        <w:t>水利水电工程</w:t>
      </w:r>
      <w:r>
        <w:rPr>
          <w:rFonts w:hint="eastAsia" w:ascii="宋体" w:hAnsi="宋体" w:cs="宋体"/>
          <w:highlight w:val="none"/>
        </w:rPr>
        <w:t>专业</w:t>
      </w:r>
      <w:r>
        <w:rPr>
          <w:rFonts w:hint="eastAsia" w:ascii="宋体" w:hAnsi="宋体" w:cs="宋体"/>
          <w:highlight w:val="none"/>
          <w:u w:val="single"/>
        </w:rPr>
        <w:t>二</w:t>
      </w:r>
      <w:r>
        <w:rPr>
          <w:rFonts w:hint="eastAsia" w:ascii="宋体" w:hAnsi="宋体" w:cs="宋体"/>
          <w:highlight w:val="none"/>
        </w:rPr>
        <w:t>级或以上级别的注册建造师；同时具备有效的安全生产考核合格证（</w:t>
      </w:r>
      <w:r>
        <w:rPr>
          <w:rFonts w:hint="eastAsia" w:cs="宋体"/>
          <w:highlight w:val="none"/>
        </w:rPr>
        <w:t>B</w:t>
      </w:r>
      <w:r>
        <w:rPr>
          <w:rFonts w:hint="eastAsia" w:ascii="宋体" w:hAnsi="宋体" w:cs="宋体"/>
          <w:highlight w:val="none"/>
        </w:rPr>
        <w:t>类）或建筑施工企业项目负责人安全生产考核合格证书，且未在其他在建工程项目中担任项目负责人。</w:t>
      </w:r>
    </w:p>
    <w:p>
      <w:pPr>
        <w:spacing w:line="336" w:lineRule="auto"/>
        <w:ind w:firstLine="420"/>
        <w:rPr>
          <w:rFonts w:ascii="宋体" w:hAnsi="宋体" w:cs="宋体"/>
          <w:highlight w:val="none"/>
        </w:rPr>
      </w:pPr>
      <w:r>
        <w:rPr>
          <w:rFonts w:hint="eastAsia" w:cs="宋体"/>
          <w:highlight w:val="none"/>
        </w:rPr>
        <w:t>3</w:t>
      </w:r>
      <w:r>
        <w:rPr>
          <w:rFonts w:hint="eastAsia" w:ascii="宋体" w:hAnsi="宋体" w:cs="宋体"/>
          <w:highlight w:val="none"/>
        </w:rPr>
        <w:t>.</w:t>
      </w:r>
      <w:r>
        <w:rPr>
          <w:rFonts w:hint="eastAsia" w:cs="宋体"/>
          <w:highlight w:val="none"/>
        </w:rPr>
        <w:t>6</w:t>
      </w:r>
      <w:r>
        <w:rPr>
          <w:rFonts w:hint="eastAsia" w:ascii="宋体" w:hAnsi="宋体" w:cs="宋体"/>
          <w:highlight w:val="none"/>
        </w:rPr>
        <w:t>专职安全员须具有安全生产考核合格证（</w:t>
      </w:r>
      <w:r>
        <w:rPr>
          <w:rFonts w:hint="eastAsia" w:cs="宋体"/>
          <w:highlight w:val="none"/>
        </w:rPr>
        <w:t>C</w:t>
      </w:r>
      <w:r>
        <w:rPr>
          <w:rFonts w:hint="eastAsia" w:ascii="宋体" w:hAnsi="宋体" w:cs="宋体"/>
          <w:highlight w:val="none"/>
        </w:rPr>
        <w:t>类）或建筑施工企业专职安全生产管理人员安全生产考核合格证书。</w:t>
      </w:r>
    </w:p>
    <w:p>
      <w:pPr>
        <w:spacing w:line="336" w:lineRule="auto"/>
        <w:ind w:firstLine="420"/>
        <w:rPr>
          <w:rFonts w:ascii="宋体" w:hAnsi="宋体" w:cs="宋体"/>
          <w:highlight w:val="none"/>
        </w:rPr>
      </w:pPr>
      <w:r>
        <w:rPr>
          <w:rFonts w:hint="eastAsia" w:ascii="宋体" w:hAnsi="宋体" w:cs="宋体"/>
          <w:highlight w:val="none"/>
        </w:rPr>
        <w:t>注：项目负责人在任职期间不得担任专职安全员，项目专职安全员在任职期间也不得担任项目负责人，项目负责人和专职安全员不为同一人。</w:t>
      </w:r>
    </w:p>
    <w:p>
      <w:pPr>
        <w:spacing w:line="336" w:lineRule="auto"/>
        <w:ind w:firstLine="420" w:firstLineChars="200"/>
        <w:rPr>
          <w:rFonts w:ascii="宋体" w:hAnsi="宋体" w:cs="宋体"/>
          <w:highlight w:val="none"/>
        </w:rPr>
      </w:pPr>
      <w:r>
        <w:rPr>
          <w:rFonts w:hint="eastAsia" w:cs="宋体"/>
          <w:highlight w:val="none"/>
        </w:rPr>
        <w:t>3</w:t>
      </w:r>
      <w:r>
        <w:rPr>
          <w:rFonts w:hint="eastAsia" w:ascii="宋体" w:hAnsi="宋体" w:cs="宋体"/>
          <w:highlight w:val="none"/>
        </w:rPr>
        <w:t>.</w:t>
      </w:r>
      <w:r>
        <w:rPr>
          <w:rFonts w:hint="eastAsia" w:cs="宋体"/>
          <w:highlight w:val="none"/>
        </w:rPr>
        <w:t>7</w:t>
      </w:r>
      <w:r>
        <w:rPr>
          <w:rFonts w:hint="eastAsia" w:ascii="宋体" w:hAnsi="宋体" w:cs="宋体"/>
          <w:szCs w:val="21"/>
          <w:highlight w:val="none"/>
        </w:rPr>
        <w:t>本次招标</w:t>
      </w:r>
      <w:r>
        <w:rPr>
          <w:rFonts w:hint="eastAsia" w:ascii="宋体" w:hAnsi="宋体" w:cs="宋体"/>
          <w:szCs w:val="21"/>
          <w:highlight w:val="none"/>
          <w:u w:val="single"/>
        </w:rPr>
        <w:t>不接受</w:t>
      </w:r>
      <w:r>
        <w:rPr>
          <w:rFonts w:hint="eastAsia" w:ascii="宋体" w:hAnsi="宋体" w:cs="宋体"/>
          <w:szCs w:val="21"/>
          <w:highlight w:val="none"/>
        </w:rPr>
        <w:t xml:space="preserve">联合体投标。 </w:t>
      </w:r>
    </w:p>
    <w:p>
      <w:pPr>
        <w:spacing w:line="336" w:lineRule="auto"/>
        <w:ind w:firstLine="420" w:firstLineChars="200"/>
        <w:rPr>
          <w:rFonts w:ascii="宋体" w:hAnsi="宋体" w:cs="宋体"/>
          <w:highlight w:val="none"/>
        </w:rPr>
      </w:pPr>
      <w:r>
        <w:rPr>
          <w:rFonts w:hint="eastAsia" w:cs="宋体"/>
          <w:highlight w:val="none"/>
        </w:rPr>
        <w:t>3</w:t>
      </w:r>
      <w:r>
        <w:rPr>
          <w:rFonts w:hint="eastAsia" w:ascii="宋体" w:hAnsi="宋体" w:cs="宋体"/>
          <w:highlight w:val="none"/>
        </w:rPr>
        <w:t>.</w:t>
      </w:r>
      <w:r>
        <w:rPr>
          <w:rFonts w:hint="eastAsia" w:cs="宋体"/>
          <w:highlight w:val="none"/>
        </w:rPr>
        <w:t>8</w:t>
      </w:r>
      <w:r>
        <w:rPr>
          <w:rFonts w:hint="eastAsia" w:ascii="宋体" w:hAnsi="宋体" w:cs="宋体"/>
          <w:highlight w:val="none"/>
        </w:rPr>
        <w:t>信誉要求</w:t>
      </w:r>
    </w:p>
    <w:p>
      <w:pPr>
        <w:spacing w:line="336" w:lineRule="auto"/>
        <w:ind w:firstLine="420" w:firstLineChars="200"/>
        <w:rPr>
          <w:rFonts w:ascii="宋体" w:hAnsi="宋体" w:cs="宋体"/>
          <w:highlight w:val="none"/>
        </w:rPr>
      </w:pPr>
      <w:r>
        <w:rPr>
          <w:rFonts w:hint="eastAsia" w:ascii="宋体" w:hAnsi="宋体" w:cs="宋体"/>
          <w:highlight w:val="none"/>
        </w:rPr>
        <w:t>（</w:t>
      </w:r>
      <w:r>
        <w:rPr>
          <w:rFonts w:hint="eastAsia" w:cs="宋体"/>
          <w:highlight w:val="none"/>
        </w:rPr>
        <w:t>1</w:t>
      </w:r>
      <w:r>
        <w:rPr>
          <w:rFonts w:hint="eastAsia" w:ascii="宋体" w:hAnsi="宋体" w:cs="宋体"/>
          <w:highlight w:val="none"/>
        </w:rPr>
        <w:t xml:space="preserve">）没有被依法暂停或取消投标资格（指被本招标项目所在地县级及以上农业农村（或住建、水利、公共资源交易）行政主管部门暂停或取消投标资格或禁止进入该区域建设市场且处于有效期内）； </w:t>
      </w:r>
    </w:p>
    <w:p>
      <w:pPr>
        <w:spacing w:line="336" w:lineRule="auto"/>
        <w:ind w:firstLine="420" w:firstLineChars="200"/>
        <w:rPr>
          <w:rFonts w:ascii="宋体" w:hAnsi="宋体" w:cs="宋体"/>
          <w:highlight w:val="none"/>
        </w:rPr>
      </w:pPr>
      <w:r>
        <w:rPr>
          <w:rFonts w:hint="eastAsia" w:ascii="宋体" w:hAnsi="宋体" w:cs="宋体"/>
          <w:highlight w:val="none"/>
        </w:rPr>
        <w:t>（</w:t>
      </w:r>
      <w:r>
        <w:rPr>
          <w:rFonts w:hint="eastAsia" w:cs="宋体"/>
          <w:highlight w:val="none"/>
        </w:rPr>
        <w:t>2</w:t>
      </w:r>
      <w:r>
        <w:rPr>
          <w:rFonts w:hint="eastAsia" w:ascii="宋体" w:hAnsi="宋体" w:cs="宋体"/>
          <w:highlight w:val="none"/>
        </w:rPr>
        <w:t>）没有被责令停产停业、暂扣或者吊销许可证、暂扣或者吊销执照；</w:t>
      </w:r>
    </w:p>
    <w:p>
      <w:pPr>
        <w:spacing w:line="336" w:lineRule="auto"/>
        <w:ind w:firstLine="420" w:firstLineChars="200"/>
        <w:rPr>
          <w:rFonts w:ascii="宋体" w:hAnsi="宋体" w:cs="宋体"/>
          <w:highlight w:val="none"/>
        </w:rPr>
      </w:pPr>
      <w:r>
        <w:rPr>
          <w:rFonts w:hint="eastAsia" w:ascii="宋体" w:hAnsi="宋体" w:cs="宋体"/>
          <w:highlight w:val="none"/>
        </w:rPr>
        <w:t>（</w:t>
      </w:r>
      <w:r>
        <w:rPr>
          <w:rFonts w:hint="eastAsia" w:cs="宋体"/>
          <w:highlight w:val="none"/>
        </w:rPr>
        <w:t>3</w:t>
      </w:r>
      <w:r>
        <w:rPr>
          <w:rFonts w:hint="eastAsia" w:ascii="宋体" w:hAnsi="宋体" w:cs="宋体"/>
          <w:highlight w:val="none"/>
        </w:rPr>
        <w:t>）没有进入清算程序，或被宣告破产，或其他丧失履约能力的情形；</w:t>
      </w:r>
    </w:p>
    <w:p>
      <w:pPr>
        <w:spacing w:line="336" w:lineRule="auto"/>
        <w:ind w:firstLine="420" w:firstLineChars="200"/>
        <w:rPr>
          <w:rFonts w:ascii="宋体" w:hAnsi="宋体" w:cs="宋体"/>
          <w:highlight w:val="none"/>
        </w:rPr>
      </w:pPr>
      <w:r>
        <w:rPr>
          <w:rFonts w:hint="eastAsia" w:ascii="宋体" w:hAnsi="宋体" w:cs="宋体"/>
          <w:highlight w:val="none"/>
        </w:rPr>
        <w:t>（</w:t>
      </w:r>
      <w:r>
        <w:rPr>
          <w:rFonts w:hint="eastAsia" w:cs="宋体"/>
          <w:highlight w:val="none"/>
        </w:rPr>
        <w:t>4</w:t>
      </w:r>
      <w:r>
        <w:rPr>
          <w:rFonts w:hint="eastAsia" w:ascii="宋体" w:hAnsi="宋体" w:cs="宋体"/>
          <w:highlight w:val="none"/>
        </w:rPr>
        <w:t>）在最近三年内没有发生重大工程质量问题（以相关行业主管部门的行政处罚决定或司法机关出具的有关法律文书为准）；</w:t>
      </w:r>
    </w:p>
    <w:p>
      <w:pPr>
        <w:spacing w:line="336" w:lineRule="auto"/>
        <w:ind w:firstLine="420" w:firstLineChars="200"/>
        <w:rPr>
          <w:rFonts w:ascii="宋体" w:hAnsi="宋体" w:cs="宋体"/>
          <w:highlight w:val="none"/>
        </w:rPr>
      </w:pPr>
      <w:r>
        <w:rPr>
          <w:rFonts w:hint="eastAsia" w:ascii="宋体" w:hAnsi="宋体" w:cs="宋体"/>
          <w:highlight w:val="none"/>
        </w:rPr>
        <w:t>（</w:t>
      </w:r>
      <w:r>
        <w:rPr>
          <w:rFonts w:hint="eastAsia" w:cs="宋体"/>
          <w:highlight w:val="none"/>
        </w:rPr>
        <w:t>5</w:t>
      </w:r>
      <w:r>
        <w:rPr>
          <w:rFonts w:hint="eastAsia" w:ascii="宋体" w:hAnsi="宋体" w:cs="宋体"/>
          <w:highlight w:val="none"/>
        </w:rPr>
        <w:t xml:space="preserve">）在“国家企业信用信息公示系统”（ </w:t>
      </w:r>
      <w:r>
        <w:rPr>
          <w:rFonts w:hint="eastAsia" w:cs="宋体"/>
          <w:highlight w:val="none"/>
        </w:rPr>
        <w:t>www</w:t>
      </w:r>
      <w:r>
        <w:rPr>
          <w:rFonts w:hint="eastAsia" w:ascii="宋体" w:hAnsi="宋体" w:cs="宋体"/>
          <w:highlight w:val="none"/>
        </w:rPr>
        <w:t>.</w:t>
      </w:r>
      <w:r>
        <w:rPr>
          <w:rFonts w:hint="eastAsia" w:cs="宋体"/>
          <w:highlight w:val="none"/>
        </w:rPr>
        <w:t>gsxt</w:t>
      </w:r>
      <w:r>
        <w:rPr>
          <w:rFonts w:hint="eastAsia" w:ascii="宋体" w:hAnsi="宋体" w:cs="宋体"/>
          <w:highlight w:val="none"/>
        </w:rPr>
        <w:t>.</w:t>
      </w:r>
      <w:r>
        <w:rPr>
          <w:rFonts w:hint="eastAsia" w:cs="宋体"/>
          <w:highlight w:val="none"/>
        </w:rPr>
        <w:t>gov</w:t>
      </w:r>
      <w:r>
        <w:rPr>
          <w:rFonts w:hint="eastAsia" w:ascii="宋体" w:hAnsi="宋体" w:cs="宋体"/>
          <w:highlight w:val="none"/>
        </w:rPr>
        <w:t>.</w:t>
      </w:r>
      <w:r>
        <w:rPr>
          <w:rFonts w:hint="eastAsia" w:cs="宋体"/>
          <w:highlight w:val="none"/>
        </w:rPr>
        <w:t>cn</w:t>
      </w:r>
      <w:r>
        <w:rPr>
          <w:rFonts w:hint="eastAsia" w:ascii="宋体" w:hAnsi="宋体" w:cs="宋体"/>
          <w:highlight w:val="none"/>
        </w:rPr>
        <w:t>）中没有被列入严重违法失信企业名单；</w:t>
      </w:r>
    </w:p>
    <w:p>
      <w:pPr>
        <w:spacing w:line="336" w:lineRule="auto"/>
        <w:ind w:firstLine="420" w:firstLineChars="200"/>
        <w:rPr>
          <w:rFonts w:ascii="宋体" w:hAnsi="宋体" w:cs="宋体"/>
          <w:highlight w:val="none"/>
        </w:rPr>
      </w:pPr>
      <w:r>
        <w:rPr>
          <w:rFonts w:hint="eastAsia" w:ascii="宋体" w:hAnsi="宋体" w:cs="宋体"/>
          <w:highlight w:val="none"/>
        </w:rPr>
        <w:t>（</w:t>
      </w:r>
      <w:r>
        <w:rPr>
          <w:rFonts w:hint="eastAsia" w:cs="宋体"/>
          <w:highlight w:val="none"/>
        </w:rPr>
        <w:t>6</w:t>
      </w:r>
      <w:r>
        <w:rPr>
          <w:rFonts w:hint="eastAsia" w:ascii="宋体" w:hAnsi="宋体" w:cs="宋体"/>
          <w:highlight w:val="none"/>
        </w:rPr>
        <w:t>）在“信用中国”网站（</w:t>
      </w:r>
      <w:r>
        <w:rPr>
          <w:rFonts w:hint="eastAsia" w:cs="宋体"/>
          <w:highlight w:val="none"/>
        </w:rPr>
        <w:t>www</w:t>
      </w:r>
      <w:r>
        <w:rPr>
          <w:rFonts w:hint="eastAsia" w:ascii="宋体" w:hAnsi="宋体" w:cs="宋体"/>
          <w:highlight w:val="none"/>
        </w:rPr>
        <w:t>.</w:t>
      </w:r>
      <w:r>
        <w:rPr>
          <w:rFonts w:hint="eastAsia" w:cs="宋体"/>
          <w:highlight w:val="none"/>
        </w:rPr>
        <w:t>creditchina</w:t>
      </w:r>
      <w:r>
        <w:rPr>
          <w:rFonts w:hint="eastAsia" w:ascii="宋体" w:hAnsi="宋体" w:cs="宋体"/>
          <w:highlight w:val="none"/>
        </w:rPr>
        <w:t>.</w:t>
      </w:r>
      <w:r>
        <w:rPr>
          <w:rFonts w:hint="eastAsia" w:cs="宋体"/>
          <w:highlight w:val="none"/>
        </w:rPr>
        <w:t>gov</w:t>
      </w:r>
      <w:r>
        <w:rPr>
          <w:rFonts w:hint="eastAsia" w:ascii="宋体" w:hAnsi="宋体" w:cs="宋体"/>
          <w:highlight w:val="none"/>
        </w:rPr>
        <w:t>.</w:t>
      </w:r>
      <w:r>
        <w:rPr>
          <w:rFonts w:hint="eastAsia" w:cs="宋体"/>
          <w:highlight w:val="none"/>
        </w:rPr>
        <w:t>cn</w:t>
      </w:r>
      <w:r>
        <w:rPr>
          <w:rFonts w:hint="eastAsia" w:ascii="宋体" w:hAnsi="宋体" w:cs="宋体"/>
          <w:highlight w:val="none"/>
        </w:rPr>
        <w:t>）或“中国执行信息公开网”（</w:t>
      </w:r>
      <w:r>
        <w:rPr>
          <w:rFonts w:hint="eastAsia" w:cs="宋体"/>
          <w:highlight w:val="none"/>
        </w:rPr>
        <w:t>http</w:t>
      </w:r>
      <w:r>
        <w:rPr>
          <w:rFonts w:hint="eastAsia" w:ascii="宋体" w:hAnsi="宋体" w:cs="宋体"/>
          <w:highlight w:val="none"/>
        </w:rPr>
        <w:t>://</w:t>
      </w:r>
      <w:r>
        <w:rPr>
          <w:rFonts w:hint="eastAsia" w:cs="宋体"/>
          <w:highlight w:val="none"/>
        </w:rPr>
        <w:t>zxgk</w:t>
      </w:r>
      <w:r>
        <w:rPr>
          <w:rFonts w:hint="eastAsia" w:ascii="宋体" w:hAnsi="宋体" w:cs="宋体"/>
          <w:highlight w:val="none"/>
        </w:rPr>
        <w:t>.</w:t>
      </w:r>
      <w:r>
        <w:rPr>
          <w:rFonts w:hint="eastAsia" w:cs="宋体"/>
          <w:highlight w:val="none"/>
        </w:rPr>
        <w:t>court</w:t>
      </w:r>
      <w:r>
        <w:rPr>
          <w:rFonts w:hint="eastAsia" w:ascii="宋体" w:hAnsi="宋体" w:cs="宋体"/>
          <w:highlight w:val="none"/>
        </w:rPr>
        <w:t>.</w:t>
      </w:r>
      <w:r>
        <w:rPr>
          <w:rFonts w:hint="eastAsia" w:cs="宋体"/>
          <w:highlight w:val="none"/>
        </w:rPr>
        <w:t>gov</w:t>
      </w:r>
      <w:r>
        <w:rPr>
          <w:rFonts w:hint="eastAsia" w:ascii="宋体" w:hAnsi="宋体" w:cs="宋体"/>
          <w:highlight w:val="none"/>
        </w:rPr>
        <w:t>.</w:t>
      </w:r>
      <w:r>
        <w:rPr>
          <w:rFonts w:hint="eastAsia" w:cs="宋体"/>
          <w:highlight w:val="none"/>
        </w:rPr>
        <w:t>cn</w:t>
      </w:r>
      <w:r>
        <w:rPr>
          <w:rFonts w:hint="eastAsia" w:ascii="宋体" w:hAnsi="宋体" w:cs="宋体"/>
          <w:highlight w:val="none"/>
        </w:rPr>
        <w:t>/</w:t>
      </w:r>
      <w:r>
        <w:rPr>
          <w:rFonts w:hint="eastAsia" w:cs="宋体"/>
          <w:highlight w:val="none"/>
        </w:rPr>
        <w:t>shixin</w:t>
      </w:r>
      <w:r>
        <w:rPr>
          <w:rFonts w:hint="eastAsia" w:ascii="宋体" w:hAnsi="宋体" w:cs="宋体"/>
          <w:highlight w:val="none"/>
        </w:rPr>
        <w:t>/）没有被列入失信被执行人名单；</w:t>
      </w:r>
    </w:p>
    <w:p>
      <w:pPr>
        <w:spacing w:line="336" w:lineRule="auto"/>
        <w:ind w:firstLine="420" w:firstLineChars="200"/>
        <w:rPr>
          <w:rFonts w:ascii="宋体" w:hAnsi="宋体" w:cs="宋体"/>
          <w:highlight w:val="none"/>
        </w:rPr>
      </w:pPr>
      <w:r>
        <w:rPr>
          <w:rFonts w:hint="eastAsia" w:ascii="宋体" w:hAnsi="宋体" w:cs="宋体"/>
          <w:highlight w:val="none"/>
        </w:rPr>
        <w:t>（</w:t>
      </w:r>
      <w:r>
        <w:rPr>
          <w:rFonts w:hint="eastAsia" w:cs="宋体"/>
          <w:highlight w:val="none"/>
        </w:rPr>
        <w:t>7</w:t>
      </w:r>
      <w:r>
        <w:rPr>
          <w:rFonts w:hint="eastAsia" w:ascii="宋体" w:hAnsi="宋体" w:cs="宋体"/>
          <w:highlight w:val="none"/>
        </w:rPr>
        <w:t>）在近三年内投标人或其法定代表人、拟委任的项目负责人没有行贿犯罪行为。</w:t>
      </w:r>
    </w:p>
    <w:p>
      <w:pPr>
        <w:spacing w:line="336" w:lineRule="auto"/>
        <w:ind w:firstLine="420" w:firstLineChars="200"/>
        <w:rPr>
          <w:rFonts w:ascii="宋体" w:hAnsi="宋体" w:cs="宋体"/>
          <w:highlight w:val="none"/>
        </w:rPr>
      </w:pPr>
      <w:r>
        <w:rPr>
          <w:rFonts w:hint="eastAsia" w:ascii="宋体" w:hAnsi="宋体" w:cs="宋体"/>
          <w:highlight w:val="none"/>
        </w:rPr>
        <w:t>（</w:t>
      </w:r>
      <w:r>
        <w:rPr>
          <w:rFonts w:hint="eastAsia" w:cs="宋体"/>
          <w:highlight w:val="none"/>
        </w:rPr>
        <w:t>8</w:t>
      </w:r>
      <w:r>
        <w:rPr>
          <w:rFonts w:hint="eastAsia" w:ascii="宋体" w:hAnsi="宋体" w:cs="宋体"/>
          <w:highlight w:val="none"/>
        </w:rPr>
        <w:t>）不存在法律法规或投标人须知前附表第</w:t>
      </w:r>
      <w:r>
        <w:rPr>
          <w:rFonts w:hint="eastAsia" w:cs="宋体"/>
          <w:highlight w:val="none"/>
        </w:rPr>
        <w:t>1</w:t>
      </w:r>
      <w:r>
        <w:rPr>
          <w:rFonts w:hint="eastAsia" w:ascii="宋体" w:hAnsi="宋体" w:cs="宋体"/>
          <w:highlight w:val="none"/>
        </w:rPr>
        <w:t>.</w:t>
      </w:r>
      <w:r>
        <w:rPr>
          <w:rFonts w:hint="eastAsia" w:cs="宋体"/>
          <w:highlight w:val="none"/>
        </w:rPr>
        <w:t>4</w:t>
      </w:r>
      <w:r>
        <w:rPr>
          <w:rFonts w:hint="eastAsia" w:ascii="宋体" w:hAnsi="宋体" w:cs="宋体"/>
          <w:highlight w:val="none"/>
        </w:rPr>
        <w:t>.</w:t>
      </w:r>
      <w:r>
        <w:rPr>
          <w:rFonts w:hint="eastAsia" w:cs="宋体"/>
          <w:highlight w:val="none"/>
        </w:rPr>
        <w:t>3</w:t>
      </w:r>
      <w:r>
        <w:rPr>
          <w:rFonts w:hint="eastAsia" w:ascii="宋体" w:hAnsi="宋体" w:cs="宋体"/>
          <w:highlight w:val="none"/>
        </w:rPr>
        <w:t>（</w:t>
      </w:r>
      <w:r>
        <w:rPr>
          <w:rFonts w:hint="eastAsia" w:cs="宋体"/>
          <w:highlight w:val="none"/>
        </w:rPr>
        <w:t>19</w:t>
      </w:r>
      <w:r>
        <w:rPr>
          <w:rFonts w:hint="eastAsia" w:ascii="宋体" w:hAnsi="宋体" w:cs="宋体"/>
          <w:highlight w:val="none"/>
        </w:rPr>
        <w:t>）目规定的不得存在的其他情形。</w:t>
      </w:r>
    </w:p>
    <w:p>
      <w:pPr>
        <w:spacing w:line="336" w:lineRule="auto"/>
        <w:ind w:firstLine="420" w:firstLineChars="200"/>
        <w:rPr>
          <w:highlight w:val="none"/>
        </w:rPr>
      </w:pPr>
      <w:r>
        <w:rPr>
          <w:rFonts w:hint="eastAsia"/>
          <w:highlight w:val="none"/>
        </w:rPr>
        <w:t>3</w:t>
      </w:r>
      <w:r>
        <w:rPr>
          <w:rFonts w:hint="eastAsia" w:ascii="宋体" w:hAnsi="宋体" w:cs="宋体"/>
          <w:highlight w:val="none"/>
        </w:rPr>
        <w:t>.</w:t>
      </w:r>
      <w:r>
        <w:rPr>
          <w:rFonts w:hint="eastAsia"/>
          <w:highlight w:val="none"/>
        </w:rPr>
        <w:t>9资格审查前，投标人须在交易平台完成企业信息登记，及拟担任本工程项目负责人、专职安全员须是本企业信息登记中的在册人员。企业信息登记应按照交易平台关于企业信息登记的相关指南进行操作。详见：</w:t>
      </w:r>
      <w:r>
        <w:rPr>
          <w:rFonts w:hint="eastAsia"/>
          <w:highlight w:val="none"/>
          <w:u w:val="single"/>
        </w:rPr>
        <w:t>广州交易集团有限公司（广州公共资源交易中心）</w:t>
      </w:r>
      <w:r>
        <w:rPr>
          <w:rFonts w:hint="eastAsia"/>
          <w:szCs w:val="21"/>
          <w:highlight w:val="none"/>
          <w:u w:val="single"/>
        </w:rPr>
        <w:t>网站发布的相关办事指引</w:t>
      </w:r>
      <w:r>
        <w:rPr>
          <w:rFonts w:hint="eastAsia"/>
          <w:highlight w:val="none"/>
        </w:rPr>
        <w:t>。</w:t>
      </w:r>
    </w:p>
    <w:p>
      <w:pPr>
        <w:spacing w:line="336" w:lineRule="auto"/>
        <w:ind w:firstLine="420" w:firstLineChars="200"/>
        <w:rPr>
          <w:highlight w:val="none"/>
        </w:rPr>
      </w:pPr>
      <w:r>
        <w:rPr>
          <w:rFonts w:hint="eastAsia"/>
          <w:highlight w:val="none"/>
        </w:rPr>
        <w:t>3.10其他</w:t>
      </w:r>
      <w:r>
        <w:rPr>
          <w:highlight w:val="none"/>
        </w:rPr>
        <w:t>要求：</w:t>
      </w:r>
      <w:r>
        <w:rPr>
          <w:rFonts w:hint="eastAsia"/>
          <w:highlight w:val="none"/>
          <w:u w:val="single"/>
        </w:rPr>
        <w:t>/</w:t>
      </w:r>
      <w:r>
        <w:rPr>
          <w:rFonts w:hint="eastAsia"/>
          <w:highlight w:val="none"/>
        </w:rPr>
        <w:t>。</w:t>
      </w:r>
    </w:p>
    <w:bookmarkEnd w:id="127"/>
    <w:p>
      <w:pPr>
        <w:pStyle w:val="7"/>
        <w:keepNext w:val="0"/>
        <w:keepLines w:val="0"/>
        <w:spacing w:before="0" w:line="336" w:lineRule="auto"/>
        <w:outlineLvl w:val="2"/>
        <w:rPr>
          <w:highlight w:val="none"/>
        </w:rPr>
      </w:pPr>
      <w:bookmarkStart w:id="128" w:name="_Toc10877"/>
      <w:bookmarkStart w:id="129" w:name="_Toc387753535"/>
      <w:bookmarkStart w:id="130" w:name="_Toc899841256"/>
      <w:bookmarkStart w:id="131" w:name="_Toc10699"/>
      <w:bookmarkStart w:id="132" w:name="_Toc23779"/>
      <w:bookmarkStart w:id="133" w:name="_Toc31276"/>
      <w:bookmarkStart w:id="134" w:name="_Toc12445"/>
      <w:bookmarkStart w:id="135" w:name="_Toc222032635"/>
      <w:bookmarkStart w:id="136" w:name="_Toc5342"/>
      <w:bookmarkStart w:id="137" w:name="_Toc592"/>
      <w:bookmarkStart w:id="138" w:name="_Toc12095"/>
      <w:bookmarkStart w:id="139" w:name="_Toc22991"/>
      <w:bookmarkStart w:id="140" w:name="_Toc27249"/>
      <w:bookmarkStart w:id="141" w:name="_Toc168476032"/>
      <w:bookmarkStart w:id="142" w:name="_Toc168475629"/>
      <w:bookmarkStart w:id="143" w:name="_Toc222033817"/>
      <w:bookmarkStart w:id="144" w:name="_Toc22944"/>
      <w:bookmarkStart w:id="145" w:name="_Toc222030968"/>
      <w:bookmarkStart w:id="146" w:name="_Toc933282979"/>
      <w:bookmarkStart w:id="147" w:name="_Toc229305326"/>
      <w:bookmarkStart w:id="148" w:name="_Toc27703"/>
      <w:bookmarkStart w:id="149" w:name="_Toc15220"/>
      <w:bookmarkStart w:id="150" w:name="_Toc23660"/>
      <w:bookmarkStart w:id="151" w:name="_Toc29364"/>
      <w:bookmarkStart w:id="152" w:name="_Toc144974483"/>
      <w:bookmarkStart w:id="153" w:name="_Toc222029466"/>
      <w:bookmarkStart w:id="154" w:name="_Toc1179"/>
      <w:bookmarkStart w:id="155" w:name="_Toc18784"/>
      <w:bookmarkStart w:id="156" w:name="_Toc1544"/>
      <w:bookmarkStart w:id="157" w:name="_Toc6147"/>
      <w:bookmarkStart w:id="158" w:name="_Toc6298"/>
      <w:bookmarkStart w:id="159" w:name="_Toc23739"/>
      <w:bookmarkStart w:id="160" w:name="_Toc4186"/>
      <w:bookmarkStart w:id="161" w:name="_Toc1789"/>
      <w:bookmarkStart w:id="162" w:name="_Toc18652"/>
      <w:bookmarkStart w:id="163" w:name="_Toc221949930"/>
      <w:bookmarkStart w:id="164" w:name="_Toc12519"/>
      <w:bookmarkStart w:id="165" w:name="_Toc7220"/>
      <w:r>
        <w:rPr>
          <w:rFonts w:hint="eastAsia"/>
          <w:highlight w:val="none"/>
        </w:rPr>
        <w:t>4. 招标文件的获取</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adjustRightInd w:val="0"/>
        <w:snapToGrid w:val="0"/>
        <w:spacing w:line="336" w:lineRule="auto"/>
        <w:ind w:firstLine="420" w:firstLineChars="200"/>
        <w:rPr>
          <w:rFonts w:ascii="宋体" w:hAnsi="宋体" w:cs="宋体"/>
          <w:szCs w:val="21"/>
          <w:highlight w:val="none"/>
        </w:rPr>
      </w:pPr>
      <w:bookmarkStart w:id="166" w:name="_Toc387753536"/>
      <w:bookmarkStart w:id="167" w:name="_Toc144974484"/>
      <w:bookmarkStart w:id="168" w:name="_Toc222033818"/>
      <w:bookmarkStart w:id="169" w:name="_Toc222029467"/>
      <w:bookmarkStart w:id="170" w:name="_Toc168476033"/>
      <w:bookmarkStart w:id="171" w:name="_Toc221949934"/>
      <w:bookmarkStart w:id="172" w:name="_Toc229305327"/>
      <w:bookmarkStart w:id="173" w:name="_Toc222030969"/>
      <w:bookmarkStart w:id="174" w:name="_Toc168475630"/>
      <w:bookmarkStart w:id="175" w:name="_Toc222032636"/>
      <w:r>
        <w:rPr>
          <w:rFonts w:hint="eastAsia" w:cs="宋体"/>
          <w:szCs w:val="21"/>
          <w:highlight w:val="none"/>
        </w:rPr>
        <w:t>4</w:t>
      </w:r>
      <w:r>
        <w:rPr>
          <w:rFonts w:hint="eastAsia" w:ascii="宋体" w:hAnsi="宋体" w:cs="宋体"/>
          <w:szCs w:val="21"/>
          <w:highlight w:val="none"/>
        </w:rPr>
        <w:t>.</w:t>
      </w:r>
      <w:r>
        <w:rPr>
          <w:rFonts w:hint="eastAsia" w:cs="宋体"/>
          <w:szCs w:val="21"/>
          <w:highlight w:val="none"/>
        </w:rPr>
        <w:t>1</w:t>
      </w:r>
      <w:r>
        <w:rPr>
          <w:rFonts w:hint="eastAsia"/>
          <w:highlight w:val="none"/>
        </w:rPr>
        <w:t>凡有意参加投标者，应当在</w:t>
      </w:r>
      <w:r>
        <w:rPr>
          <w:rFonts w:hint="eastAsia"/>
          <w:highlight w:val="none"/>
          <w:u w:val="single"/>
        </w:rPr>
        <w:t>广州交易集团有限公司（广州公共资源交易中心）</w:t>
      </w:r>
      <w:r>
        <w:rPr>
          <w:rFonts w:hint="eastAsia"/>
          <w:color w:val="auto"/>
          <w:highlight w:val="none"/>
          <w:u w:val="single"/>
        </w:rPr>
        <w:t>交易平台</w:t>
      </w:r>
      <w:r>
        <w:rPr>
          <w:rFonts w:hint="eastAsia"/>
          <w:highlight w:val="none"/>
        </w:rPr>
        <w:t>（以下简称“电子交易平台”，下同）（网址：http://www.gzggzy.cn/）进行注册登记，并办理CA数字证书（具体按照交易平台的相关指南进行操作，详见</w:t>
      </w:r>
      <w:r>
        <w:rPr>
          <w:rFonts w:hint="eastAsia"/>
          <w:highlight w:val="none"/>
          <w:lang w:eastAsia="zh-CN"/>
        </w:rPr>
        <w:t>：</w:t>
      </w:r>
      <w:r>
        <w:rPr>
          <w:rFonts w:hint="eastAsia"/>
          <w:highlight w:val="none"/>
          <w:u w:val="single"/>
        </w:rPr>
        <w:t>广州交易集团有限公司（广州公共资源交易中心）</w:t>
      </w:r>
      <w:r>
        <w:rPr>
          <w:rFonts w:hint="eastAsia"/>
          <w:szCs w:val="21"/>
          <w:highlight w:val="none"/>
          <w:u w:val="single"/>
        </w:rPr>
        <w:t>网站发布的相关办事指引</w:t>
      </w:r>
      <w:r>
        <w:rPr>
          <w:rFonts w:hint="eastAsia"/>
          <w:highlight w:val="none"/>
        </w:rPr>
        <w:t>）。</w:t>
      </w:r>
    </w:p>
    <w:p>
      <w:pPr>
        <w:adjustRightInd w:val="0"/>
        <w:snapToGrid w:val="0"/>
        <w:spacing w:line="336" w:lineRule="auto"/>
        <w:ind w:firstLine="420" w:firstLineChars="200"/>
        <w:rPr>
          <w:highlight w:val="none"/>
        </w:rPr>
      </w:pPr>
      <w:r>
        <w:rPr>
          <w:rFonts w:hint="eastAsia" w:cs="宋体"/>
          <w:szCs w:val="21"/>
          <w:highlight w:val="none"/>
        </w:rPr>
        <w:t>4</w:t>
      </w:r>
      <w:r>
        <w:rPr>
          <w:rFonts w:hint="eastAsia" w:ascii="宋体" w:hAnsi="宋体" w:cs="宋体"/>
          <w:szCs w:val="21"/>
          <w:highlight w:val="none"/>
        </w:rPr>
        <w:t>.</w:t>
      </w:r>
      <w:r>
        <w:rPr>
          <w:rFonts w:hint="eastAsia" w:cs="宋体"/>
          <w:szCs w:val="21"/>
          <w:highlight w:val="none"/>
        </w:rPr>
        <w:t>2</w:t>
      </w:r>
      <w:r>
        <w:rPr>
          <w:rFonts w:hint="eastAsia" w:ascii="宋体" w:hAnsi="宋体" w:cs="宋体"/>
          <w:szCs w:val="21"/>
          <w:highlight w:val="none"/>
        </w:rPr>
        <w:t xml:space="preserve"> 完成注册登记后，</w:t>
      </w:r>
      <w:r>
        <w:rPr>
          <w:rFonts w:hint="eastAsia" w:ascii="宋体" w:hAnsi="宋体" w:cs="宋体"/>
          <w:highlight w:val="none"/>
        </w:rPr>
        <w:t>请于</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rPr>
        <w:t>分止</w:t>
      </w:r>
      <w:r>
        <w:rPr>
          <w:rFonts w:hint="eastAsia" w:ascii="宋体" w:hAnsi="宋体" w:cs="宋体"/>
          <w:szCs w:val="21"/>
          <w:highlight w:val="none"/>
        </w:rPr>
        <w:t>（北京时间，下同）</w:t>
      </w:r>
      <w:r>
        <w:rPr>
          <w:rFonts w:hint="eastAsia" w:ascii="宋体" w:hAnsi="宋体" w:cs="宋体"/>
          <w:highlight w:val="none"/>
        </w:rPr>
        <w:t>，通过互联网使用</w:t>
      </w:r>
      <w:r>
        <w:rPr>
          <w:rFonts w:hint="eastAsia" w:cs="宋体"/>
          <w:szCs w:val="21"/>
          <w:highlight w:val="none"/>
        </w:rPr>
        <w:t>CA</w:t>
      </w:r>
      <w:r>
        <w:rPr>
          <w:rFonts w:hint="eastAsia" w:ascii="宋体" w:hAnsi="宋体" w:cs="宋体"/>
          <w:szCs w:val="21"/>
          <w:highlight w:val="none"/>
        </w:rPr>
        <w:t>数字证书</w:t>
      </w:r>
      <w:r>
        <w:rPr>
          <w:rFonts w:hint="eastAsia" w:ascii="宋体" w:hAnsi="宋体" w:cs="宋体"/>
          <w:highlight w:val="none"/>
        </w:rPr>
        <w:t>登录“电子交易平台”</w:t>
      </w:r>
      <w:r>
        <w:rPr>
          <w:rFonts w:hint="eastAsia" w:ascii="宋体" w:hAnsi="宋体" w:cs="宋体"/>
          <w:szCs w:val="21"/>
          <w:highlight w:val="none"/>
        </w:rPr>
        <w:t>，在所投标段免费下载招标文件。未按规定从“电子交易平台”下载招标文件的，</w:t>
      </w:r>
      <w:r>
        <w:rPr>
          <w:rFonts w:hint="eastAsia"/>
          <w:highlight w:val="none"/>
        </w:rPr>
        <w:t>招标人（“</w:t>
      </w:r>
      <w:r>
        <w:rPr>
          <w:highlight w:val="none"/>
        </w:rPr>
        <w:t>电子</w:t>
      </w:r>
      <w:r>
        <w:rPr>
          <w:rFonts w:hint="eastAsia"/>
          <w:highlight w:val="none"/>
        </w:rPr>
        <w:t>交易平台”）拒收其投标文件。</w:t>
      </w:r>
    </w:p>
    <w:p>
      <w:pPr>
        <w:pStyle w:val="7"/>
        <w:keepNext w:val="0"/>
        <w:keepLines w:val="0"/>
        <w:spacing w:before="0" w:line="336" w:lineRule="auto"/>
        <w:outlineLvl w:val="2"/>
        <w:rPr>
          <w:highlight w:val="none"/>
        </w:rPr>
      </w:pPr>
      <w:bookmarkStart w:id="176" w:name="_Toc14058"/>
      <w:bookmarkStart w:id="177" w:name="_Toc23646"/>
      <w:bookmarkStart w:id="178" w:name="_Toc8885"/>
      <w:bookmarkStart w:id="179" w:name="_Toc18259"/>
      <w:bookmarkStart w:id="180" w:name="_Toc7590"/>
      <w:bookmarkStart w:id="181" w:name="_Toc11910"/>
      <w:bookmarkStart w:id="182" w:name="_Toc9915"/>
      <w:bookmarkStart w:id="183" w:name="_Toc22890"/>
      <w:bookmarkStart w:id="184" w:name="_Toc27825"/>
      <w:bookmarkStart w:id="185" w:name="_Toc15966"/>
      <w:bookmarkStart w:id="186" w:name="_Toc16281"/>
      <w:bookmarkStart w:id="187" w:name="_Toc23271"/>
      <w:bookmarkStart w:id="188" w:name="_Toc5300"/>
      <w:bookmarkStart w:id="189" w:name="_Toc7337"/>
      <w:bookmarkStart w:id="190" w:name="_Toc25347"/>
      <w:bookmarkStart w:id="191" w:name="_Toc32551"/>
      <w:bookmarkStart w:id="192" w:name="_Toc1143022034"/>
      <w:bookmarkStart w:id="193" w:name="_Toc29374"/>
      <w:bookmarkStart w:id="194" w:name="_Toc15817"/>
      <w:bookmarkStart w:id="195" w:name="_Toc30709"/>
      <w:bookmarkStart w:id="196" w:name="_Toc3773"/>
      <w:bookmarkStart w:id="197" w:name="_Toc8266"/>
      <w:bookmarkStart w:id="198" w:name="_Toc14406"/>
      <w:bookmarkStart w:id="199" w:name="_Toc18917"/>
      <w:bookmarkStart w:id="200" w:name="_Toc30934"/>
      <w:bookmarkStart w:id="201" w:name="_Toc21756"/>
      <w:bookmarkStart w:id="202" w:name="_Toc2815"/>
      <w:bookmarkStart w:id="203" w:name="_Toc1314950961"/>
      <w:r>
        <w:rPr>
          <w:rFonts w:hint="eastAsia"/>
          <w:highlight w:val="none"/>
        </w:rPr>
        <w:t>5. 公告发布日期、递交投标文件时间与开标时间</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spacing w:line="336" w:lineRule="auto"/>
        <w:rPr>
          <w:szCs w:val="21"/>
          <w:highlight w:val="none"/>
        </w:rPr>
      </w:pPr>
      <w:bookmarkStart w:id="204" w:name="_Toc222029469"/>
      <w:bookmarkStart w:id="205" w:name="_Toc221949939"/>
      <w:bookmarkStart w:id="206" w:name="_Toc168476034"/>
      <w:bookmarkStart w:id="207" w:name="_Toc229305329"/>
      <w:bookmarkStart w:id="208" w:name="_Toc222033820"/>
      <w:bookmarkStart w:id="209" w:name="_Toc222030971"/>
      <w:bookmarkStart w:id="210" w:name="_Toc387753538"/>
      <w:bookmarkStart w:id="211" w:name="_Toc168475631"/>
      <w:bookmarkStart w:id="212" w:name="_Toc222032638"/>
      <w:r>
        <w:rPr>
          <w:rFonts w:hint="eastAsia"/>
          <w:szCs w:val="21"/>
          <w:highlight w:val="none"/>
        </w:rPr>
        <w:t xml:space="preserve">    </w:t>
      </w:r>
      <w:r>
        <w:rPr>
          <w:szCs w:val="21"/>
          <w:highlight w:val="none"/>
        </w:rPr>
        <w:t>5</w:t>
      </w:r>
      <w:r>
        <w:rPr>
          <w:rFonts w:ascii="宋体" w:hAnsi="宋体"/>
          <w:szCs w:val="21"/>
          <w:highlight w:val="none"/>
        </w:rPr>
        <w:t>.</w:t>
      </w:r>
      <w:r>
        <w:rPr>
          <w:szCs w:val="21"/>
          <w:highlight w:val="none"/>
        </w:rPr>
        <w:t>1</w:t>
      </w:r>
      <w:r>
        <w:rPr>
          <w:rFonts w:hint="eastAsia"/>
          <w:szCs w:val="21"/>
          <w:highlight w:val="none"/>
        </w:rPr>
        <w:t>公告发布日期（含本日）：</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rPr>
        <w:t>分至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rPr>
        <w:t>分</w:t>
      </w:r>
      <w:r>
        <w:rPr>
          <w:rFonts w:hint="eastAsia"/>
          <w:highlight w:val="none"/>
        </w:rPr>
        <w:t>。</w:t>
      </w:r>
      <w:r>
        <w:rPr>
          <w:rFonts w:hint="eastAsia"/>
          <w:szCs w:val="21"/>
          <w:highlight w:val="none"/>
        </w:rPr>
        <w:t>凡有意参加投标者，请自行登录电子交易平台网站下载电子招标文件。</w:t>
      </w:r>
    </w:p>
    <w:p>
      <w:pPr>
        <w:adjustRightInd w:val="0"/>
        <w:snapToGrid w:val="0"/>
        <w:spacing w:line="336" w:lineRule="auto"/>
        <w:ind w:firstLine="420" w:firstLineChars="200"/>
        <w:rPr>
          <w:highlight w:val="none"/>
        </w:rPr>
      </w:pPr>
      <w:r>
        <w:rPr>
          <w:rFonts w:hint="eastAsia"/>
          <w:highlight w:val="none"/>
        </w:rPr>
        <w:t>注：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pPr>
        <w:adjustRightInd w:val="0"/>
        <w:snapToGrid w:val="0"/>
        <w:spacing w:line="336" w:lineRule="auto"/>
        <w:ind w:firstLine="420" w:firstLineChars="200"/>
        <w:rPr>
          <w:highlight w:val="none"/>
        </w:rPr>
      </w:pPr>
      <w:r>
        <w:rPr>
          <w:rFonts w:hint="eastAsia"/>
          <w:highlight w:val="none"/>
        </w:rPr>
        <w:t>5.2递交投标文件起始时间：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rPr>
        <w:t>分</w:t>
      </w:r>
      <w:r>
        <w:rPr>
          <w:rFonts w:hint="eastAsia"/>
          <w:highlight w:val="none"/>
        </w:rPr>
        <w:t>；</w:t>
      </w:r>
    </w:p>
    <w:p>
      <w:pPr>
        <w:adjustRightInd w:val="0"/>
        <w:snapToGrid w:val="0"/>
        <w:spacing w:line="336" w:lineRule="auto"/>
        <w:ind w:firstLine="2100" w:firstLineChars="1000"/>
        <w:rPr>
          <w:highlight w:val="none"/>
        </w:rPr>
      </w:pPr>
      <w:r>
        <w:rPr>
          <w:rFonts w:hint="eastAsia"/>
          <w:highlight w:val="none"/>
        </w:rPr>
        <w:t>截止时间：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rPr>
        <w:t>分</w:t>
      </w:r>
      <w:r>
        <w:rPr>
          <w:rFonts w:hint="eastAsia"/>
          <w:highlight w:val="none"/>
        </w:rPr>
        <w:t>。</w:t>
      </w:r>
    </w:p>
    <w:p>
      <w:pPr>
        <w:adjustRightInd w:val="0"/>
        <w:snapToGrid w:val="0"/>
        <w:spacing w:line="336" w:lineRule="auto"/>
        <w:ind w:firstLine="420" w:firstLineChars="200"/>
        <w:rPr>
          <w:highlight w:val="none"/>
        </w:rPr>
      </w:pPr>
      <w:r>
        <w:rPr>
          <w:rFonts w:hint="eastAsia"/>
          <w:highlight w:val="none"/>
        </w:rPr>
        <w:t>5.3递交投标文件备用光盘时间：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rPr>
        <w:t>分至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rPr>
        <w:t>分</w:t>
      </w:r>
      <w:r>
        <w:rPr>
          <w:rFonts w:hint="eastAsia"/>
          <w:highlight w:val="none"/>
        </w:rPr>
        <w:t>；递交地点：</w:t>
      </w:r>
      <w:r>
        <w:rPr>
          <w:rFonts w:hint="eastAsia"/>
          <w:highlight w:val="none"/>
          <w:u w:val="single"/>
        </w:rPr>
        <w:t xml:space="preserve">        </w:t>
      </w:r>
      <w:r>
        <w:rPr>
          <w:rFonts w:hint="eastAsia"/>
          <w:highlight w:val="none"/>
        </w:rPr>
        <w:t>。(建议安排在投标文件截止时间前15分钟至投标文件截止时间）</w:t>
      </w:r>
    </w:p>
    <w:p>
      <w:pPr>
        <w:adjustRightInd w:val="0"/>
        <w:snapToGrid w:val="0"/>
        <w:spacing w:line="336" w:lineRule="auto"/>
        <w:ind w:firstLine="420" w:firstLineChars="200"/>
        <w:rPr>
          <w:rFonts w:ascii="宋体" w:hAnsi="宋体" w:cs="宋体"/>
          <w:szCs w:val="21"/>
          <w:highlight w:val="none"/>
        </w:rPr>
      </w:pPr>
      <w:r>
        <w:rPr>
          <w:rFonts w:hint="eastAsia"/>
          <w:highlight w:val="none"/>
        </w:rPr>
        <w:t>5.4开标开始时间：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rPr>
        <w:t>分；</w:t>
      </w:r>
    </w:p>
    <w:p>
      <w:pPr>
        <w:spacing w:line="336" w:lineRule="auto"/>
        <w:ind w:firstLine="420"/>
        <w:rPr>
          <w:szCs w:val="21"/>
          <w:highlight w:val="none"/>
        </w:rPr>
      </w:pPr>
      <w:r>
        <w:rPr>
          <w:szCs w:val="21"/>
          <w:highlight w:val="none"/>
        </w:rPr>
        <w:t>5</w:t>
      </w:r>
      <w:r>
        <w:rPr>
          <w:rFonts w:ascii="宋体" w:hAnsi="宋体"/>
          <w:szCs w:val="21"/>
          <w:highlight w:val="none"/>
        </w:rPr>
        <w:t>.</w:t>
      </w:r>
      <w:r>
        <w:rPr>
          <w:rFonts w:hint="eastAsia"/>
          <w:szCs w:val="21"/>
          <w:highlight w:val="none"/>
        </w:rPr>
        <w:t>5递交投标文件截止时间与开标时间是否有变化，请密切留意招标答疑中的相关信息。递交投标文件截止时间后，开标时间因故推迟的，相关评标信息仍以原递交投标文件截止时间的信息为准。</w:t>
      </w:r>
    </w:p>
    <w:p>
      <w:pPr>
        <w:spacing w:line="336" w:lineRule="auto"/>
        <w:ind w:firstLine="420"/>
        <w:rPr>
          <w:highlight w:val="none"/>
        </w:rPr>
      </w:pPr>
      <w:r>
        <w:rPr>
          <w:rFonts w:hint="eastAsia"/>
          <w:highlight w:val="none"/>
        </w:rPr>
        <w:t>5.6投标人通过电子交易平台递交电子投标文件。投标人应当在投标截止时间前，登录电子交易平台网站办理网上投标登记手续，并</w:t>
      </w:r>
      <w:r>
        <w:rPr>
          <w:highlight w:val="none"/>
        </w:rPr>
        <w:t>通过</w:t>
      </w:r>
      <w:r>
        <w:rPr>
          <w:rFonts w:hint="eastAsia"/>
          <w:highlight w:val="none"/>
        </w:rPr>
        <w:t>互联网</w:t>
      </w:r>
      <w:r>
        <w:rPr>
          <w:highlight w:val="none"/>
        </w:rPr>
        <w:t>使用</w:t>
      </w:r>
      <w:r>
        <w:rPr>
          <w:rFonts w:hint="eastAsia"/>
          <w:highlight w:val="none"/>
        </w:rPr>
        <w:t>CA数字证书登录“电子交易平台”，选择所投标段将</w:t>
      </w:r>
      <w:r>
        <w:rPr>
          <w:rFonts w:hint="eastAsia"/>
          <w:b/>
          <w:highlight w:val="none"/>
        </w:rPr>
        <w:t>加密的电子投标文件</w:t>
      </w:r>
      <w:r>
        <w:rPr>
          <w:rFonts w:hint="eastAsia"/>
          <w:highlight w:val="none"/>
        </w:rPr>
        <w:t>上传（按照电子交易平台的相关指南进行操作。详见：</w:t>
      </w:r>
      <w:r>
        <w:rPr>
          <w:rFonts w:hint="eastAsia"/>
          <w:highlight w:val="none"/>
          <w:u w:val="single"/>
        </w:rPr>
        <w:t>广州交易集团有限公司（广州公共资源交易中心）</w:t>
      </w:r>
      <w:r>
        <w:rPr>
          <w:rFonts w:hint="eastAsia"/>
          <w:szCs w:val="21"/>
          <w:highlight w:val="none"/>
          <w:u w:val="single"/>
        </w:rPr>
        <w:t>网站发布的相关办事指引</w:t>
      </w:r>
      <w:r>
        <w:rPr>
          <w:rFonts w:hint="eastAsia"/>
          <w:highlight w:val="none"/>
        </w:rPr>
        <w:t>）。投标人完成投标文件上传后，“</w:t>
      </w:r>
      <w:r>
        <w:rPr>
          <w:highlight w:val="none"/>
        </w:rPr>
        <w:t>电子</w:t>
      </w:r>
      <w:r>
        <w:rPr>
          <w:rFonts w:hint="eastAsia"/>
          <w:highlight w:val="none"/>
        </w:rPr>
        <w:t>交易平台”即时向投标人发出</w:t>
      </w:r>
      <w:r>
        <w:rPr>
          <w:highlight w:val="none"/>
        </w:rPr>
        <w:t>电子签收凭证</w:t>
      </w:r>
      <w:r>
        <w:rPr>
          <w:rFonts w:hint="eastAsia"/>
          <w:highlight w:val="none"/>
        </w:rPr>
        <w:t>，递交时间以</w:t>
      </w:r>
      <w:r>
        <w:rPr>
          <w:highlight w:val="none"/>
        </w:rPr>
        <w:t>电子签收凭证</w:t>
      </w:r>
      <w:r>
        <w:rPr>
          <w:rFonts w:hint="eastAsia"/>
          <w:highlight w:val="none"/>
        </w:rPr>
        <w:t>载明的传输完成时间为准。逾</w:t>
      </w:r>
      <w:r>
        <w:rPr>
          <w:highlight w:val="none"/>
        </w:rPr>
        <w:t>期未完成上传</w:t>
      </w:r>
      <w:r>
        <w:rPr>
          <w:rFonts w:hint="eastAsia"/>
          <w:highlight w:val="none"/>
        </w:rPr>
        <w:t>或未加密的</w:t>
      </w:r>
      <w:r>
        <w:rPr>
          <w:highlight w:val="none"/>
        </w:rPr>
        <w:t>电子</w:t>
      </w:r>
      <w:r>
        <w:rPr>
          <w:rFonts w:hint="eastAsia"/>
          <w:highlight w:val="none"/>
        </w:rPr>
        <w:t>投标文件</w:t>
      </w:r>
      <w:r>
        <w:rPr>
          <w:highlight w:val="none"/>
        </w:rPr>
        <w:t>，招标人</w:t>
      </w:r>
      <w:r>
        <w:rPr>
          <w:rFonts w:hint="eastAsia"/>
          <w:highlight w:val="none"/>
        </w:rPr>
        <w:t>（“</w:t>
      </w:r>
      <w:r>
        <w:rPr>
          <w:highlight w:val="none"/>
        </w:rPr>
        <w:t>电子</w:t>
      </w:r>
      <w:r>
        <w:rPr>
          <w:rFonts w:hint="eastAsia"/>
          <w:highlight w:val="none"/>
        </w:rPr>
        <w:t>交易平台”）</w:t>
      </w:r>
      <w:r>
        <w:rPr>
          <w:highlight w:val="none"/>
        </w:rPr>
        <w:t>将拒收。</w:t>
      </w:r>
    </w:p>
    <w:p>
      <w:pPr>
        <w:pStyle w:val="7"/>
        <w:keepNext w:val="0"/>
        <w:keepLines w:val="0"/>
        <w:spacing w:before="0" w:line="336" w:lineRule="auto"/>
        <w:outlineLvl w:val="2"/>
        <w:rPr>
          <w:highlight w:val="none"/>
        </w:rPr>
      </w:pPr>
      <w:bookmarkStart w:id="213" w:name="_Toc3904"/>
      <w:bookmarkStart w:id="214" w:name="_Toc22977"/>
      <w:bookmarkStart w:id="215" w:name="_Toc17667"/>
      <w:bookmarkStart w:id="216" w:name="_Toc23604"/>
      <w:bookmarkStart w:id="217" w:name="_Toc10092"/>
      <w:bookmarkStart w:id="218" w:name="_Toc9065"/>
      <w:bookmarkStart w:id="219" w:name="_Toc27055"/>
      <w:bookmarkStart w:id="220" w:name="_Toc13927"/>
      <w:bookmarkStart w:id="221" w:name="_Toc5562"/>
      <w:bookmarkStart w:id="222" w:name="_Toc4035"/>
      <w:bookmarkStart w:id="223" w:name="_Toc1015"/>
      <w:bookmarkStart w:id="224" w:name="_Toc28797"/>
      <w:bookmarkStart w:id="225" w:name="_Toc1526851159"/>
      <w:bookmarkStart w:id="226" w:name="_Toc23152"/>
      <w:bookmarkStart w:id="227" w:name="_Toc27692"/>
      <w:bookmarkStart w:id="228" w:name="_Toc13659"/>
      <w:bookmarkStart w:id="229" w:name="_Toc28629"/>
      <w:bookmarkStart w:id="230" w:name="_Toc25079"/>
      <w:bookmarkStart w:id="231" w:name="_Toc18118"/>
      <w:bookmarkStart w:id="232" w:name="_Toc19941"/>
      <w:bookmarkStart w:id="233" w:name="_Toc24380"/>
      <w:bookmarkStart w:id="234" w:name="_Toc19678"/>
      <w:bookmarkStart w:id="235" w:name="_Toc26893"/>
      <w:bookmarkStart w:id="236" w:name="_Toc3997"/>
      <w:bookmarkStart w:id="237" w:name="_Toc29477"/>
      <w:bookmarkStart w:id="238" w:name="_Toc3634"/>
      <w:bookmarkStart w:id="239" w:name="_Toc9008"/>
      <w:bookmarkStart w:id="240" w:name="_Toc103634291"/>
      <w:r>
        <w:rPr>
          <w:rFonts w:hint="eastAsia"/>
          <w:highlight w:val="none"/>
        </w:rPr>
        <w:t>6.投标相关事宜</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spacing w:line="336" w:lineRule="auto"/>
        <w:ind w:firstLine="420" w:firstLineChars="200"/>
        <w:rPr>
          <w:highlight w:val="none"/>
        </w:rPr>
      </w:pPr>
      <w:r>
        <w:rPr>
          <w:rFonts w:hint="eastAsia"/>
          <w:highlight w:val="none"/>
          <w:u w:val="single"/>
        </w:rPr>
        <w:t>不要求递交投标保证金</w:t>
      </w:r>
      <w:r>
        <w:rPr>
          <w:rFonts w:hint="eastAsia"/>
          <w:highlight w:val="none"/>
        </w:rPr>
        <w:t>。</w:t>
      </w:r>
    </w:p>
    <w:p>
      <w:pPr>
        <w:pStyle w:val="7"/>
        <w:keepNext w:val="0"/>
        <w:keepLines w:val="0"/>
        <w:spacing w:before="0" w:line="336" w:lineRule="auto"/>
        <w:outlineLvl w:val="2"/>
        <w:rPr>
          <w:highlight w:val="none"/>
        </w:rPr>
      </w:pPr>
      <w:bookmarkStart w:id="241" w:name="_Toc20559"/>
      <w:bookmarkStart w:id="242" w:name="_Toc22670"/>
      <w:bookmarkStart w:id="243" w:name="_Toc11828"/>
      <w:bookmarkStart w:id="244" w:name="_Toc14400"/>
      <w:bookmarkStart w:id="245" w:name="_Toc20067"/>
      <w:bookmarkStart w:id="246" w:name="_Toc14681"/>
      <w:bookmarkStart w:id="247" w:name="_Toc1763"/>
      <w:bookmarkStart w:id="248" w:name="_Toc26051"/>
      <w:bookmarkStart w:id="249" w:name="_Toc5268"/>
      <w:bookmarkStart w:id="250" w:name="_Toc6498"/>
      <w:bookmarkStart w:id="251" w:name="_Toc6151"/>
      <w:bookmarkStart w:id="252" w:name="_Toc18157"/>
      <w:bookmarkStart w:id="253" w:name="_Toc1478"/>
      <w:bookmarkStart w:id="254" w:name="_Toc21152"/>
      <w:bookmarkStart w:id="255" w:name="_Toc8653"/>
      <w:bookmarkStart w:id="256" w:name="_Toc13566"/>
      <w:bookmarkStart w:id="257" w:name="_Toc1837295352"/>
      <w:bookmarkStart w:id="258" w:name="_Toc29276"/>
      <w:bookmarkStart w:id="259" w:name="_Toc25843"/>
      <w:bookmarkStart w:id="260" w:name="_Toc9580"/>
      <w:bookmarkStart w:id="261" w:name="_Toc25148"/>
      <w:bookmarkStart w:id="262" w:name="_Toc3736"/>
      <w:bookmarkStart w:id="263" w:name="_Toc7690"/>
      <w:bookmarkStart w:id="264" w:name="_Toc6643"/>
      <w:bookmarkStart w:id="265" w:name="_Toc1029"/>
      <w:bookmarkStart w:id="266" w:name="_Toc27846"/>
      <w:bookmarkStart w:id="267" w:name="_Toc12346225"/>
      <w:bookmarkStart w:id="268" w:name="_Toc4298"/>
      <w:r>
        <w:rPr>
          <w:rFonts w:hint="eastAsia"/>
          <w:highlight w:val="none"/>
        </w:rPr>
        <w:t>7.资格审查方式评标办法</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spacing w:line="336" w:lineRule="auto"/>
        <w:ind w:firstLine="437"/>
        <w:rPr>
          <w:highlight w:val="none"/>
        </w:rPr>
      </w:pPr>
      <w:r>
        <w:rPr>
          <w:rFonts w:hint="eastAsia"/>
          <w:highlight w:val="none"/>
        </w:rPr>
        <w:t>7.1本次招标采用资格后审方式，由评标委员会负责资格审查。资格审查结果将在网站进行公示，公示时间不得少于3日（最后一天须为工作日）。</w:t>
      </w:r>
    </w:p>
    <w:p>
      <w:pPr>
        <w:spacing w:line="336" w:lineRule="auto"/>
        <w:ind w:firstLine="437"/>
        <w:rPr>
          <w:highlight w:val="none"/>
        </w:rPr>
      </w:pPr>
      <w:r>
        <w:rPr>
          <w:rFonts w:hint="eastAsia"/>
          <w:highlight w:val="none"/>
        </w:rPr>
        <w:t>满足资格审查合格条件的投标人不足3名或通过有效性审查的投标人不足3名时为招标失败。招标人分析招标失败原因，修正招标方案，报有关管理部门核准后，重新组织招标。</w:t>
      </w:r>
    </w:p>
    <w:p>
      <w:pPr>
        <w:spacing w:line="336" w:lineRule="auto"/>
        <w:ind w:firstLine="437"/>
        <w:rPr>
          <w:highlight w:val="none"/>
        </w:rPr>
      </w:pPr>
      <w:r>
        <w:rPr>
          <w:rFonts w:hint="eastAsia"/>
          <w:highlight w:val="none"/>
        </w:rPr>
        <w:t>7.2本次招标评标办法采用综合评分法。</w:t>
      </w:r>
    </w:p>
    <w:p>
      <w:pPr>
        <w:pStyle w:val="7"/>
        <w:keepNext w:val="0"/>
        <w:keepLines w:val="0"/>
        <w:spacing w:before="0" w:line="336" w:lineRule="auto"/>
        <w:outlineLvl w:val="2"/>
        <w:rPr>
          <w:highlight w:val="none"/>
        </w:rPr>
      </w:pPr>
      <w:bookmarkStart w:id="269" w:name="_Toc30310"/>
      <w:bookmarkStart w:id="270" w:name="_Toc25611"/>
      <w:bookmarkStart w:id="271" w:name="_Toc32419"/>
      <w:bookmarkStart w:id="272" w:name="_Toc6449"/>
      <w:bookmarkStart w:id="273" w:name="_Toc317831565"/>
      <w:bookmarkStart w:id="274" w:name="_Toc4594"/>
      <w:bookmarkStart w:id="275" w:name="_Toc21640"/>
      <w:bookmarkStart w:id="276" w:name="_Toc7254"/>
      <w:bookmarkStart w:id="277" w:name="_Toc29503"/>
      <w:bookmarkStart w:id="278" w:name="_Toc1170"/>
      <w:bookmarkStart w:id="279" w:name="_Toc8668"/>
      <w:bookmarkStart w:id="280" w:name="_Toc13536"/>
      <w:bookmarkStart w:id="281" w:name="_Toc3352"/>
      <w:bookmarkStart w:id="282" w:name="_Toc29974"/>
      <w:bookmarkStart w:id="283" w:name="_Toc30726"/>
      <w:bookmarkStart w:id="284" w:name="_Toc27573"/>
      <w:bookmarkStart w:id="285" w:name="_Toc25341"/>
      <w:bookmarkStart w:id="286" w:name="_Toc30855"/>
      <w:bookmarkStart w:id="287" w:name="_Toc24057"/>
      <w:bookmarkStart w:id="288" w:name="_Toc1298211293"/>
      <w:bookmarkStart w:id="289" w:name="_Toc10275"/>
      <w:bookmarkStart w:id="290" w:name="_Toc21086"/>
      <w:bookmarkStart w:id="291" w:name="_Toc11694"/>
      <w:bookmarkStart w:id="292" w:name="_Toc16709"/>
      <w:bookmarkStart w:id="293" w:name="_Toc22865"/>
      <w:bookmarkStart w:id="294" w:name="_Toc9054"/>
      <w:bookmarkStart w:id="295" w:name="_Toc12949"/>
      <w:bookmarkStart w:id="296" w:name="_Toc17397"/>
      <w:r>
        <w:rPr>
          <w:rFonts w:hint="eastAsia"/>
          <w:highlight w:val="none"/>
        </w:rPr>
        <w:t>8. 发布公告的媒介</w:t>
      </w:r>
      <w:bookmarkEnd w:id="204"/>
      <w:bookmarkEnd w:id="205"/>
      <w:bookmarkEnd w:id="206"/>
      <w:bookmarkEnd w:id="207"/>
      <w:bookmarkEnd w:id="208"/>
      <w:bookmarkEnd w:id="209"/>
      <w:bookmarkEnd w:id="210"/>
      <w:bookmarkEnd w:id="211"/>
      <w:bookmarkEnd w:id="212"/>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spacing w:line="336" w:lineRule="auto"/>
        <w:ind w:firstLine="437"/>
        <w:rPr>
          <w:highlight w:val="none"/>
        </w:rPr>
      </w:pPr>
      <w:bookmarkStart w:id="297" w:name="_Toc387753539"/>
      <w:bookmarkStart w:id="298" w:name="_Toc144974485"/>
      <w:bookmarkStart w:id="299" w:name="_Toc168476035"/>
      <w:bookmarkStart w:id="300" w:name="_Toc229305330"/>
      <w:bookmarkStart w:id="301" w:name="_Toc222033821"/>
      <w:bookmarkStart w:id="302" w:name="_Toc222030972"/>
      <w:bookmarkStart w:id="303" w:name="_Toc222029470"/>
      <w:bookmarkStart w:id="304" w:name="_Toc221949941"/>
      <w:bookmarkStart w:id="305" w:name="_Toc222032639"/>
      <w:bookmarkStart w:id="306" w:name="_Toc168475632"/>
      <w:r>
        <w:rPr>
          <w:rFonts w:hint="eastAsia"/>
          <w:highlight w:val="none"/>
        </w:rPr>
        <w:t>本次招标公告同时在</w:t>
      </w:r>
      <w:r>
        <w:rPr>
          <w:rFonts w:hint="eastAsia"/>
          <w:highlight w:val="none"/>
          <w:u w:val="single"/>
        </w:rPr>
        <w:t>广州交易集团有限公司（广州公共资源交易中心）网站（网址：http://www.gzggzy.cn）</w:t>
      </w:r>
      <w:r>
        <w:rPr>
          <w:rFonts w:hint="eastAsia"/>
          <w:highlight w:val="none"/>
        </w:rPr>
        <w:t>、广东省招标投标监管网（网址：http://zbtb.gd.gov.cn/）和中国招标投标公共服务平台（网址：http://www.cebpubservice.com/）上发布。本公告的修改、补充，在</w:t>
      </w:r>
      <w:r>
        <w:rPr>
          <w:rFonts w:hint="eastAsia"/>
          <w:highlight w:val="none"/>
          <w:u w:val="single"/>
        </w:rPr>
        <w:t>广州交易集团有限公司（广州公共资源交易中心）网站</w:t>
      </w:r>
      <w:r>
        <w:rPr>
          <w:rFonts w:hint="eastAsia"/>
          <w:highlight w:val="none"/>
        </w:rPr>
        <w:t>发布。本公告在各媒体发布的文本如有不同之处，以在</w:t>
      </w:r>
      <w:r>
        <w:rPr>
          <w:rFonts w:hint="eastAsia"/>
          <w:highlight w:val="none"/>
          <w:u w:val="single"/>
        </w:rPr>
        <w:t>广州交易集团有限公司（广州公共资源交易中心）网站</w:t>
      </w:r>
      <w:r>
        <w:rPr>
          <w:rFonts w:hint="eastAsia"/>
          <w:highlight w:val="none"/>
        </w:rPr>
        <w:t>发布的文本为准。</w:t>
      </w:r>
    </w:p>
    <w:p>
      <w:pPr>
        <w:pStyle w:val="7"/>
        <w:keepNext w:val="0"/>
        <w:keepLines w:val="0"/>
        <w:numPr>
          <w:ilvl w:val="0"/>
          <w:numId w:val="1"/>
        </w:numPr>
        <w:spacing w:before="0" w:line="336" w:lineRule="auto"/>
        <w:outlineLvl w:val="2"/>
        <w:rPr>
          <w:highlight w:val="none"/>
        </w:rPr>
      </w:pPr>
      <w:bookmarkStart w:id="307" w:name="_Toc9917"/>
      <w:bookmarkStart w:id="308" w:name="_Toc27778"/>
      <w:bookmarkStart w:id="309" w:name="_Toc15467"/>
      <w:bookmarkStart w:id="310" w:name="_Toc11699"/>
      <w:bookmarkStart w:id="311" w:name="_Toc18187"/>
      <w:bookmarkStart w:id="312" w:name="_Toc14154"/>
      <w:bookmarkStart w:id="313" w:name="_Toc750"/>
      <w:bookmarkStart w:id="314" w:name="_Toc13004"/>
      <w:bookmarkStart w:id="315" w:name="_Toc25803"/>
      <w:bookmarkStart w:id="316" w:name="_Toc24110"/>
      <w:bookmarkStart w:id="317" w:name="_Toc15110"/>
      <w:bookmarkStart w:id="318" w:name="_Toc3842"/>
      <w:bookmarkStart w:id="319" w:name="_Toc30835"/>
      <w:bookmarkStart w:id="320" w:name="_Toc12940"/>
      <w:bookmarkStart w:id="321" w:name="_Toc14256"/>
      <w:bookmarkStart w:id="322" w:name="_Toc8130"/>
      <w:bookmarkStart w:id="323" w:name="_Toc1420"/>
      <w:bookmarkStart w:id="324" w:name="_Toc6165"/>
      <w:bookmarkStart w:id="325" w:name="_Toc13337"/>
      <w:bookmarkStart w:id="326" w:name="_Toc11297"/>
      <w:bookmarkStart w:id="327" w:name="_Toc23891"/>
      <w:bookmarkStart w:id="328" w:name="_Toc13503"/>
      <w:bookmarkStart w:id="329" w:name="_Toc1407589433"/>
      <w:bookmarkStart w:id="330" w:name="_Toc822"/>
      <w:bookmarkStart w:id="331" w:name="_Toc21076"/>
      <w:bookmarkStart w:id="332" w:name="_Toc1370083816"/>
      <w:bookmarkStart w:id="333" w:name="_Toc15125"/>
      <w:bookmarkStart w:id="334" w:name="_Toc28940"/>
      <w:r>
        <w:rPr>
          <w:rFonts w:hint="eastAsia"/>
          <w:highlight w:val="none"/>
        </w:rPr>
        <w:t>异议方式</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pStyle w:val="8"/>
        <w:rPr>
          <w:rFonts w:ascii="宋体" w:hAnsi="宋体" w:eastAsia="宋体" w:cs="宋体"/>
          <w:b/>
          <w:bCs/>
          <w:sz w:val="21"/>
          <w:highlight w:val="none"/>
        </w:rPr>
      </w:pPr>
      <w:bookmarkStart w:id="335" w:name="_Toc2556"/>
      <w:bookmarkStart w:id="336" w:name="_Toc14566"/>
      <w:bookmarkStart w:id="337" w:name="_Toc25658"/>
      <w:bookmarkStart w:id="338" w:name="_Toc28669"/>
      <w:r>
        <w:rPr>
          <w:rFonts w:hint="eastAsia" w:ascii="宋体" w:hAnsi="宋体" w:eastAsia="宋体" w:cs="宋体"/>
          <w:b/>
          <w:bCs/>
          <w:sz w:val="21"/>
          <w:highlight w:val="none"/>
        </w:rPr>
        <w:t>潜在投标人或利害关系人对本招标公告及招标文件有异议的，向招标人书面提出。</w:t>
      </w:r>
      <w:bookmarkEnd w:id="335"/>
      <w:bookmarkEnd w:id="336"/>
      <w:bookmarkEnd w:id="337"/>
      <w:bookmarkEnd w:id="338"/>
    </w:p>
    <w:p>
      <w:pPr>
        <w:pStyle w:val="8"/>
        <w:rPr>
          <w:rFonts w:hint="eastAsia" w:ascii="Times New Roman" w:hAnsi="Times New Roman" w:eastAsia="宋体"/>
          <w:color w:val="auto"/>
          <w:kern w:val="2"/>
          <w:sz w:val="21"/>
          <w:szCs w:val="24"/>
          <w:highlight w:val="none"/>
          <w:u w:val="single"/>
          <w:lang w:eastAsia="zh-CN"/>
        </w:rPr>
      </w:pPr>
      <w:bookmarkStart w:id="339" w:name="_Toc29841"/>
      <w:bookmarkStart w:id="340" w:name="_Toc26118"/>
      <w:bookmarkStart w:id="341" w:name="_Toc6299"/>
      <w:r>
        <w:rPr>
          <w:rFonts w:hint="eastAsia" w:ascii="Times New Roman" w:hAnsi="Times New Roman" w:eastAsia="宋体"/>
          <w:color w:val="auto"/>
          <w:kern w:val="2"/>
          <w:sz w:val="21"/>
          <w:szCs w:val="24"/>
          <w:highlight w:val="none"/>
        </w:rPr>
        <w:t>异议受理部门：</w:t>
      </w:r>
      <w:bookmarkEnd w:id="339"/>
      <w:bookmarkEnd w:id="340"/>
      <w:bookmarkEnd w:id="341"/>
      <w:r>
        <w:rPr>
          <w:rFonts w:hint="eastAsia" w:ascii="Times New Roman" w:hAnsi="Times New Roman" w:eastAsia="宋体"/>
          <w:color w:val="auto"/>
          <w:kern w:val="2"/>
          <w:sz w:val="21"/>
          <w:szCs w:val="24"/>
          <w:highlight w:val="none"/>
          <w:u w:val="single"/>
          <w:lang w:eastAsia="zh-CN"/>
        </w:rPr>
        <w:t>广州市从化区江埔街道办事处</w:t>
      </w:r>
    </w:p>
    <w:p>
      <w:pPr>
        <w:pStyle w:val="8"/>
        <w:rPr>
          <w:rFonts w:ascii="Times New Roman" w:hAnsi="Times New Roman" w:eastAsia="宋体"/>
          <w:color w:val="auto"/>
          <w:kern w:val="2"/>
          <w:sz w:val="21"/>
          <w:szCs w:val="24"/>
          <w:highlight w:val="none"/>
          <w:u w:val="single"/>
        </w:rPr>
      </w:pPr>
      <w:bookmarkStart w:id="342" w:name="_Toc25873"/>
      <w:bookmarkStart w:id="343" w:name="_Toc24828"/>
      <w:bookmarkStart w:id="344" w:name="_Toc12013"/>
      <w:r>
        <w:rPr>
          <w:rFonts w:hint="eastAsia" w:ascii="Times New Roman" w:hAnsi="Times New Roman" w:eastAsia="宋体"/>
          <w:color w:val="auto"/>
          <w:kern w:val="2"/>
          <w:sz w:val="21"/>
          <w:szCs w:val="24"/>
          <w:highlight w:val="none"/>
        </w:rPr>
        <w:t>异议受理电话：</w:t>
      </w:r>
      <w:bookmarkEnd w:id="342"/>
      <w:bookmarkEnd w:id="343"/>
      <w:bookmarkEnd w:id="344"/>
      <w:r>
        <w:rPr>
          <w:rFonts w:hint="eastAsia" w:ascii="Times New Roman" w:hAnsi="Times New Roman" w:eastAsia="宋体"/>
          <w:color w:val="auto"/>
          <w:kern w:val="2"/>
          <w:sz w:val="21"/>
          <w:szCs w:val="24"/>
          <w:highlight w:val="none"/>
          <w:u w:val="single"/>
        </w:rPr>
        <w:t>020-87985229</w:t>
      </w:r>
    </w:p>
    <w:p>
      <w:pPr>
        <w:pStyle w:val="8"/>
        <w:rPr>
          <w:rFonts w:ascii="Times New Roman" w:hAnsi="Times New Roman" w:eastAsia="宋体"/>
          <w:color w:val="auto"/>
          <w:kern w:val="2"/>
          <w:sz w:val="21"/>
          <w:szCs w:val="24"/>
          <w:highlight w:val="none"/>
          <w:u w:val="single"/>
        </w:rPr>
      </w:pPr>
      <w:bookmarkStart w:id="345" w:name="_Toc31370"/>
      <w:bookmarkStart w:id="346" w:name="_Toc6114"/>
      <w:bookmarkStart w:id="347" w:name="_Toc31538"/>
      <w:r>
        <w:rPr>
          <w:rFonts w:hint="eastAsia" w:ascii="Times New Roman" w:hAnsi="Times New Roman" w:eastAsia="宋体"/>
          <w:color w:val="auto"/>
          <w:kern w:val="2"/>
          <w:sz w:val="21"/>
          <w:szCs w:val="24"/>
          <w:highlight w:val="none"/>
        </w:rPr>
        <w:t>地址：</w:t>
      </w:r>
      <w:bookmarkEnd w:id="345"/>
      <w:bookmarkEnd w:id="346"/>
      <w:bookmarkEnd w:id="347"/>
      <w:r>
        <w:rPr>
          <w:rFonts w:hint="eastAsia" w:ascii="Times New Roman" w:hAnsi="Times New Roman" w:eastAsia="宋体"/>
          <w:color w:val="auto"/>
          <w:kern w:val="2"/>
          <w:sz w:val="21"/>
          <w:szCs w:val="24"/>
          <w:highlight w:val="none"/>
          <w:u w:val="single"/>
        </w:rPr>
        <w:t>广州市从化区江埔街七星路16号</w:t>
      </w:r>
    </w:p>
    <w:p>
      <w:pPr>
        <w:pStyle w:val="8"/>
        <w:rPr>
          <w:rFonts w:ascii="Times New Roman" w:hAnsi="Times New Roman" w:eastAsia="宋体"/>
          <w:color w:val="auto"/>
          <w:kern w:val="2"/>
          <w:sz w:val="21"/>
          <w:szCs w:val="24"/>
          <w:highlight w:val="none"/>
        </w:rPr>
      </w:pPr>
      <w:bookmarkStart w:id="348" w:name="_Toc23904"/>
      <w:bookmarkStart w:id="349" w:name="_Toc6721"/>
      <w:bookmarkStart w:id="350" w:name="_Toc1013"/>
      <w:r>
        <w:rPr>
          <w:rFonts w:hint="eastAsia" w:ascii="Times New Roman" w:hAnsi="Times New Roman" w:eastAsia="宋体"/>
          <w:color w:val="auto"/>
          <w:kern w:val="2"/>
          <w:sz w:val="21"/>
          <w:szCs w:val="24"/>
          <w:highlight w:val="none"/>
        </w:rPr>
        <w:t>注：潜在投标人或利害关系人可以通过线下或线上的形式提出异议。线上提出异议的，应通过电子交易平台提交，招标人也应通过电子交易平台答复线上提出的异议。具体按照电子交易平台相关指南进行操作。作出答复前，应当暂停招标投标活动。</w:t>
      </w:r>
      <w:bookmarkEnd w:id="348"/>
      <w:bookmarkEnd w:id="349"/>
      <w:bookmarkEnd w:id="350"/>
    </w:p>
    <w:p>
      <w:pPr>
        <w:pStyle w:val="7"/>
        <w:keepNext w:val="0"/>
        <w:keepLines w:val="0"/>
        <w:spacing w:before="0" w:line="336" w:lineRule="auto"/>
        <w:outlineLvl w:val="2"/>
        <w:rPr>
          <w:highlight w:val="none"/>
        </w:rPr>
      </w:pPr>
      <w:bookmarkStart w:id="351" w:name="_Toc24942"/>
      <w:bookmarkStart w:id="352" w:name="_Toc5943"/>
      <w:bookmarkStart w:id="353" w:name="_Toc10634"/>
      <w:bookmarkStart w:id="354" w:name="_Toc26158"/>
      <w:bookmarkStart w:id="355" w:name="_Toc4836"/>
      <w:bookmarkStart w:id="356" w:name="_Toc2957"/>
      <w:bookmarkStart w:id="357" w:name="_Toc30424"/>
      <w:bookmarkStart w:id="358" w:name="_Toc12214"/>
      <w:bookmarkStart w:id="359" w:name="_Toc26665"/>
      <w:bookmarkStart w:id="360" w:name="_Toc6687"/>
      <w:bookmarkStart w:id="361" w:name="_Toc5388"/>
      <w:bookmarkStart w:id="362" w:name="_Toc8327"/>
      <w:bookmarkStart w:id="363" w:name="_Toc31478"/>
      <w:bookmarkStart w:id="364" w:name="_Toc22692"/>
      <w:bookmarkStart w:id="365" w:name="_Toc2782"/>
      <w:bookmarkStart w:id="366" w:name="_Toc9735"/>
      <w:bookmarkStart w:id="367" w:name="_Toc20077"/>
      <w:bookmarkStart w:id="368" w:name="_Toc29220"/>
      <w:bookmarkStart w:id="369" w:name="_Toc11690"/>
      <w:bookmarkStart w:id="370" w:name="_Toc19727"/>
      <w:bookmarkStart w:id="371" w:name="_Toc6807"/>
      <w:r>
        <w:rPr>
          <w:rFonts w:hint="eastAsia"/>
          <w:highlight w:val="none"/>
        </w:rPr>
        <w:t>10.联系方式</w:t>
      </w:r>
      <w:bookmarkEnd w:id="297"/>
      <w:bookmarkEnd w:id="298"/>
      <w:bookmarkEnd w:id="299"/>
      <w:bookmarkEnd w:id="300"/>
      <w:bookmarkEnd w:id="301"/>
      <w:bookmarkEnd w:id="302"/>
      <w:bookmarkEnd w:id="303"/>
      <w:bookmarkEnd w:id="304"/>
      <w:bookmarkEnd w:id="305"/>
      <w:bookmarkEnd w:id="306"/>
      <w:bookmarkEnd w:id="328"/>
      <w:bookmarkEnd w:id="329"/>
      <w:bookmarkEnd w:id="330"/>
      <w:bookmarkEnd w:id="331"/>
      <w:bookmarkEnd w:id="332"/>
      <w:bookmarkEnd w:id="333"/>
      <w:bookmarkEnd w:id="334"/>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topLinePunct/>
        <w:spacing w:line="336" w:lineRule="auto"/>
        <w:ind w:firstLine="420" w:firstLineChars="200"/>
        <w:rPr>
          <w:rFonts w:hint="eastAsia" w:ascii="宋体" w:hAnsi="宋体" w:eastAsia="宋体" w:cs="宋体"/>
          <w:szCs w:val="21"/>
          <w:highlight w:val="none"/>
          <w:lang w:eastAsia="zh-CN"/>
        </w:rPr>
      </w:pPr>
      <w:bookmarkStart w:id="372" w:name="_Toc221949942"/>
      <w:r>
        <w:rPr>
          <w:rFonts w:hint="eastAsia" w:ascii="宋体" w:hAnsi="宋体" w:cs="宋体"/>
          <w:szCs w:val="21"/>
          <w:highlight w:val="none"/>
        </w:rPr>
        <w:t>招 标 人：</w:t>
      </w:r>
      <w:r>
        <w:rPr>
          <w:rFonts w:hint="eastAsia" w:ascii="宋体" w:hAnsi="宋体" w:cs="宋体"/>
          <w:szCs w:val="21"/>
          <w:highlight w:val="none"/>
          <w:lang w:eastAsia="zh-CN"/>
        </w:rPr>
        <w:t>广州市从化区江埔街道办事处</w:t>
      </w:r>
      <w:r>
        <w:rPr>
          <w:rFonts w:hint="eastAsia" w:ascii="宋体" w:hAnsi="宋体" w:cs="宋体"/>
          <w:szCs w:val="21"/>
          <w:highlight w:val="none"/>
        </w:rPr>
        <w:t xml:space="preserve">      招标代理机构：</w:t>
      </w:r>
      <w:bookmarkEnd w:id="372"/>
      <w:r>
        <w:rPr>
          <w:rFonts w:hint="eastAsia" w:ascii="宋体" w:hAnsi="宋体" w:cs="宋体"/>
          <w:szCs w:val="21"/>
          <w:highlight w:val="none"/>
          <w:lang w:eastAsia="zh-CN"/>
        </w:rPr>
        <w:t>广州高新工程顾问有限公司</w:t>
      </w:r>
    </w:p>
    <w:p>
      <w:pPr>
        <w:topLinePunct/>
        <w:spacing w:line="336" w:lineRule="auto"/>
        <w:ind w:left="5649" w:leftChars="190" w:hanging="5250" w:hangingChars="2500"/>
        <w:rPr>
          <w:rFonts w:hint="eastAsia" w:ascii="宋体" w:hAnsi="宋体" w:cs="宋体"/>
          <w:szCs w:val="21"/>
          <w:highlight w:val="none"/>
        </w:rPr>
      </w:pPr>
      <w:bookmarkStart w:id="373" w:name="_Toc221949943"/>
      <w:r>
        <w:rPr>
          <w:rFonts w:hint="eastAsia" w:ascii="宋体" w:hAnsi="宋体" w:cs="宋体"/>
          <w:szCs w:val="21"/>
          <w:highlight w:val="none"/>
        </w:rPr>
        <w:t>地    址：广州市从化区江埔街七星路16号   地</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址：</w:t>
      </w:r>
      <w:bookmarkEnd w:id="373"/>
      <w:r>
        <w:rPr>
          <w:rFonts w:hint="eastAsia" w:ascii="宋体" w:hAnsi="宋体" w:cs="宋体"/>
          <w:szCs w:val="21"/>
          <w:highlight w:val="none"/>
        </w:rPr>
        <w:t>广州市天河区华观路1933号</w:t>
      </w:r>
    </w:p>
    <w:p>
      <w:pPr>
        <w:topLinePunct/>
        <w:spacing w:line="336" w:lineRule="auto"/>
        <w:ind w:left="5643" w:leftChars="2687" w:firstLine="210" w:firstLineChars="100"/>
        <w:rPr>
          <w:rFonts w:ascii="宋体" w:hAnsi="宋体" w:cs="宋体"/>
          <w:szCs w:val="21"/>
          <w:highlight w:val="none"/>
        </w:rPr>
      </w:pPr>
      <w:r>
        <w:rPr>
          <w:rFonts w:hint="eastAsia" w:ascii="宋体" w:hAnsi="宋体" w:cs="宋体"/>
          <w:szCs w:val="21"/>
          <w:highlight w:val="none"/>
        </w:rPr>
        <w:t xml:space="preserve">503-504房 </w:t>
      </w:r>
    </w:p>
    <w:p>
      <w:pPr>
        <w:topLinePunct/>
        <w:spacing w:line="336" w:lineRule="auto"/>
        <w:ind w:firstLine="420" w:firstLineChars="200"/>
        <w:rPr>
          <w:rFonts w:ascii="宋体" w:hAnsi="宋体" w:cs="宋体"/>
          <w:szCs w:val="21"/>
          <w:highlight w:val="none"/>
        </w:rPr>
      </w:pPr>
      <w:bookmarkStart w:id="374" w:name="_Toc221949944"/>
      <w:r>
        <w:rPr>
          <w:rFonts w:hint="eastAsia" w:ascii="宋体" w:hAnsi="宋体" w:cs="宋体"/>
          <w:szCs w:val="21"/>
          <w:highlight w:val="none"/>
        </w:rPr>
        <w:t>邮    编：510900                           邮    编：</w:t>
      </w:r>
      <w:bookmarkEnd w:id="374"/>
      <w:r>
        <w:rPr>
          <w:rFonts w:hint="eastAsia" w:ascii="宋体" w:hAnsi="宋体" w:cs="宋体"/>
          <w:szCs w:val="21"/>
          <w:highlight w:val="none"/>
        </w:rPr>
        <w:t>510</w:t>
      </w:r>
      <w:r>
        <w:rPr>
          <w:rFonts w:hint="eastAsia" w:ascii="宋体" w:hAnsi="宋体" w:cs="宋体"/>
          <w:szCs w:val="21"/>
          <w:highlight w:val="none"/>
          <w:lang w:val="en-US" w:eastAsia="zh-CN"/>
        </w:rPr>
        <w:t>00</w:t>
      </w:r>
      <w:r>
        <w:rPr>
          <w:rFonts w:hint="eastAsia" w:ascii="宋体" w:hAnsi="宋体" w:cs="宋体"/>
          <w:szCs w:val="21"/>
          <w:highlight w:val="none"/>
        </w:rPr>
        <w:t>0</w:t>
      </w:r>
    </w:p>
    <w:p>
      <w:pPr>
        <w:topLinePunct/>
        <w:spacing w:line="336" w:lineRule="auto"/>
        <w:ind w:firstLine="420" w:firstLineChars="200"/>
        <w:rPr>
          <w:rFonts w:hint="default" w:ascii="宋体" w:hAnsi="宋体" w:eastAsia="宋体" w:cs="宋体"/>
          <w:szCs w:val="21"/>
          <w:highlight w:val="none"/>
          <w:lang w:val="en-US" w:eastAsia="zh-CN"/>
        </w:rPr>
      </w:pPr>
      <w:bookmarkStart w:id="375" w:name="_Toc221949945"/>
      <w:r>
        <w:rPr>
          <w:rFonts w:hint="eastAsia" w:ascii="宋体" w:hAnsi="宋体" w:cs="宋体"/>
          <w:szCs w:val="21"/>
          <w:highlight w:val="none"/>
        </w:rPr>
        <w:t>联 系 人：</w:t>
      </w:r>
      <w:r>
        <w:rPr>
          <w:rFonts w:hint="eastAsia" w:ascii="宋体" w:hAnsi="宋体" w:cs="宋体"/>
          <w:szCs w:val="21"/>
          <w:highlight w:val="none"/>
          <w:lang w:val="en-US" w:eastAsia="zh-CN"/>
        </w:rPr>
        <w:t>谭</w:t>
      </w:r>
      <w:r>
        <w:rPr>
          <w:rFonts w:hint="eastAsia" w:ascii="宋体" w:hAnsi="宋体" w:cs="宋体"/>
          <w:szCs w:val="21"/>
          <w:highlight w:val="none"/>
        </w:rPr>
        <w:t>工                             联 系 人：</w:t>
      </w:r>
      <w:bookmarkEnd w:id="375"/>
      <w:r>
        <w:rPr>
          <w:rFonts w:hint="eastAsia" w:ascii="宋体" w:hAnsi="宋体" w:cs="宋体"/>
          <w:szCs w:val="21"/>
          <w:highlight w:val="none"/>
          <w:lang w:val="en-US" w:eastAsia="zh-CN"/>
        </w:rPr>
        <w:t>池工、王工</w:t>
      </w:r>
    </w:p>
    <w:p>
      <w:pPr>
        <w:topLinePunct/>
        <w:spacing w:line="336" w:lineRule="auto"/>
        <w:ind w:firstLine="420" w:firstLineChars="200"/>
        <w:rPr>
          <w:rFonts w:ascii="宋体" w:hAnsi="宋体" w:cs="宋体"/>
          <w:szCs w:val="21"/>
          <w:highlight w:val="none"/>
        </w:rPr>
      </w:pPr>
      <w:bookmarkStart w:id="376" w:name="_Toc221949946"/>
      <w:r>
        <w:rPr>
          <w:rFonts w:hint="eastAsia" w:ascii="宋体" w:hAnsi="宋体" w:cs="宋体"/>
          <w:szCs w:val="21"/>
          <w:highlight w:val="none"/>
        </w:rPr>
        <w:t>电    话：020-87985229                     电    话：</w:t>
      </w:r>
      <w:bookmarkEnd w:id="376"/>
      <w:r>
        <w:rPr>
          <w:rFonts w:hint="eastAsia" w:ascii="宋体" w:hAnsi="宋体" w:cs="宋体"/>
          <w:szCs w:val="21"/>
          <w:highlight w:val="none"/>
        </w:rPr>
        <w:t>020-85530825、15626296230</w:t>
      </w:r>
    </w:p>
    <w:p>
      <w:pPr>
        <w:topLinePunct/>
        <w:spacing w:line="336" w:lineRule="auto"/>
        <w:ind w:firstLine="420" w:firstLineChars="200"/>
        <w:rPr>
          <w:rFonts w:ascii="宋体" w:hAnsi="宋体" w:cs="宋体"/>
          <w:szCs w:val="21"/>
          <w:highlight w:val="none"/>
        </w:rPr>
      </w:pPr>
      <w:bookmarkStart w:id="377" w:name="_Toc221949947"/>
      <w:r>
        <w:rPr>
          <w:rFonts w:hint="eastAsia" w:ascii="宋体" w:hAnsi="宋体" w:cs="宋体"/>
          <w:szCs w:val="21"/>
          <w:highlight w:val="none"/>
        </w:rPr>
        <w:t>传    真：020-87985229                     传    真：</w:t>
      </w:r>
      <w:bookmarkEnd w:id="377"/>
      <w:r>
        <w:rPr>
          <w:rFonts w:hint="eastAsia" w:ascii="宋体" w:hAnsi="宋体" w:cs="宋体"/>
          <w:szCs w:val="21"/>
          <w:highlight w:val="none"/>
        </w:rPr>
        <w:t>020-85520192</w:t>
      </w:r>
    </w:p>
    <w:p>
      <w:pPr>
        <w:topLinePunct/>
        <w:spacing w:line="336" w:lineRule="auto"/>
        <w:ind w:firstLine="420" w:firstLineChars="200"/>
        <w:rPr>
          <w:rFonts w:hint="eastAsia" w:ascii="宋体" w:hAnsi="宋体" w:eastAsia="宋体" w:cs="宋体"/>
          <w:szCs w:val="21"/>
          <w:highlight w:val="none"/>
          <w:lang w:val="en-US" w:eastAsia="zh-CN"/>
        </w:rPr>
      </w:pPr>
      <w:bookmarkStart w:id="378" w:name="_Toc221949948"/>
      <w:r>
        <w:rPr>
          <w:rFonts w:hint="eastAsia" w:ascii="宋体" w:hAnsi="宋体" w:cs="宋体"/>
          <w:szCs w:val="21"/>
          <w:highlight w:val="none"/>
        </w:rPr>
        <w:t>电子邮件：</w:t>
      </w:r>
      <w:r>
        <w:rPr>
          <w:rFonts w:hint="eastAsia" w:ascii="宋体" w:hAnsi="宋体" w:cs="宋体"/>
          <w:szCs w:val="21"/>
          <w:highlight w:val="none"/>
          <w:lang w:val="en-US" w:eastAsia="zh-CN"/>
        </w:rPr>
        <w:t>/</w:t>
      </w:r>
      <w:r>
        <w:rPr>
          <w:rFonts w:hint="eastAsia" w:ascii="宋体" w:hAnsi="宋体" w:cs="宋体"/>
          <w:szCs w:val="21"/>
          <w:highlight w:val="none"/>
        </w:rPr>
        <w:t xml:space="preserve">                                电子邮件：</w:t>
      </w:r>
      <w:bookmarkEnd w:id="378"/>
      <w:r>
        <w:rPr>
          <w:rFonts w:hint="eastAsia" w:ascii="宋体" w:hAnsi="宋体" w:cs="宋体"/>
          <w:szCs w:val="21"/>
          <w:highlight w:val="none"/>
          <w:lang w:val="en-US" w:eastAsia="zh-CN"/>
        </w:rPr>
        <w:t>/</w:t>
      </w:r>
    </w:p>
    <w:p>
      <w:pPr>
        <w:topLinePunct/>
        <w:spacing w:line="336" w:lineRule="auto"/>
        <w:ind w:firstLine="420" w:firstLineChars="200"/>
        <w:rPr>
          <w:rFonts w:hint="eastAsia" w:ascii="宋体" w:hAnsi="宋体" w:eastAsia="宋体" w:cs="宋体"/>
          <w:szCs w:val="21"/>
          <w:highlight w:val="none"/>
          <w:lang w:val="en-US" w:eastAsia="zh-CN"/>
        </w:rPr>
      </w:pPr>
      <w:bookmarkStart w:id="379" w:name="_Toc221949949"/>
      <w:r>
        <w:rPr>
          <w:rFonts w:hint="eastAsia" w:ascii="宋体" w:hAnsi="宋体" w:cs="宋体"/>
          <w:szCs w:val="21"/>
          <w:highlight w:val="none"/>
        </w:rPr>
        <w:t>网    址：</w:t>
      </w:r>
      <w:r>
        <w:rPr>
          <w:rFonts w:hint="eastAsia" w:ascii="宋体" w:hAnsi="宋体" w:cs="宋体"/>
          <w:szCs w:val="21"/>
          <w:highlight w:val="none"/>
          <w:lang w:val="en-US" w:eastAsia="zh-CN"/>
        </w:rPr>
        <w:t>/</w:t>
      </w:r>
      <w:r>
        <w:rPr>
          <w:rFonts w:hint="eastAsia" w:ascii="宋体" w:hAnsi="宋体" w:cs="宋体"/>
          <w:szCs w:val="21"/>
          <w:highlight w:val="none"/>
        </w:rPr>
        <w:t xml:space="preserve">                                网    址：</w:t>
      </w:r>
      <w:bookmarkEnd w:id="379"/>
      <w:r>
        <w:rPr>
          <w:rFonts w:hint="eastAsia" w:ascii="宋体" w:hAnsi="宋体" w:cs="宋体"/>
          <w:szCs w:val="21"/>
          <w:highlight w:val="none"/>
          <w:lang w:val="en-US" w:eastAsia="zh-CN"/>
        </w:rPr>
        <w:t>/</w:t>
      </w:r>
    </w:p>
    <w:p>
      <w:pPr>
        <w:spacing w:line="336" w:lineRule="auto"/>
        <w:rPr>
          <w:rFonts w:ascii="宋体" w:hAnsi="宋体" w:cs="宋体"/>
          <w:szCs w:val="21"/>
          <w:highlight w:val="none"/>
        </w:rPr>
      </w:pPr>
    </w:p>
    <w:p>
      <w:pPr>
        <w:topLinePunct/>
        <w:spacing w:line="336" w:lineRule="auto"/>
        <w:ind w:firstLine="420" w:firstLineChars="200"/>
        <w:rPr>
          <w:rFonts w:ascii="宋体" w:hAnsi="宋体" w:cs="宋体"/>
          <w:szCs w:val="21"/>
          <w:highlight w:val="none"/>
        </w:rPr>
      </w:pPr>
      <w:r>
        <w:rPr>
          <w:rFonts w:hint="eastAsia" w:ascii="宋体" w:hAnsi="宋体" w:cs="宋体"/>
          <w:szCs w:val="21"/>
          <w:highlight w:val="none"/>
        </w:rPr>
        <w:t>招标监督机构：广州市从化区农业农村局</w:t>
      </w:r>
    </w:p>
    <w:p>
      <w:pPr>
        <w:topLinePunct/>
        <w:spacing w:line="336" w:lineRule="auto"/>
        <w:ind w:firstLine="420" w:firstLineChars="200"/>
        <w:rPr>
          <w:rFonts w:ascii="宋体" w:hAnsi="宋体" w:cs="宋体"/>
          <w:szCs w:val="21"/>
          <w:highlight w:val="none"/>
        </w:rPr>
      </w:pPr>
      <w:r>
        <w:rPr>
          <w:rFonts w:hint="eastAsia" w:ascii="宋体" w:hAnsi="宋体" w:cs="宋体"/>
          <w:szCs w:val="21"/>
          <w:highlight w:val="none"/>
        </w:rPr>
        <w:t>监督电话：020-87976532</w:t>
      </w:r>
    </w:p>
    <w:p>
      <w:pPr>
        <w:topLinePunct/>
        <w:spacing w:line="336" w:lineRule="auto"/>
        <w:ind w:firstLine="420" w:firstLineChars="200"/>
        <w:rPr>
          <w:rFonts w:ascii="宋体" w:hAnsi="宋体" w:cs="宋体"/>
          <w:szCs w:val="21"/>
          <w:highlight w:val="none"/>
        </w:rPr>
      </w:pPr>
      <w:r>
        <w:rPr>
          <w:rFonts w:hint="eastAsia" w:ascii="宋体" w:hAnsi="宋体" w:cs="宋体"/>
          <w:szCs w:val="21"/>
          <w:highlight w:val="none"/>
        </w:rPr>
        <w:t>联系地址：广州市从化区街口镇河东北路54号</w:t>
      </w:r>
    </w:p>
    <w:p>
      <w:pPr>
        <w:spacing w:line="336" w:lineRule="auto"/>
        <w:rPr>
          <w:rFonts w:ascii="宋体" w:hAnsi="宋体" w:cs="宋体"/>
          <w:spacing w:val="-23"/>
          <w:w w:val="98"/>
          <w:sz w:val="24"/>
          <w:highlight w:val="none"/>
        </w:rPr>
      </w:pPr>
    </w:p>
    <w:p>
      <w:pPr>
        <w:pStyle w:val="9"/>
        <w:spacing w:line="336" w:lineRule="auto"/>
        <w:rPr>
          <w:highlight w:val="none"/>
        </w:rPr>
      </w:pPr>
    </w:p>
    <w:p>
      <w:pPr>
        <w:spacing w:line="336" w:lineRule="auto"/>
        <w:rPr>
          <w:rFonts w:ascii="宋体" w:hAnsi="宋体" w:cs="宋体"/>
          <w:szCs w:val="21"/>
          <w:highlight w:val="none"/>
        </w:rPr>
      </w:pPr>
      <w:r>
        <w:rPr>
          <w:rFonts w:hint="eastAsia" w:ascii="宋体" w:hAnsi="宋体" w:cs="宋体"/>
          <w:szCs w:val="21"/>
          <w:highlight w:val="none"/>
        </w:rPr>
        <w:t>　　　　　　　　　　　　　　　　　　　　　　　　　</w:t>
      </w:r>
      <w:bookmarkStart w:id="380" w:name="_Toc221949952"/>
      <w:r>
        <w:rPr>
          <w:rFonts w:hint="eastAsia" w:ascii="宋体" w:hAnsi="宋体" w:cs="宋体"/>
          <w:szCs w:val="21"/>
          <w:highlight w:val="none"/>
        </w:rPr>
        <w:t>年    月    日</w:t>
      </w:r>
      <w:bookmarkEnd w:id="380"/>
    </w:p>
    <w:p>
      <w:pPr>
        <w:spacing w:line="336" w:lineRule="auto"/>
        <w:rPr>
          <w:rFonts w:ascii="宋体" w:hAnsi="宋体" w:cs="宋体"/>
          <w:szCs w:val="21"/>
          <w:highlight w:val="none"/>
        </w:rPr>
      </w:pPr>
    </w:p>
    <w:p>
      <w:pPr>
        <w:spacing w:line="336" w:lineRule="auto"/>
        <w:ind w:left="900" w:hanging="900" w:hangingChars="450"/>
        <w:rPr>
          <w:rFonts w:ascii="宋体" w:hAnsi="宋体" w:cs="宋体"/>
          <w:sz w:val="20"/>
          <w:szCs w:val="20"/>
          <w:highlight w:val="none"/>
        </w:rPr>
      </w:pPr>
      <w:r>
        <w:rPr>
          <w:rFonts w:hint="eastAsia" w:ascii="宋体" w:hAnsi="宋体" w:cs="宋体"/>
          <w:sz w:val="20"/>
          <w:szCs w:val="20"/>
          <w:highlight w:val="none"/>
        </w:rPr>
        <w:t>备注：</w:t>
      </w:r>
      <w:r>
        <w:rPr>
          <w:rFonts w:hint="eastAsia" w:cs="宋体"/>
          <w:sz w:val="20"/>
          <w:szCs w:val="20"/>
          <w:highlight w:val="none"/>
        </w:rPr>
        <w:t>1</w:t>
      </w:r>
      <w:r>
        <w:rPr>
          <w:rFonts w:hint="eastAsia" w:ascii="宋体" w:hAnsi="宋体" w:cs="宋体"/>
          <w:sz w:val="20"/>
          <w:szCs w:val="20"/>
          <w:highlight w:val="none"/>
        </w:rPr>
        <w:t>. 投标人拟派的项目负责人（建造师）（下同）不得同时担任两个及以上建设工程项目的项目负责人（项目负责人）。存在下列情形之一的，视为未担任其他在建工程项目的项目负责人：（</w:t>
      </w:r>
      <w:r>
        <w:rPr>
          <w:rFonts w:hint="eastAsia" w:cs="宋体"/>
          <w:sz w:val="20"/>
          <w:szCs w:val="20"/>
          <w:highlight w:val="none"/>
        </w:rPr>
        <w:t>1</w:t>
      </w:r>
      <w:r>
        <w:rPr>
          <w:rFonts w:hint="eastAsia" w:ascii="宋体" w:hAnsi="宋体" w:cs="宋体"/>
          <w:sz w:val="20"/>
          <w:szCs w:val="20"/>
          <w:highlight w:val="none"/>
        </w:rPr>
        <w:t>）同一工程相邻分段发包或分期施工的;（</w:t>
      </w:r>
      <w:r>
        <w:rPr>
          <w:rFonts w:hint="eastAsia" w:cs="宋体"/>
          <w:sz w:val="20"/>
          <w:szCs w:val="20"/>
          <w:highlight w:val="none"/>
        </w:rPr>
        <w:t>2</w:t>
      </w:r>
      <w:r>
        <w:rPr>
          <w:rFonts w:hint="eastAsia" w:ascii="宋体" w:hAnsi="宋体" w:cs="宋体"/>
          <w:sz w:val="20"/>
          <w:szCs w:val="20"/>
          <w:highlight w:val="none"/>
        </w:rPr>
        <w:t>）合同约定的工程验收合格的；（</w:t>
      </w:r>
      <w:r>
        <w:rPr>
          <w:rFonts w:hint="eastAsia" w:cs="宋体"/>
          <w:sz w:val="20"/>
          <w:szCs w:val="20"/>
          <w:highlight w:val="none"/>
        </w:rPr>
        <w:t>3</w:t>
      </w:r>
      <w:r>
        <w:rPr>
          <w:rFonts w:hint="eastAsia" w:ascii="宋体" w:hAnsi="宋体" w:cs="宋体"/>
          <w:sz w:val="20"/>
          <w:szCs w:val="20"/>
          <w:highlight w:val="none"/>
        </w:rPr>
        <w:t>）因非承包方原因致使工程项目停工超过</w:t>
      </w:r>
      <w:r>
        <w:rPr>
          <w:rFonts w:hint="eastAsia" w:cs="宋体"/>
          <w:sz w:val="20"/>
          <w:szCs w:val="20"/>
          <w:highlight w:val="none"/>
        </w:rPr>
        <w:t>120</w:t>
      </w:r>
      <w:r>
        <w:rPr>
          <w:rFonts w:hint="eastAsia" w:ascii="宋体" w:hAnsi="宋体" w:cs="宋体"/>
          <w:sz w:val="20"/>
          <w:szCs w:val="20"/>
          <w:highlight w:val="none"/>
        </w:rPr>
        <w:t>天（含），经建设单位同意的。</w:t>
      </w:r>
    </w:p>
    <w:p>
      <w:pPr>
        <w:spacing w:line="336" w:lineRule="auto"/>
        <w:ind w:left="930" w:leftChars="300" w:hanging="300" w:hangingChars="150"/>
        <w:rPr>
          <w:rFonts w:hint="eastAsia"/>
          <w:highlight w:val="none"/>
        </w:rPr>
      </w:pPr>
      <w:r>
        <w:rPr>
          <w:rFonts w:hint="eastAsia" w:cs="宋体"/>
          <w:sz w:val="20"/>
          <w:szCs w:val="20"/>
          <w:highlight w:val="none"/>
        </w:rPr>
        <w:t>2</w:t>
      </w:r>
      <w:r>
        <w:rPr>
          <w:rFonts w:hint="eastAsia" w:ascii="宋体" w:hAnsi="宋体" w:cs="宋体"/>
          <w:sz w:val="20"/>
          <w:szCs w:val="20"/>
          <w:highlight w:val="none"/>
        </w:rPr>
        <w:t>. “在所投标段免费下载招标文件”是指投标人拟参加某标段投标的，应按规定下载该标段的招标文件。投标人的下载活动“电子交易平台”将予以记录，并可在“下载情况查询”中查看，该记录作为投标人是否下载该标段招标文件的依据。</w:t>
      </w:r>
      <w:bookmarkEnd w:id="1"/>
      <w:bookmarkEnd w:id="2"/>
      <w:bookmarkEnd w:id="3"/>
      <w:bookmarkEnd w:id="4"/>
      <w:bookmarkEnd w:id="5"/>
      <w:bookmarkEnd w:id="6"/>
      <w:bookmarkEnd w:id="7"/>
      <w:bookmarkEnd w:id="8"/>
      <w:bookmarkEnd w:id="9"/>
    </w:p>
    <w:p/>
    <w:sectPr>
      <w:footerReference r:id="rId3" w:type="default"/>
      <w:footerReference r:id="rId4" w:type="even"/>
      <w:pgSz w:w="11906" w:h="16838"/>
      <w:pgMar w:top="1278" w:right="1446" w:bottom="1984" w:left="1446" w:header="851" w:footer="1446"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listo MT">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Fonts w:ascii="Times New Roman" w:hAnsi="Times New Roman"/>
      </w:rPr>
      <w:t>24</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30CE4"/>
    <w:multiLevelType w:val="singleLevel"/>
    <w:tmpl w:val="FBE30CE4"/>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ZDFkM2M5Y2I1MGVkMmQ2ZGZkNDExMzZjM2E1NDEifQ=="/>
  </w:docVars>
  <w:rsids>
    <w:rsidRoot w:val="3AF95AD4"/>
    <w:rsid w:val="3AF9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qFormat/>
    <w:uiPriority w:val="0"/>
    <w:rPr>
      <w:rFonts w:ascii="Arial" w:hAnsi="Arial" w:eastAsia="黑体"/>
      <w:kern w:val="2"/>
      <w:sz w:val="21"/>
      <w:szCs w:val="21"/>
      <w:lang w:val="en-US" w:eastAsia="zh-CN" w:bidi="ar-SA"/>
    </w:rPr>
  </w:style>
  <w:style w:type="paragraph" w:customStyle="1" w:styleId="7">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宋体"/>
      <w:kern w:val="0"/>
      <w:sz w:val="28"/>
      <w:szCs w:val="20"/>
    </w:rPr>
  </w:style>
  <w:style w:type="paragraph" w:customStyle="1" w:styleId="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
    <w:name w:val="PlainText"/>
    <w:basedOn w:val="1"/>
    <w:autoRedefine/>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2024-04-30T10:42:00Z</dcterms:created>
  <dc:creator>G</dc:creator>
  <cp:lastModifiedBy>G</cp:lastModifiedBy>
  <dcterms:modified xsi:type="dcterms:W3CDTF">2024-04-30T10:43:06Z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D6D5F379B7AD43448D43217144C2A89B_11</vt:lpwstr>
  </property>
</Properties>
</file>