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jc w:val="center"/>
        <w:rPr>
          <w:rFonts w:cs="Times New Roman"/>
          <w:b/>
          <w:bCs/>
          <w:color w:val="auto"/>
          <w:kern w:val="2"/>
          <w:sz w:val="36"/>
          <w:szCs w:val="36"/>
          <w:lang w:val="en-US"/>
        </w:rPr>
      </w:pPr>
      <w:r>
        <w:rPr>
          <w:rFonts w:hint="eastAsia" w:ascii="宋体" w:hAnsi="宋体" w:cs="Times New Roman"/>
          <w:b/>
          <w:bCs/>
          <w:color w:val="auto"/>
          <w:kern w:val="2"/>
          <w:sz w:val="36"/>
          <w:szCs w:val="36"/>
          <w:lang w:val="en-US"/>
        </w:rPr>
        <w:t>工程量清单</w:t>
      </w:r>
    </w:p>
    <w:p>
      <w:pPr>
        <w:ind w:firstLine="723"/>
        <w:jc w:val="center"/>
        <w:rPr>
          <w:rFonts w:cs="Times New Roman"/>
          <w:color w:val="auto"/>
          <w:kern w:val="2"/>
          <w:sz w:val="21"/>
          <w:szCs w:val="21"/>
          <w:lang w:val="en-US"/>
        </w:rPr>
      </w:pPr>
      <w:r>
        <w:rPr>
          <w:rFonts w:hint="eastAsia" w:cs="Times New Roman"/>
          <w:b/>
          <w:bCs/>
          <w:color w:val="auto"/>
          <w:kern w:val="2"/>
          <w:sz w:val="36"/>
          <w:szCs w:val="36"/>
          <w:lang w:val="en-US"/>
        </w:rPr>
        <w:t>A</w:t>
      </w:r>
      <w:r>
        <w:rPr>
          <w:rFonts w:hint="eastAsia" w:ascii="宋体" w:hAnsi="宋体" w:cs="Times New Roman"/>
          <w:b/>
          <w:bCs/>
          <w:color w:val="auto"/>
          <w:kern w:val="2"/>
          <w:sz w:val="36"/>
          <w:szCs w:val="36"/>
          <w:lang w:val="en-US"/>
        </w:rPr>
        <w:t>说明</w:t>
      </w:r>
    </w:p>
    <w:p>
      <w:pPr>
        <w:spacing w:line="360" w:lineRule="auto"/>
        <w:ind w:firstLine="482" w:firstLineChars="200"/>
        <w:jc w:val="both"/>
        <w:rPr>
          <w:rFonts w:ascii="宋体" w:hAnsi="宋体" w:cs="Times New Roman"/>
          <w:b/>
          <w:bCs/>
          <w:color w:val="auto"/>
          <w:kern w:val="2"/>
          <w:lang w:val="en-US"/>
        </w:rPr>
      </w:pPr>
      <w:r>
        <w:rPr>
          <w:rFonts w:ascii="宋体" w:hAnsi="宋体" w:cs="宋体"/>
          <w:b/>
          <w:bCs/>
          <w:color w:val="auto"/>
          <w:kern w:val="2"/>
          <w:lang w:val="en-US"/>
        </w:rPr>
        <w:t xml:space="preserve">1. </w:t>
      </w:r>
      <w:r>
        <w:rPr>
          <w:rFonts w:hint="eastAsia" w:ascii="宋体" w:hAnsi="宋体" w:cs="宋体"/>
          <w:b/>
          <w:bCs/>
          <w:color w:val="auto"/>
          <w:kern w:val="2"/>
          <w:lang w:val="en-US"/>
        </w:rPr>
        <w:t>工程量清单说明</w:t>
      </w:r>
    </w:p>
    <w:p>
      <w:pPr>
        <w:spacing w:line="400" w:lineRule="exact"/>
        <w:ind w:firstLine="480" w:firstLineChars="200"/>
        <w:jc w:val="both"/>
        <w:rPr>
          <w:rFonts w:ascii="宋体" w:hAnsi="宋体" w:cs="宋体"/>
          <w:color w:val="auto"/>
          <w:kern w:val="2"/>
          <w:lang w:val="en-US"/>
        </w:rPr>
      </w:pPr>
      <w:r>
        <w:rPr>
          <w:rFonts w:ascii="宋体" w:hAnsi="宋体" w:cs="宋体"/>
          <w:color w:val="auto"/>
          <w:kern w:val="2"/>
          <w:lang w:val="en-US"/>
        </w:rPr>
        <w:t>1.1</w:t>
      </w:r>
      <w:r>
        <w:rPr>
          <w:rFonts w:hint="eastAsia" w:ascii="宋体" w:hAnsi="宋体" w:cs="宋体"/>
          <w:color w:val="auto"/>
          <w:kern w:val="2"/>
          <w:lang w:val="en-US"/>
        </w:rPr>
        <w:t>本工程量清单是根据招标文件中包括的有合同约束力的工程量清单计量规则、图纸以及有关工程量清单的国家标准、行业标准、合同条款中约定的其他规则编制。约定计量规则中没有的子目，其工程量按照有合同约束力的图纸所标示尺寸的理论净量计算。计量采用中华人民共和国法定计量单位。</w:t>
      </w:r>
    </w:p>
    <w:p>
      <w:pPr>
        <w:spacing w:line="400" w:lineRule="exact"/>
        <w:ind w:firstLine="480" w:firstLineChars="200"/>
        <w:jc w:val="both"/>
        <w:rPr>
          <w:rFonts w:ascii="宋体" w:hAnsi="宋体" w:cs="宋体"/>
          <w:color w:val="auto"/>
          <w:kern w:val="2"/>
          <w:lang w:val="en-US"/>
        </w:rPr>
      </w:pPr>
      <w:r>
        <w:rPr>
          <w:rFonts w:ascii="宋体" w:hAnsi="宋体" w:cs="宋体"/>
          <w:color w:val="auto"/>
          <w:kern w:val="2"/>
          <w:lang w:val="en-US"/>
        </w:rPr>
        <w:t>1.2</w:t>
      </w:r>
      <w:r>
        <w:rPr>
          <w:rFonts w:hint="eastAsia" w:ascii="宋体" w:hAnsi="宋体" w:cs="宋体"/>
          <w:color w:val="auto"/>
          <w:kern w:val="2"/>
          <w:lang w:val="en-US"/>
        </w:rPr>
        <w:t>本工程量清单应与招标文件中的投标人须知、通用合同条款、专用合同条款、工程量清单计量规则、技术规范及图纸等一起阅读和理解。</w:t>
      </w:r>
    </w:p>
    <w:p>
      <w:pPr>
        <w:spacing w:line="400" w:lineRule="exact"/>
        <w:ind w:firstLine="480" w:firstLineChars="200"/>
        <w:jc w:val="both"/>
        <w:rPr>
          <w:rFonts w:ascii="宋体" w:hAnsi="宋体" w:cs="宋体"/>
          <w:color w:val="auto"/>
          <w:kern w:val="2"/>
          <w:lang w:val="en-US"/>
        </w:rPr>
      </w:pPr>
      <w:r>
        <w:rPr>
          <w:rFonts w:ascii="宋体" w:hAnsi="宋体" w:cs="宋体"/>
          <w:color w:val="auto"/>
          <w:kern w:val="2"/>
          <w:lang w:val="en-US"/>
        </w:rPr>
        <w:t>1.3</w:t>
      </w:r>
      <w:r>
        <w:rPr>
          <w:rFonts w:hint="eastAsia" w:ascii="宋体" w:hAnsi="宋体" w:cs="宋体"/>
          <w:color w:val="auto"/>
          <w:kern w:val="2"/>
          <w:lang w:val="en-US"/>
        </w:rPr>
        <w:t>本工程量清单中所列工程数量是估算的或设计的预计数量，仅作为投标报价的共同基础，不能作为最终结算与支付的依据。实际支付应按实际完成的工程量，由承包人按工程量清单计量规则规定的计量方法，以监理人认可的尺寸、断面计量，按本工程量清单的单价和总额价计算支付金额；或根据具体情况，按合同条款第</w:t>
      </w:r>
      <w:r>
        <w:rPr>
          <w:rFonts w:ascii="宋体" w:hAnsi="宋体" w:cs="宋体"/>
          <w:color w:val="auto"/>
          <w:kern w:val="2"/>
          <w:lang w:val="en-US"/>
        </w:rPr>
        <w:t xml:space="preserve">15.4 </w:t>
      </w:r>
      <w:r>
        <w:rPr>
          <w:rFonts w:hint="eastAsia" w:ascii="宋体" w:hAnsi="宋体" w:cs="宋体"/>
          <w:color w:val="auto"/>
          <w:kern w:val="2"/>
          <w:lang w:val="en-US"/>
        </w:rPr>
        <w:t>款的规定，按监理人确定的单价或总额价计算支付额。</w:t>
      </w:r>
    </w:p>
    <w:p>
      <w:pPr>
        <w:spacing w:line="400" w:lineRule="exact"/>
        <w:ind w:firstLine="480" w:firstLineChars="200"/>
        <w:jc w:val="both"/>
        <w:rPr>
          <w:rFonts w:ascii="宋体" w:hAnsi="宋体" w:cs="宋体"/>
          <w:color w:val="auto"/>
          <w:kern w:val="2"/>
          <w:lang w:val="en-US"/>
        </w:rPr>
      </w:pPr>
      <w:r>
        <w:rPr>
          <w:rFonts w:ascii="宋体" w:hAnsi="宋体" w:cs="宋体"/>
          <w:color w:val="auto"/>
          <w:kern w:val="2"/>
          <w:lang w:val="en-US"/>
        </w:rPr>
        <w:t>1.4</w:t>
      </w:r>
      <w:r>
        <w:rPr>
          <w:rFonts w:hint="eastAsia" w:ascii="宋体" w:hAnsi="宋体" w:cs="宋体"/>
          <w:color w:val="auto"/>
          <w:kern w:val="2"/>
          <w:lang w:val="en-US"/>
        </w:rPr>
        <w:t>工程量清单各章是按第八章“工程量清单计量规则”、第七章“技术规范”的相应章次编号的，因此，工程量清单中各章的工程子目的范围与计量等应与“工程量清单计量规则”、“技术规范”相应章节的范围、计量与支付条款结合起来理解或解释。</w:t>
      </w:r>
    </w:p>
    <w:p>
      <w:pPr>
        <w:spacing w:line="400" w:lineRule="exact"/>
        <w:ind w:firstLine="480" w:firstLineChars="200"/>
        <w:jc w:val="both"/>
        <w:rPr>
          <w:rFonts w:ascii="宋体" w:hAnsi="宋体" w:cs="宋体"/>
          <w:color w:val="auto"/>
          <w:kern w:val="2"/>
          <w:lang w:val="en-US"/>
        </w:rPr>
      </w:pPr>
      <w:r>
        <w:rPr>
          <w:rFonts w:ascii="宋体" w:hAnsi="宋体" w:cs="宋体"/>
          <w:color w:val="auto"/>
          <w:kern w:val="2"/>
          <w:lang w:val="en-US"/>
        </w:rPr>
        <w:t xml:space="preserve">1.5 </w:t>
      </w:r>
      <w:r>
        <w:rPr>
          <w:rFonts w:hint="eastAsia" w:ascii="宋体" w:hAnsi="宋体" w:cs="宋体"/>
          <w:color w:val="auto"/>
          <w:kern w:val="2"/>
          <w:lang w:val="en-US"/>
        </w:rPr>
        <w:t>对作业和材料的一般说明或规定，未重复写入工程量清单内，在给工程量清单各子目标价前，应参阅第七章“技术规范”的有关内容。</w:t>
      </w:r>
    </w:p>
    <w:p>
      <w:pPr>
        <w:spacing w:line="400" w:lineRule="exact"/>
        <w:ind w:firstLine="480" w:firstLineChars="200"/>
        <w:jc w:val="both"/>
        <w:rPr>
          <w:rFonts w:ascii="宋体" w:hAnsi="宋体" w:cs="宋体"/>
          <w:color w:val="auto"/>
          <w:kern w:val="2"/>
          <w:lang w:val="en-US"/>
        </w:rPr>
      </w:pPr>
      <w:r>
        <w:rPr>
          <w:rFonts w:ascii="宋体" w:hAnsi="宋体" w:cs="宋体"/>
          <w:color w:val="auto"/>
          <w:kern w:val="2"/>
          <w:lang w:val="en-US"/>
        </w:rPr>
        <w:t xml:space="preserve">1.6  </w:t>
      </w:r>
      <w:r>
        <w:rPr>
          <w:rFonts w:hint="eastAsia" w:ascii="宋体" w:hAnsi="宋体" w:cs="宋体"/>
          <w:color w:val="auto"/>
          <w:kern w:val="2"/>
          <w:lang w:val="en-US"/>
        </w:rPr>
        <w:t>工程量清单中所列工程量的变动，丝毫不会降低或影响合同条款的效力，也不免除承包人按规定的标准进行施工和修复缺陷的责任。</w:t>
      </w:r>
    </w:p>
    <w:p>
      <w:pPr>
        <w:spacing w:line="360" w:lineRule="auto"/>
        <w:ind w:firstLine="480" w:firstLineChars="200"/>
        <w:jc w:val="both"/>
        <w:rPr>
          <w:rFonts w:ascii="宋体" w:hAnsi="宋体" w:cs="Times New Roman"/>
          <w:color w:val="auto"/>
          <w:kern w:val="2"/>
          <w:lang w:val="en-US"/>
        </w:rPr>
      </w:pPr>
      <w:r>
        <w:rPr>
          <w:rFonts w:ascii="宋体" w:hAnsi="宋体" w:cs="宋体"/>
          <w:color w:val="auto"/>
          <w:kern w:val="2"/>
          <w:lang w:val="en-US"/>
        </w:rPr>
        <w:t>1.7</w:t>
      </w:r>
      <w:r>
        <w:rPr>
          <w:rFonts w:hint="eastAsia" w:ascii="宋体" w:hAnsi="宋体" w:cs="宋体"/>
          <w:color w:val="auto"/>
          <w:kern w:val="2"/>
          <w:lang w:val="en-US"/>
        </w:rPr>
        <w:t>图纸中所列的工程数量表及数量汇总表仅是提供资料，不是工程量清单的外延。当图纸与工程量清单所列数量不一致时，以工程量清单所列数量作为报价的依据。</w:t>
      </w:r>
    </w:p>
    <w:p>
      <w:pPr>
        <w:spacing w:line="360" w:lineRule="auto"/>
        <w:ind w:firstLine="482" w:firstLineChars="200"/>
        <w:jc w:val="both"/>
        <w:rPr>
          <w:rFonts w:ascii="宋体" w:hAnsi="宋体" w:cs="Times New Roman"/>
          <w:b/>
          <w:bCs/>
          <w:color w:val="auto"/>
          <w:kern w:val="2"/>
          <w:lang w:val="en-US"/>
        </w:rPr>
      </w:pPr>
      <w:r>
        <w:rPr>
          <w:rFonts w:ascii="宋体" w:hAnsi="宋体" w:cs="宋体"/>
          <w:b/>
          <w:bCs/>
          <w:color w:val="auto"/>
          <w:kern w:val="2"/>
          <w:lang w:val="en-US"/>
        </w:rPr>
        <w:t xml:space="preserve">2. </w:t>
      </w:r>
      <w:r>
        <w:rPr>
          <w:rFonts w:hint="eastAsia" w:ascii="宋体" w:hAnsi="宋体" w:cs="宋体"/>
          <w:b/>
          <w:bCs/>
          <w:color w:val="auto"/>
          <w:kern w:val="2"/>
          <w:lang w:val="en-US"/>
        </w:rPr>
        <w:t>投标报价说明</w:t>
      </w:r>
    </w:p>
    <w:p>
      <w:pPr>
        <w:spacing w:line="360" w:lineRule="auto"/>
        <w:ind w:firstLine="480" w:firstLineChars="200"/>
        <w:jc w:val="both"/>
        <w:rPr>
          <w:rFonts w:ascii="宋体" w:hAnsi="宋体" w:cs="Times New Roman"/>
          <w:color w:val="auto"/>
          <w:kern w:val="2"/>
          <w:lang w:val="en-US"/>
        </w:rPr>
      </w:pPr>
      <w:r>
        <w:rPr>
          <w:rFonts w:ascii="宋体" w:hAnsi="宋体" w:cs="宋体"/>
          <w:color w:val="auto"/>
          <w:kern w:val="2"/>
          <w:lang w:val="en-US"/>
        </w:rPr>
        <w:t xml:space="preserve">2.1 </w:t>
      </w:r>
      <w:r>
        <w:rPr>
          <w:rFonts w:hint="eastAsia" w:ascii="宋体" w:hAnsi="宋体" w:cs="宋体"/>
          <w:color w:val="auto"/>
          <w:kern w:val="2"/>
          <w:lang w:val="en-US"/>
        </w:rPr>
        <w:t>工程量清单中的每一子目须填入单价或价格，且只允许有一个报价。</w:t>
      </w:r>
    </w:p>
    <w:p>
      <w:pPr>
        <w:spacing w:line="360" w:lineRule="auto"/>
        <w:ind w:firstLine="480" w:firstLineChars="200"/>
        <w:jc w:val="both"/>
        <w:rPr>
          <w:rFonts w:ascii="宋体" w:hAnsi="宋体" w:cs="Times New Roman"/>
          <w:color w:val="auto"/>
          <w:kern w:val="2"/>
          <w:lang w:val="en-US"/>
        </w:rPr>
      </w:pPr>
      <w:r>
        <w:rPr>
          <w:rFonts w:ascii="宋体" w:hAnsi="宋体" w:cs="宋体"/>
          <w:color w:val="auto"/>
          <w:kern w:val="2"/>
          <w:lang w:val="en-US"/>
        </w:rPr>
        <w:t xml:space="preserve">2.2 </w:t>
      </w:r>
      <w:r>
        <w:rPr>
          <w:rFonts w:hint="eastAsia" w:ascii="宋体" w:hAnsi="宋体" w:cs="宋体"/>
          <w:color w:val="auto"/>
          <w:kern w:val="2"/>
          <w:lang w:val="en-US"/>
        </w:rPr>
        <w:t>除非合同另有规定，工程量清单中有标价的单价和总额价均已包括了为实施和完成合同工程所需的劳务、材料、机械、质检</w:t>
      </w:r>
      <w:r>
        <w:rPr>
          <w:rFonts w:ascii="宋体" w:hAnsi="宋体" w:cs="宋体"/>
          <w:color w:val="auto"/>
          <w:kern w:val="2"/>
          <w:lang w:val="en-US"/>
        </w:rPr>
        <w:t>(</w:t>
      </w:r>
      <w:r>
        <w:rPr>
          <w:rFonts w:hint="eastAsia" w:ascii="宋体" w:hAnsi="宋体" w:cs="宋体"/>
          <w:color w:val="auto"/>
          <w:kern w:val="2"/>
          <w:lang w:val="en-US"/>
        </w:rPr>
        <w:t>自检</w:t>
      </w:r>
      <w:r>
        <w:rPr>
          <w:rFonts w:ascii="宋体" w:hAnsi="宋体" w:cs="宋体"/>
          <w:color w:val="auto"/>
          <w:kern w:val="2"/>
          <w:lang w:val="en-US"/>
        </w:rPr>
        <w:t>)</w:t>
      </w:r>
      <w:r>
        <w:rPr>
          <w:rFonts w:hint="eastAsia" w:ascii="宋体" w:hAnsi="宋体" w:cs="宋体"/>
          <w:color w:val="auto"/>
          <w:kern w:val="2"/>
          <w:lang w:val="en-US"/>
        </w:rPr>
        <w:t>、安装、缺陷修复、管理、保险（建筑工程一切险及第三者责任险除外）、税费、利润等费用，以及合同明示或暗示的所有责任、义务和一般风险。</w:t>
      </w:r>
    </w:p>
    <w:p>
      <w:pPr>
        <w:spacing w:line="360" w:lineRule="auto"/>
        <w:ind w:firstLine="480" w:firstLineChars="200"/>
        <w:jc w:val="both"/>
        <w:rPr>
          <w:rFonts w:ascii="宋体" w:hAnsi="宋体" w:cs="Times New Roman"/>
          <w:color w:val="auto"/>
          <w:kern w:val="2"/>
          <w:lang w:val="en-US"/>
        </w:rPr>
      </w:pPr>
      <w:r>
        <w:rPr>
          <w:rFonts w:ascii="宋体" w:hAnsi="宋体" w:cs="宋体"/>
          <w:color w:val="auto"/>
          <w:kern w:val="2"/>
          <w:lang w:val="en-US"/>
        </w:rPr>
        <w:t xml:space="preserve">2.3 </w:t>
      </w:r>
      <w:r>
        <w:rPr>
          <w:rFonts w:hint="eastAsia" w:ascii="宋体" w:hAnsi="宋体" w:cs="宋体"/>
          <w:color w:val="auto"/>
          <w:kern w:val="2"/>
          <w:lang w:val="en-US"/>
        </w:rPr>
        <w:t>工程量清单中投标人没有填入单价或价格的子目，其费用视为已分摊在工程量清单中其他相关子目的单价或价格之中。承包人必须按监理人指令完成工程量清单中未填入单价或价格的子目，但不能得到结算与支付。</w:t>
      </w:r>
    </w:p>
    <w:p>
      <w:pPr>
        <w:spacing w:line="360" w:lineRule="auto"/>
        <w:ind w:firstLine="480" w:firstLineChars="200"/>
        <w:jc w:val="both"/>
        <w:rPr>
          <w:rFonts w:ascii="宋体" w:hAnsi="宋体" w:cs="Times New Roman"/>
          <w:color w:val="auto"/>
          <w:kern w:val="2"/>
          <w:lang w:val="en-US"/>
        </w:rPr>
      </w:pPr>
      <w:r>
        <w:rPr>
          <w:rFonts w:ascii="宋体" w:hAnsi="宋体" w:cs="宋体"/>
          <w:color w:val="auto"/>
          <w:kern w:val="2"/>
          <w:lang w:val="en-US"/>
        </w:rPr>
        <w:t xml:space="preserve">2.4 </w:t>
      </w:r>
      <w:r>
        <w:rPr>
          <w:rFonts w:hint="eastAsia" w:ascii="宋体" w:hAnsi="宋体" w:cs="宋体"/>
          <w:color w:val="auto"/>
          <w:kern w:val="2"/>
          <w:lang w:val="en-US"/>
        </w:rPr>
        <w:t>符合合同条款规定的全部费用应认为已被计入有标价的工程量清单所列各子目之中，未列子目不予计量的工作，其费用应视为已分摊在本合同工程的有关子目的单价或总额价之中。</w:t>
      </w:r>
    </w:p>
    <w:p>
      <w:pPr>
        <w:spacing w:line="360" w:lineRule="auto"/>
        <w:ind w:firstLine="480" w:firstLineChars="200"/>
        <w:jc w:val="both"/>
        <w:rPr>
          <w:rFonts w:ascii="宋体" w:hAnsi="宋体" w:cs="Times New Roman"/>
          <w:color w:val="auto"/>
          <w:kern w:val="2"/>
          <w:lang w:val="en-US"/>
        </w:rPr>
      </w:pPr>
      <w:r>
        <w:rPr>
          <w:rFonts w:ascii="宋体" w:hAnsi="宋体" w:cs="宋体"/>
          <w:color w:val="auto"/>
          <w:kern w:val="2"/>
          <w:lang w:val="en-US"/>
        </w:rPr>
        <w:t xml:space="preserve">2.5 </w:t>
      </w:r>
      <w:r>
        <w:rPr>
          <w:rFonts w:hint="eastAsia" w:ascii="宋体" w:hAnsi="宋体" w:cs="宋体"/>
          <w:color w:val="auto"/>
          <w:kern w:val="2"/>
          <w:lang w:val="en-US"/>
        </w:rPr>
        <w:t>承包人用于本合同工程的各类装备的提供、运输、维护、拆卸、拼装等支付的费用，已包括在工程量清单的单价与总额价之中。</w:t>
      </w:r>
    </w:p>
    <w:p>
      <w:pPr>
        <w:spacing w:line="360" w:lineRule="auto"/>
        <w:ind w:firstLine="480" w:firstLineChars="200"/>
        <w:jc w:val="both"/>
        <w:rPr>
          <w:rFonts w:ascii="宋体" w:hAnsi="宋体" w:cs="宋体"/>
          <w:kern w:val="2"/>
        </w:rPr>
      </w:pPr>
      <w:r>
        <w:rPr>
          <w:rFonts w:ascii="宋体" w:hAnsi="宋体" w:cs="宋体"/>
          <w:color w:val="auto"/>
          <w:kern w:val="2"/>
          <w:lang w:val="en-US"/>
        </w:rPr>
        <w:t xml:space="preserve">2.6 </w:t>
      </w:r>
      <w:r>
        <w:rPr>
          <w:rFonts w:hint="eastAsia" w:ascii="宋体" w:hAnsi="宋体" w:cs="宋体"/>
          <w:color w:val="auto"/>
          <w:kern w:val="2"/>
          <w:lang w:val="en-US"/>
        </w:rPr>
        <w:t>工程量清单中各项金额均以人民币</w:t>
      </w:r>
      <w:r>
        <w:rPr>
          <w:rFonts w:ascii="宋体" w:hAnsi="宋体" w:cs="宋体"/>
          <w:color w:val="auto"/>
          <w:kern w:val="2"/>
          <w:lang w:val="en-US"/>
        </w:rPr>
        <w:t>(</w:t>
      </w:r>
      <w:r>
        <w:rPr>
          <w:rFonts w:hint="eastAsia" w:ascii="宋体" w:hAnsi="宋体" w:cs="宋体"/>
          <w:color w:val="auto"/>
          <w:kern w:val="2"/>
          <w:lang w:val="en-US"/>
        </w:rPr>
        <w:t>元</w:t>
      </w:r>
      <w:r>
        <w:rPr>
          <w:rFonts w:ascii="宋体" w:hAnsi="宋体" w:cs="宋体"/>
          <w:color w:val="auto"/>
          <w:kern w:val="2"/>
          <w:lang w:val="en-US"/>
        </w:rPr>
        <w:t>)</w:t>
      </w:r>
      <w:r>
        <w:rPr>
          <w:rFonts w:hint="eastAsia" w:ascii="宋体" w:hAnsi="宋体" w:cs="宋体"/>
          <w:color w:val="auto"/>
          <w:kern w:val="2"/>
          <w:lang w:val="en-US"/>
        </w:rPr>
        <w:t>结算。</w:t>
      </w:r>
    </w:p>
    <w:p>
      <w:pPr>
        <w:pStyle w:val="9"/>
        <w:ind w:firstLine="482" w:firstLineChars="200"/>
        <w:rPr>
          <w:rFonts w:hint="eastAsia" w:ascii="宋体" w:hAnsi="宋体" w:cs="宋体"/>
          <w:b/>
          <w:color w:val="auto"/>
          <w:kern w:val="2"/>
          <w:lang w:val="en-US"/>
        </w:rPr>
      </w:pPr>
      <w:r>
        <w:rPr>
          <w:rFonts w:hint="eastAsia" w:ascii="宋体" w:hAnsi="宋体" w:cs="宋体"/>
          <w:b/>
          <w:bCs/>
          <w:color w:val="auto"/>
          <w:kern w:val="2"/>
          <w:lang w:val="en-US"/>
        </w:rPr>
        <w:t>2.7本项目安全生产费投标报价为</w:t>
      </w:r>
      <w:r>
        <w:rPr>
          <w:rFonts w:hint="eastAsia" w:ascii="宋体" w:hAnsi="宋体" w:cs="宋体"/>
          <w:b/>
          <w:bCs/>
          <w:color w:val="FF0000"/>
          <w:kern w:val="2"/>
          <w:lang w:val="en-US" w:eastAsia="zh-CN"/>
        </w:rPr>
        <w:t>1704697</w:t>
      </w:r>
      <w:r>
        <w:rPr>
          <w:rFonts w:hint="eastAsia" w:ascii="宋体" w:hAnsi="宋体" w:cs="宋体"/>
          <w:b/>
          <w:bCs/>
          <w:color w:val="auto"/>
          <w:kern w:val="2"/>
          <w:lang w:val="en-US"/>
        </w:rPr>
        <w:t>元，包含于投标总报价，上述安全生产费投标报价以固定金额的形式分别计入工程量清单支付子目102-3中，不得修改，否则按</w:t>
      </w:r>
      <w:r>
        <w:rPr>
          <w:rFonts w:hint="eastAsia" w:ascii="宋体" w:hAnsi="宋体" w:cs="宋体"/>
          <w:b/>
          <w:color w:val="auto"/>
          <w:kern w:val="2"/>
          <w:lang w:val="en-US"/>
        </w:rPr>
        <w:t>投标无效处理。</w:t>
      </w:r>
    </w:p>
    <w:tbl>
      <w:tblPr>
        <w:tblStyle w:val="7"/>
        <w:tblW w:w="9144" w:type="dxa"/>
        <w:tblInd w:w="0" w:type="dxa"/>
        <w:tblLayout w:type="fixed"/>
        <w:tblCellMar>
          <w:top w:w="0" w:type="dxa"/>
          <w:left w:w="108" w:type="dxa"/>
          <w:bottom w:w="0" w:type="dxa"/>
          <w:right w:w="108" w:type="dxa"/>
        </w:tblCellMar>
      </w:tblPr>
      <w:tblGrid>
        <w:gridCol w:w="4826"/>
        <w:gridCol w:w="2459"/>
        <w:gridCol w:w="1859"/>
      </w:tblGrid>
      <w:tr>
        <w:tblPrEx>
          <w:tblLayout w:type="fixed"/>
          <w:tblCellMar>
            <w:top w:w="0" w:type="dxa"/>
            <w:left w:w="108" w:type="dxa"/>
            <w:bottom w:w="0" w:type="dxa"/>
            <w:right w:w="108" w:type="dxa"/>
          </w:tblCellMar>
        </w:tblPrEx>
        <w:trPr>
          <w:trHeight w:val="340" w:hRule="atLeast"/>
        </w:trPr>
        <w:tc>
          <w:tcPr>
            <w:tcW w:w="4826" w:type="dxa"/>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cs="宋体"/>
                <w:sz w:val="21"/>
                <w:szCs w:val="21"/>
                <w:lang w:val="en-US"/>
              </w:rPr>
            </w:pPr>
            <w:r>
              <w:rPr>
                <w:rFonts w:hint="eastAsia" w:ascii="宋体" w:hAnsi="宋体" w:cs="宋体"/>
                <w:sz w:val="21"/>
                <w:szCs w:val="21"/>
                <w:lang w:val="en-US"/>
              </w:rPr>
              <w:t>路线名称</w:t>
            </w:r>
          </w:p>
        </w:tc>
        <w:tc>
          <w:tcPr>
            <w:tcW w:w="2459"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sz w:val="21"/>
                <w:szCs w:val="21"/>
                <w:lang w:val="en-US"/>
              </w:rPr>
            </w:pPr>
            <w:r>
              <w:rPr>
                <w:rFonts w:hint="eastAsia" w:ascii="宋体" w:hAnsi="宋体" w:cs="宋体"/>
                <w:sz w:val="21"/>
                <w:szCs w:val="21"/>
                <w:lang w:val="en-US"/>
              </w:rPr>
              <w:t>安全生产费（元）</w:t>
            </w:r>
          </w:p>
        </w:tc>
        <w:tc>
          <w:tcPr>
            <w:tcW w:w="1859" w:type="dxa"/>
            <w:tcBorders>
              <w:top w:val="single" w:color="000000" w:sz="8" w:space="0"/>
              <w:left w:val="single" w:color="000000" w:sz="4" w:space="0"/>
              <w:bottom w:val="single" w:color="000000" w:sz="4" w:space="0"/>
              <w:right w:val="single" w:color="000000" w:sz="8" w:space="0"/>
            </w:tcBorders>
            <w:shd w:val="clear" w:color="auto" w:fill="auto"/>
            <w:noWrap/>
            <w:vAlign w:val="center"/>
          </w:tcPr>
          <w:p>
            <w:pPr>
              <w:widowControl/>
              <w:jc w:val="center"/>
              <w:rPr>
                <w:rFonts w:ascii="宋体" w:hAnsi="宋体" w:cs="宋体"/>
                <w:sz w:val="22"/>
                <w:szCs w:val="22"/>
                <w:lang w:val="en-US"/>
              </w:rPr>
            </w:pPr>
            <w:r>
              <w:rPr>
                <w:rFonts w:hint="eastAsia" w:ascii="宋体" w:hAnsi="宋体" w:cs="宋体"/>
                <w:sz w:val="22"/>
                <w:szCs w:val="22"/>
                <w:lang w:val="en-US"/>
              </w:rPr>
              <w:t>合计（元）</w:t>
            </w: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县道X620线灾毁修复工程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color w:val="FF0000"/>
                <w:lang w:val="en-US" w:eastAsia="zh-CN"/>
              </w:rPr>
            </w:pPr>
            <w:r>
              <w:rPr>
                <w:rFonts w:hint="eastAsia" w:ascii="宋体" w:hAnsi="宋体" w:cs="宋体"/>
                <w:color w:val="auto"/>
                <w:lang w:val="en-US" w:eastAsia="zh-CN"/>
              </w:rPr>
              <w:t>219144</w:t>
            </w:r>
          </w:p>
        </w:tc>
        <w:tc>
          <w:tcPr>
            <w:tcW w:w="1859" w:type="dxa"/>
            <w:vMerge w:val="restart"/>
            <w:tcBorders>
              <w:top w:val="single" w:color="000000" w:sz="4" w:space="0"/>
              <w:left w:val="single" w:color="000000" w:sz="4" w:space="0"/>
              <w:bottom w:val="single" w:color="000000" w:sz="8" w:space="0"/>
              <w:right w:val="single" w:color="000000" w:sz="8" w:space="0"/>
            </w:tcBorders>
            <w:shd w:val="clear" w:color="auto" w:fill="auto"/>
            <w:noWrap/>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1704697</w:t>
            </w: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县道X652线灾毁修复工程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color w:val="FF0000"/>
                <w:lang w:val="en-US" w:eastAsia="zh-CN"/>
              </w:rPr>
            </w:pPr>
            <w:r>
              <w:rPr>
                <w:rFonts w:hint="eastAsia" w:ascii="宋体" w:hAnsi="宋体" w:cs="宋体"/>
                <w:color w:val="auto"/>
                <w:lang w:val="en-US" w:eastAsia="zh-CN"/>
              </w:rPr>
              <w:t>265885</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县道X871线灾毁修复工程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color w:val="FF0000"/>
                <w:lang w:val="en-US" w:eastAsia="zh-CN"/>
              </w:rPr>
            </w:pPr>
            <w:r>
              <w:rPr>
                <w:rFonts w:hint="eastAsia" w:ascii="宋体" w:hAnsi="宋体" w:cs="宋体"/>
                <w:color w:val="auto"/>
                <w:lang w:val="en-US" w:eastAsia="zh-CN"/>
              </w:rPr>
              <w:t>28520</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平田至大坡、水口至丽岗公路灾毁修复工程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color w:val="FF0000"/>
                <w:lang w:val="en-US" w:eastAsia="zh-CN"/>
              </w:rPr>
            </w:pPr>
            <w:r>
              <w:rPr>
                <w:rFonts w:hint="eastAsia" w:ascii="宋体" w:hAnsi="宋体" w:cs="宋体"/>
                <w:color w:val="auto"/>
                <w:lang w:val="en-US" w:eastAsia="zh-CN"/>
              </w:rPr>
              <w:t>152230</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乡村公路灾毁修复工程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color w:val="FF0000"/>
                <w:lang w:val="en-US" w:eastAsia="zh-CN"/>
              </w:rPr>
            </w:pPr>
            <w:r>
              <w:rPr>
                <w:rFonts w:hint="eastAsia" w:ascii="宋体" w:hAnsi="宋体" w:cs="宋体"/>
                <w:color w:val="auto"/>
                <w:lang w:val="en-US" w:eastAsia="zh-CN"/>
              </w:rPr>
              <w:t>343382</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nil"/>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危旧桥涵灾毁修复工程</w:t>
            </w:r>
          </w:p>
        </w:tc>
        <w:tc>
          <w:tcPr>
            <w:tcW w:w="2459"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hint="default" w:ascii="宋体" w:hAnsi="宋体" w:eastAsia="宋体" w:cs="宋体"/>
                <w:color w:val="FF0000"/>
                <w:lang w:val="en-US" w:eastAsia="zh-CN"/>
              </w:rPr>
            </w:pPr>
            <w:r>
              <w:rPr>
                <w:rFonts w:hint="eastAsia" w:ascii="宋体" w:hAnsi="宋体" w:cs="宋体"/>
                <w:color w:val="auto"/>
                <w:lang w:val="en-US" w:eastAsia="zh-CN"/>
              </w:rPr>
              <w:t>368456</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nil"/>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东门桥灾毁修复工程</w:t>
            </w:r>
          </w:p>
        </w:tc>
        <w:tc>
          <w:tcPr>
            <w:tcW w:w="2459"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hint="default" w:ascii="宋体" w:hAnsi="宋体" w:eastAsia="宋体" w:cs="宋体"/>
                <w:color w:val="FF0000"/>
                <w:lang w:val="en-US" w:eastAsia="zh-CN"/>
              </w:rPr>
            </w:pPr>
            <w:r>
              <w:rPr>
                <w:rFonts w:hint="eastAsia" w:ascii="宋体" w:hAnsi="宋体" w:cs="宋体"/>
                <w:color w:val="auto"/>
                <w:lang w:val="en-US" w:eastAsia="zh-CN"/>
              </w:rPr>
              <w:t>190848</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8"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乡道Y568线共话大桥灾毁修复工程</w:t>
            </w:r>
          </w:p>
        </w:tc>
        <w:tc>
          <w:tcPr>
            <w:tcW w:w="2459" w:type="dxa"/>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rPr>
                <w:rFonts w:hint="default" w:ascii="宋体" w:hAnsi="宋体" w:eastAsia="宋体" w:cs="宋体"/>
                <w:color w:val="FF0000"/>
                <w:lang w:val="en-US" w:eastAsia="zh-CN"/>
              </w:rPr>
            </w:pPr>
            <w:r>
              <w:rPr>
                <w:rFonts w:hint="eastAsia" w:ascii="宋体" w:hAnsi="宋体" w:cs="宋体"/>
                <w:color w:val="auto"/>
                <w:lang w:val="en-US" w:eastAsia="zh-CN"/>
              </w:rPr>
              <w:t>136232</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bl>
    <w:p>
      <w:pPr>
        <w:pStyle w:val="9"/>
        <w:ind w:firstLine="480" w:firstLineChars="200"/>
        <w:rPr>
          <w:rFonts w:ascii="宋体" w:hAnsi="宋体" w:cs="宋体"/>
          <w:color w:val="auto"/>
          <w:kern w:val="2"/>
          <w:lang w:val="en-US"/>
        </w:rPr>
      </w:pPr>
      <w:r>
        <w:rPr>
          <w:rFonts w:hint="eastAsia" w:ascii="宋体" w:hAnsi="宋体" w:cs="宋体"/>
          <w:color w:val="auto"/>
          <w:kern w:val="2"/>
          <w:lang w:val="en-US"/>
        </w:rPr>
        <w:t>102-3 小节所发生的施工安全生产费用，应用于设置、完善、改造和维护安全防护设施设备支出；配备、维护、保养应急救援器材、设备支出和应急演练支出；重大风险源和安全事故隐患评估、监控和整改支出；安全生产检查、评价、咨询和标准化建设支出；配备和更新现场作业人员安全防护用品支出；安全生产宣传、教育、培训支出；安全生产试用的新技术、新标准、新工艺、新装备的推广应用支出；安全设施及特种设备安装及维护支出；其他安全生产费用支出，不得挪作他用。施工安全设施费及与此有关的一切作业经监理人，对工程安全生产情况审查批准后，以总额计量。安全生产费用实行专款专用、专户核算，任何单位或个人不行挤占或挪用。</w:t>
      </w:r>
    </w:p>
    <w:p>
      <w:pPr>
        <w:pStyle w:val="9"/>
        <w:ind w:firstLine="480" w:firstLineChars="200"/>
        <w:rPr>
          <w:rFonts w:ascii="宋体" w:hAnsi="宋体" w:cs="宋体"/>
          <w:color w:val="auto"/>
          <w:kern w:val="2"/>
          <w:lang w:val="en-US"/>
        </w:rPr>
      </w:pPr>
      <w:r>
        <w:rPr>
          <w:rFonts w:hint="eastAsia" w:ascii="宋体" w:hAnsi="宋体" w:cs="宋体"/>
          <w:color w:val="auto"/>
          <w:kern w:val="2"/>
          <w:lang w:val="en-US"/>
        </w:rPr>
        <w:t>2.8保险费按如下规定办理：</w:t>
      </w:r>
    </w:p>
    <w:p>
      <w:pPr>
        <w:pStyle w:val="9"/>
        <w:ind w:firstLine="480" w:firstLineChars="200"/>
        <w:rPr>
          <w:rFonts w:ascii="宋体" w:hAnsi="宋体" w:cs="宋体"/>
          <w:color w:val="auto"/>
          <w:kern w:val="2"/>
          <w:lang w:val="en-US"/>
        </w:rPr>
      </w:pPr>
      <w:r>
        <w:rPr>
          <w:rFonts w:hint="eastAsia" w:ascii="宋体" w:hAnsi="宋体" w:cs="宋体"/>
          <w:color w:val="auto"/>
          <w:kern w:val="2"/>
          <w:lang w:val="en-US"/>
        </w:rPr>
        <w:t>（1）保险费为以建筑安装工程费(不含设备费)为基数，按</w:t>
      </w:r>
      <w:r>
        <w:rPr>
          <w:rFonts w:hint="eastAsia" w:ascii="宋体" w:hAnsi="宋体" w:cs="宋体"/>
          <w:color w:val="auto"/>
          <w:kern w:val="2"/>
          <w:lang w:val="en-US" w:eastAsia="zh-CN"/>
        </w:rPr>
        <w:t>0.4</w:t>
      </w:r>
      <w:r>
        <w:rPr>
          <w:rFonts w:hint="eastAsia" w:ascii="宋体" w:hAnsi="宋体" w:cs="宋体"/>
          <w:color w:val="auto"/>
          <w:kern w:val="2"/>
          <w:lang w:val="en-US"/>
        </w:rPr>
        <w:t>%费率计算。工程量清单第 100 章内列有保险费的支付子目。该保险费一般指建筑工程一切险及第三者责任险，除此以外，所投其他保险的保险费均由承包人承担并支付，不在报价中单列。中标后业主将按承包人实际支付的保险费(该保险费不得高于清单中填报的费用)的保单支付给承包人。</w:t>
      </w:r>
    </w:p>
    <w:p>
      <w:pPr>
        <w:pStyle w:val="9"/>
        <w:ind w:firstLine="482" w:firstLineChars="200"/>
        <w:rPr>
          <w:rFonts w:hint="eastAsia" w:ascii="宋体" w:hAnsi="宋体" w:cs="宋体"/>
          <w:b/>
          <w:color w:val="auto"/>
          <w:kern w:val="2"/>
          <w:lang w:val="en-US"/>
        </w:rPr>
      </w:pPr>
      <w:r>
        <w:rPr>
          <w:rFonts w:hint="eastAsia" w:ascii="宋体" w:hAnsi="宋体" w:cs="宋体"/>
          <w:b/>
          <w:color w:val="auto"/>
          <w:kern w:val="2"/>
          <w:lang w:val="en-US"/>
        </w:rPr>
        <w:t>本项目工程保险费投标报价为</w:t>
      </w:r>
      <w:r>
        <w:rPr>
          <w:rFonts w:hint="eastAsia" w:ascii="宋体" w:hAnsi="宋体" w:cs="宋体"/>
          <w:b/>
          <w:color w:val="FF0000"/>
          <w:kern w:val="2"/>
          <w:lang w:val="en-US" w:eastAsia="zh-CN"/>
        </w:rPr>
        <w:t>461146</w:t>
      </w:r>
      <w:r>
        <w:rPr>
          <w:rFonts w:hint="eastAsia" w:ascii="宋体" w:hAnsi="宋体" w:cs="宋体"/>
          <w:b/>
          <w:color w:val="auto"/>
          <w:kern w:val="2"/>
          <w:lang w:val="en-US"/>
        </w:rPr>
        <w:t>元，包含于投标总报价，上述工程保险费投标报价以固定金额的形式计入工程量清单支付子目101-1中，不得修改，否则按投标无效处理。</w:t>
      </w:r>
    </w:p>
    <w:tbl>
      <w:tblPr>
        <w:tblStyle w:val="7"/>
        <w:tblW w:w="9144" w:type="dxa"/>
        <w:tblInd w:w="0" w:type="dxa"/>
        <w:tblLayout w:type="fixed"/>
        <w:tblCellMar>
          <w:top w:w="0" w:type="dxa"/>
          <w:left w:w="108" w:type="dxa"/>
          <w:bottom w:w="0" w:type="dxa"/>
          <w:right w:w="108" w:type="dxa"/>
        </w:tblCellMar>
      </w:tblPr>
      <w:tblGrid>
        <w:gridCol w:w="4826"/>
        <w:gridCol w:w="2459"/>
        <w:gridCol w:w="1859"/>
      </w:tblGrid>
      <w:tr>
        <w:tblPrEx>
          <w:tblLayout w:type="fixed"/>
          <w:tblCellMar>
            <w:top w:w="0" w:type="dxa"/>
            <w:left w:w="108" w:type="dxa"/>
            <w:bottom w:w="0" w:type="dxa"/>
            <w:right w:w="108" w:type="dxa"/>
          </w:tblCellMar>
        </w:tblPrEx>
        <w:trPr>
          <w:trHeight w:val="340" w:hRule="atLeast"/>
        </w:trPr>
        <w:tc>
          <w:tcPr>
            <w:tcW w:w="4826" w:type="dxa"/>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cs="宋体"/>
                <w:sz w:val="21"/>
                <w:szCs w:val="21"/>
                <w:lang w:val="en-US"/>
              </w:rPr>
            </w:pPr>
            <w:r>
              <w:rPr>
                <w:rFonts w:hint="eastAsia" w:ascii="宋体" w:hAnsi="宋体" w:cs="宋体"/>
                <w:sz w:val="21"/>
                <w:szCs w:val="21"/>
                <w:lang w:val="en-US"/>
              </w:rPr>
              <w:t>路线名称</w:t>
            </w:r>
          </w:p>
        </w:tc>
        <w:tc>
          <w:tcPr>
            <w:tcW w:w="2459"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sz w:val="21"/>
                <w:szCs w:val="21"/>
                <w:lang w:val="en-US"/>
              </w:rPr>
            </w:pPr>
            <w:r>
              <w:rPr>
                <w:rFonts w:hint="eastAsia" w:ascii="宋体" w:hAnsi="宋体" w:cs="宋体"/>
                <w:sz w:val="21"/>
                <w:szCs w:val="21"/>
                <w:lang w:val="en-US"/>
              </w:rPr>
              <w:t>保险费（元）</w:t>
            </w:r>
          </w:p>
        </w:tc>
        <w:tc>
          <w:tcPr>
            <w:tcW w:w="1859" w:type="dxa"/>
            <w:tcBorders>
              <w:top w:val="single" w:color="000000" w:sz="8" w:space="0"/>
              <w:left w:val="single" w:color="000000" w:sz="4" w:space="0"/>
              <w:bottom w:val="single" w:color="000000" w:sz="4" w:space="0"/>
              <w:right w:val="single" w:color="000000" w:sz="8" w:space="0"/>
            </w:tcBorders>
            <w:shd w:val="clear" w:color="auto" w:fill="auto"/>
            <w:noWrap/>
            <w:vAlign w:val="center"/>
          </w:tcPr>
          <w:p>
            <w:pPr>
              <w:widowControl/>
              <w:jc w:val="center"/>
              <w:rPr>
                <w:rFonts w:ascii="宋体" w:hAnsi="宋体" w:cs="宋体"/>
                <w:sz w:val="22"/>
                <w:szCs w:val="22"/>
                <w:lang w:val="en-US"/>
              </w:rPr>
            </w:pPr>
            <w:r>
              <w:rPr>
                <w:rFonts w:hint="eastAsia" w:ascii="宋体" w:hAnsi="宋体" w:cs="宋体"/>
                <w:sz w:val="22"/>
                <w:szCs w:val="22"/>
                <w:lang w:val="en-US"/>
              </w:rPr>
              <w:t>合计（元）</w:t>
            </w: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县道X620线灾毁修复工程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59315</w:t>
            </w:r>
          </w:p>
        </w:tc>
        <w:tc>
          <w:tcPr>
            <w:tcW w:w="1859" w:type="dxa"/>
            <w:vMerge w:val="restart"/>
            <w:tcBorders>
              <w:top w:val="single" w:color="000000" w:sz="4" w:space="0"/>
              <w:left w:val="single" w:color="000000" w:sz="4" w:space="0"/>
              <w:bottom w:val="single" w:color="000000" w:sz="8" w:space="0"/>
              <w:right w:val="single" w:color="000000" w:sz="8" w:space="0"/>
            </w:tcBorders>
            <w:shd w:val="clear" w:color="auto" w:fill="auto"/>
            <w:noWrap/>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461146</w:t>
            </w: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县道X652线灾毁修复工程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71966</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县道X871线灾毁修复工程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rPr>
              <w:t>77</w:t>
            </w:r>
            <w:r>
              <w:rPr>
                <w:rFonts w:hint="eastAsia" w:ascii="宋体" w:hAnsi="宋体" w:cs="宋体"/>
                <w:lang w:val="en-US" w:eastAsia="zh-CN"/>
              </w:rPr>
              <w:t>20</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平田至大坡、水口至丽岗公路灾毁修复工程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rPr>
              <w:t>41</w:t>
            </w:r>
            <w:r>
              <w:rPr>
                <w:rFonts w:hint="eastAsia" w:ascii="宋体" w:hAnsi="宋体" w:cs="宋体"/>
                <w:lang w:val="en-US" w:eastAsia="zh-CN"/>
              </w:rPr>
              <w:t>204</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66" w:hRule="atLeast"/>
        </w:trPr>
        <w:tc>
          <w:tcPr>
            <w:tcW w:w="4826"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乡村公路灾毁修复工程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rPr>
              <w:t>929</w:t>
            </w:r>
            <w:r>
              <w:rPr>
                <w:rFonts w:hint="eastAsia" w:ascii="宋体" w:hAnsi="宋体" w:cs="宋体"/>
                <w:lang w:val="en-US" w:eastAsia="zh-CN"/>
              </w:rPr>
              <w:t>42</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nil"/>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危旧桥涵灾毁修复工程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rPr>
              <w:t>99</w:t>
            </w:r>
            <w:r>
              <w:rPr>
                <w:rFonts w:hint="eastAsia" w:ascii="宋体" w:hAnsi="宋体" w:cs="宋体"/>
                <w:lang w:val="en-US" w:eastAsia="zh-CN"/>
              </w:rPr>
              <w:t>729</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nil"/>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东门桥灾毁修复工程</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rPr>
              <w:t>515</w:t>
            </w:r>
            <w:r>
              <w:rPr>
                <w:rFonts w:hint="eastAsia" w:ascii="宋体" w:hAnsi="宋体" w:cs="宋体"/>
                <w:lang w:val="en-US" w:eastAsia="zh-CN"/>
              </w:rPr>
              <w:t>27</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6" w:type="dxa"/>
            <w:tcBorders>
              <w:top w:val="single" w:color="000000" w:sz="4" w:space="0"/>
              <w:left w:val="single" w:color="000000" w:sz="8" w:space="0"/>
              <w:bottom w:val="single" w:color="000000" w:sz="8"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乡道Y568线共话大桥灾毁修复工程</w:t>
            </w:r>
          </w:p>
        </w:tc>
        <w:tc>
          <w:tcPr>
            <w:tcW w:w="2459" w:type="dxa"/>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rPr>
              <w:t>367</w:t>
            </w:r>
            <w:r>
              <w:rPr>
                <w:rFonts w:hint="eastAsia" w:ascii="宋体" w:hAnsi="宋体" w:cs="宋体"/>
                <w:lang w:val="en-US" w:eastAsia="zh-CN"/>
              </w:rPr>
              <w:t>43</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bl>
    <w:p>
      <w:pPr>
        <w:pStyle w:val="9"/>
        <w:ind w:firstLine="480" w:firstLineChars="200"/>
        <w:rPr>
          <w:rFonts w:ascii="宋体" w:hAnsi="宋体" w:cs="宋体"/>
          <w:color w:val="auto"/>
          <w:kern w:val="2"/>
          <w:lang w:val="en-US"/>
        </w:rPr>
      </w:pPr>
      <w:r>
        <w:rPr>
          <w:rFonts w:hint="eastAsia" w:ascii="宋体" w:hAnsi="宋体" w:cs="宋体"/>
          <w:color w:val="auto"/>
          <w:kern w:val="2"/>
          <w:lang w:val="en-US"/>
        </w:rPr>
        <w:t>（2）承包人应交纳的所有税金（包括但不限于增值税、城市建设维护税和教育附加税）和他雇用的所有人员的安全事故保险费、施工设备保险费，由承包人摊入各相关工程细目的单价和费率之中，不单独计量。</w:t>
      </w:r>
    </w:p>
    <w:p>
      <w:pPr>
        <w:pStyle w:val="9"/>
        <w:ind w:firstLine="480" w:firstLineChars="200"/>
        <w:rPr>
          <w:rFonts w:ascii="宋体" w:hAnsi="宋体" w:cs="Times New Roman"/>
          <w:color w:val="auto"/>
          <w:kern w:val="2"/>
          <w:lang w:val="en-US"/>
        </w:rPr>
      </w:pPr>
      <w:r>
        <w:rPr>
          <w:rFonts w:hint="eastAsia" w:ascii="宋体" w:hAnsi="宋体" w:cs="宋体"/>
          <w:color w:val="auto"/>
          <w:kern w:val="2"/>
          <w:lang w:val="en-US"/>
        </w:rPr>
        <w:t>2.9暂列金额的数量及拟用子目的说明：</w:t>
      </w:r>
    </w:p>
    <w:p>
      <w:pPr>
        <w:spacing w:line="360" w:lineRule="auto"/>
        <w:ind w:firstLine="480" w:firstLineChars="200"/>
        <w:jc w:val="both"/>
        <w:rPr>
          <w:rFonts w:ascii="宋体" w:hAnsi="宋体" w:cs="宋体"/>
          <w:color w:val="auto"/>
          <w:kern w:val="2"/>
          <w:lang w:val="en-US"/>
        </w:rPr>
      </w:pPr>
      <w:r>
        <w:rPr>
          <w:rFonts w:hint="eastAsia" w:ascii="宋体" w:hAnsi="宋体" w:cs="宋体"/>
          <w:color w:val="auto"/>
          <w:kern w:val="2"/>
          <w:lang w:val="en-US"/>
        </w:rPr>
        <w:t>暂列金额是在工程量清单中标明的暂定金额是可能发生、也可能不发生的、招标时难以确定的金额，按合同条款规定办理。暂定金额是表明投标人一旦中标后，对此有合同义务。</w:t>
      </w:r>
    </w:p>
    <w:p>
      <w:pPr>
        <w:spacing w:line="360" w:lineRule="auto"/>
        <w:ind w:firstLine="482" w:firstLineChars="200"/>
        <w:jc w:val="both"/>
        <w:rPr>
          <w:rFonts w:hint="eastAsia" w:ascii="宋体" w:hAnsi="宋体" w:cs="宋体"/>
          <w:b/>
          <w:color w:val="auto"/>
          <w:kern w:val="2"/>
          <w:lang w:val="en-US"/>
        </w:rPr>
      </w:pPr>
      <w:r>
        <w:rPr>
          <w:rFonts w:hint="eastAsia" w:ascii="宋体" w:hAnsi="宋体" w:cs="宋体"/>
          <w:b/>
          <w:color w:val="auto"/>
          <w:kern w:val="2"/>
          <w:lang w:val="en-US"/>
        </w:rPr>
        <w:t>本项目暂列金额（不含计日工总额）投标报价为</w:t>
      </w:r>
      <w:r>
        <w:rPr>
          <w:rFonts w:hint="eastAsia" w:ascii="宋体" w:hAnsi="宋体" w:cs="宋体"/>
          <w:b/>
          <w:color w:val="FF0000"/>
          <w:kern w:val="2"/>
          <w:lang w:val="en-US" w:eastAsia="zh-CN"/>
        </w:rPr>
        <w:t>3497808</w:t>
      </w:r>
      <w:r>
        <w:rPr>
          <w:rFonts w:hint="eastAsia" w:ascii="宋体" w:hAnsi="宋体" w:cs="宋体"/>
          <w:b/>
          <w:color w:val="auto"/>
          <w:kern w:val="2"/>
          <w:lang w:val="en-US"/>
        </w:rPr>
        <w:t>元，包含于投标总报价，上述暂列金额投标报价为固定金额，投标人须按下述金额分别填报，不得修改，否则按投标无效处理。</w:t>
      </w:r>
    </w:p>
    <w:tbl>
      <w:tblPr>
        <w:tblStyle w:val="7"/>
        <w:tblW w:w="9144" w:type="dxa"/>
        <w:tblInd w:w="0" w:type="dxa"/>
        <w:tblLayout w:type="fixed"/>
        <w:tblCellMar>
          <w:top w:w="0" w:type="dxa"/>
          <w:left w:w="108" w:type="dxa"/>
          <w:bottom w:w="0" w:type="dxa"/>
          <w:right w:w="108" w:type="dxa"/>
        </w:tblCellMar>
      </w:tblPr>
      <w:tblGrid>
        <w:gridCol w:w="4827"/>
        <w:gridCol w:w="2458"/>
        <w:gridCol w:w="1859"/>
      </w:tblGrid>
      <w:tr>
        <w:tblPrEx>
          <w:tblLayout w:type="fixed"/>
          <w:tblCellMar>
            <w:top w:w="0" w:type="dxa"/>
            <w:left w:w="108" w:type="dxa"/>
            <w:bottom w:w="0" w:type="dxa"/>
            <w:right w:w="108" w:type="dxa"/>
          </w:tblCellMar>
        </w:tblPrEx>
        <w:trPr>
          <w:trHeight w:val="340" w:hRule="atLeast"/>
        </w:trPr>
        <w:tc>
          <w:tcPr>
            <w:tcW w:w="4827" w:type="dxa"/>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cs="宋体"/>
                <w:sz w:val="21"/>
                <w:szCs w:val="21"/>
                <w:lang w:val="en-US"/>
              </w:rPr>
            </w:pPr>
            <w:r>
              <w:rPr>
                <w:rFonts w:hint="eastAsia" w:ascii="宋体" w:hAnsi="宋体" w:cs="宋体"/>
                <w:sz w:val="21"/>
                <w:szCs w:val="21"/>
                <w:lang w:val="en-US"/>
              </w:rPr>
              <w:t>路线名称</w:t>
            </w:r>
          </w:p>
        </w:tc>
        <w:tc>
          <w:tcPr>
            <w:tcW w:w="2458"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sz w:val="21"/>
                <w:szCs w:val="21"/>
                <w:lang w:val="en-US"/>
              </w:rPr>
            </w:pPr>
            <w:r>
              <w:rPr>
                <w:rFonts w:hint="eastAsia" w:ascii="宋体" w:hAnsi="宋体" w:cs="宋体"/>
                <w:sz w:val="21"/>
                <w:szCs w:val="21"/>
                <w:lang w:val="en-US"/>
              </w:rPr>
              <w:t>暂列金额（元）</w:t>
            </w:r>
          </w:p>
        </w:tc>
        <w:tc>
          <w:tcPr>
            <w:tcW w:w="1859" w:type="dxa"/>
            <w:tcBorders>
              <w:top w:val="single" w:color="000000" w:sz="8" w:space="0"/>
              <w:left w:val="single" w:color="000000" w:sz="4" w:space="0"/>
              <w:bottom w:val="single" w:color="000000" w:sz="4" w:space="0"/>
              <w:right w:val="single" w:color="000000" w:sz="8" w:space="0"/>
            </w:tcBorders>
            <w:shd w:val="clear" w:color="auto" w:fill="auto"/>
            <w:noWrap/>
            <w:vAlign w:val="center"/>
          </w:tcPr>
          <w:p>
            <w:pPr>
              <w:widowControl/>
              <w:jc w:val="center"/>
              <w:rPr>
                <w:rFonts w:ascii="宋体" w:hAnsi="宋体" w:cs="宋体"/>
                <w:sz w:val="22"/>
                <w:szCs w:val="22"/>
                <w:lang w:val="en-US"/>
              </w:rPr>
            </w:pPr>
            <w:r>
              <w:rPr>
                <w:rFonts w:hint="eastAsia" w:ascii="宋体" w:hAnsi="宋体" w:cs="宋体"/>
                <w:sz w:val="22"/>
                <w:szCs w:val="22"/>
                <w:lang w:val="en-US"/>
              </w:rPr>
              <w:t>合计（元）</w:t>
            </w:r>
          </w:p>
        </w:tc>
      </w:tr>
      <w:tr>
        <w:tblPrEx>
          <w:tblLayout w:type="fixed"/>
          <w:tblCellMar>
            <w:top w:w="0" w:type="dxa"/>
            <w:left w:w="108" w:type="dxa"/>
            <w:bottom w:w="0" w:type="dxa"/>
            <w:right w:w="108" w:type="dxa"/>
          </w:tblCellMar>
        </w:tblPrEx>
        <w:trPr>
          <w:trHeight w:val="340" w:hRule="atLeast"/>
        </w:trPr>
        <w:tc>
          <w:tcPr>
            <w:tcW w:w="482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县道X620线灾毁修复工程</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448891</w:t>
            </w:r>
          </w:p>
        </w:tc>
        <w:tc>
          <w:tcPr>
            <w:tcW w:w="1859" w:type="dxa"/>
            <w:vMerge w:val="restart"/>
            <w:tcBorders>
              <w:top w:val="single" w:color="000000" w:sz="4" w:space="0"/>
              <w:left w:val="single" w:color="000000" w:sz="4" w:space="0"/>
              <w:bottom w:val="single" w:color="000000" w:sz="8" w:space="0"/>
              <w:right w:val="single" w:color="000000" w:sz="8" w:space="0"/>
            </w:tcBorders>
            <w:shd w:val="clear" w:color="auto" w:fill="auto"/>
            <w:noWrap/>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3497808</w:t>
            </w:r>
          </w:p>
        </w:tc>
      </w:tr>
      <w:tr>
        <w:tblPrEx>
          <w:tblLayout w:type="fixed"/>
          <w:tblCellMar>
            <w:top w:w="0" w:type="dxa"/>
            <w:left w:w="108" w:type="dxa"/>
            <w:bottom w:w="0" w:type="dxa"/>
            <w:right w:w="108" w:type="dxa"/>
          </w:tblCellMar>
        </w:tblPrEx>
        <w:trPr>
          <w:trHeight w:val="340" w:hRule="atLeast"/>
        </w:trPr>
        <w:tc>
          <w:tcPr>
            <w:tcW w:w="482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县道X652线灾毁修复工程</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546406</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县道X871线灾毁修复工程</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58128</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平田至大坡、水口至丽岗公路灾毁修复工程</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312514</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乡村公路灾毁修复工程</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699853</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7" w:type="dxa"/>
            <w:tcBorders>
              <w:top w:val="single" w:color="000000" w:sz="4" w:space="0"/>
              <w:left w:val="single" w:color="000000" w:sz="8" w:space="0"/>
              <w:bottom w:val="nil"/>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危旧桥涵灾毁修复工程</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750958</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7" w:type="dxa"/>
            <w:tcBorders>
              <w:top w:val="single" w:color="000000" w:sz="4" w:space="0"/>
              <w:left w:val="single" w:color="000000" w:sz="8" w:space="0"/>
              <w:bottom w:val="nil"/>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东门桥灾毁修复工程</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393461</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r>
        <w:tblPrEx>
          <w:tblLayout w:type="fixed"/>
          <w:tblCellMar>
            <w:top w:w="0" w:type="dxa"/>
            <w:left w:w="108" w:type="dxa"/>
            <w:bottom w:w="0" w:type="dxa"/>
            <w:right w:w="108" w:type="dxa"/>
          </w:tblCellMar>
        </w:tblPrEx>
        <w:trPr>
          <w:trHeight w:val="340" w:hRule="atLeast"/>
        </w:trPr>
        <w:tc>
          <w:tcPr>
            <w:tcW w:w="4827" w:type="dxa"/>
            <w:tcBorders>
              <w:top w:val="single" w:color="000000" w:sz="4" w:space="0"/>
              <w:left w:val="single" w:color="000000" w:sz="8" w:space="0"/>
              <w:bottom w:val="single" w:color="000000" w:sz="8" w:space="0"/>
              <w:right w:val="single" w:color="000000" w:sz="4" w:space="0"/>
            </w:tcBorders>
            <w:shd w:val="clear" w:color="auto" w:fill="auto"/>
            <w:vAlign w:val="center"/>
          </w:tcPr>
          <w:p>
            <w:pPr>
              <w:widowControl/>
              <w:jc w:val="both"/>
              <w:rPr>
                <w:rFonts w:ascii="宋体" w:hAnsi="宋体" w:cs="宋体"/>
                <w:lang w:val="en-US"/>
              </w:rPr>
            </w:pPr>
            <w:r>
              <w:rPr>
                <w:rFonts w:hint="eastAsia" w:ascii="宋体" w:hAnsi="宋体" w:cs="宋体"/>
                <w:lang w:val="en-US"/>
              </w:rPr>
              <w:t>乡道Y568线共话大桥灾毁修复工程</w:t>
            </w:r>
          </w:p>
        </w:tc>
        <w:tc>
          <w:tcPr>
            <w:tcW w:w="2458" w:type="dxa"/>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287597</w:t>
            </w:r>
          </w:p>
        </w:tc>
        <w:tc>
          <w:tcPr>
            <w:tcW w:w="1859" w:type="dxa"/>
            <w:vMerge w:val="continue"/>
            <w:tcBorders>
              <w:top w:val="single" w:color="000000" w:sz="4" w:space="0"/>
              <w:left w:val="single" w:color="000000" w:sz="4" w:space="0"/>
              <w:bottom w:val="single" w:color="000000" w:sz="8" w:space="0"/>
              <w:right w:val="single" w:color="000000" w:sz="8" w:space="0"/>
            </w:tcBorders>
            <w:vAlign w:val="center"/>
          </w:tcPr>
          <w:p>
            <w:pPr>
              <w:widowControl/>
              <w:rPr>
                <w:rFonts w:ascii="宋体" w:hAnsi="宋体" w:cs="宋体"/>
                <w:lang w:val="en-US"/>
              </w:rPr>
            </w:pPr>
          </w:p>
        </w:tc>
      </w:tr>
    </w:tbl>
    <w:p>
      <w:pPr>
        <w:spacing w:line="360" w:lineRule="auto"/>
        <w:ind w:firstLine="480" w:firstLineChars="200"/>
        <w:jc w:val="both"/>
        <w:rPr>
          <w:rFonts w:ascii="宋体" w:hAnsi="宋体" w:cs="宋体"/>
          <w:color w:val="auto"/>
          <w:kern w:val="2"/>
          <w:lang w:val="en-US"/>
        </w:rPr>
      </w:pPr>
      <w:r>
        <w:rPr>
          <w:rFonts w:hint="eastAsia" w:ascii="宋体" w:hAnsi="宋体" w:cs="宋体"/>
          <w:color w:val="auto"/>
          <w:kern w:val="2"/>
          <w:lang w:val="en-US"/>
        </w:rPr>
        <w:t>根据合同条款有关规定，结合工程具体情况，</w:t>
      </w:r>
      <w:r>
        <w:rPr>
          <w:rFonts w:ascii="宋体" w:hAnsi="宋体" w:cs="宋体"/>
          <w:color w:val="auto"/>
          <w:kern w:val="2"/>
          <w:lang w:val="en-US"/>
        </w:rPr>
        <w:t>暂列金额应由监理人报发包人批准后指令全部或部分地使用，或者根本不予动用。符合下列条件的可在暂列金额中计量支付：</w:t>
      </w:r>
    </w:p>
    <w:p>
      <w:pPr>
        <w:spacing w:line="360" w:lineRule="auto"/>
        <w:ind w:firstLine="480" w:firstLineChars="200"/>
        <w:jc w:val="both"/>
        <w:rPr>
          <w:rFonts w:ascii="宋体" w:hAnsi="宋体" w:cs="Times New Roman"/>
          <w:color w:val="auto"/>
          <w:kern w:val="2"/>
          <w:lang w:val="en-US"/>
        </w:rPr>
      </w:pPr>
      <w:r>
        <w:rPr>
          <w:rFonts w:hint="eastAsia" w:ascii="宋体" w:hAnsi="宋体" w:cs="宋体"/>
          <w:color w:val="auto"/>
          <w:kern w:val="2"/>
          <w:lang w:val="en-US"/>
        </w:rPr>
        <w:t>（</w:t>
      </w:r>
      <w:r>
        <w:rPr>
          <w:rFonts w:ascii="宋体" w:hAnsi="宋体" w:cs="宋体"/>
          <w:color w:val="auto"/>
          <w:kern w:val="2"/>
          <w:lang w:val="en-US"/>
        </w:rPr>
        <w:t>1</w:t>
      </w:r>
      <w:r>
        <w:rPr>
          <w:rFonts w:hint="eastAsia" w:ascii="宋体" w:hAnsi="宋体" w:cs="宋体"/>
          <w:color w:val="auto"/>
          <w:kern w:val="2"/>
          <w:lang w:val="en-US"/>
        </w:rPr>
        <w:t>）未包括在合同和图纸中，在施工过程中可能会发生且未包含在承包人风险范围之内的一些杂项费用，包括由发包人临时指定承包人进行施工的合同外小工程或劳务支出等；在施工过程中新增的未包含在承包人风险范围内的零星工程；在施工过程中按照监理人和发包人指令为加快进度、提高质量所增加的措施费用，经发包人同意可以在暂定金额中计量；</w:t>
      </w:r>
    </w:p>
    <w:p>
      <w:pPr>
        <w:spacing w:line="360" w:lineRule="auto"/>
        <w:ind w:firstLine="480" w:firstLineChars="200"/>
        <w:jc w:val="both"/>
        <w:rPr>
          <w:rFonts w:ascii="宋体" w:hAnsi="宋体" w:cs="Times New Roman"/>
          <w:color w:val="auto"/>
          <w:kern w:val="2"/>
          <w:lang w:val="en-US"/>
        </w:rPr>
      </w:pPr>
      <w:r>
        <w:rPr>
          <w:rFonts w:hint="eastAsia" w:ascii="宋体" w:hAnsi="宋体" w:cs="宋体"/>
          <w:color w:val="auto"/>
          <w:kern w:val="2"/>
          <w:lang w:val="en-US"/>
        </w:rPr>
        <w:t>（</w:t>
      </w:r>
      <w:r>
        <w:rPr>
          <w:rFonts w:ascii="宋体" w:hAnsi="宋体" w:cs="宋体"/>
          <w:color w:val="auto"/>
          <w:kern w:val="2"/>
          <w:lang w:val="en-US"/>
        </w:rPr>
        <w:t>2</w:t>
      </w:r>
      <w:r>
        <w:rPr>
          <w:rFonts w:hint="eastAsia" w:ascii="宋体" w:hAnsi="宋体" w:cs="宋体"/>
          <w:color w:val="auto"/>
          <w:kern w:val="2"/>
          <w:lang w:val="en-US"/>
        </w:rPr>
        <w:t>）如发包人或监理人提出对承包人工程质量质疑而附加进行的各种检验（如桩基础静载、梁板荷载、结构物破坏性试验、大应变和桩基础取芯检验等），如检测结果符合要求，检测费用由发包人承担，费用从本项中进行计量支付；如检测结果不符合要求，相应费用由承包人自行承担，不能在暂定金额中计量和支付；</w:t>
      </w:r>
    </w:p>
    <w:p>
      <w:pPr>
        <w:spacing w:line="360" w:lineRule="auto"/>
        <w:ind w:firstLine="480" w:firstLineChars="200"/>
        <w:jc w:val="both"/>
        <w:rPr>
          <w:rFonts w:hint="eastAsia" w:ascii="宋体" w:hAnsi="宋体" w:eastAsia="宋体" w:cs="宋体"/>
          <w:color w:val="auto"/>
          <w:kern w:val="2"/>
          <w:lang w:val="en-US" w:eastAsia="zh-CN"/>
        </w:rPr>
      </w:pPr>
      <w:r>
        <w:rPr>
          <w:rFonts w:hint="eastAsia" w:ascii="宋体" w:hAnsi="宋体" w:cs="宋体"/>
          <w:color w:val="auto"/>
          <w:kern w:val="2"/>
          <w:lang w:val="en-US"/>
        </w:rPr>
        <w:t>（</w:t>
      </w:r>
      <w:r>
        <w:rPr>
          <w:rFonts w:ascii="宋体" w:hAnsi="宋体" w:cs="宋体"/>
          <w:color w:val="auto"/>
          <w:kern w:val="2"/>
          <w:lang w:val="en-US"/>
        </w:rPr>
        <w:t>3</w:t>
      </w:r>
      <w:r>
        <w:rPr>
          <w:rFonts w:hint="eastAsia" w:ascii="宋体" w:hAnsi="宋体" w:cs="宋体"/>
          <w:color w:val="auto"/>
          <w:kern w:val="2"/>
          <w:lang w:val="en-US"/>
        </w:rPr>
        <w:t>）零星补充地质勘探</w:t>
      </w:r>
      <w:r>
        <w:rPr>
          <w:rFonts w:hint="eastAsia" w:ascii="宋体" w:hAnsi="宋体" w:cs="宋体"/>
          <w:color w:val="auto"/>
          <w:kern w:val="2"/>
          <w:lang w:val="en-US" w:eastAsia="zh-CN"/>
        </w:rPr>
        <w:t>；</w:t>
      </w:r>
    </w:p>
    <w:p>
      <w:pPr>
        <w:spacing w:line="360" w:lineRule="auto"/>
        <w:ind w:firstLine="480" w:firstLineChars="200"/>
        <w:jc w:val="both"/>
        <w:rPr>
          <w:rFonts w:ascii="宋体" w:hAnsi="宋体" w:cs="宋体"/>
          <w:color w:val="auto"/>
          <w:kern w:val="2"/>
          <w:lang w:val="en-US"/>
        </w:rPr>
      </w:pPr>
      <w:r>
        <w:rPr>
          <w:rFonts w:hint="eastAsia" w:ascii="宋体" w:hAnsi="宋体" w:cs="宋体"/>
          <w:color w:val="auto"/>
          <w:kern w:val="2"/>
          <w:lang w:val="en-US"/>
        </w:rPr>
        <w:t>（</w:t>
      </w:r>
      <w:r>
        <w:rPr>
          <w:rFonts w:ascii="宋体" w:hAnsi="宋体" w:cs="宋体"/>
          <w:color w:val="auto"/>
          <w:kern w:val="2"/>
          <w:lang w:val="en-US"/>
        </w:rPr>
        <w:t>4</w:t>
      </w:r>
      <w:r>
        <w:rPr>
          <w:rFonts w:hint="eastAsia" w:ascii="宋体" w:hAnsi="宋体" w:cs="宋体"/>
          <w:color w:val="auto"/>
          <w:kern w:val="2"/>
          <w:lang w:val="en-US"/>
        </w:rPr>
        <w:t>）按合同条款规定，经审批确定由发包人承担费用的变更工程所发生的费用以及发包人认为需要或适合在此项费用开支的其它费用。</w:t>
      </w:r>
    </w:p>
    <w:p>
      <w:pPr>
        <w:spacing w:line="360" w:lineRule="auto"/>
        <w:ind w:firstLine="480" w:firstLineChars="200"/>
        <w:jc w:val="both"/>
        <w:rPr>
          <w:rFonts w:ascii="宋体" w:hAnsi="宋体" w:cs="宋体"/>
          <w:color w:val="auto"/>
          <w:kern w:val="2"/>
          <w:lang w:val="en-US"/>
        </w:rPr>
      </w:pPr>
      <w:r>
        <w:rPr>
          <w:rFonts w:hint="eastAsia" w:ascii="宋体" w:hAnsi="宋体" w:cs="宋体"/>
          <w:color w:val="auto"/>
          <w:kern w:val="2"/>
          <w:lang w:val="en-US"/>
        </w:rPr>
        <w:t>2.10暂估价的数量及拟用子目的说明：按发包人给定的金额计列，由发包人根据工程实际批准使用。</w:t>
      </w:r>
    </w:p>
    <w:p>
      <w:pPr>
        <w:spacing w:line="360" w:lineRule="auto"/>
        <w:ind w:firstLine="480" w:firstLineChars="200"/>
        <w:jc w:val="both"/>
        <w:rPr>
          <w:rFonts w:hint="eastAsia" w:ascii="宋体" w:hAnsi="宋体" w:cs="宋体"/>
          <w:color w:val="auto"/>
          <w:kern w:val="2"/>
          <w:lang w:val="en-US"/>
        </w:rPr>
      </w:pPr>
      <w:r>
        <w:rPr>
          <w:rFonts w:hint="eastAsia" w:ascii="宋体" w:hAnsi="宋体" w:cs="宋体"/>
          <w:color w:val="auto"/>
          <w:kern w:val="2"/>
          <w:lang w:val="en-US"/>
        </w:rPr>
        <w:t>本项目暂估价投标报价按下表金额填报：</w:t>
      </w:r>
    </w:p>
    <w:tbl>
      <w:tblPr>
        <w:tblStyle w:val="7"/>
        <w:tblW w:w="895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
      <w:tblGrid>
        <w:gridCol w:w="2114"/>
        <w:gridCol w:w="839"/>
        <w:gridCol w:w="1769"/>
        <w:gridCol w:w="615"/>
        <w:gridCol w:w="810"/>
        <w:gridCol w:w="869"/>
        <w:gridCol w:w="978"/>
        <w:gridCol w:w="96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2114" w:type="dxa"/>
            <w:tcBorders>
              <w:top w:val="single" w:color="000000" w:sz="4" w:space="0"/>
              <w:left w:val="single" w:color="auto" w:sz="4" w:space="0"/>
              <w:bottom w:val="single" w:color="000000" w:sz="4" w:space="0"/>
              <w:right w:val="single" w:color="000000" w:sz="4" w:space="0"/>
            </w:tcBorders>
            <w:vAlign w:val="center"/>
          </w:tcPr>
          <w:p>
            <w:pPr>
              <w:widowControl/>
              <w:autoSpaceDE w:val="0"/>
              <w:autoSpaceDN w:val="0"/>
              <w:jc w:val="center"/>
              <w:textAlignment w:val="center"/>
              <w:rPr>
                <w:rFonts w:ascii="宋体" w:hAnsi="宋体"/>
                <w:lang w:val="en-US"/>
              </w:rPr>
            </w:pPr>
            <w:r>
              <w:rPr>
                <w:rFonts w:hint="eastAsia" w:ascii="宋体" w:hAnsi="宋体"/>
                <w:lang w:val="en-US"/>
              </w:rPr>
              <w:t>路线名称</w:t>
            </w:r>
          </w:p>
        </w:tc>
        <w:tc>
          <w:tcPr>
            <w:tcW w:w="839" w:type="dxa"/>
            <w:tcBorders>
              <w:top w:val="single" w:color="000000" w:sz="4" w:space="0"/>
              <w:left w:val="nil"/>
              <w:bottom w:val="single" w:color="000000" w:sz="4" w:space="0"/>
              <w:right w:val="single" w:color="000000" w:sz="4" w:space="0"/>
            </w:tcBorders>
            <w:vAlign w:val="center"/>
          </w:tcPr>
          <w:p>
            <w:pPr>
              <w:widowControl/>
              <w:autoSpaceDE w:val="0"/>
              <w:autoSpaceDN w:val="0"/>
              <w:jc w:val="center"/>
              <w:textAlignment w:val="center"/>
              <w:rPr>
                <w:rFonts w:hint="eastAsia" w:ascii="宋体" w:hAnsi="宋体"/>
                <w:lang w:val="en-US"/>
              </w:rPr>
            </w:pPr>
            <w:r>
              <w:rPr>
                <w:rFonts w:hint="eastAsia" w:ascii="宋体" w:hAnsi="宋体"/>
                <w:lang w:val="en-US"/>
              </w:rPr>
              <w:t>子目号</w:t>
            </w:r>
          </w:p>
        </w:tc>
        <w:tc>
          <w:tcPr>
            <w:tcW w:w="1769" w:type="dxa"/>
            <w:tcBorders>
              <w:top w:val="single" w:color="000000" w:sz="4" w:space="0"/>
              <w:left w:val="nil"/>
              <w:bottom w:val="single" w:color="000000" w:sz="4" w:space="0"/>
              <w:right w:val="single" w:color="000000" w:sz="4" w:space="0"/>
            </w:tcBorders>
            <w:vAlign w:val="center"/>
          </w:tcPr>
          <w:p>
            <w:pPr>
              <w:widowControl/>
              <w:autoSpaceDE w:val="0"/>
              <w:autoSpaceDN w:val="0"/>
              <w:jc w:val="center"/>
              <w:textAlignment w:val="center"/>
              <w:rPr>
                <w:rFonts w:ascii="宋体" w:hAnsi="宋体"/>
                <w:lang w:val="en-US"/>
              </w:rPr>
            </w:pPr>
            <w:r>
              <w:rPr>
                <w:rFonts w:hint="eastAsia" w:ascii="宋体" w:hAnsi="宋体"/>
                <w:lang w:val="en-US"/>
              </w:rPr>
              <w:t>子目名称</w:t>
            </w:r>
          </w:p>
        </w:tc>
        <w:tc>
          <w:tcPr>
            <w:tcW w:w="615" w:type="dxa"/>
            <w:tcBorders>
              <w:top w:val="single" w:color="000000" w:sz="4" w:space="0"/>
              <w:left w:val="nil"/>
              <w:bottom w:val="single" w:color="000000" w:sz="4" w:space="0"/>
              <w:right w:val="single" w:color="000000" w:sz="4" w:space="0"/>
            </w:tcBorders>
            <w:vAlign w:val="center"/>
          </w:tcPr>
          <w:p>
            <w:pPr>
              <w:widowControl/>
              <w:autoSpaceDE w:val="0"/>
              <w:autoSpaceDN w:val="0"/>
              <w:jc w:val="center"/>
              <w:textAlignment w:val="center"/>
              <w:rPr>
                <w:rFonts w:ascii="宋体" w:hAnsi="宋体"/>
                <w:lang w:val="en-US"/>
              </w:rPr>
            </w:pPr>
            <w:r>
              <w:rPr>
                <w:rFonts w:hint="eastAsia" w:ascii="宋体" w:hAnsi="宋体"/>
                <w:lang w:val="en-US"/>
              </w:rPr>
              <w:t>单位</w:t>
            </w:r>
          </w:p>
        </w:tc>
        <w:tc>
          <w:tcPr>
            <w:tcW w:w="810" w:type="dxa"/>
            <w:tcBorders>
              <w:top w:val="single" w:color="000000" w:sz="4" w:space="0"/>
              <w:left w:val="nil"/>
              <w:bottom w:val="single" w:color="000000" w:sz="4" w:space="0"/>
              <w:right w:val="single" w:color="000000" w:sz="4" w:space="0"/>
            </w:tcBorders>
            <w:vAlign w:val="center"/>
          </w:tcPr>
          <w:p>
            <w:pPr>
              <w:widowControl/>
              <w:autoSpaceDE w:val="0"/>
              <w:autoSpaceDN w:val="0"/>
              <w:jc w:val="center"/>
              <w:textAlignment w:val="center"/>
              <w:rPr>
                <w:rFonts w:ascii="宋体" w:hAnsi="宋体"/>
                <w:lang w:val="en-US"/>
              </w:rPr>
            </w:pPr>
            <w:r>
              <w:rPr>
                <w:rFonts w:hint="eastAsia" w:ascii="宋体" w:hAnsi="宋体"/>
                <w:lang w:val="en-US"/>
              </w:rPr>
              <w:t>数量</w:t>
            </w:r>
          </w:p>
        </w:tc>
        <w:tc>
          <w:tcPr>
            <w:tcW w:w="869" w:type="dxa"/>
            <w:tcBorders>
              <w:top w:val="single" w:color="000000" w:sz="4" w:space="0"/>
              <w:left w:val="nil"/>
              <w:bottom w:val="single" w:color="000000" w:sz="4" w:space="0"/>
              <w:right w:val="single" w:color="000000" w:sz="4" w:space="0"/>
            </w:tcBorders>
            <w:vAlign w:val="center"/>
          </w:tcPr>
          <w:p>
            <w:pPr>
              <w:widowControl/>
              <w:autoSpaceDE w:val="0"/>
              <w:autoSpaceDN w:val="0"/>
              <w:jc w:val="center"/>
              <w:textAlignment w:val="center"/>
              <w:rPr>
                <w:rFonts w:ascii="宋体" w:hAnsi="宋体"/>
                <w:lang w:val="en-US"/>
              </w:rPr>
            </w:pPr>
            <w:r>
              <w:rPr>
                <w:rFonts w:hint="eastAsia" w:ascii="宋体" w:hAnsi="宋体"/>
                <w:lang w:val="en-US"/>
              </w:rPr>
              <w:t>单价(元)</w:t>
            </w:r>
          </w:p>
        </w:tc>
        <w:tc>
          <w:tcPr>
            <w:tcW w:w="978" w:type="dxa"/>
            <w:tcBorders>
              <w:top w:val="single" w:color="000000" w:sz="4" w:space="0"/>
              <w:left w:val="nil"/>
              <w:bottom w:val="single" w:color="000000" w:sz="4" w:space="0"/>
              <w:right w:val="single" w:color="000000" w:sz="4" w:space="0"/>
            </w:tcBorders>
            <w:vAlign w:val="center"/>
          </w:tcPr>
          <w:p>
            <w:pPr>
              <w:widowControl/>
              <w:autoSpaceDE w:val="0"/>
              <w:autoSpaceDN w:val="0"/>
              <w:jc w:val="center"/>
              <w:textAlignment w:val="center"/>
              <w:rPr>
                <w:rFonts w:ascii="宋体" w:hAnsi="宋体"/>
                <w:lang w:val="en-US"/>
              </w:rPr>
            </w:pPr>
            <w:r>
              <w:rPr>
                <w:rFonts w:hint="eastAsia" w:ascii="宋体" w:hAnsi="宋体"/>
                <w:lang w:val="en-US"/>
              </w:rPr>
              <w:t>合价(元)</w:t>
            </w:r>
          </w:p>
        </w:tc>
        <w:tc>
          <w:tcPr>
            <w:tcW w:w="961" w:type="dxa"/>
            <w:tcBorders>
              <w:top w:val="single" w:color="000000" w:sz="4" w:space="0"/>
              <w:left w:val="nil"/>
              <w:bottom w:val="single" w:color="000000" w:sz="4" w:space="0"/>
              <w:right w:val="single" w:color="auto" w:sz="4" w:space="0"/>
            </w:tcBorders>
            <w:vAlign w:val="center"/>
          </w:tcPr>
          <w:p>
            <w:pPr>
              <w:widowControl/>
              <w:autoSpaceDE w:val="0"/>
              <w:autoSpaceDN w:val="0"/>
              <w:jc w:val="center"/>
              <w:textAlignment w:val="center"/>
              <w:rPr>
                <w:rFonts w:ascii="宋体" w:hAnsi="宋体"/>
                <w:lang w:val="en-US"/>
              </w:rPr>
            </w:pPr>
            <w:r>
              <w:rPr>
                <w:rFonts w:hint="eastAsia" w:ascii="宋体" w:hAnsi="宋体"/>
                <w:lang w:val="en-US"/>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2114" w:type="dxa"/>
            <w:tcBorders>
              <w:top w:val="single" w:color="000000" w:sz="4" w:space="0"/>
              <w:left w:val="single" w:color="auto" w:sz="4" w:space="0"/>
              <w:bottom w:val="single" w:color="000000" w:sz="4" w:space="0"/>
              <w:right w:val="single" w:color="000000" w:sz="4" w:space="0"/>
            </w:tcBorders>
          </w:tcPr>
          <w:p>
            <w:pPr>
              <w:jc w:val="left"/>
            </w:pPr>
            <w:r>
              <w:rPr>
                <w:rFonts w:hint="eastAsia" w:ascii="宋体" w:hAnsi="宋体" w:cs="宋体"/>
                <w:lang w:val="en-US"/>
              </w:rPr>
              <w:t>乡道Y568线共话大桥灾毁修复工程</w:t>
            </w:r>
          </w:p>
        </w:tc>
        <w:tc>
          <w:tcPr>
            <w:tcW w:w="839" w:type="dxa"/>
            <w:tcBorders>
              <w:top w:val="single" w:color="000000" w:sz="4" w:space="0"/>
              <w:left w:val="nil"/>
              <w:bottom w:val="single" w:color="000000" w:sz="4" w:space="0"/>
              <w:right w:val="single" w:color="000000" w:sz="4" w:space="0"/>
            </w:tcBorders>
          </w:tcPr>
          <w:p>
            <w:pPr>
              <w:rPr>
                <w:rFonts w:hint="eastAsia"/>
              </w:rPr>
            </w:pPr>
            <w:r>
              <w:rPr>
                <w:rFonts w:hint="eastAsia"/>
              </w:rPr>
              <w:t>102-5-1</w:t>
            </w:r>
          </w:p>
        </w:tc>
        <w:tc>
          <w:tcPr>
            <w:tcW w:w="1769" w:type="dxa"/>
            <w:tcBorders>
              <w:top w:val="single" w:color="000000" w:sz="4" w:space="0"/>
              <w:left w:val="nil"/>
              <w:bottom w:val="single" w:color="000000" w:sz="4" w:space="0"/>
              <w:right w:val="single" w:color="000000" w:sz="4" w:space="0"/>
            </w:tcBorders>
          </w:tcPr>
          <w:p>
            <w:r>
              <w:rPr>
                <w:rFonts w:hint="eastAsia"/>
              </w:rPr>
              <w:t>施工通航维护费</w:t>
            </w:r>
          </w:p>
        </w:tc>
        <w:tc>
          <w:tcPr>
            <w:tcW w:w="615" w:type="dxa"/>
            <w:tcBorders>
              <w:top w:val="single" w:color="000000" w:sz="4" w:space="0"/>
              <w:left w:val="nil"/>
              <w:bottom w:val="single" w:color="000000" w:sz="4" w:space="0"/>
              <w:right w:val="single" w:color="000000" w:sz="4" w:space="0"/>
            </w:tcBorders>
          </w:tcPr>
          <w:p>
            <w:pPr>
              <w:jc w:val="center"/>
            </w:pPr>
            <w:r>
              <w:rPr>
                <w:rFonts w:hint="eastAsia"/>
              </w:rPr>
              <w:t>总额</w:t>
            </w:r>
          </w:p>
        </w:tc>
        <w:tc>
          <w:tcPr>
            <w:tcW w:w="810" w:type="dxa"/>
            <w:tcBorders>
              <w:top w:val="single" w:color="000000" w:sz="4" w:space="0"/>
              <w:left w:val="nil"/>
              <w:bottom w:val="single" w:color="000000" w:sz="4" w:space="0"/>
              <w:right w:val="single" w:color="000000" w:sz="4" w:space="0"/>
            </w:tcBorders>
          </w:tcPr>
          <w:p>
            <w:pPr>
              <w:widowControl/>
              <w:autoSpaceDE w:val="0"/>
              <w:autoSpaceDN w:val="0"/>
              <w:jc w:val="center"/>
              <w:textAlignment w:val="bottom"/>
              <w:rPr>
                <w:rFonts w:hint="eastAsia" w:ascii="宋体" w:hAnsi="宋体"/>
                <w:lang w:val="en-US"/>
              </w:rPr>
            </w:pPr>
            <w:r>
              <w:rPr>
                <w:rFonts w:hint="eastAsia" w:ascii="宋体" w:hAnsi="宋体"/>
                <w:lang w:val="en-US"/>
              </w:rPr>
              <w:t>1.000</w:t>
            </w:r>
          </w:p>
        </w:tc>
        <w:tc>
          <w:tcPr>
            <w:tcW w:w="869" w:type="dxa"/>
            <w:tcBorders>
              <w:top w:val="single" w:color="000000" w:sz="4" w:space="0"/>
              <w:left w:val="nil"/>
              <w:bottom w:val="single" w:color="000000" w:sz="4" w:space="0"/>
              <w:right w:val="single" w:color="000000" w:sz="4" w:space="0"/>
            </w:tcBorders>
          </w:tcPr>
          <w:p>
            <w:pPr>
              <w:widowControl/>
              <w:autoSpaceDE w:val="0"/>
              <w:autoSpaceDN w:val="0"/>
              <w:jc w:val="center"/>
              <w:textAlignment w:val="bottom"/>
              <w:rPr>
                <w:rFonts w:hint="eastAsia" w:ascii="宋体" w:hAnsi="宋体"/>
                <w:lang w:val="en-US"/>
              </w:rPr>
            </w:pPr>
            <w:r>
              <w:rPr>
                <w:rFonts w:hint="eastAsia" w:ascii="宋体" w:hAnsi="宋体"/>
                <w:lang w:val="en-US" w:eastAsia="zh-CN"/>
              </w:rPr>
              <w:t>12</w:t>
            </w:r>
            <w:r>
              <w:rPr>
                <w:rFonts w:hint="eastAsia" w:ascii="宋体" w:hAnsi="宋体"/>
                <w:lang w:val="en-US"/>
              </w:rPr>
              <w:t>0000</w:t>
            </w:r>
          </w:p>
        </w:tc>
        <w:tc>
          <w:tcPr>
            <w:tcW w:w="978" w:type="dxa"/>
            <w:tcBorders>
              <w:top w:val="single" w:color="000000" w:sz="4" w:space="0"/>
              <w:left w:val="nil"/>
              <w:bottom w:val="single" w:color="000000" w:sz="4" w:space="0"/>
              <w:right w:val="single" w:color="000000" w:sz="4" w:space="0"/>
            </w:tcBorders>
          </w:tcPr>
          <w:p>
            <w:pPr>
              <w:widowControl/>
              <w:autoSpaceDE w:val="0"/>
              <w:autoSpaceDN w:val="0"/>
              <w:jc w:val="center"/>
              <w:textAlignment w:val="bottom"/>
              <w:rPr>
                <w:rFonts w:hint="eastAsia" w:ascii="宋体" w:hAnsi="宋体"/>
                <w:lang w:val="en-US"/>
              </w:rPr>
            </w:pPr>
            <w:r>
              <w:rPr>
                <w:rFonts w:hint="eastAsia" w:ascii="宋体" w:hAnsi="宋体"/>
                <w:lang w:val="en-US" w:eastAsia="zh-CN"/>
              </w:rPr>
              <w:t>12</w:t>
            </w:r>
            <w:r>
              <w:rPr>
                <w:rFonts w:hint="eastAsia" w:ascii="宋体" w:hAnsi="宋体"/>
                <w:lang w:val="en-US"/>
              </w:rPr>
              <w:t>0000</w:t>
            </w:r>
          </w:p>
        </w:tc>
        <w:tc>
          <w:tcPr>
            <w:tcW w:w="961" w:type="dxa"/>
            <w:tcBorders>
              <w:top w:val="single" w:color="000000" w:sz="4" w:space="0"/>
              <w:left w:val="nil"/>
              <w:bottom w:val="single" w:color="000000" w:sz="4" w:space="0"/>
              <w:right w:val="single" w:color="auto" w:sz="4" w:space="0"/>
            </w:tcBorders>
          </w:tcPr>
          <w:p>
            <w:pPr>
              <w:jc w:val="center"/>
            </w:pPr>
            <w:r>
              <w:rPr>
                <w:rFonts w:hint="eastAsia"/>
              </w:rPr>
              <w:t>暂估价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2114" w:type="dxa"/>
            <w:tcBorders>
              <w:top w:val="single" w:color="000000" w:sz="4" w:space="0"/>
              <w:left w:val="single" w:color="auto" w:sz="4" w:space="0"/>
              <w:bottom w:val="single" w:color="000000" w:sz="4" w:space="0"/>
              <w:right w:val="single" w:color="000000" w:sz="4" w:space="0"/>
            </w:tcBorders>
            <w:vAlign w:val="center"/>
          </w:tcPr>
          <w:p>
            <w:pPr>
              <w:widowControl/>
              <w:autoSpaceDE w:val="0"/>
              <w:autoSpaceDN w:val="0"/>
              <w:jc w:val="left"/>
              <w:textAlignment w:val="bottom"/>
              <w:rPr>
                <w:rFonts w:ascii="宋体" w:hAnsi="宋体"/>
                <w:lang w:val="en-US"/>
              </w:rPr>
            </w:pPr>
            <w:r>
              <w:rPr>
                <w:rFonts w:hint="eastAsia" w:ascii="宋体" w:hAnsi="宋体" w:cs="宋体"/>
                <w:lang w:val="en-US"/>
              </w:rPr>
              <w:t>东门桥灾毁修复工程</w:t>
            </w:r>
          </w:p>
        </w:tc>
        <w:tc>
          <w:tcPr>
            <w:tcW w:w="839" w:type="dxa"/>
            <w:tcBorders>
              <w:top w:val="single" w:color="000000" w:sz="4" w:space="0"/>
              <w:left w:val="nil"/>
              <w:bottom w:val="single" w:color="000000" w:sz="4" w:space="0"/>
              <w:right w:val="single" w:color="000000" w:sz="4" w:space="0"/>
            </w:tcBorders>
          </w:tcPr>
          <w:p>
            <w:pPr>
              <w:rPr>
                <w:rFonts w:hint="eastAsia"/>
              </w:rPr>
            </w:pPr>
            <w:r>
              <w:rPr>
                <w:rFonts w:hint="eastAsia"/>
                <w:lang w:val="en-US"/>
              </w:rPr>
              <w:t>102-5-2</w:t>
            </w:r>
          </w:p>
        </w:tc>
        <w:tc>
          <w:tcPr>
            <w:tcW w:w="1769" w:type="dxa"/>
            <w:tcBorders>
              <w:top w:val="single" w:color="000000" w:sz="4" w:space="0"/>
              <w:left w:val="nil"/>
              <w:bottom w:val="single" w:color="000000" w:sz="4" w:space="0"/>
              <w:right w:val="single" w:color="000000" w:sz="4" w:space="0"/>
            </w:tcBorders>
          </w:tcPr>
          <w:p>
            <w:r>
              <w:rPr>
                <w:rFonts w:hint="eastAsia"/>
              </w:rPr>
              <w:t>道路交通维护费</w:t>
            </w:r>
          </w:p>
        </w:tc>
        <w:tc>
          <w:tcPr>
            <w:tcW w:w="615" w:type="dxa"/>
            <w:tcBorders>
              <w:top w:val="single" w:color="000000" w:sz="4" w:space="0"/>
              <w:left w:val="nil"/>
              <w:bottom w:val="single" w:color="000000" w:sz="4" w:space="0"/>
              <w:right w:val="single" w:color="000000" w:sz="4" w:space="0"/>
            </w:tcBorders>
            <w:vAlign w:val="center"/>
          </w:tcPr>
          <w:p>
            <w:pPr>
              <w:widowControl/>
              <w:autoSpaceDE w:val="0"/>
              <w:autoSpaceDN w:val="0"/>
              <w:jc w:val="center"/>
              <w:textAlignment w:val="bottom"/>
              <w:rPr>
                <w:rFonts w:ascii="宋体" w:hAnsi="宋体"/>
                <w:lang w:val="en-US"/>
              </w:rPr>
            </w:pPr>
            <w:r>
              <w:rPr>
                <w:rFonts w:hint="eastAsia" w:ascii="宋体" w:hAnsi="宋体"/>
                <w:lang w:val="en-US"/>
              </w:rPr>
              <w:t>总额</w:t>
            </w:r>
          </w:p>
        </w:tc>
        <w:tc>
          <w:tcPr>
            <w:tcW w:w="810" w:type="dxa"/>
            <w:tcBorders>
              <w:top w:val="single" w:color="000000" w:sz="4" w:space="0"/>
              <w:left w:val="nil"/>
              <w:bottom w:val="single" w:color="000000" w:sz="4" w:space="0"/>
              <w:right w:val="single" w:color="000000" w:sz="4" w:space="0"/>
            </w:tcBorders>
            <w:vAlign w:val="center"/>
          </w:tcPr>
          <w:p>
            <w:pPr>
              <w:widowControl/>
              <w:autoSpaceDE w:val="0"/>
              <w:autoSpaceDN w:val="0"/>
              <w:jc w:val="center"/>
              <w:textAlignment w:val="bottom"/>
              <w:rPr>
                <w:rFonts w:hint="eastAsia" w:ascii="宋体" w:hAnsi="宋体"/>
                <w:lang w:val="en-US"/>
              </w:rPr>
            </w:pPr>
            <w:r>
              <w:rPr>
                <w:rFonts w:hint="eastAsia" w:ascii="宋体" w:hAnsi="宋体"/>
                <w:lang w:val="en-US"/>
              </w:rPr>
              <w:t>1.000</w:t>
            </w:r>
          </w:p>
        </w:tc>
        <w:tc>
          <w:tcPr>
            <w:tcW w:w="869" w:type="dxa"/>
            <w:tcBorders>
              <w:top w:val="single" w:color="000000" w:sz="4" w:space="0"/>
              <w:left w:val="nil"/>
              <w:bottom w:val="single" w:color="000000" w:sz="4" w:space="0"/>
              <w:right w:val="single" w:color="000000" w:sz="4" w:space="0"/>
            </w:tcBorders>
            <w:vAlign w:val="center"/>
          </w:tcPr>
          <w:p>
            <w:pPr>
              <w:widowControl/>
              <w:autoSpaceDE w:val="0"/>
              <w:autoSpaceDN w:val="0"/>
              <w:jc w:val="center"/>
              <w:textAlignment w:val="bottom"/>
              <w:rPr>
                <w:rFonts w:hint="eastAsia" w:ascii="宋体" w:hAnsi="宋体"/>
                <w:lang w:val="en-US"/>
              </w:rPr>
            </w:pPr>
            <w:r>
              <w:rPr>
                <w:rFonts w:hint="eastAsia" w:ascii="宋体" w:hAnsi="宋体"/>
                <w:lang w:val="en-US"/>
              </w:rPr>
              <w:t>50000</w:t>
            </w:r>
          </w:p>
        </w:tc>
        <w:tc>
          <w:tcPr>
            <w:tcW w:w="978" w:type="dxa"/>
            <w:tcBorders>
              <w:top w:val="single" w:color="000000" w:sz="4" w:space="0"/>
              <w:left w:val="nil"/>
              <w:bottom w:val="single" w:color="000000" w:sz="4" w:space="0"/>
              <w:right w:val="single" w:color="000000" w:sz="4" w:space="0"/>
            </w:tcBorders>
            <w:vAlign w:val="center"/>
          </w:tcPr>
          <w:p>
            <w:pPr>
              <w:widowControl/>
              <w:autoSpaceDE w:val="0"/>
              <w:autoSpaceDN w:val="0"/>
              <w:jc w:val="center"/>
              <w:textAlignment w:val="bottom"/>
              <w:rPr>
                <w:rFonts w:hint="eastAsia" w:ascii="宋体" w:hAnsi="宋体"/>
                <w:lang w:val="en-US"/>
              </w:rPr>
            </w:pPr>
            <w:r>
              <w:rPr>
                <w:rFonts w:hint="eastAsia" w:ascii="宋体" w:hAnsi="宋体"/>
                <w:lang w:val="en-US"/>
              </w:rPr>
              <w:t>50000</w:t>
            </w:r>
          </w:p>
        </w:tc>
        <w:tc>
          <w:tcPr>
            <w:tcW w:w="961" w:type="dxa"/>
            <w:tcBorders>
              <w:top w:val="single" w:color="000000" w:sz="4" w:space="0"/>
              <w:left w:val="nil"/>
              <w:bottom w:val="single" w:color="000000" w:sz="4" w:space="0"/>
              <w:right w:val="single" w:color="auto" w:sz="4" w:space="0"/>
            </w:tcBorders>
            <w:vAlign w:val="center"/>
          </w:tcPr>
          <w:p>
            <w:pPr>
              <w:widowControl/>
              <w:autoSpaceDE w:val="0"/>
              <w:autoSpaceDN w:val="0"/>
              <w:jc w:val="center"/>
              <w:textAlignment w:val="center"/>
              <w:rPr>
                <w:rFonts w:ascii="宋体" w:hAnsi="宋体"/>
                <w:lang w:val="en-US"/>
              </w:rPr>
            </w:pPr>
            <w:r>
              <w:rPr>
                <w:rFonts w:hint="eastAsia" w:ascii="宋体" w:hAnsi="宋体"/>
                <w:lang w:val="en-US"/>
              </w:rPr>
              <w:t>暂估价</w:t>
            </w:r>
          </w:p>
        </w:tc>
      </w:tr>
    </w:tbl>
    <w:p>
      <w:pPr>
        <w:spacing w:line="360" w:lineRule="auto"/>
        <w:ind w:firstLine="482" w:firstLineChars="200"/>
        <w:jc w:val="both"/>
        <w:rPr>
          <w:rFonts w:ascii="宋体" w:hAnsi="宋体" w:cs="宋体"/>
          <w:b/>
          <w:color w:val="auto"/>
          <w:kern w:val="2"/>
          <w:lang w:val="en-US"/>
        </w:rPr>
      </w:pPr>
      <w:r>
        <w:rPr>
          <w:rFonts w:hint="eastAsia" w:ascii="宋体" w:hAnsi="宋体" w:cs="宋体"/>
          <w:b/>
          <w:color w:val="auto"/>
          <w:kern w:val="2"/>
          <w:lang w:val="en-US"/>
        </w:rPr>
        <w:t>上述暂估价为投标报价固定金额，投标人须按上述金额填报，不得修改，否则按投标无效处理</w:t>
      </w:r>
    </w:p>
    <w:p>
      <w:pPr>
        <w:spacing w:line="360" w:lineRule="auto"/>
        <w:ind w:firstLine="480" w:firstLineChars="200"/>
        <w:jc w:val="both"/>
        <w:rPr>
          <w:rFonts w:ascii="宋体" w:hAnsi="宋体" w:cs="宋体"/>
          <w:color w:val="auto"/>
          <w:kern w:val="2"/>
          <w:lang w:val="en-US"/>
        </w:rPr>
      </w:pPr>
      <w:r>
        <w:rPr>
          <w:rFonts w:hint="eastAsia" w:ascii="宋体" w:hAnsi="宋体" w:cs="宋体"/>
          <w:color w:val="auto"/>
          <w:kern w:val="2"/>
          <w:lang w:val="en-US"/>
        </w:rPr>
        <w:t>2.11投标人应自行考虑取土场和弃土场位置，招标人已经在招标控制价中考虑了取土和弃土的运距，承包人不得变更合同单价。</w:t>
      </w:r>
      <w:bookmarkStart w:id="0" w:name="_GoBack"/>
      <w:bookmarkEnd w:id="0"/>
    </w:p>
    <w:p>
      <w:pPr>
        <w:spacing w:line="360" w:lineRule="auto"/>
        <w:ind w:firstLine="482" w:firstLineChars="200"/>
        <w:jc w:val="both"/>
        <w:rPr>
          <w:rFonts w:ascii="宋体" w:hAnsi="宋体" w:cs="Times New Roman"/>
          <w:b/>
          <w:bCs/>
          <w:color w:val="auto"/>
          <w:kern w:val="2"/>
          <w:lang w:val="en-US"/>
        </w:rPr>
      </w:pPr>
      <w:r>
        <w:rPr>
          <w:rFonts w:ascii="宋体" w:hAnsi="宋体" w:cs="宋体"/>
          <w:b/>
          <w:bCs/>
          <w:color w:val="auto"/>
          <w:kern w:val="2"/>
          <w:lang w:val="en-US"/>
        </w:rPr>
        <w:t xml:space="preserve">3. </w:t>
      </w:r>
      <w:r>
        <w:rPr>
          <w:rFonts w:hint="eastAsia" w:ascii="宋体" w:hAnsi="宋体" w:cs="宋体"/>
          <w:b/>
          <w:bCs/>
          <w:color w:val="auto"/>
          <w:kern w:val="2"/>
          <w:lang w:val="en-US"/>
        </w:rPr>
        <w:t>计日工说明</w:t>
      </w:r>
    </w:p>
    <w:p>
      <w:pPr>
        <w:spacing w:line="360" w:lineRule="auto"/>
        <w:ind w:firstLine="480" w:firstLineChars="200"/>
        <w:jc w:val="both"/>
        <w:rPr>
          <w:rFonts w:ascii="宋体" w:hAnsi="宋体" w:cs="Times New Roman"/>
          <w:color w:val="auto"/>
          <w:kern w:val="2"/>
          <w:lang w:val="en-US"/>
        </w:rPr>
      </w:pPr>
      <w:r>
        <w:rPr>
          <w:rFonts w:hint="eastAsia" w:ascii="宋体" w:hAnsi="宋体" w:cs="宋体"/>
          <w:color w:val="auto"/>
          <w:kern w:val="2"/>
          <w:lang w:val="en-US"/>
        </w:rPr>
        <w:t>本款不适用。</w:t>
      </w:r>
    </w:p>
    <w:p>
      <w:pPr>
        <w:spacing w:line="360" w:lineRule="auto"/>
        <w:ind w:firstLine="482" w:firstLineChars="200"/>
        <w:jc w:val="both"/>
        <w:rPr>
          <w:rFonts w:ascii="宋体" w:hAnsi="宋体" w:cs="Times New Roman"/>
          <w:b/>
          <w:bCs/>
          <w:color w:val="auto"/>
          <w:kern w:val="2"/>
          <w:lang w:val="en-US"/>
        </w:rPr>
      </w:pPr>
      <w:r>
        <w:rPr>
          <w:rFonts w:ascii="宋体" w:hAnsi="宋体" w:cs="宋体"/>
          <w:b/>
          <w:bCs/>
          <w:color w:val="auto"/>
          <w:kern w:val="2"/>
          <w:lang w:val="en-US"/>
        </w:rPr>
        <w:t xml:space="preserve">4. </w:t>
      </w:r>
      <w:r>
        <w:rPr>
          <w:rFonts w:hint="eastAsia" w:ascii="宋体" w:hAnsi="宋体" w:cs="宋体"/>
          <w:b/>
          <w:bCs/>
          <w:color w:val="auto"/>
          <w:kern w:val="2"/>
          <w:lang w:val="en-US"/>
        </w:rPr>
        <w:t>其他说明</w:t>
      </w:r>
    </w:p>
    <w:p>
      <w:pPr>
        <w:spacing w:line="360" w:lineRule="auto"/>
        <w:ind w:firstLine="480" w:firstLineChars="200"/>
        <w:jc w:val="both"/>
        <w:rPr>
          <w:rFonts w:ascii="宋体" w:hAnsi="宋体" w:cs="Times New Roman"/>
          <w:color w:val="auto"/>
          <w:kern w:val="2"/>
          <w:lang w:val="en-US"/>
        </w:rPr>
      </w:pPr>
      <w:r>
        <w:rPr>
          <w:rFonts w:hint="eastAsia" w:ascii="宋体" w:hAnsi="宋体" w:cs="宋体"/>
          <w:color w:val="auto"/>
          <w:kern w:val="2"/>
          <w:lang w:val="en-US"/>
        </w:rPr>
        <w:t>工程量清单中各个细目的报价与计量支付原则，详见招标文件第七章技术规范的工程量清单计量与支付规则。</w:t>
      </w:r>
    </w:p>
    <w:p>
      <w:pPr>
        <w:spacing w:line="360" w:lineRule="auto"/>
        <w:ind w:firstLine="482" w:firstLineChars="200"/>
        <w:jc w:val="both"/>
        <w:rPr>
          <w:rFonts w:ascii="宋体" w:hAnsi="宋体" w:cs="Times New Roman"/>
          <w:b/>
          <w:bCs/>
          <w:color w:val="auto"/>
          <w:kern w:val="2"/>
          <w:lang w:val="en-US"/>
        </w:rPr>
      </w:pPr>
      <w:r>
        <w:rPr>
          <w:rFonts w:ascii="宋体" w:hAnsi="宋体" w:cs="宋体"/>
          <w:b/>
          <w:bCs/>
          <w:color w:val="auto"/>
          <w:kern w:val="2"/>
          <w:lang w:val="en-US"/>
        </w:rPr>
        <w:t xml:space="preserve">5. </w:t>
      </w:r>
      <w:r>
        <w:rPr>
          <w:rFonts w:hint="eastAsia" w:ascii="宋体" w:hAnsi="宋体" w:cs="宋体"/>
          <w:b/>
          <w:bCs/>
          <w:color w:val="auto"/>
          <w:kern w:val="2"/>
          <w:lang w:val="en-US"/>
        </w:rPr>
        <w:t>工程量清单</w:t>
      </w:r>
    </w:p>
    <w:p>
      <w:pPr>
        <w:spacing w:line="360" w:lineRule="auto"/>
        <w:ind w:firstLine="480" w:firstLineChars="200"/>
        <w:jc w:val="both"/>
        <w:rPr>
          <w:rFonts w:ascii="宋体" w:hAnsi="宋体" w:cs="Times New Roman"/>
          <w:color w:val="auto"/>
          <w:kern w:val="2"/>
          <w:lang w:val="en-US"/>
        </w:rPr>
      </w:pPr>
      <w:r>
        <w:rPr>
          <w:rFonts w:ascii="宋体" w:hAnsi="宋体" w:cs="宋体"/>
          <w:color w:val="auto"/>
          <w:kern w:val="2"/>
          <w:lang w:val="en-US"/>
        </w:rPr>
        <w:t xml:space="preserve">5.1 </w:t>
      </w:r>
      <w:r>
        <w:rPr>
          <w:rFonts w:hint="eastAsia" w:ascii="宋体" w:hAnsi="宋体" w:cs="宋体"/>
          <w:color w:val="auto"/>
          <w:kern w:val="2"/>
          <w:lang w:val="en-US"/>
        </w:rPr>
        <w:t>工程量清单表</w:t>
      </w:r>
    </w:p>
    <w:p>
      <w:pPr>
        <w:spacing w:line="360" w:lineRule="auto"/>
        <w:ind w:firstLine="480" w:firstLineChars="200"/>
        <w:jc w:val="both"/>
        <w:rPr>
          <w:rFonts w:ascii="宋体" w:hAnsi="宋体" w:cs="Times New Roman"/>
          <w:color w:val="auto"/>
          <w:kern w:val="2"/>
          <w:lang w:val="en-US"/>
        </w:rPr>
      </w:pPr>
      <w:r>
        <w:rPr>
          <w:rFonts w:hint="eastAsia" w:ascii="宋体" w:hAnsi="宋体" w:cs="宋体"/>
          <w:color w:val="auto"/>
          <w:kern w:val="2"/>
          <w:lang w:val="en-US"/>
        </w:rPr>
        <w:t>工程量清单具体应执行现行的《广东省执行交通运输部</w:t>
      </w:r>
      <w:r>
        <w:rPr>
          <w:rFonts w:ascii="宋体" w:hAnsi="宋体" w:cs="宋体"/>
          <w:color w:val="auto"/>
          <w:kern w:val="2"/>
          <w:lang w:val="en-US"/>
        </w:rPr>
        <w:t>&lt;</w:t>
      </w:r>
      <w:r>
        <w:rPr>
          <w:rFonts w:hint="eastAsia" w:ascii="宋体" w:hAnsi="宋体" w:cs="宋体"/>
          <w:color w:val="auto"/>
          <w:kern w:val="2"/>
          <w:lang w:val="en-US"/>
        </w:rPr>
        <w:t>公路工程标准施工招标文件范本</w:t>
      </w:r>
      <w:r>
        <w:rPr>
          <w:rFonts w:ascii="宋体" w:hAnsi="宋体" w:cs="宋体"/>
          <w:color w:val="auto"/>
          <w:kern w:val="2"/>
          <w:lang w:val="en-US"/>
        </w:rPr>
        <w:t>&gt;</w:t>
      </w:r>
      <w:r>
        <w:rPr>
          <w:rFonts w:hint="eastAsia" w:ascii="宋体" w:hAnsi="宋体" w:cs="宋体"/>
          <w:color w:val="auto"/>
          <w:kern w:val="2"/>
          <w:lang w:val="en-US"/>
        </w:rPr>
        <w:t>的补充规定》、《关于印发</w:t>
      </w:r>
      <w:r>
        <w:rPr>
          <w:rFonts w:ascii="宋体" w:hAnsi="宋体" w:cs="宋体"/>
          <w:color w:val="auto"/>
          <w:kern w:val="2"/>
          <w:lang w:val="en-US"/>
        </w:rPr>
        <w:t>&lt;</w:t>
      </w:r>
      <w:r>
        <w:rPr>
          <w:rFonts w:hint="eastAsia" w:ascii="宋体" w:hAnsi="宋体" w:cs="宋体"/>
          <w:color w:val="auto"/>
          <w:kern w:val="2"/>
          <w:lang w:val="en-US"/>
        </w:rPr>
        <w:t>广东省高速公路建设标准化管理指南（试行）</w:t>
      </w:r>
      <w:r>
        <w:rPr>
          <w:rFonts w:ascii="宋体" w:hAnsi="宋体" w:cs="宋体"/>
          <w:color w:val="auto"/>
          <w:kern w:val="2"/>
          <w:lang w:val="en-US"/>
        </w:rPr>
        <w:t>&gt;</w:t>
      </w:r>
      <w:r>
        <w:rPr>
          <w:rFonts w:hint="eastAsia" w:ascii="宋体" w:hAnsi="宋体" w:cs="宋体"/>
          <w:color w:val="auto"/>
          <w:kern w:val="2"/>
          <w:lang w:val="en-US"/>
        </w:rPr>
        <w:t>（工程造价标准化管理）的通知》（粤交基【</w:t>
      </w:r>
      <w:r>
        <w:rPr>
          <w:rFonts w:ascii="宋体" w:hAnsi="宋体" w:cs="宋体"/>
          <w:color w:val="auto"/>
          <w:kern w:val="2"/>
          <w:lang w:val="en-US"/>
        </w:rPr>
        <w:t>2011</w:t>
      </w:r>
      <w:r>
        <w:rPr>
          <w:rFonts w:hint="eastAsia" w:ascii="宋体" w:hAnsi="宋体" w:cs="宋体"/>
          <w:color w:val="auto"/>
          <w:kern w:val="2"/>
          <w:lang w:val="en-US"/>
        </w:rPr>
        <w:t>】</w:t>
      </w:r>
      <w:r>
        <w:rPr>
          <w:rFonts w:ascii="宋体" w:hAnsi="宋体" w:cs="宋体"/>
          <w:color w:val="auto"/>
          <w:kern w:val="2"/>
          <w:lang w:val="en-US"/>
        </w:rPr>
        <w:t>158</w:t>
      </w:r>
      <w:r>
        <w:rPr>
          <w:rFonts w:hint="eastAsia" w:ascii="宋体" w:hAnsi="宋体" w:cs="宋体"/>
          <w:color w:val="auto"/>
          <w:kern w:val="2"/>
          <w:lang w:val="en-US"/>
        </w:rPr>
        <w:t>号）、《广东省公路工程施工招标清单预算管理规程》。如以上文件有修订，本范本则依照最新修订版本执行。</w:t>
      </w:r>
    </w:p>
    <w:p>
      <w:pPr>
        <w:spacing w:line="360" w:lineRule="auto"/>
        <w:jc w:val="both"/>
        <w:rPr>
          <w:rFonts w:ascii="宋体" w:hAnsi="宋体" w:cs="Times New Roman"/>
          <w:color w:val="auto"/>
          <w:kern w:val="2"/>
          <w:lang w:val="en-US"/>
        </w:rPr>
      </w:pPr>
    </w:p>
    <w:p>
      <w:pPr>
        <w:spacing w:line="360" w:lineRule="auto"/>
        <w:rPr>
          <w:rFonts w:ascii="宋体" w:hAnsi="宋体" w:cs="Times New Roman"/>
          <w:color w:val="auto"/>
          <w:lang w:val="en-US"/>
        </w:rPr>
      </w:pPr>
      <w:r>
        <w:rPr>
          <w:rFonts w:hint="eastAsia" w:ascii="宋体" w:hAnsi="宋体" w:cs="宋体"/>
          <w:color w:val="auto"/>
          <w:kern w:val="2"/>
          <w:lang w:val="en-US"/>
        </w:rPr>
        <w:t>备注：投标人应按照第五章“工程量清单”的要求逐项填报工程量清单。工程量清单不需要附项目清单、分项清单及单价分析表，但投标人中标后，发包人可要求中标人提交项目清单、分项清单及单价分析表，中标人不得拒绝。</w:t>
      </w:r>
    </w:p>
    <w:p/>
    <w:sectPr>
      <w:pgSz w:w="11906" w:h="16838"/>
      <w:pgMar w:top="1440" w:right="1416" w:bottom="1440" w:left="1560" w:header="851" w:footer="992" w:gutter="0"/>
      <w:cols w:space="0" w:num="1"/>
      <w:rtlGutter w:val="0"/>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bordersDoNotSurroundHeader w:val="1"/>
  <w:bordersDoNotSurroundFooter w:val="1"/>
  <w:documentProtection w:enforcement="0"/>
  <w:defaultTabStop w:val="420"/>
  <w:drawingGridVerticalSpacing w:val="166"/>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1OTQ0ODQzNTc4MjUzZGJiZjMzZTM0ZTM4M2MzYjcifQ=="/>
  </w:docVars>
  <w:rsids>
    <w:rsidRoot w:val="4B9D2554"/>
    <w:rsid w:val="000A5F5B"/>
    <w:rsid w:val="00357514"/>
    <w:rsid w:val="003A4325"/>
    <w:rsid w:val="003A51A2"/>
    <w:rsid w:val="003A7BCA"/>
    <w:rsid w:val="003B3C24"/>
    <w:rsid w:val="003C3D47"/>
    <w:rsid w:val="003F07AE"/>
    <w:rsid w:val="00467685"/>
    <w:rsid w:val="004868D1"/>
    <w:rsid w:val="00524B2D"/>
    <w:rsid w:val="005313C8"/>
    <w:rsid w:val="005A0C0B"/>
    <w:rsid w:val="005C77F9"/>
    <w:rsid w:val="00660120"/>
    <w:rsid w:val="006E772C"/>
    <w:rsid w:val="007256A5"/>
    <w:rsid w:val="00770372"/>
    <w:rsid w:val="0077113B"/>
    <w:rsid w:val="00771388"/>
    <w:rsid w:val="007E08C1"/>
    <w:rsid w:val="007E238E"/>
    <w:rsid w:val="00920449"/>
    <w:rsid w:val="009544C1"/>
    <w:rsid w:val="009D07DB"/>
    <w:rsid w:val="00B54066"/>
    <w:rsid w:val="00B577F4"/>
    <w:rsid w:val="00BE43D9"/>
    <w:rsid w:val="00D36510"/>
    <w:rsid w:val="00D77A3D"/>
    <w:rsid w:val="00DF0E62"/>
    <w:rsid w:val="00DF2E82"/>
    <w:rsid w:val="00E13C17"/>
    <w:rsid w:val="00E828C5"/>
    <w:rsid w:val="00EF404F"/>
    <w:rsid w:val="00F47463"/>
    <w:rsid w:val="00F740B5"/>
    <w:rsid w:val="00F90FD3"/>
    <w:rsid w:val="00FF09EB"/>
    <w:rsid w:val="018C415C"/>
    <w:rsid w:val="021F26CF"/>
    <w:rsid w:val="03A4147F"/>
    <w:rsid w:val="0EF84905"/>
    <w:rsid w:val="0FF332B1"/>
    <w:rsid w:val="1C0D5E30"/>
    <w:rsid w:val="201F3EE5"/>
    <w:rsid w:val="255304F7"/>
    <w:rsid w:val="29DD3F3B"/>
    <w:rsid w:val="2CCB6C14"/>
    <w:rsid w:val="2CF06F6F"/>
    <w:rsid w:val="37627A81"/>
    <w:rsid w:val="3A2B7E81"/>
    <w:rsid w:val="3F425776"/>
    <w:rsid w:val="3FDE03E3"/>
    <w:rsid w:val="42627343"/>
    <w:rsid w:val="43436B74"/>
    <w:rsid w:val="45B83E2E"/>
    <w:rsid w:val="47BF16D7"/>
    <w:rsid w:val="4B9D2554"/>
    <w:rsid w:val="516104C6"/>
    <w:rsid w:val="562927FB"/>
    <w:rsid w:val="57E04C05"/>
    <w:rsid w:val="5CD00DC2"/>
    <w:rsid w:val="60687014"/>
    <w:rsid w:val="617C3D25"/>
    <w:rsid w:val="62F13423"/>
    <w:rsid w:val="6F6452D9"/>
    <w:rsid w:val="6F855B6A"/>
    <w:rsid w:val="70BF44D9"/>
    <w:rsid w:val="761B60B1"/>
    <w:rsid w:val="76F61F99"/>
    <w:rsid w:val="773F6310"/>
    <w:rsid w:val="7CF24922"/>
    <w:rsid w:val="7E3D1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宋体" w:cs="MingLiU_HKSCS"/>
      <w:color w:val="000000"/>
      <w:sz w:val="24"/>
      <w:szCs w:val="24"/>
      <w:lang w:val="zh-CN"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next w:val="3"/>
    <w:qFormat/>
    <w:uiPriority w:val="0"/>
    <w:pPr>
      <w:widowControl/>
      <w:ind w:left="1800" w:hanging="360"/>
    </w:pPr>
    <w:rPr>
      <w:rFonts w:hAnsi="Courier New" w:eastAsia="Times New Roman"/>
    </w:rPr>
  </w:style>
  <w:style w:type="paragraph" w:customStyle="1" w:styleId="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Body Text"/>
    <w:basedOn w:val="1"/>
    <w:qFormat/>
    <w:uiPriority w:val="1"/>
  </w:style>
  <w:style w:type="paragraph" w:styleId="5">
    <w:name w:val="footer"/>
    <w:basedOn w:val="1"/>
    <w:link w:val="11"/>
    <w:qFormat/>
    <w:uiPriority w:val="0"/>
    <w:pPr>
      <w:tabs>
        <w:tab w:val="center" w:pos="4153"/>
        <w:tab w:val="right" w:pos="8306"/>
      </w:tabs>
      <w:snapToGrid w:val="0"/>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表格文字"/>
    <w:basedOn w:val="1"/>
    <w:qFormat/>
    <w:uiPriority w:val="0"/>
    <w:pPr>
      <w:adjustRightInd w:val="0"/>
      <w:spacing w:line="420" w:lineRule="atLeast"/>
      <w:textAlignment w:val="baseline"/>
    </w:pPr>
    <w:rPr>
      <w:szCs w:val="20"/>
    </w:rPr>
  </w:style>
  <w:style w:type="character" w:customStyle="1" w:styleId="10">
    <w:name w:val="页眉 Char"/>
    <w:basedOn w:val="8"/>
    <w:link w:val="6"/>
    <w:qFormat/>
    <w:uiPriority w:val="0"/>
    <w:rPr>
      <w:rFonts w:cs="MingLiU_HKSCS"/>
      <w:color w:val="000000"/>
      <w:sz w:val="18"/>
      <w:szCs w:val="18"/>
      <w:lang w:val="zh-CN"/>
    </w:rPr>
  </w:style>
  <w:style w:type="character" w:customStyle="1" w:styleId="11">
    <w:name w:val="页脚 Char"/>
    <w:basedOn w:val="8"/>
    <w:link w:val="5"/>
    <w:qFormat/>
    <w:uiPriority w:val="0"/>
    <w:rPr>
      <w:rFonts w:cs="MingLiU_HKSCS"/>
      <w:color w:val="000000"/>
      <w:sz w:val="18"/>
      <w:szCs w:val="18"/>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564</Words>
  <Characters>3216</Characters>
  <Lines>26</Lines>
  <Paragraphs>7</Paragraphs>
  <TotalTime>879</TotalTime>
  <ScaleCrop>false</ScaleCrop>
  <LinksUpToDate>false</LinksUpToDate>
  <CharactersWithSpaces>3773</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2020-11-27T06:53:00Z</dcterms:created>
  <dc:creator>纸巾1396246717</dc:creator>
  <cp:lastModifiedBy>99741</cp:lastModifiedBy>
  <dcterms:modified xsi:type="dcterms:W3CDTF">2024-04-30T07:45:45Z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6D2444D5ECB949CFAE77BBAA898A73E1</vt:lpwstr>
  </property>
</Properties>
</file>