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spacing w:line="600" w:lineRule="auto"/>
        <w:jc w:val="center"/>
        <w:rPr>
          <w:rFonts w:ascii="宋体" w:hAnsi="宋体" w:cs="宋体"/>
          <w:b/>
          <w:bCs/>
          <w:color w:val="auto"/>
          <w:spacing w:val="26"/>
          <w:sz w:val="48"/>
          <w:szCs w:val="48"/>
          <w:highlight w:val="none"/>
        </w:rPr>
      </w:pPr>
      <w:r>
        <w:rPr>
          <w:rFonts w:hint="eastAsia" w:ascii="宋体" w:hAnsi="宋体" w:cs="宋体"/>
          <w:b/>
          <w:bCs/>
          <w:color w:val="auto"/>
          <w:spacing w:val="26"/>
          <w:sz w:val="48"/>
          <w:szCs w:val="48"/>
          <w:highlight w:val="none"/>
        </w:rPr>
        <w:t>华海能源德庆工业园天然气热电联产项目工程主标段建筑安装</w:t>
      </w:r>
    </w:p>
    <w:p>
      <w:pPr>
        <w:spacing w:line="360" w:lineRule="auto"/>
        <w:jc w:val="center"/>
        <w:rPr>
          <w:rFonts w:ascii="宋体" w:hAnsi="宋体"/>
          <w:color w:val="auto"/>
          <w:sz w:val="36"/>
          <w:highlight w:val="none"/>
          <w:u w:val="single"/>
        </w:rPr>
      </w:pPr>
    </w:p>
    <w:p>
      <w:pPr>
        <w:spacing w:line="360" w:lineRule="auto"/>
        <w:jc w:val="center"/>
        <w:rPr>
          <w:rFonts w:ascii="宋体" w:hAnsi="宋体"/>
          <w:color w:val="auto"/>
          <w:sz w:val="36"/>
          <w:highlight w:val="none"/>
          <w:u w:val="single"/>
        </w:rPr>
      </w:pPr>
    </w:p>
    <w:p>
      <w:pPr>
        <w:spacing w:line="360" w:lineRule="auto"/>
        <w:jc w:val="center"/>
        <w:rPr>
          <w:rFonts w:ascii="宋体" w:hAnsi="宋体"/>
          <w:color w:val="auto"/>
          <w:sz w:val="36"/>
          <w:highlight w:val="none"/>
          <w:u w:val="single"/>
        </w:rPr>
      </w:pPr>
    </w:p>
    <w:p>
      <w:pPr>
        <w:pStyle w:val="8"/>
        <w:rPr>
          <w:color w:val="auto"/>
          <w:highlight w:val="none"/>
        </w:rPr>
      </w:pPr>
    </w:p>
    <w:p>
      <w:pPr>
        <w:spacing w:line="360" w:lineRule="auto"/>
        <w:jc w:val="center"/>
        <w:rPr>
          <w:rFonts w:ascii="宋体" w:hAnsi="宋体"/>
          <w:color w:val="auto"/>
          <w:sz w:val="36"/>
          <w:highlight w:val="none"/>
          <w:u w:val="single"/>
        </w:rPr>
      </w:pPr>
    </w:p>
    <w:p>
      <w:pPr>
        <w:spacing w:line="360" w:lineRule="auto"/>
        <w:jc w:val="center"/>
        <w:rPr>
          <w:rFonts w:ascii="宋体" w:hAnsi="宋体"/>
          <w:color w:val="auto"/>
          <w:sz w:val="36"/>
          <w:highlight w:val="none"/>
          <w:u w:val="single"/>
        </w:rPr>
      </w:pPr>
    </w:p>
    <w:p>
      <w:pPr>
        <w:spacing w:line="300" w:lineRule="auto"/>
        <w:jc w:val="center"/>
        <w:rPr>
          <w:rFonts w:ascii="宋体" w:hAnsi="宋体"/>
          <w:b/>
          <w:bCs/>
          <w:color w:val="auto"/>
          <w:spacing w:val="26"/>
          <w:sz w:val="96"/>
          <w:szCs w:val="96"/>
          <w:highlight w:val="none"/>
        </w:rPr>
      </w:pPr>
      <w:r>
        <w:rPr>
          <w:rFonts w:hint="eastAsia" w:ascii="宋体" w:hAnsi="宋体"/>
          <w:b/>
          <w:bCs/>
          <w:color w:val="auto"/>
          <w:spacing w:val="26"/>
          <w:sz w:val="96"/>
          <w:szCs w:val="96"/>
          <w:highlight w:val="none"/>
        </w:rPr>
        <w:t>招标文件</w:t>
      </w:r>
    </w:p>
    <w:p>
      <w:pPr>
        <w:spacing w:line="360" w:lineRule="auto"/>
        <w:jc w:val="center"/>
        <w:rPr>
          <w:rFonts w:ascii="宋体" w:hAnsi="宋体"/>
          <w:color w:val="auto"/>
          <w:sz w:val="32"/>
          <w:highlight w:val="none"/>
        </w:rPr>
      </w:pPr>
    </w:p>
    <w:p>
      <w:pPr>
        <w:spacing w:line="360" w:lineRule="auto"/>
        <w:ind w:firstLine="2560" w:firstLineChars="800"/>
        <w:rPr>
          <w:rFonts w:ascii="宋体" w:hAnsi="宋体"/>
          <w:color w:val="auto"/>
          <w:sz w:val="32"/>
          <w:highlight w:val="none"/>
        </w:rPr>
      </w:pPr>
    </w:p>
    <w:p>
      <w:pPr>
        <w:spacing w:line="360" w:lineRule="auto"/>
        <w:rPr>
          <w:rFonts w:ascii="宋体" w:hAnsi="宋体"/>
          <w:color w:val="auto"/>
          <w:sz w:val="52"/>
          <w:highlight w:val="none"/>
        </w:rPr>
      </w:pPr>
    </w:p>
    <w:p>
      <w:pPr>
        <w:spacing w:line="360" w:lineRule="auto"/>
        <w:rPr>
          <w:rFonts w:ascii="宋体" w:hAnsi="宋体"/>
          <w:color w:val="auto"/>
          <w:sz w:val="52"/>
          <w:highlight w:val="none"/>
        </w:rPr>
      </w:pPr>
    </w:p>
    <w:p>
      <w:pPr>
        <w:spacing w:line="360" w:lineRule="auto"/>
        <w:rPr>
          <w:rFonts w:ascii="宋体" w:hAnsi="宋体"/>
          <w:color w:val="auto"/>
          <w:sz w:val="52"/>
          <w:highlight w:val="none"/>
        </w:rPr>
      </w:pPr>
    </w:p>
    <w:p>
      <w:pPr>
        <w:spacing w:line="360" w:lineRule="auto"/>
        <w:ind w:firstLine="1500" w:firstLineChars="500"/>
        <w:rPr>
          <w:rFonts w:ascii="宋体" w:hAnsi="宋体"/>
          <w:color w:val="auto"/>
          <w:sz w:val="30"/>
          <w:szCs w:val="30"/>
          <w:highlight w:val="none"/>
          <w:u w:val="single"/>
        </w:rPr>
      </w:pPr>
      <w:r>
        <w:rPr>
          <w:rFonts w:hint="eastAsia" w:ascii="宋体" w:hAnsi="宋体"/>
          <w:color w:val="auto"/>
          <w:sz w:val="30"/>
          <w:szCs w:val="30"/>
          <w:highlight w:val="none"/>
        </w:rPr>
        <w:t>招标单位：</w:t>
      </w:r>
      <w:r>
        <w:rPr>
          <w:rFonts w:hint="eastAsia" w:ascii="宋体" w:hAnsi="宋体"/>
          <w:color w:val="auto"/>
          <w:sz w:val="30"/>
          <w:szCs w:val="30"/>
          <w:highlight w:val="none"/>
          <w:u w:val="single"/>
        </w:rPr>
        <w:t>肇庆华海能源投资有限公司</w:t>
      </w:r>
    </w:p>
    <w:p>
      <w:pPr>
        <w:spacing w:line="360" w:lineRule="auto"/>
        <w:ind w:firstLine="1500" w:firstLineChars="500"/>
        <w:rPr>
          <w:rFonts w:ascii="宋体" w:hAnsi="宋体"/>
          <w:color w:val="auto"/>
          <w:sz w:val="30"/>
          <w:szCs w:val="30"/>
          <w:highlight w:val="none"/>
          <w:u w:val="single"/>
        </w:rPr>
      </w:pPr>
      <w:r>
        <w:rPr>
          <w:rFonts w:hint="eastAsia" w:ascii="宋体" w:hAnsi="宋体"/>
          <w:color w:val="auto"/>
          <w:sz w:val="30"/>
          <w:szCs w:val="30"/>
          <w:highlight w:val="none"/>
        </w:rPr>
        <w:t>招标代理单位：</w:t>
      </w:r>
      <w:r>
        <w:rPr>
          <w:rFonts w:hint="eastAsia" w:ascii="宋体" w:hAnsi="宋体"/>
          <w:color w:val="auto"/>
          <w:sz w:val="30"/>
          <w:szCs w:val="30"/>
          <w:highlight w:val="none"/>
          <w:u w:val="single"/>
        </w:rPr>
        <w:t>广州建筑工程监理有限公司</w:t>
      </w:r>
    </w:p>
    <w:p>
      <w:pPr>
        <w:spacing w:line="360" w:lineRule="auto"/>
        <w:ind w:firstLine="1500" w:firstLineChars="500"/>
        <w:rPr>
          <w:rFonts w:ascii="宋体" w:hAnsi="宋体"/>
          <w:color w:val="auto"/>
          <w:sz w:val="30"/>
          <w:szCs w:val="30"/>
          <w:highlight w:val="none"/>
        </w:rPr>
      </w:pPr>
      <w:r>
        <w:rPr>
          <w:rFonts w:hint="eastAsia" w:ascii="宋体" w:hAnsi="宋体"/>
          <w:color w:val="auto"/>
          <w:sz w:val="30"/>
          <w:szCs w:val="30"/>
          <w:highlight w:val="none"/>
        </w:rPr>
        <w:t>日        期：</w:t>
      </w:r>
      <w:r>
        <w:rPr>
          <w:rFonts w:hint="eastAsia" w:ascii="宋体" w:hAnsi="宋体"/>
          <w:color w:val="auto"/>
          <w:sz w:val="30"/>
          <w:szCs w:val="30"/>
          <w:highlight w:val="none"/>
          <w:u w:val="single"/>
        </w:rPr>
        <w:t>2022年2</w:t>
      </w:r>
      <w:r>
        <w:rPr>
          <w:rFonts w:hint="eastAsia" w:ascii="宋体" w:hAnsi="宋体"/>
          <w:color w:val="auto"/>
          <w:sz w:val="30"/>
          <w:szCs w:val="30"/>
          <w:highlight w:val="none"/>
        </w:rPr>
        <w:t>月</w:t>
      </w:r>
    </w:p>
    <w:p>
      <w:pPr>
        <w:jc w:val="center"/>
        <w:rPr>
          <w:rFonts w:ascii="宋体" w:hAnsi="宋体"/>
          <w:b/>
          <w:caps/>
          <w:color w:val="auto"/>
          <w:kern w:val="0"/>
          <w:sz w:val="44"/>
          <w:szCs w:val="44"/>
          <w:highlight w:val="none"/>
        </w:rPr>
      </w:pPr>
      <w:r>
        <w:rPr>
          <w:rStyle w:val="46"/>
          <w:rFonts w:ascii="宋体" w:hAnsi="宋体"/>
          <w:b/>
          <w:bCs/>
          <w:color w:val="auto"/>
          <w:highlight w:val="none"/>
        </w:rPr>
        <w:br w:type="page"/>
      </w:r>
      <w:r>
        <w:rPr>
          <w:rStyle w:val="46"/>
          <w:rFonts w:hint="eastAsia" w:ascii="宋体" w:hAnsi="宋体"/>
          <w:b/>
          <w:bCs/>
          <w:color w:val="auto"/>
          <w:sz w:val="44"/>
          <w:szCs w:val="44"/>
          <w:highlight w:val="none"/>
          <w:u w:val="none"/>
        </w:rPr>
        <w:t>目   录</w:t>
      </w:r>
    </w:p>
    <w:p>
      <w:pPr>
        <w:pStyle w:val="30"/>
        <w:tabs>
          <w:tab w:val="right" w:leader="dot" w:pos="9060"/>
        </w:tabs>
        <w:rPr>
          <w:rFonts w:cs="Times New Roman"/>
          <w:b w:val="0"/>
          <w:bCs w:val="0"/>
          <w:caps w:val="0"/>
          <w:color w:val="auto"/>
          <w:sz w:val="21"/>
          <w:szCs w:val="22"/>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"_Toc80289059" </w:instrText>
      </w:r>
      <w:r>
        <w:rPr>
          <w:color w:val="auto"/>
          <w:highlight w:val="none"/>
        </w:rPr>
        <w:fldChar w:fldCharType="separate"/>
      </w:r>
      <w:r>
        <w:rPr>
          <w:rStyle w:val="46"/>
          <w:rFonts w:hint="eastAsia" w:ascii="宋体" w:hAnsi="宋体"/>
          <w:color w:val="auto"/>
          <w:highlight w:val="none"/>
        </w:rPr>
        <w:t>第一章投标须知</w:t>
      </w:r>
      <w:r>
        <w:rPr>
          <w:color w:val="auto"/>
          <w:highlight w:val="none"/>
        </w:rPr>
        <w:tab/>
      </w:r>
      <w:r>
        <w:rPr>
          <w:color w:val="auto"/>
          <w:highlight w:val="none"/>
        </w:rPr>
        <w:fldChar w:fldCharType="begin"/>
      </w:r>
      <w:r>
        <w:rPr>
          <w:color w:val="auto"/>
          <w:highlight w:val="none"/>
        </w:rPr>
        <w:instrText xml:space="preserve"> PAGEREF _Toc80289059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5"/>
        <w:tabs>
          <w:tab w:val="right" w:leader="dot" w:pos="9060"/>
        </w:tabs>
        <w:rPr>
          <w:rFonts w:cs="Times New Roman"/>
          <w:smallCaps w:val="0"/>
          <w:color w:val="auto"/>
          <w:sz w:val="21"/>
          <w:szCs w:val="22"/>
          <w:highlight w:val="none"/>
        </w:rPr>
      </w:pPr>
      <w:r>
        <w:rPr>
          <w:color w:val="auto"/>
          <w:highlight w:val="none"/>
        </w:rPr>
        <w:fldChar w:fldCharType="begin"/>
      </w:r>
      <w:r>
        <w:rPr>
          <w:color w:val="auto"/>
          <w:highlight w:val="none"/>
        </w:rPr>
        <w:instrText xml:space="preserve"> HYPERLINK \l "_Toc80289060" </w:instrText>
      </w:r>
      <w:r>
        <w:rPr>
          <w:color w:val="auto"/>
          <w:highlight w:val="none"/>
        </w:rPr>
        <w:fldChar w:fldCharType="separate"/>
      </w:r>
      <w:r>
        <w:rPr>
          <w:rStyle w:val="46"/>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_Toc80289060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5"/>
        <w:tabs>
          <w:tab w:val="right" w:leader="dot" w:pos="9060"/>
        </w:tabs>
        <w:rPr>
          <w:rFonts w:cs="Times New Roman"/>
          <w:smallCaps w:val="0"/>
          <w:color w:val="auto"/>
          <w:sz w:val="21"/>
          <w:szCs w:val="22"/>
          <w:highlight w:val="none"/>
        </w:rPr>
      </w:pPr>
      <w:r>
        <w:rPr>
          <w:color w:val="auto"/>
          <w:highlight w:val="none"/>
        </w:rPr>
        <w:fldChar w:fldCharType="begin"/>
      </w:r>
      <w:r>
        <w:rPr>
          <w:color w:val="auto"/>
          <w:highlight w:val="none"/>
        </w:rPr>
        <w:instrText xml:space="preserve"> HYPERLINK \l "_Toc80289061" </w:instrText>
      </w:r>
      <w:r>
        <w:rPr>
          <w:color w:val="auto"/>
          <w:highlight w:val="none"/>
        </w:rPr>
        <w:fldChar w:fldCharType="separate"/>
      </w:r>
      <w:r>
        <w:rPr>
          <w:rStyle w:val="46"/>
          <w:rFonts w:hint="eastAsia"/>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_Toc80289061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5"/>
        <w:tabs>
          <w:tab w:val="right" w:leader="dot" w:pos="9060"/>
        </w:tabs>
        <w:rPr>
          <w:rFonts w:cs="Times New Roman"/>
          <w:smallCaps w:val="0"/>
          <w:color w:val="auto"/>
          <w:sz w:val="21"/>
          <w:szCs w:val="22"/>
          <w:highlight w:val="none"/>
        </w:rPr>
      </w:pPr>
      <w:r>
        <w:rPr>
          <w:color w:val="auto"/>
          <w:highlight w:val="none"/>
        </w:rPr>
        <w:fldChar w:fldCharType="begin"/>
      </w:r>
      <w:r>
        <w:rPr>
          <w:color w:val="auto"/>
          <w:highlight w:val="none"/>
        </w:rPr>
        <w:instrText xml:space="preserve"> HYPERLINK \l "_Toc80289062" </w:instrText>
      </w:r>
      <w:r>
        <w:rPr>
          <w:color w:val="auto"/>
          <w:highlight w:val="none"/>
        </w:rPr>
        <w:fldChar w:fldCharType="separate"/>
      </w:r>
      <w:r>
        <w:rPr>
          <w:rStyle w:val="46"/>
          <w:rFonts w:hint="eastAsia"/>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_Toc80289062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"_Toc80289063" </w:instrText>
      </w:r>
      <w:r>
        <w:rPr>
          <w:color w:val="auto"/>
          <w:highlight w:val="none"/>
        </w:rPr>
        <w:fldChar w:fldCharType="separate"/>
      </w:r>
      <w:r>
        <w:rPr>
          <w:rStyle w:val="46"/>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_Toc80289063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"_Toc80289064" </w:instrText>
      </w:r>
      <w:r>
        <w:rPr>
          <w:color w:val="auto"/>
          <w:highlight w:val="none"/>
        </w:rPr>
        <w:fldChar w:fldCharType="separate"/>
      </w:r>
      <w:r>
        <w:rPr>
          <w:rStyle w:val="46"/>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_Toc80289064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"_Toc80289065" </w:instrText>
      </w:r>
      <w:r>
        <w:rPr>
          <w:color w:val="auto"/>
          <w:highlight w:val="none"/>
        </w:rPr>
        <w:fldChar w:fldCharType="separate"/>
      </w:r>
      <w:r>
        <w:rPr>
          <w:rStyle w:val="46"/>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_Toc80289065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"_Toc80289066" </w:instrText>
      </w:r>
      <w:r>
        <w:rPr>
          <w:color w:val="auto"/>
          <w:highlight w:val="none"/>
        </w:rPr>
        <w:fldChar w:fldCharType="separate"/>
      </w:r>
      <w:r>
        <w:rPr>
          <w:rStyle w:val="46"/>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_Toc80289066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"_Toc80289067" </w:instrText>
      </w:r>
      <w:r>
        <w:rPr>
          <w:color w:val="auto"/>
          <w:highlight w:val="none"/>
        </w:rPr>
        <w:fldChar w:fldCharType="separate"/>
      </w:r>
      <w:r>
        <w:rPr>
          <w:rStyle w:val="46"/>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_Toc80289067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30"/>
        <w:tabs>
          <w:tab w:val="right" w:leader="dot" w:pos="9060"/>
        </w:tabs>
        <w:rPr>
          <w:rFonts w:cs="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"_Toc80289068" </w:instrText>
      </w:r>
      <w:r>
        <w:rPr>
          <w:color w:val="auto"/>
          <w:highlight w:val="none"/>
        </w:rPr>
        <w:fldChar w:fldCharType="separate"/>
      </w:r>
      <w:r>
        <w:rPr>
          <w:rStyle w:val="46"/>
          <w:rFonts w:hint="eastAsia" w:ascii="宋体" w:hAnsi="宋体"/>
          <w:color w:val="auto"/>
          <w:highlight w:val="none"/>
        </w:rPr>
        <w:t>第二章开标、评标及定标办法</w:t>
      </w:r>
      <w:r>
        <w:rPr>
          <w:color w:val="auto"/>
          <w:highlight w:val="none"/>
        </w:rPr>
        <w:tab/>
      </w:r>
      <w:r>
        <w:rPr>
          <w:color w:val="auto"/>
          <w:highlight w:val="none"/>
        </w:rPr>
        <w:fldChar w:fldCharType="begin"/>
      </w:r>
      <w:r>
        <w:rPr>
          <w:color w:val="auto"/>
          <w:highlight w:val="none"/>
        </w:rPr>
        <w:instrText xml:space="preserve"> PAGEREF _Toc80289068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35"/>
        <w:tabs>
          <w:tab w:val="right" w:leader="dot" w:pos="9060"/>
        </w:tabs>
        <w:rPr>
          <w:rFonts w:cs="Times New Roman"/>
          <w:smallCaps w:val="0"/>
          <w:color w:val="auto"/>
          <w:sz w:val="21"/>
          <w:szCs w:val="22"/>
          <w:highlight w:val="none"/>
        </w:rPr>
      </w:pPr>
      <w:r>
        <w:rPr>
          <w:color w:val="auto"/>
          <w:highlight w:val="none"/>
        </w:rPr>
        <w:fldChar w:fldCharType="begin"/>
      </w:r>
      <w:r>
        <w:rPr>
          <w:color w:val="auto"/>
          <w:highlight w:val="none"/>
        </w:rPr>
        <w:instrText xml:space="preserve"> HYPERLINK \l "_Toc80289069" </w:instrText>
      </w:r>
      <w:r>
        <w:rPr>
          <w:color w:val="auto"/>
          <w:highlight w:val="none"/>
        </w:rPr>
        <w:fldChar w:fldCharType="separate"/>
      </w:r>
      <w:r>
        <w:rPr>
          <w:rStyle w:val="46"/>
          <w:rFonts w:hint="eastAsia"/>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_Toc80289069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35"/>
        <w:tabs>
          <w:tab w:val="right" w:leader="dot" w:pos="9060"/>
        </w:tabs>
        <w:rPr>
          <w:rFonts w:cs="Times New Roman"/>
          <w:smallCaps w:val="0"/>
          <w:color w:val="auto"/>
          <w:sz w:val="21"/>
          <w:szCs w:val="22"/>
          <w:highlight w:val="none"/>
        </w:rPr>
      </w:pPr>
      <w:r>
        <w:rPr>
          <w:color w:val="auto"/>
          <w:highlight w:val="none"/>
        </w:rPr>
        <w:fldChar w:fldCharType="begin"/>
      </w:r>
      <w:r>
        <w:rPr>
          <w:color w:val="auto"/>
          <w:highlight w:val="none"/>
        </w:rPr>
        <w:instrText xml:space="preserve"> HYPERLINK \l "_Toc80289070" </w:instrText>
      </w:r>
      <w:r>
        <w:rPr>
          <w:color w:val="auto"/>
          <w:highlight w:val="none"/>
        </w:rPr>
        <w:fldChar w:fldCharType="separate"/>
      </w:r>
      <w:r>
        <w:rPr>
          <w:rStyle w:val="46"/>
          <w:rFonts w:hint="eastAsia"/>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_Toc80289070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"_Toc80289071" </w:instrText>
      </w:r>
      <w:r>
        <w:rPr>
          <w:color w:val="auto"/>
          <w:highlight w:val="none"/>
        </w:rPr>
        <w:fldChar w:fldCharType="separate"/>
      </w:r>
      <w:r>
        <w:rPr>
          <w:rStyle w:val="46"/>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_Toc80289071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"_Toc80289072" </w:instrText>
      </w:r>
      <w:r>
        <w:rPr>
          <w:color w:val="auto"/>
          <w:highlight w:val="none"/>
        </w:rPr>
        <w:fldChar w:fldCharType="separate"/>
      </w:r>
      <w:r>
        <w:rPr>
          <w:rStyle w:val="46"/>
          <w:rFonts w:hint="eastAsia"/>
          <w:color w:val="auto"/>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_Toc80289072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"_Toc80289073" </w:instrText>
      </w:r>
      <w:r>
        <w:rPr>
          <w:color w:val="auto"/>
          <w:highlight w:val="none"/>
        </w:rPr>
        <w:fldChar w:fldCharType="separate"/>
      </w:r>
      <w:r>
        <w:rPr>
          <w:rStyle w:val="46"/>
          <w:rFonts w:hint="eastAsia"/>
          <w:b/>
          <w:color w:val="auto"/>
          <w:highlight w:val="none"/>
        </w:rPr>
        <w:t>通过制评标办法</w:t>
      </w:r>
      <w:r>
        <w:rPr>
          <w:color w:val="auto"/>
          <w:highlight w:val="none"/>
        </w:rPr>
        <w:tab/>
      </w:r>
      <w:r>
        <w:rPr>
          <w:color w:val="auto"/>
          <w:highlight w:val="none"/>
        </w:rPr>
        <w:fldChar w:fldCharType="begin"/>
      </w:r>
      <w:r>
        <w:rPr>
          <w:color w:val="auto"/>
          <w:highlight w:val="none"/>
        </w:rPr>
        <w:instrText xml:space="preserve"> PAGEREF _Toc80289073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30"/>
        <w:tabs>
          <w:tab w:val="right" w:leader="dot" w:pos="9060"/>
        </w:tabs>
        <w:rPr>
          <w:rFonts w:cs="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"_Toc80289074" </w:instrText>
      </w:r>
      <w:r>
        <w:rPr>
          <w:color w:val="auto"/>
          <w:highlight w:val="none"/>
        </w:rPr>
        <w:fldChar w:fldCharType="separate"/>
      </w:r>
      <w:r>
        <w:rPr>
          <w:rStyle w:val="46"/>
          <w:rFonts w:hint="eastAsia" w:ascii="宋体" w:hAnsi="宋体"/>
          <w:color w:val="auto"/>
          <w:highlight w:val="none"/>
        </w:rPr>
        <w:t>第三章合同条款</w:t>
      </w:r>
      <w:r>
        <w:rPr>
          <w:color w:val="auto"/>
          <w:highlight w:val="none"/>
        </w:rPr>
        <w:tab/>
      </w:r>
      <w:r>
        <w:rPr>
          <w:color w:val="auto"/>
          <w:highlight w:val="none"/>
        </w:rPr>
        <w:fldChar w:fldCharType="begin"/>
      </w:r>
      <w:r>
        <w:rPr>
          <w:color w:val="auto"/>
          <w:highlight w:val="none"/>
        </w:rPr>
        <w:instrText xml:space="preserve"> PAGEREF _Toc80289074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30"/>
        <w:tabs>
          <w:tab w:val="right" w:leader="dot" w:pos="9060"/>
        </w:tabs>
        <w:rPr>
          <w:rFonts w:cs="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"_Toc80289075" </w:instrText>
      </w:r>
      <w:r>
        <w:rPr>
          <w:color w:val="auto"/>
          <w:highlight w:val="none"/>
        </w:rPr>
        <w:fldChar w:fldCharType="separate"/>
      </w:r>
      <w:r>
        <w:rPr>
          <w:rStyle w:val="46"/>
          <w:rFonts w:hint="eastAsia" w:ascii="宋体" w:hAnsi="宋体"/>
          <w:color w:val="auto"/>
          <w:highlight w:val="none"/>
        </w:rPr>
        <w:t>第四章投标文件格式</w:t>
      </w:r>
      <w:r>
        <w:rPr>
          <w:color w:val="auto"/>
          <w:highlight w:val="none"/>
        </w:rPr>
        <w:tab/>
      </w:r>
      <w:r>
        <w:rPr>
          <w:color w:val="auto"/>
          <w:highlight w:val="none"/>
        </w:rPr>
        <w:fldChar w:fldCharType="begin"/>
      </w:r>
      <w:r>
        <w:rPr>
          <w:color w:val="auto"/>
          <w:highlight w:val="none"/>
        </w:rPr>
        <w:instrText xml:space="preserve"> PAGEREF _Toc80289075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35"/>
        <w:tabs>
          <w:tab w:val="right" w:leader="dot" w:pos="9060"/>
        </w:tabs>
        <w:rPr>
          <w:rFonts w:cs="Times New Roman"/>
          <w:smallCaps w:val="0"/>
          <w:color w:val="auto"/>
          <w:sz w:val="21"/>
          <w:szCs w:val="22"/>
          <w:highlight w:val="none"/>
        </w:rPr>
      </w:pPr>
      <w:r>
        <w:rPr>
          <w:color w:val="auto"/>
          <w:highlight w:val="none"/>
        </w:rPr>
        <w:fldChar w:fldCharType="begin"/>
      </w:r>
      <w:r>
        <w:rPr>
          <w:color w:val="auto"/>
          <w:highlight w:val="none"/>
        </w:rPr>
        <w:instrText xml:space="preserve"> HYPERLINK \l "_Toc80289076" </w:instrText>
      </w:r>
      <w:r>
        <w:rPr>
          <w:color w:val="auto"/>
          <w:highlight w:val="none"/>
        </w:rPr>
        <w:fldChar w:fldCharType="separate"/>
      </w:r>
      <w:r>
        <w:rPr>
          <w:rStyle w:val="46"/>
          <w:rFonts w:hint="eastAsia" w:ascii="宋体" w:hAnsi="宋体"/>
          <w:color w:val="auto"/>
          <w:highlight w:val="none"/>
        </w:rPr>
        <w:t>一、技术标投标文件格式</w:t>
      </w:r>
      <w:r>
        <w:rPr>
          <w:color w:val="auto"/>
          <w:highlight w:val="none"/>
        </w:rPr>
        <w:tab/>
      </w:r>
      <w:r>
        <w:rPr>
          <w:color w:val="auto"/>
          <w:highlight w:val="none"/>
        </w:rPr>
        <w:fldChar w:fldCharType="begin"/>
      </w:r>
      <w:r>
        <w:rPr>
          <w:color w:val="auto"/>
          <w:highlight w:val="none"/>
        </w:rPr>
        <w:instrText xml:space="preserve"> PAGEREF _Toc80289076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"_Toc80289077" </w:instrText>
      </w:r>
      <w:r>
        <w:rPr>
          <w:color w:val="auto"/>
          <w:highlight w:val="none"/>
        </w:rPr>
        <w:fldChar w:fldCharType="separate"/>
      </w:r>
      <w:r>
        <w:rPr>
          <w:rStyle w:val="46"/>
          <w:rFonts w:hint="eastAsia" w:ascii="宋体"/>
          <w:color w:val="auto"/>
          <w:highlight w:val="none"/>
        </w:rPr>
        <w:t>格式一：技术标封面</w:t>
      </w:r>
      <w:r>
        <w:rPr>
          <w:color w:val="auto"/>
          <w:highlight w:val="none"/>
        </w:rPr>
        <w:tab/>
      </w:r>
      <w:r>
        <w:rPr>
          <w:color w:val="auto"/>
          <w:highlight w:val="none"/>
        </w:rPr>
        <w:fldChar w:fldCharType="begin"/>
      </w:r>
      <w:r>
        <w:rPr>
          <w:color w:val="auto"/>
          <w:highlight w:val="none"/>
        </w:rPr>
        <w:instrText xml:space="preserve"> PAGEREF _Toc80289077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"_Toc80289078" </w:instrText>
      </w:r>
      <w:r>
        <w:rPr>
          <w:color w:val="auto"/>
          <w:highlight w:val="none"/>
        </w:rPr>
        <w:fldChar w:fldCharType="separate"/>
      </w:r>
      <w:r>
        <w:rPr>
          <w:rStyle w:val="46"/>
          <w:rFonts w:hint="eastAsia" w:ascii="宋体"/>
          <w:bCs/>
          <w:color w:val="auto"/>
          <w:highlight w:val="none"/>
        </w:rPr>
        <w:t>格式二：建设工程施工招标投标书</w:t>
      </w:r>
      <w:r>
        <w:rPr>
          <w:color w:val="auto"/>
          <w:highlight w:val="none"/>
        </w:rPr>
        <w:tab/>
      </w:r>
      <w:r>
        <w:rPr>
          <w:color w:val="auto"/>
          <w:highlight w:val="none"/>
        </w:rPr>
        <w:fldChar w:fldCharType="begin"/>
      </w:r>
      <w:r>
        <w:rPr>
          <w:color w:val="auto"/>
          <w:highlight w:val="none"/>
        </w:rPr>
        <w:instrText xml:space="preserve"> PAGEREF _Toc80289078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"_Toc80289079" </w:instrText>
      </w:r>
      <w:r>
        <w:rPr>
          <w:color w:val="auto"/>
          <w:highlight w:val="none"/>
        </w:rPr>
        <w:fldChar w:fldCharType="separate"/>
      </w:r>
      <w:r>
        <w:rPr>
          <w:rStyle w:val="46"/>
          <w:rFonts w:hint="eastAsia" w:ascii="宋体"/>
          <w:color w:val="auto"/>
          <w:highlight w:val="none"/>
        </w:rPr>
        <w:t>格式三：参与编制技术标投标文件人员名单</w:t>
      </w:r>
      <w:r>
        <w:rPr>
          <w:color w:val="auto"/>
          <w:highlight w:val="none"/>
        </w:rPr>
        <w:tab/>
      </w:r>
      <w:r>
        <w:rPr>
          <w:color w:val="auto"/>
          <w:highlight w:val="none"/>
        </w:rPr>
        <w:fldChar w:fldCharType="begin"/>
      </w:r>
      <w:r>
        <w:rPr>
          <w:color w:val="auto"/>
          <w:highlight w:val="none"/>
        </w:rPr>
        <w:instrText xml:space="preserve"> PAGEREF _Toc80289079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"_Toc80289080" </w:instrText>
      </w:r>
      <w:r>
        <w:rPr>
          <w:color w:val="auto"/>
          <w:highlight w:val="none"/>
        </w:rPr>
        <w:fldChar w:fldCharType="separate"/>
      </w:r>
      <w:r>
        <w:rPr>
          <w:rStyle w:val="46"/>
          <w:rFonts w:hint="eastAsia" w:ascii="宋体"/>
          <w:color w:val="auto"/>
          <w:highlight w:val="none"/>
        </w:rPr>
        <w:t>格式四：施工项目管理团队人员信息表</w:t>
      </w:r>
      <w:r>
        <w:rPr>
          <w:color w:val="auto"/>
          <w:highlight w:val="none"/>
        </w:rPr>
        <w:tab/>
      </w:r>
      <w:r>
        <w:rPr>
          <w:color w:val="auto"/>
          <w:highlight w:val="none"/>
        </w:rPr>
        <w:fldChar w:fldCharType="begin"/>
      </w:r>
      <w:r>
        <w:rPr>
          <w:color w:val="auto"/>
          <w:highlight w:val="none"/>
        </w:rPr>
        <w:instrText xml:space="preserve"> PAGEREF _Toc80289080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"_Toc80289086" </w:instrText>
      </w:r>
      <w:r>
        <w:rPr>
          <w:color w:val="auto"/>
          <w:highlight w:val="none"/>
        </w:rPr>
        <w:fldChar w:fldCharType="separate"/>
      </w:r>
      <w:r>
        <w:rPr>
          <w:rStyle w:val="46"/>
          <w:rFonts w:hint="eastAsia" w:ascii="宋体"/>
          <w:color w:val="auto"/>
          <w:highlight w:val="none"/>
        </w:rPr>
        <w:t>格式五：企业类似工程业绩表（适用于资格审查业绩）</w:t>
      </w:r>
      <w:r>
        <w:rPr>
          <w:color w:val="auto"/>
          <w:highlight w:val="none"/>
        </w:rPr>
        <w:tab/>
      </w:r>
      <w:r>
        <w:rPr>
          <w:color w:val="auto"/>
          <w:highlight w:val="none"/>
        </w:rPr>
        <w:fldChar w:fldCharType="begin"/>
      </w:r>
      <w:r>
        <w:rPr>
          <w:color w:val="auto"/>
          <w:highlight w:val="none"/>
        </w:rPr>
        <w:instrText xml:space="preserve"> PAGEREF _Toc80289086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"_Toc80289087" </w:instrText>
      </w:r>
      <w:r>
        <w:rPr>
          <w:color w:val="auto"/>
          <w:highlight w:val="none"/>
        </w:rPr>
        <w:fldChar w:fldCharType="separate"/>
      </w:r>
      <w:r>
        <w:rPr>
          <w:rStyle w:val="46"/>
          <w:rFonts w:hint="eastAsia" w:ascii="宋体"/>
          <w:color w:val="auto"/>
          <w:highlight w:val="none"/>
        </w:rPr>
        <w:t>格式六：企业类似工程业绩表（适用于定标阶段评审业绩）</w:t>
      </w:r>
      <w:r>
        <w:rPr>
          <w:color w:val="auto"/>
          <w:highlight w:val="none"/>
        </w:rPr>
        <w:tab/>
      </w:r>
      <w:r>
        <w:rPr>
          <w:color w:val="auto"/>
          <w:highlight w:val="none"/>
        </w:rPr>
        <w:fldChar w:fldCharType="begin"/>
      </w:r>
      <w:r>
        <w:rPr>
          <w:color w:val="auto"/>
          <w:highlight w:val="none"/>
        </w:rPr>
        <w:instrText xml:space="preserve"> PAGEREF _Toc80289087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"_Toc80289088" </w:instrText>
      </w:r>
      <w:r>
        <w:rPr>
          <w:color w:val="auto"/>
          <w:highlight w:val="none"/>
        </w:rPr>
        <w:fldChar w:fldCharType="separate"/>
      </w:r>
      <w:r>
        <w:rPr>
          <w:rStyle w:val="46"/>
          <w:rFonts w:hint="eastAsia" w:ascii="宋体"/>
          <w:color w:val="auto"/>
          <w:highlight w:val="none"/>
        </w:rPr>
        <w:t>格式七：危险性较大的分部分项工程清单及超过一定规模的危险性较大的分部分项工程清单</w:t>
      </w:r>
      <w:r>
        <w:rPr>
          <w:color w:val="auto"/>
          <w:highlight w:val="none"/>
        </w:rPr>
        <w:tab/>
      </w:r>
      <w:r>
        <w:rPr>
          <w:color w:val="auto"/>
          <w:highlight w:val="none"/>
        </w:rPr>
        <w:fldChar w:fldCharType="begin"/>
      </w:r>
      <w:r>
        <w:rPr>
          <w:color w:val="auto"/>
          <w:highlight w:val="none"/>
        </w:rPr>
        <w:instrText xml:space="preserve"> PAGEREF _Toc80289088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"_Toc80289089" </w:instrText>
      </w:r>
      <w:r>
        <w:rPr>
          <w:color w:val="auto"/>
          <w:highlight w:val="none"/>
        </w:rPr>
        <w:fldChar w:fldCharType="separate"/>
      </w:r>
      <w:r>
        <w:rPr>
          <w:rStyle w:val="46"/>
          <w:rFonts w:hint="eastAsia" w:ascii="宋体"/>
          <w:color w:val="auto"/>
          <w:highlight w:val="none"/>
        </w:rPr>
        <w:t>格式八：法定代表人身份证明及授权委托书</w:t>
      </w:r>
      <w:r>
        <w:rPr>
          <w:color w:val="auto"/>
          <w:highlight w:val="none"/>
        </w:rPr>
        <w:tab/>
      </w:r>
      <w:r>
        <w:rPr>
          <w:color w:val="auto"/>
          <w:highlight w:val="none"/>
        </w:rPr>
        <w:fldChar w:fldCharType="begin"/>
      </w:r>
      <w:r>
        <w:rPr>
          <w:color w:val="auto"/>
          <w:highlight w:val="none"/>
        </w:rPr>
        <w:instrText xml:space="preserve"> PAGEREF _Toc80289089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"_Toc80289090" </w:instrText>
      </w:r>
      <w:r>
        <w:rPr>
          <w:color w:val="auto"/>
          <w:highlight w:val="none"/>
        </w:rPr>
        <w:fldChar w:fldCharType="separate"/>
      </w:r>
      <w:r>
        <w:rPr>
          <w:rStyle w:val="46"/>
          <w:rFonts w:hint="eastAsia" w:ascii="宋体"/>
          <w:color w:val="auto"/>
          <w:highlight w:val="none"/>
        </w:rPr>
        <w:t>格式九：施工投标承诺函</w:t>
      </w:r>
      <w:r>
        <w:rPr>
          <w:color w:val="auto"/>
          <w:highlight w:val="none"/>
        </w:rPr>
        <w:tab/>
      </w:r>
      <w:r>
        <w:rPr>
          <w:color w:val="auto"/>
          <w:highlight w:val="none"/>
        </w:rPr>
        <w:fldChar w:fldCharType="begin"/>
      </w:r>
      <w:r>
        <w:rPr>
          <w:color w:val="auto"/>
          <w:highlight w:val="none"/>
        </w:rPr>
        <w:instrText xml:space="preserve"> PAGEREF _Toc80289090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"_Toc80289091" </w:instrText>
      </w:r>
      <w:r>
        <w:rPr>
          <w:color w:val="auto"/>
          <w:highlight w:val="none"/>
        </w:rPr>
        <w:fldChar w:fldCharType="separate"/>
      </w:r>
      <w:r>
        <w:rPr>
          <w:rStyle w:val="46"/>
          <w:rFonts w:hint="eastAsia" w:ascii="宋体"/>
          <w:color w:val="auto"/>
          <w:highlight w:val="none"/>
        </w:rPr>
        <w:t>格式十：主要机械设备表</w:t>
      </w:r>
      <w:r>
        <w:rPr>
          <w:color w:val="auto"/>
          <w:highlight w:val="none"/>
        </w:rPr>
        <w:tab/>
      </w:r>
      <w:r>
        <w:rPr>
          <w:color w:val="auto"/>
          <w:highlight w:val="none"/>
        </w:rPr>
        <w:fldChar w:fldCharType="begin"/>
      </w:r>
      <w:r>
        <w:rPr>
          <w:color w:val="auto"/>
          <w:highlight w:val="none"/>
        </w:rPr>
        <w:instrText xml:space="preserve"> PAGEREF _Toc80289091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"_Toc80289092" </w:instrText>
      </w:r>
      <w:r>
        <w:rPr>
          <w:color w:val="auto"/>
          <w:highlight w:val="none"/>
        </w:rPr>
        <w:fldChar w:fldCharType="separate"/>
      </w:r>
      <w:r>
        <w:rPr>
          <w:rStyle w:val="46"/>
          <w:rFonts w:hint="eastAsia" w:ascii="宋体"/>
          <w:color w:val="auto"/>
          <w:highlight w:val="none"/>
        </w:rPr>
        <w:t>格式十一：投标人认为应该提供的其他资料</w:t>
      </w:r>
      <w:r>
        <w:rPr>
          <w:color w:val="auto"/>
          <w:highlight w:val="none"/>
        </w:rPr>
        <w:tab/>
      </w:r>
      <w:r>
        <w:rPr>
          <w:color w:val="auto"/>
          <w:highlight w:val="none"/>
        </w:rPr>
        <w:fldChar w:fldCharType="begin"/>
      </w:r>
      <w:r>
        <w:rPr>
          <w:color w:val="auto"/>
          <w:highlight w:val="none"/>
        </w:rPr>
        <w:instrText xml:space="preserve"> PAGEREF _Toc80289092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35"/>
        <w:tabs>
          <w:tab w:val="right" w:leader="dot" w:pos="9060"/>
        </w:tabs>
        <w:rPr>
          <w:rFonts w:cs="Times New Roman"/>
          <w:smallCaps w:val="0"/>
          <w:color w:val="auto"/>
          <w:sz w:val="21"/>
          <w:szCs w:val="22"/>
          <w:highlight w:val="none"/>
        </w:rPr>
      </w:pPr>
      <w:r>
        <w:rPr>
          <w:color w:val="auto"/>
          <w:highlight w:val="none"/>
        </w:rPr>
        <w:fldChar w:fldCharType="begin"/>
      </w:r>
      <w:r>
        <w:rPr>
          <w:color w:val="auto"/>
          <w:highlight w:val="none"/>
        </w:rPr>
        <w:instrText xml:space="preserve"> HYPERLINK \l "_Toc80289093" </w:instrText>
      </w:r>
      <w:r>
        <w:rPr>
          <w:color w:val="auto"/>
          <w:highlight w:val="none"/>
        </w:rPr>
        <w:fldChar w:fldCharType="separate"/>
      </w:r>
      <w:r>
        <w:rPr>
          <w:rStyle w:val="46"/>
          <w:rFonts w:hint="eastAsia" w:ascii="宋体" w:hAnsi="宋体"/>
          <w:color w:val="auto"/>
          <w:highlight w:val="none"/>
        </w:rPr>
        <w:t>二、经济标投标文件格式</w:t>
      </w:r>
      <w:r>
        <w:rPr>
          <w:color w:val="auto"/>
          <w:highlight w:val="none"/>
        </w:rPr>
        <w:tab/>
      </w:r>
      <w:r>
        <w:rPr>
          <w:color w:val="auto"/>
          <w:highlight w:val="none"/>
        </w:rPr>
        <w:fldChar w:fldCharType="begin"/>
      </w:r>
      <w:r>
        <w:rPr>
          <w:color w:val="auto"/>
          <w:highlight w:val="none"/>
        </w:rPr>
        <w:instrText xml:space="preserve"> PAGEREF _Toc80289093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"_Toc80289094" </w:instrText>
      </w:r>
      <w:r>
        <w:rPr>
          <w:color w:val="auto"/>
          <w:highlight w:val="none"/>
        </w:rPr>
        <w:fldChar w:fldCharType="separate"/>
      </w:r>
      <w:r>
        <w:rPr>
          <w:rStyle w:val="46"/>
          <w:rFonts w:hint="eastAsia" w:ascii="宋体"/>
          <w:color w:val="auto"/>
          <w:highlight w:val="none"/>
        </w:rPr>
        <w:t>格式一：经济标封面</w:t>
      </w:r>
      <w:r>
        <w:rPr>
          <w:color w:val="auto"/>
          <w:highlight w:val="none"/>
        </w:rPr>
        <w:tab/>
      </w:r>
      <w:r>
        <w:rPr>
          <w:color w:val="auto"/>
          <w:highlight w:val="none"/>
        </w:rPr>
        <w:fldChar w:fldCharType="begin"/>
      </w:r>
      <w:r>
        <w:rPr>
          <w:color w:val="auto"/>
          <w:highlight w:val="none"/>
        </w:rPr>
        <w:instrText xml:space="preserve"> PAGEREF _Toc80289094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"_Toc80289095" </w:instrText>
      </w:r>
      <w:r>
        <w:rPr>
          <w:color w:val="auto"/>
          <w:highlight w:val="none"/>
        </w:rPr>
        <w:fldChar w:fldCharType="separate"/>
      </w:r>
      <w:r>
        <w:rPr>
          <w:rStyle w:val="46"/>
          <w:rFonts w:hint="eastAsia" w:ascii="宋体"/>
          <w:color w:val="auto"/>
          <w:highlight w:val="none"/>
        </w:rPr>
        <w:t>格式二：工程量清单计价表</w:t>
      </w:r>
      <w:r>
        <w:rPr>
          <w:color w:val="auto"/>
          <w:highlight w:val="none"/>
        </w:rPr>
        <w:tab/>
      </w:r>
      <w:r>
        <w:rPr>
          <w:color w:val="auto"/>
          <w:highlight w:val="none"/>
        </w:rPr>
        <w:fldChar w:fldCharType="begin"/>
      </w:r>
      <w:r>
        <w:rPr>
          <w:color w:val="auto"/>
          <w:highlight w:val="none"/>
        </w:rPr>
        <w:instrText xml:space="preserve"> PAGEREF _Toc80289095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"_Toc80289096" </w:instrText>
      </w:r>
      <w:r>
        <w:rPr>
          <w:color w:val="auto"/>
          <w:highlight w:val="none"/>
        </w:rPr>
        <w:fldChar w:fldCharType="separate"/>
      </w:r>
      <w:r>
        <w:rPr>
          <w:rStyle w:val="46"/>
          <w:rFonts w:hint="eastAsia" w:ascii="宋体"/>
          <w:color w:val="auto"/>
          <w:highlight w:val="none"/>
        </w:rPr>
        <w:t>格式三：参与编制经济标投标文件人员名单</w:t>
      </w:r>
      <w:r>
        <w:rPr>
          <w:color w:val="auto"/>
          <w:highlight w:val="none"/>
        </w:rPr>
        <w:tab/>
      </w:r>
      <w:r>
        <w:rPr>
          <w:color w:val="auto"/>
          <w:highlight w:val="none"/>
        </w:rPr>
        <w:fldChar w:fldCharType="begin"/>
      </w:r>
      <w:r>
        <w:rPr>
          <w:color w:val="auto"/>
          <w:highlight w:val="none"/>
        </w:rPr>
        <w:instrText xml:space="preserve"> PAGEREF _Toc80289096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"_Toc80289097" </w:instrText>
      </w:r>
      <w:r>
        <w:rPr>
          <w:color w:val="auto"/>
          <w:highlight w:val="none"/>
        </w:rPr>
        <w:fldChar w:fldCharType="separate"/>
      </w:r>
      <w:r>
        <w:rPr>
          <w:rStyle w:val="46"/>
          <w:rFonts w:hint="eastAsia" w:ascii="宋体"/>
          <w:color w:val="auto"/>
          <w:highlight w:val="none"/>
        </w:rPr>
        <w:t>格式四：对投标文件编制的承诺、投标文件编制情况</w:t>
      </w:r>
      <w:r>
        <w:rPr>
          <w:color w:val="auto"/>
          <w:highlight w:val="none"/>
        </w:rPr>
        <w:tab/>
      </w:r>
      <w:r>
        <w:rPr>
          <w:color w:val="auto"/>
          <w:highlight w:val="none"/>
        </w:rPr>
        <w:fldChar w:fldCharType="begin"/>
      </w:r>
      <w:r>
        <w:rPr>
          <w:color w:val="auto"/>
          <w:highlight w:val="none"/>
        </w:rPr>
        <w:instrText xml:space="preserve"> PAGEREF _Toc80289097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22"/>
        <w:tabs>
          <w:tab w:val="right" w:leader="dot" w:pos="9060"/>
        </w:tabs>
        <w:rPr>
          <w:rFonts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"_Toc80289098" </w:instrText>
      </w:r>
      <w:r>
        <w:rPr>
          <w:color w:val="auto"/>
          <w:highlight w:val="none"/>
        </w:rPr>
        <w:fldChar w:fldCharType="separate"/>
      </w:r>
      <w:r>
        <w:rPr>
          <w:rStyle w:val="46"/>
          <w:rFonts w:hint="eastAsia" w:ascii="宋体"/>
          <w:color w:val="auto"/>
          <w:highlight w:val="none"/>
        </w:rPr>
        <w:t>格式五：施工投标承诺函</w:t>
      </w:r>
      <w:r>
        <w:rPr>
          <w:color w:val="auto"/>
          <w:highlight w:val="none"/>
        </w:rPr>
        <w:tab/>
      </w:r>
      <w:r>
        <w:rPr>
          <w:color w:val="auto"/>
          <w:highlight w:val="none"/>
        </w:rPr>
        <w:fldChar w:fldCharType="begin"/>
      </w:r>
      <w:r>
        <w:rPr>
          <w:color w:val="auto"/>
          <w:highlight w:val="none"/>
        </w:rPr>
        <w:instrText xml:space="preserve"> PAGEREF _Toc80289098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pPr>
        <w:pStyle w:val="30"/>
        <w:tabs>
          <w:tab w:val="right" w:leader="dot" w:pos="9060"/>
        </w:tabs>
        <w:rPr>
          <w:rFonts w:cs="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"_Toc80289099" </w:instrText>
      </w:r>
      <w:r>
        <w:rPr>
          <w:color w:val="auto"/>
          <w:highlight w:val="none"/>
        </w:rPr>
        <w:fldChar w:fldCharType="separate"/>
      </w:r>
      <w:r>
        <w:rPr>
          <w:rStyle w:val="46"/>
          <w:rFonts w:hint="eastAsia" w:ascii="宋体" w:hAnsi="宋体"/>
          <w:color w:val="auto"/>
          <w:highlight w:val="none"/>
        </w:rPr>
        <w:t>第五章技术条件（工程建设标准）</w:t>
      </w:r>
      <w:r>
        <w:rPr>
          <w:color w:val="auto"/>
          <w:highlight w:val="none"/>
        </w:rPr>
        <w:tab/>
      </w:r>
      <w:r>
        <w:rPr>
          <w:color w:val="auto"/>
          <w:highlight w:val="none"/>
        </w:rPr>
        <w:fldChar w:fldCharType="begin"/>
      </w:r>
      <w:r>
        <w:rPr>
          <w:color w:val="auto"/>
          <w:highlight w:val="none"/>
        </w:rPr>
        <w:instrText xml:space="preserve"> PAGEREF _Toc80289099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30"/>
        <w:tabs>
          <w:tab w:val="right" w:leader="dot" w:pos="9060"/>
        </w:tabs>
        <w:rPr>
          <w:rFonts w:cs="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"_Toc80289100" </w:instrText>
      </w:r>
      <w:r>
        <w:rPr>
          <w:color w:val="auto"/>
          <w:highlight w:val="none"/>
        </w:rPr>
        <w:fldChar w:fldCharType="separate"/>
      </w:r>
      <w:r>
        <w:rPr>
          <w:rStyle w:val="46"/>
          <w:rFonts w:hint="eastAsia" w:ascii="宋体" w:hAnsi="宋体"/>
          <w:color w:val="auto"/>
          <w:highlight w:val="none"/>
        </w:rPr>
        <w:t>第六章图纸及勘察资料</w:t>
      </w:r>
      <w:r>
        <w:rPr>
          <w:color w:val="auto"/>
          <w:highlight w:val="none"/>
        </w:rPr>
        <w:tab/>
      </w:r>
      <w:r>
        <w:rPr>
          <w:color w:val="auto"/>
          <w:highlight w:val="none"/>
        </w:rPr>
        <w:fldChar w:fldCharType="begin"/>
      </w:r>
      <w:r>
        <w:rPr>
          <w:color w:val="auto"/>
          <w:highlight w:val="none"/>
        </w:rPr>
        <w:instrText xml:space="preserve"> PAGEREF _Toc80289100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pPr>
        <w:pStyle w:val="30"/>
        <w:tabs>
          <w:tab w:val="right" w:leader="dot" w:pos="9060"/>
        </w:tabs>
        <w:rPr>
          <w:rFonts w:cs="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"_Toc80289101" </w:instrText>
      </w:r>
      <w:r>
        <w:rPr>
          <w:color w:val="auto"/>
          <w:highlight w:val="none"/>
        </w:rPr>
        <w:fldChar w:fldCharType="separate"/>
      </w:r>
      <w:r>
        <w:rPr>
          <w:rStyle w:val="46"/>
          <w:rFonts w:hint="eastAsia" w:ascii="宋体" w:hAnsi="宋体"/>
          <w:color w:val="auto"/>
          <w:highlight w:val="none"/>
        </w:rPr>
        <w:t>第七章工程量清单</w:t>
      </w:r>
      <w:r>
        <w:rPr>
          <w:color w:val="auto"/>
          <w:highlight w:val="none"/>
        </w:rPr>
        <w:tab/>
      </w:r>
      <w:r>
        <w:rPr>
          <w:color w:val="auto"/>
          <w:highlight w:val="none"/>
        </w:rPr>
        <w:fldChar w:fldCharType="begin"/>
      </w:r>
      <w:r>
        <w:rPr>
          <w:color w:val="auto"/>
          <w:highlight w:val="none"/>
        </w:rPr>
        <w:instrText xml:space="preserve"> PAGEREF _Toc80289101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pPr>
        <w:pStyle w:val="30"/>
        <w:tabs>
          <w:tab w:val="right" w:leader="dot" w:pos="9060"/>
        </w:tabs>
        <w:rPr>
          <w:rFonts w:cs="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"_Toc80289102" </w:instrText>
      </w:r>
      <w:r>
        <w:rPr>
          <w:color w:val="auto"/>
          <w:highlight w:val="none"/>
        </w:rPr>
        <w:fldChar w:fldCharType="separate"/>
      </w:r>
      <w:r>
        <w:rPr>
          <w:rStyle w:val="46"/>
          <w:rFonts w:hint="eastAsia" w:ascii="宋体" w:hAnsi="宋体"/>
          <w:color w:val="auto"/>
          <w:highlight w:val="none"/>
        </w:rPr>
        <w:t>第八章最高投标限价</w:t>
      </w:r>
      <w:r>
        <w:rPr>
          <w:color w:val="auto"/>
          <w:highlight w:val="none"/>
        </w:rPr>
        <w:tab/>
      </w:r>
      <w:r>
        <w:rPr>
          <w:color w:val="auto"/>
          <w:highlight w:val="none"/>
        </w:rPr>
        <w:fldChar w:fldCharType="begin"/>
      </w:r>
      <w:r>
        <w:rPr>
          <w:color w:val="auto"/>
          <w:highlight w:val="none"/>
        </w:rPr>
        <w:instrText xml:space="preserve"> PAGEREF _Toc80289102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pPr>
        <w:pStyle w:val="30"/>
        <w:tabs>
          <w:tab w:val="right" w:leader="dot" w:pos="9060"/>
        </w:tabs>
        <w:rPr>
          <w:color w:val="auto"/>
          <w:highlight w:val="none"/>
        </w:rPr>
      </w:pPr>
      <w:r>
        <w:rPr>
          <w:color w:val="auto"/>
          <w:highlight w:val="none"/>
        </w:rPr>
        <w:fldChar w:fldCharType="begin"/>
      </w:r>
      <w:r>
        <w:rPr>
          <w:color w:val="auto"/>
          <w:highlight w:val="none"/>
        </w:rPr>
        <w:instrText xml:space="preserve"> HYPERLINK \l "_Toc80289103" </w:instrText>
      </w:r>
      <w:r>
        <w:rPr>
          <w:color w:val="auto"/>
          <w:highlight w:val="none"/>
        </w:rPr>
        <w:fldChar w:fldCharType="separate"/>
      </w:r>
      <w:r>
        <w:rPr>
          <w:rStyle w:val="46"/>
          <w:rFonts w:hint="eastAsia" w:ascii="宋体" w:hAnsi="宋体"/>
          <w:color w:val="auto"/>
          <w:highlight w:val="none"/>
        </w:rPr>
        <w:t>第九章投标风险提示</w:t>
      </w:r>
      <w:r>
        <w:rPr>
          <w:color w:val="auto"/>
          <w:highlight w:val="none"/>
        </w:rPr>
        <w:tab/>
      </w:r>
      <w:r>
        <w:rPr>
          <w:color w:val="auto"/>
          <w:highlight w:val="none"/>
        </w:rPr>
        <w:fldChar w:fldCharType="begin"/>
      </w:r>
      <w:r>
        <w:rPr>
          <w:color w:val="auto"/>
          <w:highlight w:val="none"/>
        </w:rPr>
        <w:instrText xml:space="preserve"> PAGEREF _Toc80289103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r>
        <w:rPr>
          <w:color w:val="auto"/>
          <w:highlight w:val="none"/>
        </w:rPr>
        <w:fldChar w:fldCharType="end"/>
      </w:r>
      <w:r>
        <w:rPr>
          <w:color w:val="auto"/>
          <w:highlight w:val="none"/>
        </w:rPr>
        <w:br w:type="page"/>
      </w:r>
    </w:p>
    <w:p>
      <w:pPr>
        <w:pStyle w:val="3"/>
        <w:spacing w:before="0" w:after="0"/>
        <w:rPr>
          <w:rFonts w:ascii="宋体" w:hAnsi="宋体"/>
          <w:color w:val="auto"/>
          <w:highlight w:val="none"/>
        </w:rPr>
      </w:pPr>
      <w:bookmarkStart w:id="0" w:name="_Toc80289059"/>
      <w:r>
        <w:rPr>
          <w:rFonts w:hint="eastAsia" w:ascii="宋体" w:hAnsi="宋体"/>
          <w:color w:val="auto"/>
          <w:highlight w:val="none"/>
        </w:rPr>
        <w:t>第一章投标须知</w:t>
      </w:r>
      <w:bookmarkEnd w:id="0"/>
    </w:p>
    <w:p>
      <w:pPr>
        <w:pStyle w:val="7"/>
        <w:rPr>
          <w:color w:val="auto"/>
          <w:highlight w:val="none"/>
        </w:rPr>
      </w:pPr>
      <w:bookmarkStart w:id="1" w:name="_Toc80289060"/>
      <w:r>
        <w:rPr>
          <w:rFonts w:hint="eastAsia"/>
          <w:color w:val="auto"/>
          <w:highlight w:val="none"/>
        </w:rPr>
        <w:t>一、投标须知前附表</w:t>
      </w:r>
      <w:bookmarkEnd w:id="1"/>
    </w:p>
    <w:p>
      <w:pPr>
        <w:pStyle w:val="8"/>
        <w:spacing w:line="360" w:lineRule="auto"/>
        <w:ind w:firstLine="0"/>
        <w:rPr>
          <w:rFonts w:ascii="宋体" w:hAnsi="宋体"/>
          <w:b/>
          <w:color w:val="auto"/>
          <w:szCs w:val="21"/>
          <w:highlight w:val="none"/>
        </w:rPr>
      </w:pPr>
      <w:r>
        <w:rPr>
          <w:rFonts w:hint="eastAsia" w:ascii="宋体" w:hAnsi="宋体"/>
          <w:b/>
          <w:color w:val="auto"/>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40"/>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24"/>
              <w:ind w:firstLine="458"/>
              <w:jc w:val="center"/>
              <w:rPr>
                <w:rFonts w:ascii="宋体" w:hAnsi="宋体"/>
                <w:color w:val="auto"/>
                <w:kern w:val="2"/>
                <w:sz w:val="21"/>
                <w:szCs w:val="21"/>
                <w:highlight w:val="none"/>
              </w:rPr>
            </w:pPr>
            <w:r>
              <w:rPr>
                <w:rFonts w:hint="eastAsia" w:ascii="宋体" w:hAnsi="宋体"/>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招标人（即发包人）：</w:t>
            </w:r>
            <w:r>
              <w:rPr>
                <w:rFonts w:hint="eastAsia" w:ascii="宋体" w:hAnsi="宋体"/>
                <w:color w:val="auto"/>
                <w:szCs w:val="21"/>
                <w:highlight w:val="none"/>
                <w:u w:val="single"/>
              </w:rPr>
              <w:t>肇庆华海能源投资有限公司</w:t>
            </w:r>
          </w:p>
          <w:p>
            <w:pPr>
              <w:rPr>
                <w:rFonts w:ascii="宋体" w:hAnsi="宋体"/>
                <w:color w:val="auto"/>
                <w:szCs w:val="21"/>
                <w:highlight w:val="none"/>
              </w:rPr>
            </w:pPr>
            <w:r>
              <w:rPr>
                <w:rFonts w:hint="eastAsia" w:ascii="宋体" w:hAnsi="宋体"/>
                <w:color w:val="auto"/>
                <w:szCs w:val="21"/>
                <w:highlight w:val="none"/>
              </w:rPr>
              <w:t>项目建设管理单位：</w:t>
            </w:r>
            <w:r>
              <w:rPr>
                <w:rFonts w:hint="eastAsia" w:ascii="宋体" w:hAnsi="宋体"/>
                <w:color w:val="auto"/>
                <w:szCs w:val="21"/>
                <w:highlight w:val="none"/>
                <w:u w:val="single"/>
              </w:rPr>
              <w:t>/</w:t>
            </w:r>
          </w:p>
          <w:p>
            <w:pPr>
              <w:rPr>
                <w:rFonts w:ascii="宋体" w:hAnsi="宋体"/>
                <w:color w:val="auto"/>
                <w:szCs w:val="21"/>
                <w:highlight w:val="none"/>
              </w:rPr>
            </w:pPr>
            <w:r>
              <w:rPr>
                <w:rFonts w:hint="eastAsia" w:ascii="宋体" w:hAnsi="宋体"/>
                <w:color w:val="auto"/>
                <w:szCs w:val="21"/>
                <w:highlight w:val="none"/>
              </w:rPr>
              <w:t>招标代理：</w:t>
            </w:r>
            <w:r>
              <w:rPr>
                <w:rFonts w:hint="eastAsia" w:ascii="宋体" w:hAnsi="宋体"/>
                <w:color w:val="auto"/>
                <w:szCs w:val="21"/>
                <w:highlight w:val="none"/>
                <w:u w:val="single"/>
              </w:rPr>
              <w:t>广州建筑工程监理有限公司</w:t>
            </w:r>
          </w:p>
          <w:p>
            <w:pPr>
              <w:rPr>
                <w:rFonts w:ascii="宋体" w:hAnsi="宋体"/>
                <w:color w:val="auto"/>
                <w:szCs w:val="21"/>
                <w:highlight w:val="none"/>
              </w:rPr>
            </w:pPr>
            <w:r>
              <w:rPr>
                <w:rFonts w:hint="eastAsia" w:ascii="宋体" w:hAnsi="宋体"/>
                <w:color w:val="auto"/>
                <w:szCs w:val="21"/>
                <w:highlight w:val="none"/>
              </w:rPr>
              <w:t>设计单位：</w:t>
            </w:r>
            <w:r>
              <w:rPr>
                <w:rFonts w:hint="eastAsia" w:ascii="宋体" w:hAnsi="宋体"/>
                <w:color w:val="auto"/>
                <w:szCs w:val="21"/>
                <w:highlight w:val="none"/>
                <w:u w:val="single"/>
              </w:rPr>
              <w:t>/</w:t>
            </w:r>
          </w:p>
          <w:p>
            <w:pPr>
              <w:rPr>
                <w:rFonts w:ascii="宋体" w:hAnsi="宋体"/>
                <w:color w:val="auto"/>
                <w:szCs w:val="21"/>
                <w:highlight w:val="none"/>
              </w:rPr>
            </w:pPr>
            <w:r>
              <w:rPr>
                <w:rFonts w:hint="eastAsia" w:ascii="宋体" w:hAnsi="宋体"/>
                <w:color w:val="auto"/>
                <w:szCs w:val="21"/>
                <w:highlight w:val="none"/>
              </w:rPr>
              <w:t>监理单位：</w:t>
            </w:r>
            <w:r>
              <w:rPr>
                <w:rFonts w:hint="eastAsia" w:ascii="宋体" w:hAnsi="宋体"/>
                <w:color w:val="auto"/>
                <w:szCs w:val="21"/>
                <w:highlight w:val="none"/>
                <w:u w:val="single"/>
              </w:rPr>
              <w:t>/</w:t>
            </w:r>
          </w:p>
          <w:p>
            <w:pPr>
              <w:rPr>
                <w:rFonts w:ascii="宋体" w:hAnsi="宋体"/>
                <w:color w:val="auto"/>
                <w:szCs w:val="21"/>
                <w:highlight w:val="none"/>
              </w:rPr>
            </w:pPr>
            <w:r>
              <w:rPr>
                <w:rFonts w:hint="eastAsia" w:ascii="宋体" w:hAnsi="宋体"/>
                <w:color w:val="auto"/>
                <w:szCs w:val="21"/>
                <w:highlight w:val="none"/>
              </w:rPr>
              <w:t>检测机构：</w:t>
            </w:r>
            <w:r>
              <w:rPr>
                <w:rFonts w:hint="eastAsia" w:ascii="宋体" w:hAnsi="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华海能源德庆工业园天然气热电联产项目工程主标段建筑安装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位于广东省肇庆市德庆县德庆工业园。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Calisto MT" w:hAnsi="Calisto MT"/>
                <w:color w:val="auto"/>
                <w:szCs w:val="21"/>
                <w:highlight w:val="none"/>
              </w:rPr>
              <w:t>包工、包料、包赶工措施费、包夜间施工费、包工期、包质量、包材料和设备的检验（检测）及试验、包文明施工、包安全生产、包现场组织协调、包工程验收合格、包专业协调及配合、包完工清洁开荒、包保修，所发生的相关费用已包含在合同价内，工程量按实结算。承包方自行承担一切费用及责任</w:t>
            </w:r>
            <w:r>
              <w:rPr>
                <w:rFonts w:hint="eastAsia" w:ascii="Microsoft YaHei UI" w:hAnsi="Microsoft YaHei UI"/>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bottom"/>
          </w:tcPr>
          <w:p>
            <w:pPr>
              <w:pStyle w:val="82"/>
              <w:ind w:firstLine="0" w:firstLineChars="0"/>
              <w:jc w:val="left"/>
              <w:rPr>
                <w:rFonts w:ascii="宋体" w:hAnsi="宋体"/>
                <w:color w:val="auto"/>
                <w:spacing w:val="0"/>
                <w:kern w:val="2"/>
                <w:sz w:val="21"/>
                <w:szCs w:val="21"/>
                <w:highlight w:val="none"/>
                <w:u w:val="single"/>
              </w:rPr>
            </w:pPr>
            <w:r>
              <w:rPr>
                <w:rFonts w:hint="eastAsia" w:ascii="宋体" w:hAnsi="宋体"/>
                <w:color w:val="auto"/>
                <w:sz w:val="21"/>
                <w:szCs w:val="21"/>
                <w:highlight w:val="none"/>
                <w:u w:val="single"/>
              </w:rPr>
              <w:t>一次竣工验收合格，</w:t>
            </w:r>
            <w:r>
              <w:rPr>
                <w:rFonts w:ascii="宋体" w:hAnsi="宋体"/>
                <w:color w:val="auto"/>
                <w:sz w:val="21"/>
                <w:szCs w:val="21"/>
                <w:highlight w:val="none"/>
                <w:u w:val="single"/>
              </w:rPr>
              <w:t>并达到国家</w:t>
            </w:r>
            <w:r>
              <w:rPr>
                <w:rFonts w:hint="eastAsia" w:ascii="宋体" w:hAnsi="宋体"/>
                <w:color w:val="auto"/>
                <w:sz w:val="21"/>
                <w:szCs w:val="21"/>
                <w:highlight w:val="none"/>
                <w:u w:val="single"/>
              </w:rPr>
              <w:t>、</w:t>
            </w:r>
            <w:r>
              <w:rPr>
                <w:rFonts w:ascii="宋体" w:hAnsi="宋体"/>
                <w:color w:val="auto"/>
                <w:sz w:val="21"/>
                <w:szCs w:val="21"/>
                <w:highlight w:val="none"/>
                <w:u w:val="single"/>
              </w:rPr>
              <w:t>行业主管部门颁布的质量验收标准。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20" w:lineRule="exact"/>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bookmarkStart w:id="77" w:name="_GoBack"/>
            <w:r>
              <w:rPr>
                <w:rFonts w:hint="eastAsia" w:ascii="宋体" w:hAnsi="宋体"/>
                <w:color w:val="auto"/>
                <w:szCs w:val="21"/>
                <w:highlight w:val="none"/>
              </w:rPr>
              <w:t>本工程计划开工日期为202</w:t>
            </w:r>
            <w:r>
              <w:rPr>
                <w:rFonts w:hint="eastAsia" w:ascii="宋体" w:hAnsi="宋体"/>
                <w:color w:val="auto"/>
                <w:szCs w:val="21"/>
                <w:highlight w:val="none"/>
                <w:lang w:val="en-US" w:eastAsia="zh-CN"/>
              </w:rPr>
              <w:t>2</w:t>
            </w:r>
            <w:r>
              <w:rPr>
                <w:rFonts w:hint="eastAsia" w:ascii="宋体" w:hAnsi="宋体"/>
                <w:color w:val="auto"/>
                <w:szCs w:val="21"/>
                <w:highlight w:val="none"/>
              </w:rPr>
              <w:t>年</w:t>
            </w:r>
            <w:r>
              <w:rPr>
                <w:rFonts w:hint="eastAsia" w:ascii="宋体" w:hAnsi="宋体"/>
                <w:color w:val="auto"/>
                <w:szCs w:val="21"/>
                <w:highlight w:val="none"/>
                <w:lang w:val="en-US" w:eastAsia="zh-CN"/>
              </w:rPr>
              <w:t>3</w:t>
            </w:r>
            <w:r>
              <w:rPr>
                <w:rFonts w:hint="eastAsia" w:ascii="宋体" w:hAnsi="宋体"/>
                <w:color w:val="auto"/>
                <w:szCs w:val="21"/>
                <w:highlight w:val="none"/>
              </w:rPr>
              <w:t>月28日，第一套联合循环机组投产发电为202</w:t>
            </w:r>
            <w:r>
              <w:rPr>
                <w:rFonts w:hint="eastAsia" w:ascii="宋体" w:hAnsi="宋体"/>
                <w:color w:val="auto"/>
                <w:szCs w:val="21"/>
                <w:highlight w:val="none"/>
                <w:lang w:val="en-US" w:eastAsia="zh-CN"/>
              </w:rPr>
              <w:t>3</w:t>
            </w:r>
            <w:r>
              <w:rPr>
                <w:rFonts w:hint="eastAsia" w:ascii="宋体" w:hAnsi="宋体"/>
                <w:color w:val="auto"/>
                <w:szCs w:val="21"/>
                <w:highlight w:val="none"/>
              </w:rPr>
              <w:t>年</w:t>
            </w:r>
            <w:r>
              <w:rPr>
                <w:rFonts w:hint="eastAsia" w:ascii="宋体" w:hAnsi="宋体"/>
                <w:color w:val="auto"/>
                <w:szCs w:val="21"/>
                <w:highlight w:val="none"/>
                <w:lang w:val="en-US" w:eastAsia="zh-CN"/>
              </w:rPr>
              <w:t>2</w:t>
            </w:r>
            <w:r>
              <w:rPr>
                <w:rFonts w:hint="eastAsia" w:ascii="宋体" w:hAnsi="宋体"/>
                <w:color w:val="auto"/>
                <w:szCs w:val="21"/>
                <w:highlight w:val="none"/>
              </w:rPr>
              <w:t>月28日，第二套联合循环机组投产发电为2023年</w:t>
            </w:r>
            <w:r>
              <w:rPr>
                <w:rFonts w:hint="eastAsia" w:ascii="宋体" w:hAnsi="宋体"/>
                <w:color w:val="auto"/>
                <w:szCs w:val="21"/>
                <w:highlight w:val="none"/>
                <w:lang w:val="en-US" w:eastAsia="zh-CN"/>
              </w:rPr>
              <w:t>4</w:t>
            </w:r>
            <w:r>
              <w:rPr>
                <w:rFonts w:hint="eastAsia" w:ascii="宋体" w:hAnsi="宋体"/>
                <w:color w:val="auto"/>
                <w:szCs w:val="21"/>
                <w:highlight w:val="none"/>
              </w:rPr>
              <w:t>月28日前，建设工程工期总日历天数395天。（以招标人实际通知开工为准）</w:t>
            </w:r>
            <w:bookmarkEnd w:id="77"/>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企业自筹资金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5" w:lineRule="atLeast"/>
              <w:rPr>
                <w:rFonts w:ascii="宋体" w:hAnsi="宋体" w:cs="宋体"/>
                <w:color w:val="auto"/>
                <w:szCs w:val="21"/>
                <w:highlight w:val="none"/>
                <w:u w:val="single"/>
              </w:rPr>
            </w:pPr>
            <w:r>
              <w:rPr>
                <w:rFonts w:hint="eastAsia" w:ascii="宋体" w:hAnsi="宋体" w:cs="宋体"/>
                <w:color w:val="auto"/>
                <w:szCs w:val="21"/>
                <w:highlight w:val="none"/>
                <w:u w:val="single"/>
              </w:rPr>
              <w:t>1、本项目投标报价采用下浮率报价和数值报价方式，最终按实结算。投标人只能报一个投标数值报价和下浮率报价，数值总报价以万元计，如下浮率报价和数值报价不一致时，以下浮率报价为准。</w:t>
            </w:r>
          </w:p>
          <w:p>
            <w:pPr>
              <w:spacing w:line="25" w:lineRule="atLeast"/>
              <w:rPr>
                <w:rFonts w:ascii="宋体" w:hAnsi="宋体" w:cs="宋体"/>
                <w:color w:val="auto"/>
                <w:szCs w:val="21"/>
                <w:highlight w:val="none"/>
                <w:u w:val="single"/>
              </w:rPr>
            </w:pPr>
            <w:r>
              <w:rPr>
                <w:rFonts w:hint="eastAsia" w:ascii="宋体" w:hAnsi="宋体" w:cs="宋体"/>
                <w:color w:val="auto"/>
                <w:szCs w:val="21"/>
                <w:highlight w:val="none"/>
                <w:u w:val="single"/>
              </w:rPr>
              <w:t>2、投标报价不得高于投标最高限价，由投标人根据招标文件要求以及企业自身情况填报投标报价和投标下浮率。</w:t>
            </w:r>
          </w:p>
          <w:p>
            <w:pPr>
              <w:spacing w:line="320" w:lineRule="exact"/>
              <w:rPr>
                <w:rFonts w:ascii="宋体" w:hAnsi="宋体"/>
                <w:color w:val="auto"/>
                <w:szCs w:val="21"/>
                <w:highlight w:val="none"/>
                <w:u w:val="single"/>
              </w:rPr>
            </w:pPr>
            <w:r>
              <w:rPr>
                <w:rFonts w:hint="eastAsia" w:cs="宋体"/>
                <w:color w:val="auto"/>
                <w:szCs w:val="21"/>
                <w:highlight w:val="none"/>
                <w:u w:val="single"/>
              </w:rPr>
              <w:t>3、招标人有权根据实际情况对建设内容进行调整。招标人减少的项目无论有无替代，发包人都不予补偿。</w:t>
            </w:r>
          </w:p>
          <w:p>
            <w:pPr>
              <w:spacing w:line="320" w:lineRule="exact"/>
              <w:rPr>
                <w:rFonts w:ascii="宋体" w:hAnsi="宋体"/>
                <w:color w:val="auto"/>
                <w:szCs w:val="21"/>
                <w:highlight w:val="none"/>
                <w:u w:val="single"/>
              </w:rPr>
            </w:pPr>
            <w:r>
              <w:rPr>
                <w:rFonts w:hint="eastAsia" w:ascii="宋体" w:hAnsi="宋体"/>
                <w:color w:val="auto"/>
                <w:szCs w:val="21"/>
                <w:highlight w:val="none"/>
                <w:u w:val="single"/>
              </w:rPr>
              <w:t>4、结算方式根据实际工程量结合投标下浮率进行结算。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180</w:t>
            </w:r>
            <w:r>
              <w:rPr>
                <w:rFonts w:hint="eastAsia" w:ascii="宋体" w:hAnsi="宋体"/>
                <w:color w:val="auto"/>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ascii="宋体" w:hAnsi="宋体"/>
                <w:color w:val="auto"/>
                <w:szCs w:val="21"/>
                <w:highlight w:val="none"/>
                <w:u w:val="single"/>
              </w:rPr>
              <w:t>20</w:t>
            </w:r>
            <w:r>
              <w:rPr>
                <w:rFonts w:hint="eastAsia" w:ascii="宋体" w:hAnsi="宋体"/>
                <w:color w:val="auto"/>
                <w:szCs w:val="21"/>
                <w:highlight w:val="none"/>
                <w:u w:val="single"/>
              </w:rPr>
              <w:t>万元人民币，缴纳时间在投标截止时间之前。</w:t>
            </w:r>
          </w:p>
          <w:p>
            <w:pPr>
              <w:jc w:val="left"/>
              <w:rPr>
                <w:rFonts w:ascii="宋体" w:hAnsi="宋体" w:cs="宋体"/>
                <w:b/>
                <w:bCs/>
                <w:color w:val="auto"/>
                <w:szCs w:val="21"/>
                <w:highlight w:val="none"/>
                <w:u w:val="single"/>
              </w:rPr>
            </w:pPr>
            <w:r>
              <w:rPr>
                <w:rFonts w:hint="eastAsia" w:ascii="宋体" w:hAnsi="宋体" w:cs="宋体"/>
                <w:b/>
                <w:bCs/>
                <w:color w:val="auto"/>
                <w:szCs w:val="21"/>
                <w:highlight w:val="none"/>
                <w:u w:val="single"/>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jc w:val="left"/>
              <w:rPr>
                <w:rFonts w:ascii="宋体" w:hAnsi="宋体" w:cs="宋体"/>
                <w:b/>
                <w:bCs/>
                <w:color w:val="auto"/>
                <w:szCs w:val="21"/>
                <w:highlight w:val="none"/>
                <w:u w:val="single"/>
              </w:rPr>
            </w:pPr>
            <w:r>
              <w:rPr>
                <w:rFonts w:hint="eastAsia" w:ascii="宋体" w:hAnsi="宋体" w:cs="宋体"/>
                <w:b/>
                <w:bCs/>
                <w:color w:val="auto"/>
                <w:szCs w:val="21"/>
                <w:highlight w:val="none"/>
                <w:u w:val="single"/>
              </w:rPr>
              <w:t>2、鼓励招标人对简单小额项目不要求提供投标担保，对中小企业投标人免除投标担保。</w:t>
            </w:r>
          </w:p>
          <w:p>
            <w:pPr>
              <w:jc w:val="left"/>
              <w:rPr>
                <w:rFonts w:ascii="宋体" w:hAnsi="宋体" w:cs="宋体"/>
                <w:b/>
                <w:bCs/>
                <w:color w:val="auto"/>
                <w:szCs w:val="21"/>
                <w:highlight w:val="none"/>
                <w:u w:val="single"/>
              </w:rPr>
            </w:pPr>
            <w:r>
              <w:rPr>
                <w:rFonts w:hint="eastAsia" w:ascii="宋体" w:hAnsi="宋体" w:cs="宋体"/>
                <w:b/>
                <w:bCs/>
                <w:color w:val="auto"/>
                <w:szCs w:val="21"/>
                <w:highlight w:val="none"/>
                <w:u w:val="single"/>
              </w:rPr>
              <w:t>3、招标人在免收投标保证金的同时，应约定免交投标保证金的投标人</w:t>
            </w:r>
            <w:r>
              <w:rPr>
                <w:rFonts w:hint="eastAsia" w:ascii="宋体" w:hAnsi="宋体" w:cs="宋体"/>
                <w:b/>
                <w:color w:val="auto"/>
                <w:szCs w:val="21"/>
                <w:highlight w:val="none"/>
                <w:u w:val="single"/>
              </w:rPr>
              <w:t>存在16.4条款所列情形的</w:t>
            </w:r>
            <w:r>
              <w:rPr>
                <w:rFonts w:hint="eastAsia" w:ascii="宋体" w:hAnsi="宋体" w:cs="宋体"/>
                <w:b/>
                <w:bCs/>
                <w:color w:val="auto"/>
                <w:szCs w:val="21"/>
                <w:highlight w:val="none"/>
                <w:u w:val="single"/>
              </w:rPr>
              <w:t>后续处理措施。</w:t>
            </w:r>
          </w:p>
          <w:p>
            <w:pPr>
              <w:jc w:val="left"/>
              <w:rPr>
                <w:rFonts w:ascii="宋体" w:hAnsi="宋体" w:cs="宋体"/>
                <w:color w:val="auto"/>
                <w:szCs w:val="21"/>
                <w:highlight w:val="none"/>
                <w:u w:val="single"/>
              </w:rPr>
            </w:pPr>
            <w:r>
              <w:rPr>
                <w:rFonts w:hint="eastAsia" w:ascii="宋体" w:hAnsi="宋体" w:cs="宋体"/>
                <w:color w:val="auto"/>
                <w:szCs w:val="21"/>
                <w:highlight w:val="none"/>
                <w:u w:val="single"/>
              </w:rPr>
              <w:t>3.缴纳方式：（1）如采用现金或者支票形式提交的，投标保证金从投标人基本账户递交，由广州公共资源交易中心代收。具体操作要求详见广州公共资源交易中心有关指引，递交事宜请自行咨询交易中心；</w:t>
            </w:r>
            <w:r>
              <w:rPr>
                <w:rFonts w:hint="eastAsia" w:ascii="宋体" w:hAnsi="宋体" w:cs="宋体"/>
                <w:bCs/>
                <w:color w:val="auto"/>
                <w:szCs w:val="21"/>
                <w:highlight w:val="none"/>
                <w:u w:val="single"/>
              </w:rPr>
              <w:t>请各投标人在投标文件递交截止时间前按上述金额递交至广州公共资源交易中心</w:t>
            </w:r>
            <w:r>
              <w:rPr>
                <w:rFonts w:hint="eastAsia" w:ascii="宋体" w:hAnsi="宋体" w:cs="宋体"/>
                <w:color w:val="auto"/>
                <w:szCs w:val="21"/>
                <w:highlight w:val="none"/>
                <w:u w:val="single"/>
              </w:rPr>
              <w:t>，到账情况以开标时广州公共资源交易中心数据库查询的信息为准。</w:t>
            </w:r>
          </w:p>
          <w:p>
            <w:pPr>
              <w:rPr>
                <w:rFonts w:ascii="宋体" w:hAnsi="宋体" w:cs="宋体"/>
                <w:color w:val="auto"/>
                <w:szCs w:val="21"/>
                <w:highlight w:val="none"/>
                <w:u w:val="single"/>
              </w:rPr>
            </w:pPr>
            <w:r>
              <w:rPr>
                <w:rFonts w:hint="eastAsia" w:ascii="宋体" w:hAnsi="宋体" w:cs="宋体"/>
                <w:bCs/>
                <w:color w:val="auto"/>
                <w:szCs w:val="21"/>
                <w:highlight w:val="none"/>
                <w:u w:val="single"/>
              </w:rPr>
              <w:t>收款单位：广州交易集团有限公司，开户银行：中国建设银行广州天润路支行，银行账号：44001583404059333333；</w:t>
            </w:r>
          </w:p>
          <w:p>
            <w:pPr>
              <w:numPr>
                <w:ilvl w:val="0"/>
                <w:numId w:val="1"/>
              </w:numPr>
              <w:rPr>
                <w:rFonts w:ascii="宋体" w:hAnsi="宋体" w:cs="宋体"/>
                <w:color w:val="auto"/>
                <w:szCs w:val="21"/>
                <w:highlight w:val="none"/>
                <w:u w:val="single"/>
              </w:rPr>
            </w:pPr>
            <w:r>
              <w:rPr>
                <w:rFonts w:hint="eastAsia" w:ascii="宋体" w:hAnsi="宋体" w:cs="宋体"/>
                <w:bCs/>
                <w:color w:val="auto"/>
                <w:szCs w:val="21"/>
                <w:highlight w:val="none"/>
                <w:u w:val="single"/>
              </w:rPr>
              <w:t>非电子形式的</w:t>
            </w:r>
            <w:r>
              <w:rPr>
                <w:rFonts w:hint="eastAsia" w:ascii="宋体" w:hAnsi="宋体" w:cs="宋体"/>
                <w:b/>
                <w:bCs/>
                <w:color w:val="auto"/>
                <w:szCs w:val="21"/>
                <w:highlight w:val="none"/>
                <w:u w:val="single"/>
              </w:rPr>
              <w:t>银行保函、专业工程担保公司担保或保证保险</w:t>
            </w:r>
            <w:r>
              <w:rPr>
                <w:rFonts w:hint="eastAsia" w:ascii="宋体" w:hAnsi="宋体" w:cs="宋体"/>
                <w:bCs/>
                <w:color w:val="auto"/>
                <w:szCs w:val="21"/>
                <w:highlight w:val="none"/>
                <w:u w:val="single"/>
              </w:rPr>
              <w:t>提交投标保证金的，在开标前不强制要求投标人提交纸质原件，由中标候选人在中标候选人公示前提交并在网上公示，投标人应在投标文件中提交</w:t>
            </w:r>
            <w:r>
              <w:rPr>
                <w:rFonts w:hint="eastAsia" w:ascii="宋体" w:hAnsi="宋体" w:cs="宋体"/>
                <w:b/>
                <w:bCs/>
                <w:color w:val="auto"/>
                <w:szCs w:val="21"/>
                <w:highlight w:val="none"/>
                <w:u w:val="single"/>
              </w:rPr>
              <w:t>保函、担保或保证保险</w:t>
            </w:r>
            <w:r>
              <w:rPr>
                <w:rFonts w:hint="eastAsia" w:ascii="宋体" w:hAnsi="宋体" w:cs="宋体"/>
                <w:bCs/>
                <w:color w:val="auto"/>
                <w:szCs w:val="21"/>
                <w:highlight w:val="none"/>
                <w:u w:val="single"/>
              </w:rPr>
              <w:t>扫描件并加盖投标人电子印章</w:t>
            </w:r>
            <w:r>
              <w:rPr>
                <w:rFonts w:hint="eastAsia" w:ascii="宋体" w:hAnsi="宋体" w:cs="宋体"/>
                <w:color w:val="auto"/>
                <w:szCs w:val="21"/>
                <w:highlight w:val="none"/>
                <w:u w:val="single"/>
              </w:rPr>
              <w:t>。</w:t>
            </w:r>
          </w:p>
          <w:p>
            <w:pPr>
              <w:numPr>
                <w:ilvl w:val="0"/>
                <w:numId w:val="1"/>
              </w:numPr>
              <w:rPr>
                <w:rFonts w:ascii="宋体" w:hAnsi="宋体" w:cs="宋体"/>
                <w:color w:val="auto"/>
                <w:szCs w:val="21"/>
                <w:highlight w:val="none"/>
                <w:u w:val="single"/>
              </w:rPr>
            </w:pPr>
            <w:r>
              <w:rPr>
                <w:rFonts w:hint="eastAsia" w:ascii="宋体" w:hAnsi="宋体" w:cs="宋体"/>
                <w:color w:val="auto"/>
                <w:szCs w:val="21"/>
                <w:highlight w:val="none"/>
                <w:u w:val="single"/>
              </w:rPr>
              <w:t>如采用电子投标保函方式提交投标保证金，具体操作详见广州公共资源交易中心电子保函操作指引（http://ggzy.gz.gov.cn/fwznxtbzczsc/699986.jhtml）。</w:t>
            </w:r>
          </w:p>
          <w:p>
            <w:pPr>
              <w:rPr>
                <w:rFonts w:ascii="宋体" w:hAnsi="宋体"/>
                <w:color w:val="auto"/>
                <w:szCs w:val="21"/>
                <w:highlight w:val="none"/>
                <w:u w:val="single"/>
              </w:rPr>
            </w:pPr>
            <w:r>
              <w:rPr>
                <w:rFonts w:hint="eastAsia" w:ascii="宋体" w:hAnsi="宋体" w:cs="宋体"/>
                <w:color w:val="auto"/>
                <w:szCs w:val="21"/>
                <w:highlight w:val="none"/>
                <w:u w:val="single"/>
              </w:rPr>
              <w:t>未按规定缴纳投标保证金的正式投标人将被视为自动放弃本工程的投标资格。</w:t>
            </w:r>
            <w:r>
              <w:rPr>
                <w:rFonts w:hint="eastAsia" w:ascii="宋体" w:hAnsi="宋体"/>
                <w:color w:val="auto"/>
                <w:szCs w:val="21"/>
                <w:highlight w:val="none"/>
                <w:u w:val="single"/>
              </w:rPr>
              <w:t>若为联合体，联合体主办方递交保证金为准。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pStyle w:val="24"/>
              <w:rPr>
                <w:rFonts w:ascii="宋体" w:hAnsi="宋体"/>
                <w:color w:val="auto"/>
                <w:kern w:val="2"/>
                <w:sz w:val="21"/>
                <w:szCs w:val="21"/>
                <w:highlight w:val="none"/>
              </w:rPr>
            </w:pPr>
            <w:r>
              <w:rPr>
                <w:rFonts w:hint="eastAsia" w:ascii="宋体" w:hAnsi="宋体"/>
                <w:color w:val="auto"/>
                <w:kern w:val="2"/>
                <w:sz w:val="21"/>
                <w:szCs w:val="21"/>
                <w:highlight w:val="none"/>
                <w:u w:val="single"/>
              </w:rPr>
              <w:t>招标人不集中组织，由投标人自行踏勘</w:t>
            </w:r>
            <w:r>
              <w:rPr>
                <w:rFonts w:hint="eastAsia" w:ascii="宋体" w:hAnsi="宋体"/>
                <w:color w:val="auto"/>
                <w:sz w:val="21"/>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形式及时间：</w:t>
            </w:r>
          </w:p>
          <w:p>
            <w:pPr>
              <w:ind w:firstLine="420" w:firstLineChars="200"/>
              <w:rPr>
                <w:rFonts w:ascii="宋体" w:hAnsi="宋体" w:cs="宋体"/>
                <w:color w:val="auto"/>
                <w:highlight w:val="none"/>
              </w:rPr>
            </w:pPr>
            <w:r>
              <w:rPr>
                <w:rFonts w:hint="eastAsia" w:ascii="宋体" w:hAnsi="宋体" w:cs="宋体"/>
                <w:color w:val="auto"/>
                <w:szCs w:val="21"/>
                <w:highlight w:val="none"/>
                <w:u w:val="single"/>
              </w:rPr>
              <w:t>招标答疑采用网上答疑方式进行。投标人若对招标文件有疑问的，可在规定的时间内通过广州公共资源交易中心数字交易平台提交。</w:t>
            </w:r>
          </w:p>
          <w:p>
            <w:pPr>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投标人应在投标截止时间18日前停止提出答疑问题。招标人应在投标截止时间15日前解答投标人对招标文件提出的疑问，形成答疑纪要，在广州公共资源交易中心网站发布。</w:t>
            </w:r>
          </w:p>
          <w:p>
            <w:pPr>
              <w:rPr>
                <w:rFonts w:ascii="宋体" w:hAnsi="宋体"/>
                <w:color w:val="auto"/>
                <w:szCs w:val="21"/>
                <w:highlight w:val="none"/>
                <w:u w:val="single"/>
              </w:rPr>
            </w:pPr>
            <w:r>
              <w:rPr>
                <w:rFonts w:hint="eastAsia" w:ascii="宋体" w:hAnsi="宋体"/>
                <w:color w:val="auto"/>
                <w:szCs w:val="21"/>
                <w:highlight w:val="none"/>
                <w:u w:val="single"/>
              </w:rPr>
              <w:t>具体操作方法按照广州公共资源交易平台关于全流程电子化项目的相关指南进行操作，详见：广州公共资源交易中心网站发布的最新版操作指引。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auto"/>
                <w:szCs w:val="21"/>
                <w:highlight w:val="none"/>
              </w:rPr>
            </w:pPr>
            <w:r>
              <w:rPr>
                <w:rFonts w:hint="eastAsia" w:ascii="宋体" w:hAnsi="宋体"/>
                <w:color w:val="auto"/>
                <w:szCs w:val="21"/>
                <w:highlight w:val="none"/>
                <w:u w:val="single"/>
              </w:rPr>
              <w:t>2022年</w:t>
            </w:r>
            <w:r>
              <w:rPr>
                <w:rFonts w:hint="eastAsia" w:ascii="宋体" w:hAnsi="宋体"/>
                <w:color w:val="auto"/>
                <w:szCs w:val="21"/>
                <w:highlight w:val="none"/>
              </w:rPr>
              <w:t>月日时</w:t>
            </w:r>
            <w:r>
              <w:rPr>
                <w:rFonts w:hint="eastAsia" w:ascii="宋体" w:hAnsi="宋体" w:cs="仿宋_GB2312"/>
                <w:color w:val="auto"/>
                <w:szCs w:val="21"/>
                <w:highlight w:val="none"/>
              </w:rPr>
              <w:t>分</w:t>
            </w:r>
            <w:r>
              <w:rPr>
                <w:rFonts w:hint="eastAsia" w:ascii="宋体" w:hAnsi="宋体"/>
                <w:color w:val="auto"/>
                <w:szCs w:val="21"/>
                <w:highlight w:val="none"/>
              </w:rPr>
              <w:t>（北京时间）。（具体见招标公告）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（技术标和经济标同时开标）（具体见招标公告）</w:t>
            </w:r>
          </w:p>
          <w:p>
            <w:pPr>
              <w:rPr>
                <w:rFonts w:ascii="宋体" w:hAnsi="宋体"/>
                <w:color w:val="auto"/>
                <w:szCs w:val="21"/>
                <w:highlight w:val="none"/>
                <w:u w:val="single"/>
              </w:rPr>
            </w:pPr>
            <w:r>
              <w:rPr>
                <w:rFonts w:hint="eastAsia" w:ascii="宋体" w:hAnsi="宋体"/>
                <w:color w:val="auto"/>
                <w:szCs w:val="21"/>
                <w:highlight w:val="none"/>
              </w:rPr>
              <w:t>1．开标开始时间：</w:t>
            </w:r>
            <w:r>
              <w:rPr>
                <w:rFonts w:hint="eastAsia" w:ascii="宋体" w:hAnsi="宋体"/>
                <w:color w:val="auto"/>
                <w:szCs w:val="21"/>
                <w:highlight w:val="none"/>
                <w:u w:val="single"/>
              </w:rPr>
              <w:t>2022年</w:t>
            </w:r>
            <w:r>
              <w:rPr>
                <w:rFonts w:hint="eastAsia" w:ascii="宋体" w:hAnsi="宋体"/>
                <w:color w:val="auto"/>
                <w:szCs w:val="21"/>
                <w:highlight w:val="none"/>
              </w:rPr>
              <w:t>月日时分（与</w:t>
            </w:r>
            <w:r>
              <w:rPr>
                <w:rFonts w:ascii="宋体" w:hAnsi="宋体"/>
                <w:color w:val="auto"/>
                <w:szCs w:val="21"/>
                <w:highlight w:val="none"/>
              </w:rPr>
              <w:t>投标截止时间</w:t>
            </w:r>
            <w:r>
              <w:rPr>
                <w:rFonts w:hint="eastAsia" w:ascii="宋体" w:hAnsi="宋体"/>
                <w:color w:val="auto"/>
                <w:szCs w:val="21"/>
                <w:highlight w:val="none"/>
              </w:rPr>
              <w:t>为</w:t>
            </w:r>
            <w:r>
              <w:rPr>
                <w:rFonts w:ascii="宋体" w:hAnsi="宋体"/>
                <w:color w:val="auto"/>
                <w:szCs w:val="21"/>
                <w:highlight w:val="none"/>
              </w:rPr>
              <w:t>同一时间</w:t>
            </w:r>
            <w:r>
              <w:rPr>
                <w:rFonts w:hint="eastAsia" w:ascii="宋体" w:hAnsi="宋体"/>
                <w:color w:val="auto"/>
                <w:szCs w:val="21"/>
                <w:highlight w:val="none"/>
              </w:rPr>
              <w:t>），地点：</w:t>
            </w:r>
            <w:r>
              <w:rPr>
                <w:rFonts w:hint="eastAsia" w:ascii="宋体" w:hAnsi="宋体"/>
                <w:color w:val="auto"/>
                <w:szCs w:val="21"/>
                <w:highlight w:val="none"/>
                <w:u w:val="single"/>
              </w:rPr>
              <w:t>广州公共资源交易中心第   开标室。</w:t>
            </w:r>
          </w:p>
          <w:p>
            <w:pPr>
              <w:rPr>
                <w:rFonts w:ascii="宋体" w:hAnsi="宋体"/>
                <w:color w:val="auto"/>
                <w:szCs w:val="21"/>
                <w:highlight w:val="none"/>
              </w:rPr>
            </w:pPr>
            <w:r>
              <w:rPr>
                <w:rFonts w:hint="eastAsia" w:ascii="宋体" w:hAnsi="宋体"/>
                <w:color w:val="auto"/>
                <w:szCs w:val="21"/>
                <w:highlight w:val="none"/>
              </w:rPr>
              <w:t>注：投标文件解密问题。投标人只用执行一次解密，招标人执行解密次数根据招标文件开标次数确定。</w:t>
            </w:r>
          </w:p>
          <w:p>
            <w:pPr>
              <w:rPr>
                <w:rFonts w:ascii="宋体" w:hAnsi="宋体"/>
                <w:b/>
                <w:color w:val="auto"/>
                <w:szCs w:val="21"/>
                <w:highlight w:val="none"/>
              </w:rPr>
            </w:pPr>
            <w:r>
              <w:rPr>
                <w:rFonts w:hint="eastAsia" w:ascii="宋体" w:hAnsi="宋体"/>
                <w:color w:val="auto"/>
                <w:szCs w:val="21"/>
                <w:highlight w:val="none"/>
              </w:rPr>
              <w:t>2.递交投标文件备用U盘时间：</w:t>
            </w:r>
            <w:r>
              <w:rPr>
                <w:rFonts w:hint="eastAsia" w:ascii="宋体" w:hAnsi="宋体"/>
                <w:color w:val="auto"/>
                <w:szCs w:val="21"/>
                <w:highlight w:val="none"/>
                <w:u w:val="single"/>
              </w:rPr>
              <w:t>2022年</w:t>
            </w:r>
            <w:r>
              <w:rPr>
                <w:rFonts w:hint="eastAsia" w:ascii="宋体" w:hAnsi="宋体"/>
                <w:color w:val="auto"/>
                <w:szCs w:val="21"/>
                <w:highlight w:val="none"/>
              </w:rPr>
              <w:t>月日时分至年月日时分；递交地点：</w:t>
            </w:r>
            <w:r>
              <w:rPr>
                <w:rFonts w:hint="eastAsia" w:ascii="宋体" w:hAnsi="宋体"/>
                <w:color w:val="auto"/>
                <w:szCs w:val="21"/>
                <w:highlight w:val="none"/>
                <w:u w:val="single"/>
              </w:rPr>
              <w:t>广州公共资源交易中心第   开标室。（广州市南沙区环市大道中成汇街2号）</w:t>
            </w:r>
            <w:r>
              <w:rPr>
                <w:rFonts w:hint="eastAsia" w:ascii="宋体" w:hAnsi="宋体"/>
                <w:color w:val="auto"/>
                <w:szCs w:val="21"/>
                <w:highlight w:val="none"/>
              </w:rPr>
              <w:t>。</w:t>
            </w:r>
            <w:r>
              <w:rPr>
                <w:rFonts w:hint="eastAsia" w:ascii="宋体" w:hAnsi="宋体"/>
                <w:b/>
                <w:color w:val="auto"/>
                <w:szCs w:val="21"/>
                <w:highlight w:val="none"/>
              </w:rPr>
              <w:t>(在投标文件截止时间前15分钟至投标文件截止时间）</w:t>
            </w:r>
          </w:p>
          <w:p>
            <w:pPr>
              <w:rPr>
                <w:rFonts w:ascii="宋体" w:hAnsi="宋体"/>
                <w:color w:val="auto"/>
                <w:szCs w:val="21"/>
                <w:highlight w:val="none"/>
                <w:u w:val="single"/>
              </w:rPr>
            </w:pPr>
            <w:r>
              <w:rPr>
                <w:rFonts w:hint="eastAsia" w:ascii="宋体" w:hAnsi="宋体"/>
                <w:color w:val="auto"/>
                <w:szCs w:val="21"/>
                <w:highlight w:val="none"/>
                <w:u w:val="single"/>
              </w:rPr>
              <w:t>3.递交定标辅助文件时间</w:t>
            </w:r>
            <w:r>
              <w:rPr>
                <w:rFonts w:hint="eastAsia" w:ascii="宋体" w:hAnsi="宋体"/>
                <w:b/>
                <w:color w:val="auto"/>
                <w:szCs w:val="21"/>
                <w:highlight w:val="none"/>
                <w:u w:val="single"/>
              </w:rPr>
              <w:t>（与递交投标文件备用U盘时间一致）</w:t>
            </w:r>
            <w:r>
              <w:rPr>
                <w:rFonts w:hint="eastAsia" w:ascii="宋体" w:hAnsi="宋体"/>
                <w:color w:val="auto"/>
                <w:szCs w:val="21"/>
                <w:highlight w:val="none"/>
                <w:u w:val="single"/>
              </w:rPr>
              <w:t>；递交后由交易中心见证人员进行封存，中标候选人公示结束后在交易中心见证人员的见证下开封，并由招标人从交易中心提取。</w:t>
            </w:r>
          </w:p>
          <w:p>
            <w:pPr>
              <w:rPr>
                <w:rFonts w:ascii="宋体" w:hAnsi="宋体"/>
                <w:color w:val="auto"/>
                <w:szCs w:val="21"/>
                <w:highlight w:val="none"/>
              </w:rPr>
            </w:pPr>
            <w:r>
              <w:rPr>
                <w:rFonts w:hint="eastAsia" w:ascii="宋体" w:hAnsi="宋体"/>
                <w:color w:val="auto"/>
                <w:szCs w:val="21"/>
                <w:highlight w:val="none"/>
              </w:rPr>
              <w:t>递交地点：</w:t>
            </w:r>
            <w:r>
              <w:rPr>
                <w:rFonts w:hint="eastAsia" w:ascii="宋体" w:hAnsi="宋体"/>
                <w:b/>
                <w:color w:val="auto"/>
                <w:szCs w:val="21"/>
                <w:highlight w:val="none"/>
              </w:rPr>
              <w:t>（与递交投标文件备用U盘时间一致）</w:t>
            </w: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s="仿宋_GB2312"/>
                <w:color w:val="auto"/>
                <w:szCs w:val="21"/>
                <w:highlight w:val="none"/>
              </w:rPr>
              <w:t>上述时间及地点是否有改变，请密切留意</w:t>
            </w:r>
            <w:r>
              <w:rPr>
                <w:rFonts w:hint="eastAsia" w:ascii="宋体" w:hAnsi="宋体" w:cs="宋体"/>
                <w:color w:val="auto"/>
                <w:szCs w:val="21"/>
                <w:highlight w:val="none"/>
                <w:u w:val="single"/>
              </w:rPr>
              <w:t>广州公共资源交易中心网站公布</w:t>
            </w:r>
            <w:r>
              <w:rPr>
                <w:rFonts w:hint="eastAsia" w:ascii="宋体" w:hAnsi="宋体" w:cs="仿宋_GB2312"/>
                <w:color w:val="auto"/>
                <w:szCs w:val="21"/>
                <w:highlight w:val="none"/>
              </w:rPr>
              <w:t>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vMerge w:val="restart"/>
            <w:tcBorders>
              <w:top w:val="single" w:color="auto" w:sz="4" w:space="0"/>
              <w:left w:val="doub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19</w:t>
            </w:r>
          </w:p>
        </w:tc>
        <w:tc>
          <w:tcPr>
            <w:tcW w:w="981" w:type="dxa"/>
            <w:vMerge w:val="restart"/>
            <w:tcBorders>
              <w:top w:val="single" w:color="auto" w:sz="4" w:space="0"/>
              <w:left w:val="single" w:color="auto" w:sz="4" w:space="0"/>
              <w:right w:val="sing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35.10</w:t>
            </w:r>
          </w:p>
        </w:tc>
        <w:tc>
          <w:tcPr>
            <w:tcW w:w="1810" w:type="dxa"/>
            <w:vMerge w:val="restart"/>
            <w:tcBorders>
              <w:top w:val="single" w:color="auto" w:sz="4" w:space="0"/>
              <w:left w:val="single" w:color="auto" w:sz="4" w:space="0"/>
              <w:right w:val="sing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采用评定分离定标办法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5"/>
              <w:ind w:firstLine="0"/>
              <w:rPr>
                <w:rFonts w:ascii="宋体" w:hAnsi="宋体"/>
                <w:color w:val="auto"/>
                <w:kern w:val="2"/>
                <w:sz w:val="21"/>
                <w:szCs w:val="21"/>
                <w:highlight w:val="none"/>
                <w:u w:val="single"/>
              </w:rPr>
            </w:pPr>
            <w:r>
              <w:rPr>
                <w:rFonts w:hint="eastAsia" w:ascii="宋体" w:hAnsi="宋体"/>
                <w:color w:val="auto"/>
                <w:kern w:val="2"/>
                <w:sz w:val="21"/>
                <w:szCs w:val="21"/>
                <w:highlight w:val="none"/>
                <w:u w:val="single"/>
              </w:rPr>
              <w:t>评标办法：通过制评审法</w:t>
            </w:r>
          </w:p>
          <w:p>
            <w:pPr>
              <w:pStyle w:val="5"/>
              <w:rPr>
                <w:rFonts w:ascii="宋体" w:hAnsi="宋体"/>
                <w:color w:val="auto"/>
                <w:kern w:val="2"/>
                <w:sz w:val="21"/>
                <w:szCs w:val="21"/>
                <w:highlight w:val="none"/>
                <w:u w:val="single"/>
              </w:rPr>
            </w:pPr>
            <w:r>
              <w:rPr>
                <w:rFonts w:hint="eastAsia" w:ascii="宋体" w:hAnsi="宋体"/>
                <w:color w:val="auto"/>
                <w:kern w:val="2"/>
                <w:sz w:val="21"/>
                <w:szCs w:val="21"/>
                <w:highlight w:val="none"/>
                <w:u w:val="single"/>
              </w:rPr>
              <w:t>评标委员会对投标文件进行资格审查，再对通过资格审查的投标文件经济标和技术标进行有效性审查，评出合格的中标候选人。若通过有效性审查的合格投标人大于等于</w:t>
            </w:r>
            <w:r>
              <w:rPr>
                <w:rFonts w:ascii="宋体" w:hAnsi="宋体"/>
                <w:color w:val="auto"/>
                <w:kern w:val="2"/>
                <w:sz w:val="21"/>
                <w:szCs w:val="21"/>
                <w:highlight w:val="none"/>
                <w:u w:val="single"/>
              </w:rPr>
              <w:t>3家的，则全部通过有效性审查的合格</w:t>
            </w:r>
            <w:r>
              <w:rPr>
                <w:rFonts w:hint="eastAsia" w:ascii="宋体" w:hAnsi="宋体"/>
                <w:color w:val="auto"/>
                <w:kern w:val="2"/>
                <w:sz w:val="21"/>
                <w:szCs w:val="21"/>
                <w:highlight w:val="none"/>
                <w:u w:val="single"/>
              </w:rPr>
              <w:t>中标候选人均</w:t>
            </w:r>
            <w:r>
              <w:rPr>
                <w:rFonts w:ascii="宋体" w:hAnsi="宋体"/>
                <w:color w:val="auto"/>
                <w:kern w:val="2"/>
                <w:sz w:val="21"/>
                <w:szCs w:val="21"/>
                <w:highlight w:val="none"/>
                <w:u w:val="single"/>
              </w:rPr>
              <w:t>进入定标阶段；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702" w:type="dxa"/>
            <w:vMerge w:val="continue"/>
            <w:tcBorders>
              <w:left w:val="double" w:color="auto" w:sz="4" w:space="0"/>
              <w:bottom w:val="single" w:color="auto" w:sz="4" w:space="0"/>
              <w:right w:val="single" w:color="auto" w:sz="4" w:space="0"/>
            </w:tcBorders>
            <w:vAlign w:val="center"/>
          </w:tcPr>
          <w:p>
            <w:pPr>
              <w:rPr>
                <w:rFonts w:ascii="宋体" w:hAnsi="宋体"/>
                <w:color w:val="auto"/>
                <w:szCs w:val="21"/>
                <w:highlight w:val="none"/>
              </w:rPr>
            </w:pPr>
          </w:p>
        </w:tc>
        <w:tc>
          <w:tcPr>
            <w:tcW w:w="981" w:type="dxa"/>
            <w:vMerge w:val="continue"/>
            <w:tcBorders>
              <w:left w:val="single" w:color="auto" w:sz="4" w:space="0"/>
              <w:bottom w:val="single" w:color="auto" w:sz="4" w:space="0"/>
              <w:right w:val="single" w:color="auto" w:sz="4" w:space="0"/>
            </w:tcBorders>
            <w:vAlign w:val="center"/>
          </w:tcPr>
          <w:p>
            <w:pPr>
              <w:rPr>
                <w:rFonts w:ascii="宋体" w:hAnsi="宋体"/>
                <w:color w:val="auto"/>
                <w:szCs w:val="21"/>
                <w:highlight w:val="none"/>
                <w:u w:val="single"/>
              </w:rPr>
            </w:pPr>
          </w:p>
        </w:tc>
        <w:tc>
          <w:tcPr>
            <w:tcW w:w="1810" w:type="dxa"/>
            <w:vMerge w:val="continue"/>
            <w:tcBorders>
              <w:left w:val="single" w:color="auto" w:sz="4" w:space="0"/>
              <w:bottom w:val="single" w:color="auto" w:sz="4" w:space="0"/>
              <w:right w:val="single" w:color="auto" w:sz="4" w:space="0"/>
            </w:tcBorders>
            <w:vAlign w:val="center"/>
          </w:tcPr>
          <w:p>
            <w:pPr>
              <w:rPr>
                <w:rFonts w:ascii="宋体" w:hAnsi="宋体"/>
                <w:color w:val="auto"/>
                <w:szCs w:val="21"/>
                <w:highlight w:val="none"/>
                <w:u w:val="single"/>
              </w:rPr>
            </w:pPr>
          </w:p>
        </w:tc>
        <w:tc>
          <w:tcPr>
            <w:tcW w:w="5857" w:type="dxa"/>
            <w:tcBorders>
              <w:top w:val="single" w:color="auto" w:sz="4" w:space="0"/>
              <w:left w:val="single" w:color="auto" w:sz="4" w:space="0"/>
              <w:bottom w:val="single" w:color="auto" w:sz="4" w:space="0"/>
              <w:right w:val="double" w:color="auto" w:sz="4" w:space="0"/>
            </w:tcBorders>
            <w:vAlign w:val="center"/>
          </w:tcPr>
          <w:p>
            <w:pPr>
              <w:pStyle w:val="5"/>
              <w:ind w:firstLine="0"/>
              <w:rPr>
                <w:rFonts w:ascii="宋体" w:hAnsi="宋体"/>
                <w:color w:val="auto"/>
                <w:kern w:val="2"/>
                <w:sz w:val="21"/>
                <w:szCs w:val="21"/>
                <w:highlight w:val="none"/>
                <w:u w:val="single"/>
              </w:rPr>
            </w:pPr>
            <w:r>
              <w:rPr>
                <w:rFonts w:hint="eastAsia" w:ascii="宋体" w:hAnsi="宋体"/>
                <w:color w:val="auto"/>
                <w:kern w:val="2"/>
                <w:sz w:val="21"/>
                <w:szCs w:val="21"/>
                <w:highlight w:val="none"/>
                <w:u w:val="single"/>
              </w:rPr>
              <w:t>定标办法：本项目采用 “记名投票+撰写评语” 定标方法。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auto"/>
                <w:szCs w:val="21"/>
                <w:highlight w:val="none"/>
                <w:u w:val="single"/>
              </w:rPr>
            </w:pPr>
            <w:r>
              <w:rPr>
                <w:rFonts w:hint="eastAsia" w:ascii="宋体" w:hAnsi="宋体" w:cs="宋体"/>
                <w:color w:val="auto"/>
                <w:highlight w:val="none"/>
              </w:rPr>
              <w:t>不提供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详见《最高投标限价公布函》</w:t>
            </w:r>
            <w:r>
              <w:rPr>
                <w:rFonts w:hint="eastAsia"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详见《最高投标限价公布函》。</w:t>
            </w:r>
            <w:r>
              <w:rPr>
                <w:rFonts w:hint="eastAsia" w:ascii="宋体" w:hAnsi="宋体" w:cs="宋体"/>
                <w:color w:val="auto"/>
                <w:szCs w:val="21"/>
                <w:highlight w:val="none"/>
              </w:rPr>
              <w:t>（未按招标文件规定的金额填写的，由评标委员会按照招标文件规定的金额进行修正）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5"/>
              <w:ind w:firstLine="0"/>
              <w:rPr>
                <w:rFonts w:ascii="宋体" w:hAnsi="宋体"/>
                <w:color w:val="auto"/>
                <w:kern w:val="2"/>
                <w:sz w:val="21"/>
                <w:szCs w:val="21"/>
                <w:highlight w:val="none"/>
              </w:rPr>
            </w:pPr>
            <w:r>
              <w:rPr>
                <w:rFonts w:hint="eastAsia" w:ascii="宋体" w:hAnsi="宋体"/>
                <w:color w:val="auto"/>
                <w:kern w:val="2"/>
                <w:sz w:val="21"/>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color w:val="auto"/>
                <w:szCs w:val="21"/>
                <w:highlight w:val="none"/>
              </w:rPr>
            </w:pPr>
            <w:r>
              <w:rPr>
                <w:rFonts w:ascii="宋体" w:hAnsi="宋体"/>
                <w:strike/>
                <w:color w:val="auto"/>
                <w:szCs w:val="21"/>
                <w:highlight w:val="none"/>
              </w:rPr>
              <w:t>2</w:t>
            </w:r>
            <w:r>
              <w:rPr>
                <w:rFonts w:hint="eastAsia" w:ascii="宋体" w:hAnsi="宋体"/>
                <w:strike/>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color w:val="auto"/>
                <w:szCs w:val="21"/>
                <w:highlight w:val="none"/>
                <w:u w:val="singl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计算评标参考价的等分点值</w:t>
            </w:r>
            <w:r>
              <w:rPr>
                <w:rFonts w:ascii="宋体" w:hAnsi="宋体"/>
                <w:strike/>
                <w:color w:val="auto"/>
                <w:szCs w:val="21"/>
                <w:highlight w:val="none"/>
              </w:rPr>
              <w:t>X</w:t>
            </w:r>
            <w:r>
              <w:rPr>
                <w:rFonts w:hint="eastAsia" w:ascii="宋体" w:hAnsi="宋体"/>
                <w:strike/>
                <w:color w:val="auto"/>
                <w:szCs w:val="21"/>
                <w:highlight w:val="none"/>
              </w:rPr>
              <w:t>从[0,100] 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①通过技术有效性审查的投标人均进入第二阶段（适用于通过技术有效性审查家数在[3,  ]中的）。</w:t>
            </w:r>
          </w:p>
          <w:p>
            <w:pPr>
              <w:rPr>
                <w:rFonts w:ascii="宋体" w:hAnsi="宋体"/>
                <w:strike/>
                <w:color w:val="auto"/>
                <w:szCs w:val="21"/>
                <w:highlight w:val="none"/>
              </w:rPr>
            </w:pPr>
            <w:r>
              <w:rPr>
                <w:rFonts w:hint="eastAsia" w:ascii="宋体" w:hAnsi="宋体"/>
                <w:strike/>
                <w:color w:val="auto"/>
                <w:szCs w:val="21"/>
                <w:highlight w:val="none"/>
              </w:rPr>
              <w:t>②将第一阶段得分由高至低排序，前   名投标人进入第二阶段评审（适用于通过技术有效性审查家数大于  家的，招标人可根据工程具体情况，确定不少于   家进入第二阶段）。</w:t>
            </w:r>
          </w:p>
          <w:p>
            <w:pPr>
              <w:rPr>
                <w:rFonts w:ascii="宋体" w:hAnsi="宋体"/>
                <w:strike/>
                <w:color w:val="auto"/>
                <w:szCs w:val="21"/>
                <w:highlight w:val="none"/>
              </w:rPr>
            </w:pPr>
            <w:r>
              <w:rPr>
                <w:rFonts w:hint="eastAsia" w:ascii="宋体" w:hAnsi="宋体"/>
                <w:strike/>
                <w:color w:val="auto"/>
                <w:szCs w:val="21"/>
                <w:highlight w:val="none"/>
              </w:rPr>
              <w:t>注：本款适用于选择评标办法一至评标办法六。进入第二阶段的投标人家数应符合行政监管部门的要求。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工程成本警戒价为元</w:t>
            </w:r>
            <w:r>
              <w:rPr>
                <w:rFonts w:hint="eastAsia" w:ascii="宋体" w:hAnsi="宋体" w:cs="Arial"/>
                <w:strike/>
                <w:color w:val="auto"/>
                <w:szCs w:val="21"/>
                <w:highlight w:val="none"/>
              </w:rPr>
              <w:t>（最高投标限价×</w:t>
            </w:r>
            <w:r>
              <w:rPr>
                <w:rFonts w:hint="eastAsia" w:ascii="宋体" w:hAnsi="宋体" w:cs="Arial"/>
                <w:strike/>
                <w:color w:val="auto"/>
                <w:szCs w:val="21"/>
                <w:highlight w:val="none"/>
                <w:u w:val="single"/>
              </w:rPr>
              <w:t>90</w:t>
            </w:r>
            <w:r>
              <w:rPr>
                <w:rFonts w:hint="eastAsia" w:ascii="宋体" w:hAnsi="宋体" w:cs="Arial"/>
                <w:strike/>
                <w:color w:val="auto"/>
                <w:szCs w:val="21"/>
                <w:highlight w:val="none"/>
              </w:rPr>
              <w:t>%）</w:t>
            </w:r>
            <w:r>
              <w:rPr>
                <w:rFonts w:hint="eastAsia" w:ascii="宋体" w:hAnsi="宋体"/>
                <w:strike/>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olor w:val="auto"/>
                <w:szCs w:val="21"/>
                <w:highlight w:val="none"/>
                <w:u w:val="single"/>
              </w:rPr>
            </w:pPr>
            <w:r>
              <w:rPr>
                <w:rFonts w:hint="eastAsia" w:ascii="宋体" w:hAnsi="宋体"/>
                <w:strike/>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strike/>
                <w:color w:val="auto"/>
                <w:szCs w:val="21"/>
                <w:highlight w:val="none"/>
              </w:rPr>
            </w:pPr>
            <w:r>
              <w:rPr>
                <w:rFonts w:hint="eastAsia"/>
                <w:strike/>
                <w:color w:val="auto"/>
                <w:szCs w:val="21"/>
                <w:highlight w:val="none"/>
              </w:rPr>
              <w:t>第一阶段各分值的权重：技术分权重为</w:t>
            </w:r>
            <w:r>
              <w:rPr>
                <w:strike/>
                <w:color w:val="auto"/>
                <w:szCs w:val="21"/>
                <w:highlight w:val="none"/>
              </w:rPr>
              <w:t>%，综合诚信评价分数权重为%。</w:t>
            </w:r>
          </w:p>
          <w:p>
            <w:pPr>
              <w:rPr>
                <w:color w:val="auto"/>
                <w:szCs w:val="21"/>
                <w:highlight w:val="none"/>
              </w:rPr>
            </w:pPr>
            <w:r>
              <w:rPr>
                <w:rFonts w:hint="eastAsia"/>
                <w:strike/>
                <w:color w:val="auto"/>
                <w:szCs w:val="21"/>
                <w:highlight w:val="none"/>
              </w:rPr>
              <w:t>注：综合诚信评价得分权重按</w:t>
            </w:r>
            <w:r>
              <w:rPr>
                <w:rFonts w:hint="eastAsia"/>
                <w:b/>
                <w:strike/>
                <w:color w:val="auto"/>
                <w:szCs w:val="21"/>
                <w:highlight w:val="none"/>
              </w:rPr>
              <w:t>《关于诚信综合评价在招标投标环节中应用的指引》（招标</w:t>
            </w:r>
            <w:r>
              <w:rPr>
                <w:b/>
                <w:strike/>
                <w:color w:val="auto"/>
                <w:szCs w:val="21"/>
                <w:highlight w:val="none"/>
              </w:rPr>
              <w:t>投标指引</w:t>
            </w:r>
            <w:r>
              <w:rPr>
                <w:rFonts w:hint="eastAsia"/>
                <w:b/>
                <w:strike/>
                <w:color w:val="auto"/>
                <w:szCs w:val="21"/>
                <w:highlight w:val="none"/>
              </w:rPr>
              <w:t>2020年</w:t>
            </w:r>
            <w:r>
              <w:rPr>
                <w:b/>
                <w:strike/>
                <w:color w:val="auto"/>
                <w:szCs w:val="21"/>
                <w:highlight w:val="none"/>
              </w:rPr>
              <w:t>第</w:t>
            </w:r>
            <w:r>
              <w:rPr>
                <w:rFonts w:hint="eastAsia"/>
                <w:b/>
                <w:strike/>
                <w:color w:val="auto"/>
                <w:szCs w:val="21"/>
                <w:highlight w:val="none"/>
              </w:rPr>
              <w:t>6期）</w:t>
            </w:r>
            <w:r>
              <w:rPr>
                <w:strike/>
                <w:color w:val="auto"/>
                <w:szCs w:val="21"/>
                <w:highlight w:val="none"/>
              </w:rPr>
              <w:t>规定执行，招标人可在[0,20%]选择。技术分权重=100%-综合诚信评价得分权重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48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进入定标阶段的合格中标候选人</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通过技术标和经济标有效性审查的投标人均进入定标阶段。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702" w:type="dxa"/>
            <w:vMerge w:val="restart"/>
            <w:tcBorders>
              <w:top w:val="single" w:color="auto" w:sz="4" w:space="0"/>
              <w:left w:val="doub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37.1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Merge w:val="continue"/>
            <w:tcBorders>
              <w:left w:val="double" w:color="auto" w:sz="4" w:space="0"/>
              <w:bottom w:val="single" w:color="auto" w:sz="4" w:space="0"/>
              <w:right w:val="single" w:color="auto" w:sz="4" w:space="0"/>
            </w:tcBorders>
            <w:vAlign w:val="center"/>
          </w:tcPr>
          <w:p>
            <w:pPr>
              <w:rPr>
                <w:rFonts w:ascii="宋体" w:hAnsi="宋体"/>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39</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定标委员会人数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定标委员会由招标人依法组建。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本项目的企业综合诚信评价分数，以排名为准。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color w:val="auto"/>
                <w:szCs w:val="21"/>
                <w:highlight w:val="none"/>
              </w:rPr>
            </w:pPr>
            <w:r>
              <w:rPr>
                <w:rFonts w:hint="eastAsia" w:ascii="宋体" w:hAnsi="宋体"/>
                <w:strike/>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 xml:space="preserve">选取方法     </w:t>
            </w:r>
          </w:p>
          <w:p>
            <w:pPr>
              <w:rPr>
                <w:rFonts w:ascii="宋体" w:hAnsi="宋体"/>
                <w:strike/>
                <w:color w:val="auto"/>
                <w:szCs w:val="21"/>
                <w:highlight w:val="none"/>
              </w:rPr>
            </w:pPr>
            <w:r>
              <w:rPr>
                <w:rFonts w:hint="eastAsia" w:ascii="宋体" w:hAnsi="宋体"/>
                <w:strike/>
                <w:color w:val="auto"/>
                <w:szCs w:val="21"/>
                <w:highlight w:val="none"/>
              </w:rPr>
              <w:t xml:space="preserve">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 </w:t>
            </w:r>
          </w:p>
          <w:p>
            <w:pPr>
              <w:rPr>
                <w:rFonts w:ascii="宋体" w:hAnsi="宋体"/>
                <w:strike/>
                <w:color w:val="auto"/>
                <w:szCs w:val="21"/>
                <w:highlight w:val="none"/>
              </w:rPr>
            </w:pPr>
            <w:r>
              <w:rPr>
                <w:rFonts w:hint="eastAsia" w:ascii="宋体" w:hAnsi="宋体"/>
                <w:strike/>
                <w:color w:val="auto"/>
                <w:szCs w:val="21"/>
                <w:highlight w:val="none"/>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pPr>
              <w:rPr>
                <w:rFonts w:ascii="宋体" w:hAnsi="宋体"/>
                <w:strike/>
                <w:color w:val="auto"/>
                <w:szCs w:val="21"/>
                <w:highlight w:val="none"/>
              </w:rPr>
            </w:pPr>
            <w:r>
              <w:rPr>
                <w:rFonts w:hint="eastAsia" w:ascii="宋体" w:hAnsi="宋体"/>
                <w:strike/>
                <w:color w:val="auto"/>
                <w:szCs w:val="21"/>
                <w:highlight w:val="none"/>
              </w:rPr>
              <w:t>方法三： （由招标人自行确定）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 xml:space="preserve">选取方法     </w:t>
            </w:r>
          </w:p>
          <w:p>
            <w:pPr>
              <w:rPr>
                <w:rFonts w:ascii="宋体" w:hAnsi="宋体"/>
                <w:strike/>
                <w:color w:val="auto"/>
                <w:szCs w:val="21"/>
                <w:highlight w:val="none"/>
              </w:rPr>
            </w:pPr>
            <w:r>
              <w:rPr>
                <w:rFonts w:hint="eastAsia" w:ascii="宋体" w:hAnsi="宋体"/>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pPr>
              <w:rPr>
                <w:rFonts w:ascii="宋体" w:hAnsi="宋体"/>
                <w:strike/>
                <w:color w:val="auto"/>
                <w:szCs w:val="21"/>
                <w:highlight w:val="none"/>
              </w:rPr>
            </w:pPr>
            <w:r>
              <w:rPr>
                <w:rFonts w:hint="eastAsia" w:ascii="宋体" w:hAnsi="宋体"/>
                <w:strike/>
                <w:color w:val="auto"/>
                <w:szCs w:val="21"/>
                <w:highlight w:val="none"/>
              </w:rPr>
              <w:t>方法二：经济分相同的投标文件，由评标委员会采用随机方式，确定投标人的排序。</w:t>
            </w:r>
          </w:p>
          <w:p>
            <w:pPr>
              <w:rPr>
                <w:rFonts w:ascii="宋体" w:hAnsi="宋体"/>
                <w:strike/>
                <w:color w:val="auto"/>
                <w:szCs w:val="21"/>
                <w:highlight w:val="none"/>
              </w:rPr>
            </w:pPr>
            <w:r>
              <w:rPr>
                <w:rFonts w:hint="eastAsia" w:ascii="宋体" w:hAnsi="宋体"/>
                <w:strike/>
                <w:color w:val="auto"/>
                <w:szCs w:val="21"/>
                <w:highlight w:val="none"/>
              </w:rPr>
              <w:t>方法三：  （由招标人自行确定）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auto"/>
                <w:szCs w:val="21"/>
                <w:highlight w:val="none"/>
              </w:rPr>
            </w:pPr>
            <w:r>
              <w:rPr>
                <w:rFonts w:hint="eastAsia" w:ascii="宋体" w:hAnsi="宋体"/>
                <w:strike/>
                <w:color w:val="auto"/>
                <w:szCs w:val="21"/>
                <w:highlight w:val="none"/>
              </w:rPr>
              <w:t>选取方法</w:t>
            </w:r>
          </w:p>
          <w:p>
            <w:pPr>
              <w:rPr>
                <w:rFonts w:ascii="宋体" w:hAnsi="宋体"/>
                <w:strike/>
                <w:color w:val="auto"/>
                <w:szCs w:val="21"/>
                <w:highlight w:val="none"/>
              </w:rPr>
            </w:pPr>
            <w:r>
              <w:rPr>
                <w:rFonts w:hint="eastAsia" w:ascii="宋体" w:hAnsi="宋体"/>
                <w:strike/>
                <w:color w:val="auto"/>
                <w:szCs w:val="21"/>
                <w:highlight w:val="none"/>
              </w:rPr>
              <w:t>方法一：评标委员会按照“总分=的公式，计算各有效投标文件的总分，并按照总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pPr>
              <w:rPr>
                <w:rFonts w:ascii="宋体" w:hAnsi="宋体"/>
                <w:strike/>
                <w:color w:val="auto"/>
                <w:szCs w:val="21"/>
                <w:highlight w:val="none"/>
              </w:rPr>
            </w:pPr>
            <w:r>
              <w:rPr>
                <w:rFonts w:hint="eastAsia" w:ascii="宋体" w:hAnsi="宋体"/>
                <w:strike/>
                <w:color w:val="auto"/>
                <w:szCs w:val="21"/>
                <w:highlight w:val="none"/>
              </w:rPr>
              <w:t>方法二：  （由招标人自行确定）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bCs/>
                <w:color w:val="auto"/>
                <w:szCs w:val="21"/>
                <w:highlight w:val="none"/>
                <w:u w:val="single"/>
              </w:rPr>
              <w:t>按</w:t>
            </w:r>
            <w:r>
              <w:rPr>
                <w:rFonts w:ascii="宋体" w:hAnsi="宋体"/>
                <w:bCs/>
                <w:color w:val="auto"/>
                <w:szCs w:val="21"/>
                <w:highlight w:val="none"/>
                <w:u w:val="single"/>
              </w:rPr>
              <w:t>合同</w:t>
            </w:r>
            <w:r>
              <w:rPr>
                <w:rFonts w:hint="eastAsia" w:ascii="宋体" w:hAnsi="宋体"/>
                <w:bCs/>
                <w:color w:val="auto"/>
                <w:szCs w:val="21"/>
                <w:highlight w:val="none"/>
                <w:u w:val="single"/>
              </w:rPr>
              <w:t>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kern w:val="0"/>
                <w:szCs w:val="21"/>
                <w:highlight w:val="none"/>
                <w:lang w:val="zh-CN"/>
              </w:rPr>
              <w:t>建设工程质量检测管理办法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highlight w:val="none"/>
                <w:lang w:val="zh-CN"/>
              </w:rPr>
            </w:pPr>
            <w:r>
              <w:rPr>
                <w:rFonts w:hint="eastAsia" w:ascii="宋体" w:hAnsi="宋体"/>
                <w:color w:val="auto"/>
                <w:szCs w:val="21"/>
                <w:highlight w:val="none"/>
                <w:lang w:val="zh-CN"/>
              </w:rPr>
              <w:t>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olor w:val="auto"/>
                <w:szCs w:val="21"/>
                <w:highlight w:val="none"/>
              </w:rPr>
              <w:t>不允许；</w:t>
            </w:r>
          </w:p>
          <w:p>
            <w:pPr>
              <w:rPr>
                <w:rFonts w:ascii="宋体" w:hAnsi="宋体"/>
                <w:color w:val="auto"/>
                <w:szCs w:val="21"/>
                <w:highlight w:val="none"/>
              </w:rPr>
            </w:pPr>
            <w:r>
              <w:rPr>
                <w:rFonts w:hint="eastAsia" w:ascii="宋体" w:hAnsi="宋体"/>
                <w:color w:val="auto"/>
                <w:szCs w:val="21"/>
                <w:highlight w:val="none"/>
              </w:rPr>
              <w:t>□允许，分包内容要求：对于非主体、非关键性工程，投标人不具备相应资质的，需经招标人审核批准后分包给具有相应资质和能力的专业单位实施。</w:t>
            </w:r>
          </w:p>
          <w:p>
            <w:pPr>
              <w:rPr>
                <w:rFonts w:ascii="宋体" w:hAnsi="宋体"/>
                <w:color w:val="auto"/>
                <w:szCs w:val="21"/>
                <w:highlight w:val="none"/>
              </w:rPr>
            </w:pPr>
            <w:r>
              <w:rPr>
                <w:rFonts w:hint="eastAsia" w:ascii="宋体" w:hAnsi="宋体"/>
                <w:color w:val="auto"/>
                <w:szCs w:val="21"/>
                <w:highlight w:val="none"/>
              </w:rPr>
              <w:t>分包金额要求：按国家现行规定执行。</w:t>
            </w:r>
          </w:p>
          <w:p>
            <w:pPr>
              <w:rPr>
                <w:rFonts w:ascii="宋体" w:hAnsi="宋体"/>
                <w:color w:val="auto"/>
                <w:kern w:val="0"/>
                <w:szCs w:val="21"/>
                <w:highlight w:val="none"/>
                <w:lang w:val="zh-CN"/>
              </w:rPr>
            </w:pPr>
            <w:r>
              <w:rPr>
                <w:rFonts w:hint="eastAsia" w:ascii="宋体" w:hAnsi="宋体"/>
                <w:color w:val="auto"/>
                <w:szCs w:val="21"/>
                <w:highlight w:val="none"/>
              </w:rPr>
              <w:t>对分包人的资格要求：按国家资质管理规定执行。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u w:val="single"/>
              </w:rPr>
            </w:pPr>
            <w:r>
              <w:rPr>
                <w:rFonts w:hint="eastAsia" w:ascii="宋体" w:hAnsi="宋体"/>
                <w:color w:val="auto"/>
                <w:szCs w:val="21"/>
                <w:highlight w:val="none"/>
                <w:u w:val="single"/>
              </w:rPr>
              <w:t>36.5.2</w:t>
            </w: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bCs/>
                <w:color w:val="auto"/>
                <w:kern w:val="0"/>
                <w:szCs w:val="21"/>
                <w:highlight w:val="none"/>
                <w:u w:val="single"/>
              </w:rPr>
              <w:t>广州公共资源交易中心网站</w:t>
            </w:r>
            <w:r>
              <w:rPr>
                <w:rFonts w:hint="eastAsia" w:ascii="宋体" w:hAnsi="宋体" w:cs="Courier New"/>
                <w:color w:val="auto"/>
                <w:szCs w:val="21"/>
                <w:highlight w:val="none"/>
              </w:rPr>
              <w:t xml:space="preserve">。  </w:t>
            </w:r>
          </w:p>
          <w:p>
            <w:pPr>
              <w:rPr>
                <w:rFonts w:ascii="宋体" w:hAnsi="宋体" w:cs="Courier New"/>
                <w:color w:val="auto"/>
                <w:szCs w:val="21"/>
                <w:highlight w:val="none"/>
              </w:rPr>
            </w:pPr>
            <w:r>
              <w:rPr>
                <w:rFonts w:hint="eastAsia" w:ascii="宋体" w:hAnsi="宋体" w:cs="Courier New"/>
                <w:color w:val="auto"/>
                <w:szCs w:val="21"/>
                <w:highlight w:val="none"/>
              </w:rPr>
              <w:t>2、提交投标文件U盘备用</w:t>
            </w:r>
          </w:p>
          <w:p>
            <w:pPr>
              <w:rPr>
                <w:rFonts w:ascii="宋体" w:hAnsi="宋体" w:cs="Courier New"/>
                <w:b/>
                <w:color w:val="auto"/>
                <w:szCs w:val="21"/>
                <w:highlight w:val="none"/>
                <w:u w:val="single"/>
              </w:rPr>
            </w:pPr>
            <w:r>
              <w:rPr>
                <w:rFonts w:hint="eastAsia" w:ascii="宋体" w:hAnsi="宋体" w:cs="Courier New"/>
                <w:color w:val="auto"/>
                <w:szCs w:val="21"/>
                <w:highlight w:val="none"/>
              </w:rPr>
              <w:t>投标人可制作非加密的电子投标文件（PDF格式）存入U盘（1份），在投标须知前附表第18项规定的时间、地点提交备用。投标文件U盘密封在密封袋中，并在封口处加盖投标人单位公章。密封袋上应写明项目名称和招标人名称。递交的U盘不得加密。U盘无法读取或导入的，则视为未提交备用投标文件U盘。如果投标人没有按规定通过交易平台网上递交电子投标文件的，不再读取提交的U盘。投标人也可不提交备用U盘。</w:t>
            </w:r>
          </w:p>
          <w:p>
            <w:pPr>
              <w:rPr>
                <w:rFonts w:ascii="宋体" w:hAnsi="宋体" w:cs="Courier New"/>
                <w:color w:val="auto"/>
                <w:szCs w:val="21"/>
                <w:highlight w:val="none"/>
              </w:rPr>
            </w:pPr>
            <w:r>
              <w:rPr>
                <w:rFonts w:hint="eastAsia" w:ascii="宋体" w:hAnsi="宋体" w:cs="Courier New"/>
                <w:color w:val="auto"/>
                <w:szCs w:val="21"/>
                <w:highlight w:val="none"/>
              </w:rPr>
              <w:t xml:space="preserve"> 3、补救方案</w:t>
            </w:r>
          </w:p>
          <w:p>
            <w:pPr>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pPr>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U盘内容，继续开标程序。评标委员会对其投标文件的评审以U盘内容为准。因投标人之外原因解密失败且未递交电子U盘的，视为撤回投标文件。</w:t>
            </w:r>
          </w:p>
          <w:p>
            <w:pPr>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pPr>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若遇不可抗力发生（指网络瘫痪、服务器损坏、交易系统故障短期无法恢复等因素），由评标委员会开启投标人递交的全部投标文件U盘，并按U盘内容进行评审。</w:t>
            </w:r>
          </w:p>
          <w:p>
            <w:pPr>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38</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t>工人工资分账管理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highlight w:val="none"/>
                <w:lang w:val="zh-CN"/>
              </w:rPr>
            </w:pPr>
            <w:r>
              <w:rPr>
                <w:rFonts w:hint="eastAsia" w:ascii="宋体" w:hAnsi="宋体"/>
                <w:bCs/>
                <w:color w:val="auto"/>
                <w:kern w:val="0"/>
                <w:szCs w:val="21"/>
                <w:highlight w:val="none"/>
              </w:rPr>
              <w:t>本项目按照《关于印发广州市建设领域工人工资支付分账管理实施细则的通知》（穗建规字〔2020〕37号）实行工人工资分账管理。</w:t>
            </w:r>
          </w:p>
        </w:tc>
      </w:tr>
    </w:tbl>
    <w:p>
      <w:pPr>
        <w:pStyle w:val="111"/>
        <w:tabs>
          <w:tab w:val="left" w:pos="3663"/>
        </w:tabs>
        <w:rPr>
          <w:color w:val="auto"/>
          <w:highlight w:val="none"/>
        </w:rPr>
      </w:pPr>
    </w:p>
    <w:p>
      <w:pPr>
        <w:pStyle w:val="111"/>
        <w:rPr>
          <w:color w:val="auto"/>
          <w:highlight w:val="none"/>
        </w:rPr>
      </w:pPr>
      <w:r>
        <w:rPr>
          <w:color w:val="auto"/>
          <w:highlight w:val="none"/>
        </w:rPr>
        <w:br w:type="page"/>
      </w:r>
      <w:bookmarkStart w:id="2" w:name="_Toc80289061"/>
      <w:r>
        <w:rPr>
          <w:rFonts w:hint="eastAsia"/>
          <w:color w:val="auto"/>
          <w:highlight w:val="none"/>
        </w:rPr>
        <w:t>二、投标须知修改表</w:t>
      </w:r>
      <w:bookmarkEnd w:id="2"/>
    </w:p>
    <w:p>
      <w:pPr>
        <w:pStyle w:val="5"/>
        <w:spacing w:line="360" w:lineRule="auto"/>
        <w:rPr>
          <w:rFonts w:ascii="宋体" w:hAnsi="宋体"/>
          <w:b/>
          <w:color w:val="auto"/>
          <w:szCs w:val="21"/>
          <w:highlight w:val="none"/>
        </w:rPr>
      </w:pPr>
      <w:r>
        <w:rPr>
          <w:rFonts w:hint="eastAsia" w:ascii="宋体" w:hAnsi="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ascii="宋体" w:hAnsi="宋体"/>
          <w:b/>
          <w:color w:val="auto"/>
          <w:szCs w:val="21"/>
          <w:highlight w:val="none"/>
        </w:rPr>
        <w:t>http://zfcj.gz.gov.cn/</w:t>
      </w:r>
      <w:r>
        <w:rPr>
          <w:rFonts w:hint="eastAsia" w:ascii="宋体" w:hAnsi="宋体"/>
          <w:b/>
          <w:color w:val="auto"/>
          <w:szCs w:val="21"/>
          <w:highlight w:val="none"/>
        </w:rPr>
        <w:t>）下载查阅。</w:t>
      </w:r>
    </w:p>
    <w:p>
      <w:pPr>
        <w:spacing w:line="480" w:lineRule="auto"/>
        <w:ind w:firstLine="540" w:firstLineChars="224"/>
        <w:rPr>
          <w:rFonts w:ascii="宋体" w:hAnsi="宋体"/>
          <w:b/>
          <w:color w:val="auto"/>
          <w:sz w:val="24"/>
          <w:szCs w:val="24"/>
          <w:highlight w:val="none"/>
        </w:rPr>
      </w:pPr>
      <w:r>
        <w:rPr>
          <w:rFonts w:hint="eastAsia" w:ascii="宋体" w:hAnsi="宋体"/>
          <w:b/>
          <w:color w:val="auto"/>
          <w:sz w:val="24"/>
          <w:szCs w:val="24"/>
          <w:highlight w:val="none"/>
        </w:rPr>
        <w:t>条款号：5.1修改类型：修改</w:t>
      </w:r>
    </w:p>
    <w:p>
      <w:pPr>
        <w:spacing w:line="440" w:lineRule="exact"/>
        <w:ind w:firstLine="540" w:firstLineChars="224"/>
        <w:rPr>
          <w:rFonts w:ascii="宋体" w:hAnsi="宋体"/>
          <w:b/>
          <w:color w:val="auto"/>
          <w:sz w:val="24"/>
          <w:szCs w:val="24"/>
          <w:highlight w:val="none"/>
        </w:rPr>
      </w:pPr>
      <w:r>
        <w:rPr>
          <w:rFonts w:ascii="宋体" w:hAnsi="宋体"/>
          <w:b/>
          <w:color w:val="auto"/>
          <w:sz w:val="24"/>
          <w:szCs w:val="24"/>
          <w:highlight w:val="none"/>
        </w:rPr>
        <w:t>原文</w:t>
      </w:r>
      <w:r>
        <w:rPr>
          <w:rFonts w:hint="eastAsia" w:ascii="宋体" w:hAnsi="宋体"/>
          <w:b/>
          <w:color w:val="auto"/>
          <w:sz w:val="24"/>
          <w:szCs w:val="24"/>
          <w:highlight w:val="none"/>
        </w:rPr>
        <w:t>：</w:t>
      </w:r>
      <w:r>
        <w:rPr>
          <w:rFonts w:hint="eastAsia" w:ascii="宋体" w:hAnsi="宋体"/>
          <w:bCs/>
          <w:color w:val="auto"/>
          <w:sz w:val="24"/>
          <w:szCs w:val="24"/>
          <w:highlight w:val="none"/>
        </w:rPr>
        <w:t>投标人应按本投标须知前附表第</w:t>
      </w:r>
      <w:r>
        <w:rPr>
          <w:rFonts w:ascii="宋体" w:hAnsi="宋体"/>
          <w:bCs/>
          <w:color w:val="auto"/>
          <w:sz w:val="24"/>
          <w:szCs w:val="24"/>
          <w:highlight w:val="none"/>
        </w:rPr>
        <w:t>15</w:t>
      </w:r>
      <w:r>
        <w:rPr>
          <w:rFonts w:hint="eastAsia" w:ascii="宋体" w:hAnsi="宋体"/>
          <w:bCs/>
          <w:color w:val="auto"/>
          <w:sz w:val="24"/>
          <w:szCs w:val="24"/>
          <w:highlight w:val="none"/>
        </w:rPr>
        <w:t>项所述时间和要求对工程现场及周围环境进行踏勘，</w:t>
      </w:r>
      <w:r>
        <w:rPr>
          <w:rFonts w:hint="eastAsia" w:ascii="宋体" w:hAnsi="宋体"/>
          <w:color w:val="auto"/>
          <w:sz w:val="24"/>
          <w:szCs w:val="24"/>
          <w:highlight w:val="none"/>
        </w:rPr>
        <w:t>投标人应充分重视和仔细地进行这种考察，</w:t>
      </w:r>
      <w:r>
        <w:rPr>
          <w:rFonts w:hint="eastAsia" w:ascii="宋体" w:hAnsi="宋体"/>
          <w:bCs/>
          <w:color w:val="auto"/>
          <w:sz w:val="24"/>
          <w:szCs w:val="24"/>
          <w:highlight w:val="none"/>
        </w:rPr>
        <w:t>以便投标人获取</w:t>
      </w:r>
      <w:r>
        <w:rPr>
          <w:rFonts w:hint="eastAsia" w:ascii="宋体" w:hAnsi="宋体"/>
          <w:color w:val="auto"/>
          <w:sz w:val="24"/>
          <w:szCs w:val="24"/>
          <w:highlight w:val="none"/>
        </w:rPr>
        <w:t>那些须投标人自己负责的</w:t>
      </w:r>
      <w:r>
        <w:rPr>
          <w:rFonts w:hint="eastAsia" w:ascii="宋体" w:hAnsi="宋体"/>
          <w:bCs/>
          <w:color w:val="auto"/>
          <w:sz w:val="24"/>
          <w:szCs w:val="24"/>
          <w:highlight w:val="none"/>
        </w:rPr>
        <w:t>有关编制投标文件和签署合同所涉及现场所有的资料。</w:t>
      </w:r>
      <w:r>
        <w:rPr>
          <w:rFonts w:hint="eastAsia" w:ascii="宋体" w:hAnsi="宋体"/>
          <w:color w:val="auto"/>
          <w:sz w:val="24"/>
          <w:szCs w:val="24"/>
          <w:highlight w:val="none"/>
        </w:rPr>
        <w:t>一旦中标，这种考察即被认为其结果已在中标文件中得到充分反映。考察现场的费用由投标人自己承担。</w:t>
      </w:r>
    </w:p>
    <w:p>
      <w:pPr>
        <w:pBdr>
          <w:bottom w:val="single" w:color="auto" w:sz="6" w:space="1"/>
        </w:pBdr>
        <w:spacing w:line="440" w:lineRule="exact"/>
        <w:ind w:firstLine="540" w:firstLineChars="224"/>
        <w:rPr>
          <w:rFonts w:ascii="宋体" w:hAnsi="宋体"/>
          <w:b/>
          <w:color w:val="auto"/>
          <w:sz w:val="24"/>
          <w:szCs w:val="24"/>
          <w:highlight w:val="none"/>
        </w:rPr>
      </w:pPr>
      <w:r>
        <w:rPr>
          <w:rFonts w:hint="eastAsia" w:ascii="宋体" w:hAnsi="宋体"/>
          <w:b/>
          <w:color w:val="auto"/>
          <w:sz w:val="24"/>
          <w:szCs w:val="24"/>
          <w:highlight w:val="none"/>
        </w:rPr>
        <w:t>现文：</w:t>
      </w:r>
      <w:r>
        <w:rPr>
          <w:rFonts w:hint="eastAsia" w:ascii="宋体" w:hAnsi="宋体"/>
          <w:bCs/>
          <w:color w:val="auto"/>
          <w:sz w:val="24"/>
          <w:szCs w:val="24"/>
          <w:highlight w:val="none"/>
        </w:rPr>
        <w:t>投标人应按本投标须知前附表第</w:t>
      </w:r>
      <w:r>
        <w:rPr>
          <w:rFonts w:ascii="宋体" w:hAnsi="宋体"/>
          <w:bCs/>
          <w:color w:val="auto"/>
          <w:sz w:val="24"/>
          <w:szCs w:val="24"/>
          <w:highlight w:val="none"/>
        </w:rPr>
        <w:t>15</w:t>
      </w:r>
      <w:r>
        <w:rPr>
          <w:rFonts w:hint="eastAsia" w:ascii="宋体" w:hAnsi="宋体"/>
          <w:bCs/>
          <w:color w:val="auto"/>
          <w:sz w:val="24"/>
          <w:szCs w:val="24"/>
          <w:highlight w:val="none"/>
        </w:rPr>
        <w:t>项所述时间和要求对工程现场及周围环境进行踏勘，</w:t>
      </w:r>
      <w:r>
        <w:rPr>
          <w:rFonts w:hint="eastAsia" w:ascii="宋体" w:hAnsi="宋体"/>
          <w:color w:val="auto"/>
          <w:sz w:val="24"/>
          <w:szCs w:val="24"/>
          <w:highlight w:val="none"/>
        </w:rPr>
        <w:t>投标人应充分重视和仔细地进行这种考察，</w:t>
      </w:r>
      <w:r>
        <w:rPr>
          <w:rFonts w:hint="eastAsia" w:ascii="宋体" w:hAnsi="宋体"/>
          <w:bCs/>
          <w:color w:val="auto"/>
          <w:sz w:val="24"/>
          <w:szCs w:val="24"/>
          <w:highlight w:val="none"/>
        </w:rPr>
        <w:t>以便投标人获取</w:t>
      </w:r>
      <w:r>
        <w:rPr>
          <w:rFonts w:hint="eastAsia" w:ascii="宋体" w:hAnsi="宋体"/>
          <w:color w:val="auto"/>
          <w:sz w:val="24"/>
          <w:szCs w:val="24"/>
          <w:highlight w:val="none"/>
        </w:rPr>
        <w:t>那些须投标人自己负责的</w:t>
      </w:r>
      <w:r>
        <w:rPr>
          <w:rFonts w:hint="eastAsia" w:ascii="宋体" w:hAnsi="宋体"/>
          <w:bCs/>
          <w:color w:val="auto"/>
          <w:sz w:val="24"/>
          <w:szCs w:val="24"/>
          <w:highlight w:val="none"/>
        </w:rPr>
        <w:t>有关编制投标文件和签署合同所涉及现场所有的资料。</w:t>
      </w:r>
      <w:r>
        <w:rPr>
          <w:rFonts w:hint="eastAsia" w:ascii="宋体" w:hAnsi="宋体"/>
          <w:bCs/>
          <w:color w:val="auto"/>
          <w:sz w:val="24"/>
          <w:szCs w:val="24"/>
          <w:highlight w:val="none"/>
          <w:u w:val="single"/>
        </w:rPr>
        <w:t>投标人不进行踏勘的，视为已熟知现场条件，自行承担相关风险。</w:t>
      </w:r>
      <w:r>
        <w:rPr>
          <w:rFonts w:hint="eastAsia" w:ascii="宋体" w:hAnsi="宋体"/>
          <w:color w:val="auto"/>
          <w:sz w:val="24"/>
          <w:szCs w:val="24"/>
          <w:highlight w:val="none"/>
        </w:rPr>
        <w:t>一旦中标，这种考察即被认为其结果已在中标文件中得到充分反映。考察现场的费用由投标人自己承担。</w:t>
      </w:r>
    </w:p>
    <w:p>
      <w:pPr>
        <w:spacing w:line="440" w:lineRule="exact"/>
        <w:ind w:firstLine="540" w:firstLineChars="224"/>
        <w:rPr>
          <w:rFonts w:ascii="宋体" w:hAnsi="宋体"/>
          <w:b/>
          <w:color w:val="auto"/>
          <w:sz w:val="24"/>
          <w:szCs w:val="24"/>
          <w:highlight w:val="none"/>
        </w:rPr>
      </w:pPr>
      <w:r>
        <w:rPr>
          <w:rFonts w:hint="eastAsia" w:ascii="宋体" w:hAnsi="宋体"/>
          <w:b/>
          <w:color w:val="auto"/>
          <w:sz w:val="24"/>
          <w:szCs w:val="24"/>
          <w:highlight w:val="none"/>
        </w:rPr>
        <w:t>条款号：</w:t>
      </w:r>
      <w:r>
        <w:rPr>
          <w:rFonts w:ascii="宋体" w:hAnsi="宋体"/>
          <w:b/>
          <w:color w:val="auto"/>
          <w:sz w:val="24"/>
          <w:szCs w:val="24"/>
          <w:highlight w:val="none"/>
        </w:rPr>
        <w:t xml:space="preserve">8.1              </w:t>
      </w:r>
      <w:r>
        <w:rPr>
          <w:rFonts w:hint="eastAsia" w:ascii="宋体" w:hAnsi="宋体"/>
          <w:b/>
          <w:color w:val="auto"/>
          <w:sz w:val="24"/>
          <w:szCs w:val="24"/>
          <w:highlight w:val="none"/>
        </w:rPr>
        <w:t>修改类型：修改</w:t>
      </w:r>
    </w:p>
    <w:p>
      <w:pPr>
        <w:pBdr>
          <w:bottom w:val="single" w:color="auto" w:sz="6" w:space="1"/>
        </w:pBdr>
        <w:spacing w:line="440" w:lineRule="exact"/>
        <w:ind w:firstLine="540" w:firstLineChars="224"/>
        <w:rPr>
          <w:rFonts w:ascii="宋体" w:hAnsi="宋体"/>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投标人若对招标文件（包括招标图纸）中有疑问，可以书面形式通过交易平台提交给招标人或招标代理人，提交形式见本须知前附表第</w:t>
      </w:r>
      <w:r>
        <w:rPr>
          <w:rFonts w:ascii="宋体" w:hAnsi="宋体"/>
          <w:color w:val="auto"/>
          <w:sz w:val="24"/>
          <w:szCs w:val="24"/>
          <w:highlight w:val="none"/>
        </w:rPr>
        <w:t>16</w:t>
      </w:r>
      <w:r>
        <w:rPr>
          <w:rFonts w:hint="eastAsia" w:ascii="宋体" w:hAnsi="宋体"/>
          <w:color w:val="auto"/>
          <w:sz w:val="24"/>
          <w:szCs w:val="24"/>
          <w:highlight w:val="none"/>
        </w:rPr>
        <w:t>项。</w:t>
      </w:r>
    </w:p>
    <w:p>
      <w:pPr>
        <w:pBdr>
          <w:bottom w:val="single" w:color="auto" w:sz="6" w:space="1"/>
        </w:pBdr>
        <w:spacing w:line="440" w:lineRule="exact"/>
        <w:ind w:firstLine="540" w:firstLineChars="224"/>
        <w:rPr>
          <w:rFonts w:ascii="宋体" w:hAnsi="宋体"/>
          <w:b/>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rPr>
        <w:t>投标人若对招标文件（包括招标图纸）中有疑问，可以书面形式通过</w:t>
      </w:r>
      <w:r>
        <w:rPr>
          <w:rFonts w:hint="eastAsia" w:ascii="宋体" w:hAnsi="宋体"/>
          <w:color w:val="auto"/>
          <w:sz w:val="24"/>
          <w:szCs w:val="24"/>
          <w:highlight w:val="none"/>
          <w:u w:val="single"/>
        </w:rPr>
        <w:t>广州</w:t>
      </w:r>
      <w:r>
        <w:rPr>
          <w:rFonts w:ascii="宋体" w:hAnsi="宋体"/>
          <w:color w:val="auto"/>
          <w:sz w:val="24"/>
          <w:szCs w:val="24"/>
          <w:highlight w:val="none"/>
          <w:u w:val="single"/>
        </w:rPr>
        <w:t>公共资源交易中心</w:t>
      </w:r>
      <w:r>
        <w:rPr>
          <w:rFonts w:hint="eastAsia" w:ascii="宋体" w:hAnsi="宋体"/>
          <w:color w:val="auto"/>
          <w:sz w:val="24"/>
          <w:szCs w:val="24"/>
          <w:highlight w:val="none"/>
        </w:rPr>
        <w:t>交易平台提交给招标人或招标代理人，提交形式和</w:t>
      </w:r>
      <w:r>
        <w:rPr>
          <w:rFonts w:ascii="宋体" w:hAnsi="宋体"/>
          <w:color w:val="auto"/>
          <w:sz w:val="24"/>
          <w:szCs w:val="24"/>
          <w:highlight w:val="none"/>
        </w:rPr>
        <w:t>时间</w:t>
      </w:r>
      <w:r>
        <w:rPr>
          <w:rFonts w:hint="eastAsia" w:ascii="宋体" w:hAnsi="宋体"/>
          <w:color w:val="auto"/>
          <w:sz w:val="24"/>
          <w:szCs w:val="24"/>
          <w:highlight w:val="none"/>
        </w:rPr>
        <w:t>见本须知前附表第</w:t>
      </w:r>
      <w:r>
        <w:rPr>
          <w:rFonts w:ascii="宋体" w:hAnsi="宋体"/>
          <w:color w:val="auto"/>
          <w:sz w:val="24"/>
          <w:szCs w:val="24"/>
          <w:highlight w:val="none"/>
        </w:rPr>
        <w:t>16</w:t>
      </w:r>
      <w:r>
        <w:rPr>
          <w:rFonts w:hint="eastAsia" w:ascii="宋体" w:hAnsi="宋体"/>
          <w:color w:val="auto"/>
          <w:sz w:val="24"/>
          <w:szCs w:val="24"/>
          <w:highlight w:val="none"/>
        </w:rPr>
        <w:t>项。</w:t>
      </w:r>
    </w:p>
    <w:p>
      <w:pPr>
        <w:spacing w:line="440" w:lineRule="exact"/>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w:t>
      </w:r>
      <w:r>
        <w:rPr>
          <w:rFonts w:ascii="宋体" w:hAnsi="宋体"/>
          <w:b/>
          <w:color w:val="auto"/>
          <w:sz w:val="24"/>
          <w:szCs w:val="24"/>
          <w:highlight w:val="none"/>
        </w:rPr>
        <w:t>8.</w:t>
      </w:r>
      <w:r>
        <w:rPr>
          <w:rFonts w:hint="eastAsia" w:ascii="宋体" w:hAnsi="宋体"/>
          <w:b/>
          <w:color w:val="auto"/>
          <w:sz w:val="24"/>
          <w:szCs w:val="24"/>
          <w:highlight w:val="none"/>
        </w:rPr>
        <w:t>2-8.4修改类型：修改</w:t>
      </w:r>
    </w:p>
    <w:p>
      <w:pPr>
        <w:pStyle w:val="5"/>
        <w:spacing w:after="0" w:line="440" w:lineRule="exact"/>
        <w:ind w:firstLine="590" w:firstLineChars="245"/>
        <w:rPr>
          <w:rFonts w:ascii="宋体" w:hAnsi="宋体"/>
          <w:color w:val="auto"/>
          <w:sz w:val="24"/>
          <w:szCs w:val="24"/>
          <w:highlight w:val="none"/>
        </w:rPr>
      </w:pPr>
      <w:r>
        <w:rPr>
          <w:rFonts w:hint="eastAsia" w:ascii="宋体" w:hAnsi="宋体"/>
          <w:b/>
          <w:color w:val="auto"/>
          <w:sz w:val="24"/>
          <w:szCs w:val="24"/>
          <w:highlight w:val="none"/>
        </w:rPr>
        <w:t>原文：8.2</w:t>
      </w:r>
      <w:r>
        <w:rPr>
          <w:rFonts w:hint="eastAsia" w:ascii="宋体" w:hAnsi="宋体"/>
          <w:color w:val="auto"/>
          <w:sz w:val="24"/>
          <w:szCs w:val="24"/>
          <w:highlight w:val="none"/>
        </w:rPr>
        <w:t>招标答疑会会议纪要将在提交投标文件截止时间15日前在交易平台 “项目答疑纪要”专区公开发布。答疑纪要一经在交易平台发布，视作已发放给所有投标人。</w:t>
      </w:r>
    </w:p>
    <w:p>
      <w:pPr>
        <w:pStyle w:val="5"/>
        <w:spacing w:line="440" w:lineRule="exact"/>
        <w:ind w:firstLine="588" w:firstLineChars="245"/>
        <w:rPr>
          <w:rFonts w:ascii="宋体" w:hAnsi="宋体"/>
          <w:color w:val="auto"/>
          <w:sz w:val="24"/>
          <w:szCs w:val="24"/>
          <w:highlight w:val="none"/>
        </w:rPr>
      </w:pPr>
      <w:r>
        <w:rPr>
          <w:rFonts w:ascii="宋体" w:hAnsi="宋体"/>
          <w:color w:val="auto"/>
          <w:sz w:val="24"/>
          <w:szCs w:val="24"/>
          <w:highlight w:val="none"/>
        </w:rPr>
        <w:t>8.3</w:t>
      </w:r>
      <w:r>
        <w:rPr>
          <w:rFonts w:hint="eastAsia" w:ascii="宋体" w:hAnsi="宋体"/>
          <w:color w:val="auto"/>
          <w:sz w:val="24"/>
          <w:szCs w:val="24"/>
          <w:highlight w:val="none"/>
        </w:rPr>
        <w:t>答疑会会议纪要为招标文件的一部分。</w:t>
      </w:r>
    </w:p>
    <w:p>
      <w:pPr>
        <w:pStyle w:val="5"/>
        <w:spacing w:after="0" w:line="440" w:lineRule="exact"/>
        <w:ind w:firstLine="588" w:firstLineChars="245"/>
        <w:rPr>
          <w:rFonts w:ascii="宋体" w:hAnsi="宋体"/>
          <w:color w:val="auto"/>
          <w:sz w:val="24"/>
          <w:szCs w:val="24"/>
          <w:highlight w:val="none"/>
        </w:rPr>
      </w:pPr>
      <w:r>
        <w:rPr>
          <w:rFonts w:ascii="宋体" w:hAnsi="宋体"/>
          <w:color w:val="auto"/>
          <w:sz w:val="24"/>
          <w:szCs w:val="24"/>
          <w:highlight w:val="none"/>
        </w:rPr>
        <w:t>8.4</w:t>
      </w:r>
      <w:r>
        <w:rPr>
          <w:rFonts w:hint="eastAsia" w:ascii="宋体" w:hAnsi="宋体"/>
          <w:color w:val="auto"/>
          <w:sz w:val="24"/>
          <w:szCs w:val="24"/>
          <w:highlight w:val="none"/>
        </w:rPr>
        <w:t>若招标答疑会会议纪要与招标文件有矛盾，以答疑会议纪要最后发出的书面形式的文件为准。</w:t>
      </w:r>
    </w:p>
    <w:p>
      <w:pPr>
        <w:pStyle w:val="5"/>
        <w:spacing w:after="0"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现文：8.2</w:t>
      </w:r>
      <w:r>
        <w:rPr>
          <w:rFonts w:hint="eastAsia" w:ascii="宋体" w:hAnsi="宋体"/>
          <w:color w:val="auto"/>
          <w:sz w:val="24"/>
          <w:szCs w:val="24"/>
          <w:highlight w:val="none"/>
          <w:u w:val="single"/>
        </w:rPr>
        <w:t>招标答疑纪要</w:t>
      </w:r>
      <w:r>
        <w:rPr>
          <w:rFonts w:hint="eastAsia" w:ascii="宋体" w:hAnsi="宋体"/>
          <w:color w:val="auto"/>
          <w:sz w:val="24"/>
          <w:szCs w:val="24"/>
          <w:highlight w:val="none"/>
        </w:rPr>
        <w:t>将在提交投标文件截止时间15日前在</w:t>
      </w:r>
      <w:r>
        <w:rPr>
          <w:rFonts w:hint="eastAsia" w:ascii="宋体" w:hAnsi="宋体"/>
          <w:color w:val="auto"/>
          <w:sz w:val="24"/>
          <w:szCs w:val="24"/>
          <w:highlight w:val="none"/>
          <w:u w:val="single"/>
        </w:rPr>
        <w:t>广州</w:t>
      </w:r>
      <w:r>
        <w:rPr>
          <w:rFonts w:ascii="宋体" w:hAnsi="宋体"/>
          <w:color w:val="auto"/>
          <w:sz w:val="24"/>
          <w:szCs w:val="24"/>
          <w:highlight w:val="none"/>
          <w:u w:val="single"/>
        </w:rPr>
        <w:t xml:space="preserve">公共资源交易中心  </w:t>
      </w:r>
      <w:r>
        <w:rPr>
          <w:rFonts w:hint="eastAsia" w:ascii="宋体" w:hAnsi="宋体"/>
          <w:color w:val="auto"/>
          <w:sz w:val="24"/>
          <w:szCs w:val="24"/>
          <w:highlight w:val="none"/>
        </w:rPr>
        <w:t>交易平台 “项目答疑纪要”专区公开发布。答疑纪要一经在</w:t>
      </w:r>
      <w:r>
        <w:rPr>
          <w:rFonts w:hint="eastAsia" w:ascii="宋体" w:hAnsi="宋体"/>
          <w:color w:val="auto"/>
          <w:sz w:val="24"/>
          <w:szCs w:val="24"/>
          <w:highlight w:val="none"/>
          <w:u w:val="single"/>
        </w:rPr>
        <w:t>广州</w:t>
      </w:r>
      <w:r>
        <w:rPr>
          <w:rFonts w:ascii="宋体" w:hAnsi="宋体"/>
          <w:color w:val="auto"/>
          <w:sz w:val="24"/>
          <w:szCs w:val="24"/>
          <w:highlight w:val="none"/>
          <w:u w:val="single"/>
        </w:rPr>
        <w:t>公共资源交易中心</w:t>
      </w:r>
      <w:r>
        <w:rPr>
          <w:rFonts w:hint="eastAsia" w:ascii="宋体" w:hAnsi="宋体"/>
          <w:color w:val="auto"/>
          <w:sz w:val="24"/>
          <w:szCs w:val="24"/>
          <w:highlight w:val="none"/>
        </w:rPr>
        <w:t>交易平台发布，视作已发放给所有投标人。</w:t>
      </w:r>
    </w:p>
    <w:p>
      <w:pPr>
        <w:pStyle w:val="5"/>
        <w:spacing w:after="0" w:line="360" w:lineRule="auto"/>
        <w:ind w:firstLine="597" w:firstLineChars="249"/>
        <w:rPr>
          <w:rFonts w:ascii="宋体"/>
          <w:color w:val="auto"/>
          <w:sz w:val="24"/>
          <w:highlight w:val="none"/>
        </w:rPr>
      </w:pPr>
      <w:r>
        <w:rPr>
          <w:rFonts w:ascii="宋体" w:hAnsi="宋体"/>
          <w:color w:val="auto"/>
          <w:sz w:val="24"/>
          <w:highlight w:val="none"/>
        </w:rPr>
        <w:t>8.3</w:t>
      </w:r>
      <w:r>
        <w:rPr>
          <w:rFonts w:hint="eastAsia" w:ascii="宋体" w:hAnsi="宋体"/>
          <w:color w:val="auto"/>
          <w:sz w:val="24"/>
          <w:szCs w:val="24"/>
          <w:highlight w:val="none"/>
          <w:u w:val="single"/>
        </w:rPr>
        <w:t>招标答疑纪要</w:t>
      </w:r>
      <w:r>
        <w:rPr>
          <w:rFonts w:hint="eastAsia" w:ascii="宋体" w:hAnsi="宋体"/>
          <w:color w:val="auto"/>
          <w:sz w:val="24"/>
          <w:highlight w:val="none"/>
        </w:rPr>
        <w:t>为招标文件的一部分。</w:t>
      </w:r>
    </w:p>
    <w:p>
      <w:pPr>
        <w:pBdr>
          <w:bottom w:val="single" w:color="auto" w:sz="6" w:space="1"/>
        </w:pBdr>
        <w:spacing w:line="440" w:lineRule="exact"/>
        <w:ind w:firstLine="588" w:firstLineChars="245"/>
        <w:rPr>
          <w:rFonts w:ascii="宋体" w:hAnsi="宋体"/>
          <w:b/>
          <w:color w:val="auto"/>
          <w:sz w:val="24"/>
          <w:szCs w:val="24"/>
          <w:highlight w:val="none"/>
        </w:rPr>
      </w:pPr>
      <w:r>
        <w:rPr>
          <w:rFonts w:ascii="宋体" w:hAnsi="宋体"/>
          <w:color w:val="auto"/>
          <w:sz w:val="24"/>
          <w:highlight w:val="none"/>
        </w:rPr>
        <w:t>8.4</w:t>
      </w:r>
      <w:r>
        <w:rPr>
          <w:rFonts w:hint="eastAsia" w:ascii="宋体" w:hAnsi="宋体"/>
          <w:color w:val="auto"/>
          <w:sz w:val="24"/>
          <w:highlight w:val="none"/>
        </w:rPr>
        <w:t>若</w:t>
      </w:r>
      <w:r>
        <w:rPr>
          <w:rFonts w:hint="eastAsia" w:ascii="宋体" w:hAnsi="宋体"/>
          <w:color w:val="auto"/>
          <w:sz w:val="24"/>
          <w:szCs w:val="24"/>
          <w:highlight w:val="none"/>
          <w:u w:val="single"/>
        </w:rPr>
        <w:t>招标答疑纪要</w:t>
      </w:r>
      <w:r>
        <w:rPr>
          <w:rFonts w:hint="eastAsia" w:ascii="宋体" w:hAnsi="宋体"/>
          <w:color w:val="auto"/>
          <w:sz w:val="24"/>
          <w:highlight w:val="none"/>
        </w:rPr>
        <w:t>与招标文件有矛盾，以</w:t>
      </w:r>
      <w:r>
        <w:rPr>
          <w:rFonts w:hint="eastAsia" w:ascii="宋体" w:hAnsi="宋体"/>
          <w:color w:val="auto"/>
          <w:sz w:val="24"/>
          <w:szCs w:val="24"/>
          <w:highlight w:val="none"/>
          <w:u w:val="single"/>
        </w:rPr>
        <w:t>招标答疑纪要</w:t>
      </w:r>
      <w:r>
        <w:rPr>
          <w:rFonts w:hint="eastAsia" w:ascii="宋体" w:hAnsi="宋体"/>
          <w:color w:val="auto"/>
          <w:sz w:val="24"/>
          <w:highlight w:val="none"/>
        </w:rPr>
        <w:t>最后发出的书面形式的文件为准。</w:t>
      </w:r>
    </w:p>
    <w:p>
      <w:pPr>
        <w:spacing w:line="440" w:lineRule="exact"/>
        <w:ind w:firstLine="540" w:firstLineChars="224"/>
        <w:rPr>
          <w:rFonts w:ascii="宋体" w:hAnsi="宋体"/>
          <w:b/>
          <w:color w:val="auto"/>
          <w:sz w:val="24"/>
          <w:szCs w:val="24"/>
          <w:highlight w:val="none"/>
        </w:rPr>
      </w:pPr>
      <w:r>
        <w:rPr>
          <w:rFonts w:hint="eastAsia" w:ascii="宋体" w:hAnsi="宋体"/>
          <w:b/>
          <w:color w:val="auto"/>
          <w:sz w:val="24"/>
          <w:szCs w:val="24"/>
          <w:highlight w:val="none"/>
        </w:rPr>
        <w:t>条款号：9.2修改类型：修改</w:t>
      </w:r>
    </w:p>
    <w:p>
      <w:pPr>
        <w:pBdr>
          <w:bottom w:val="single" w:color="auto" w:sz="6" w:space="1"/>
        </w:pBdr>
        <w:spacing w:line="440" w:lineRule="exact"/>
        <w:ind w:firstLine="540" w:firstLineChars="224"/>
        <w:rPr>
          <w:rFonts w:ascii="宋体" w:hAnsi="宋体"/>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招标文件的澄清或修改将在交易平台“项目答疑纪要”专区公开发布。答疑纪要一经在交易平台发布，视作已发放给所有投标人，以交易平台上网发布时间作为送达时间。</w:t>
      </w:r>
    </w:p>
    <w:p>
      <w:pPr>
        <w:pBdr>
          <w:bottom w:val="single" w:color="auto" w:sz="6" w:space="1"/>
        </w:pBdr>
        <w:spacing w:line="440" w:lineRule="exact"/>
        <w:ind w:firstLine="540" w:firstLineChars="224"/>
        <w:rPr>
          <w:rFonts w:ascii="宋体" w:hAnsi="宋体"/>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rPr>
        <w:t>招标文件的澄清或修改将在</w:t>
      </w:r>
      <w:r>
        <w:rPr>
          <w:rFonts w:hint="eastAsia" w:ascii="宋体" w:hAnsi="宋体"/>
          <w:color w:val="auto"/>
          <w:sz w:val="24"/>
          <w:szCs w:val="24"/>
          <w:highlight w:val="none"/>
          <w:u w:val="single"/>
        </w:rPr>
        <w:t>广州</w:t>
      </w:r>
      <w:r>
        <w:rPr>
          <w:rFonts w:ascii="宋体" w:hAnsi="宋体"/>
          <w:color w:val="auto"/>
          <w:sz w:val="24"/>
          <w:szCs w:val="24"/>
          <w:highlight w:val="none"/>
          <w:u w:val="single"/>
        </w:rPr>
        <w:t>公共资源交易中心</w:t>
      </w:r>
      <w:r>
        <w:rPr>
          <w:rFonts w:hint="eastAsia" w:ascii="宋体" w:hAnsi="宋体"/>
          <w:color w:val="auto"/>
          <w:sz w:val="24"/>
          <w:szCs w:val="24"/>
          <w:highlight w:val="none"/>
        </w:rPr>
        <w:t>交易平台“项目答疑纪要”专区公开发布。答疑纪要一经在</w:t>
      </w:r>
      <w:r>
        <w:rPr>
          <w:rFonts w:hint="eastAsia" w:ascii="宋体" w:hAnsi="宋体"/>
          <w:color w:val="auto"/>
          <w:sz w:val="24"/>
          <w:szCs w:val="24"/>
          <w:highlight w:val="none"/>
          <w:u w:val="single"/>
        </w:rPr>
        <w:t>广州</w:t>
      </w:r>
      <w:r>
        <w:rPr>
          <w:rFonts w:ascii="宋体" w:hAnsi="宋体"/>
          <w:color w:val="auto"/>
          <w:sz w:val="24"/>
          <w:szCs w:val="24"/>
          <w:highlight w:val="none"/>
          <w:u w:val="single"/>
        </w:rPr>
        <w:t>公共资源交易中心</w:t>
      </w:r>
      <w:r>
        <w:rPr>
          <w:rFonts w:hint="eastAsia" w:ascii="宋体" w:hAnsi="宋体"/>
          <w:color w:val="auto"/>
          <w:sz w:val="24"/>
          <w:szCs w:val="24"/>
          <w:highlight w:val="none"/>
        </w:rPr>
        <w:t>交易平台发布，视作已发放给所有投标人，以</w:t>
      </w:r>
      <w:r>
        <w:rPr>
          <w:rFonts w:hint="eastAsia" w:ascii="宋体" w:hAnsi="宋体"/>
          <w:color w:val="auto"/>
          <w:sz w:val="24"/>
          <w:szCs w:val="24"/>
          <w:highlight w:val="none"/>
          <w:u w:val="single"/>
        </w:rPr>
        <w:t>广州</w:t>
      </w:r>
      <w:r>
        <w:rPr>
          <w:rFonts w:ascii="宋体" w:hAnsi="宋体"/>
          <w:color w:val="auto"/>
          <w:sz w:val="24"/>
          <w:szCs w:val="24"/>
          <w:highlight w:val="none"/>
          <w:u w:val="single"/>
        </w:rPr>
        <w:t>公共资源交易中心</w:t>
      </w:r>
      <w:r>
        <w:rPr>
          <w:rFonts w:hint="eastAsia" w:ascii="宋体" w:hAnsi="宋体"/>
          <w:color w:val="auto"/>
          <w:sz w:val="24"/>
          <w:szCs w:val="24"/>
          <w:highlight w:val="none"/>
        </w:rPr>
        <w:t>交易平台上网发布时间作为送达时间。</w:t>
      </w:r>
    </w:p>
    <w:p>
      <w:pPr>
        <w:spacing w:line="440" w:lineRule="exact"/>
        <w:ind w:firstLine="472" w:firstLineChars="196"/>
        <w:rPr>
          <w:rFonts w:ascii="宋体" w:hAnsi="宋体"/>
          <w:b/>
          <w:color w:val="auto"/>
          <w:sz w:val="24"/>
          <w:szCs w:val="24"/>
          <w:highlight w:val="none"/>
        </w:rPr>
      </w:pPr>
      <w:r>
        <w:rPr>
          <w:rFonts w:hint="eastAsia" w:ascii="宋体" w:hAnsi="宋体"/>
          <w:b/>
          <w:color w:val="auto"/>
          <w:sz w:val="24"/>
          <w:szCs w:val="24"/>
          <w:highlight w:val="none"/>
        </w:rPr>
        <w:t>条款号：</w:t>
      </w:r>
      <w:r>
        <w:rPr>
          <w:rFonts w:hint="eastAsia" w:ascii="宋体" w:hAnsi="宋体"/>
          <w:b/>
          <w:bCs/>
          <w:color w:val="auto"/>
          <w:sz w:val="24"/>
          <w:szCs w:val="24"/>
          <w:highlight w:val="none"/>
        </w:rPr>
        <w:t>11.2、11.3</w:t>
      </w:r>
      <w:r>
        <w:rPr>
          <w:rFonts w:hint="eastAsia" w:ascii="宋体" w:hAnsi="宋体"/>
          <w:b/>
          <w:color w:val="auto"/>
          <w:sz w:val="24"/>
          <w:szCs w:val="24"/>
          <w:highlight w:val="none"/>
        </w:rPr>
        <w:t>修改类型：修改</w:t>
      </w:r>
    </w:p>
    <w:p>
      <w:pPr>
        <w:pStyle w:val="5"/>
        <w:spacing w:after="0" w:line="360" w:lineRule="auto"/>
        <w:ind w:firstLine="482" w:firstLineChars="200"/>
        <w:rPr>
          <w:rFonts w:ascii="宋体"/>
          <w:b/>
          <w:color w:val="auto"/>
          <w:sz w:val="24"/>
          <w:highlight w:val="none"/>
        </w:rPr>
      </w:pPr>
      <w:r>
        <w:rPr>
          <w:rFonts w:hint="eastAsia" w:ascii="宋体" w:hAnsi="宋体"/>
          <w:b/>
          <w:color w:val="auto"/>
          <w:sz w:val="24"/>
          <w:szCs w:val="24"/>
          <w:highlight w:val="none"/>
        </w:rPr>
        <w:t>原文：</w:t>
      </w: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r>
        <w:rPr>
          <w:rFonts w:ascii="宋体" w:hAnsi="宋体"/>
          <w:bCs/>
          <w:color w:val="auto"/>
          <w:sz w:val="24"/>
          <w:highlight w:val="none"/>
        </w:rPr>
        <w:t>:</w:t>
      </w:r>
    </w:p>
    <w:p>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bCs/>
          <w:color w:val="auto"/>
          <w:sz w:val="24"/>
          <w:highlight w:val="none"/>
        </w:rPr>
        <w:t>；</w:t>
      </w:r>
    </w:p>
    <w:p>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pPr>
        <w:spacing w:line="360" w:lineRule="auto"/>
        <w:ind w:firstLine="480" w:firstLineChars="200"/>
        <w:rPr>
          <w:rFonts w:ascii="宋体"/>
          <w:bCs/>
          <w:color w:val="auto"/>
          <w:sz w:val="24"/>
          <w:highlight w:val="none"/>
        </w:rPr>
      </w:pPr>
      <w:r>
        <w:rPr>
          <w:rFonts w:hint="eastAsia" w:ascii="宋体"/>
          <w:bCs/>
          <w:color w:val="auto"/>
          <w:sz w:val="24"/>
          <w:highlight w:val="none"/>
        </w:rPr>
        <w:t xml:space="preserve">（1）投标人声明； </w:t>
      </w:r>
    </w:p>
    <w:p>
      <w:pPr>
        <w:spacing w:line="360" w:lineRule="auto"/>
        <w:ind w:firstLine="480" w:firstLineChars="200"/>
        <w:rPr>
          <w:rFonts w:ascii="宋体"/>
          <w:bCs/>
          <w:color w:val="auto"/>
          <w:sz w:val="24"/>
          <w:highlight w:val="none"/>
        </w:rPr>
      </w:pPr>
      <w:r>
        <w:rPr>
          <w:rFonts w:hint="eastAsia" w:ascii="宋体"/>
          <w:bCs/>
          <w:color w:val="auto"/>
          <w:sz w:val="24"/>
          <w:highlight w:val="none"/>
        </w:rPr>
        <w:t>（2）法定代表人证明书、法定代表人签字或盖章的本投标文件授权委托证明书；</w:t>
      </w:r>
    </w:p>
    <w:p>
      <w:pPr>
        <w:spacing w:line="360" w:lineRule="auto"/>
        <w:ind w:firstLine="480" w:firstLineChars="200"/>
        <w:rPr>
          <w:rFonts w:ascii="宋体"/>
          <w:bCs/>
          <w:color w:val="auto"/>
          <w:sz w:val="24"/>
          <w:highlight w:val="none"/>
        </w:rPr>
      </w:pPr>
      <w:r>
        <w:rPr>
          <w:rFonts w:hint="eastAsia" w:ascii="宋体"/>
          <w:bCs/>
          <w:color w:val="auto"/>
          <w:sz w:val="24"/>
          <w:highlight w:val="none"/>
        </w:rPr>
        <w:t>（3）企业营业执照（取自库内上传件）；</w:t>
      </w:r>
    </w:p>
    <w:p>
      <w:pPr>
        <w:spacing w:line="360" w:lineRule="auto"/>
        <w:ind w:firstLine="480" w:firstLineChars="200"/>
        <w:rPr>
          <w:rFonts w:ascii="宋体"/>
          <w:bCs/>
          <w:color w:val="auto"/>
          <w:sz w:val="24"/>
          <w:highlight w:val="none"/>
        </w:rPr>
      </w:pPr>
      <w:r>
        <w:rPr>
          <w:rFonts w:hint="eastAsia" w:ascii="宋体"/>
          <w:bCs/>
          <w:color w:val="auto"/>
          <w:sz w:val="24"/>
          <w:highlight w:val="none"/>
        </w:rPr>
        <w:t>（4）企业资质证书（取自库内上传件）；</w:t>
      </w:r>
    </w:p>
    <w:p>
      <w:pPr>
        <w:spacing w:line="360" w:lineRule="auto"/>
        <w:ind w:firstLine="480" w:firstLineChars="200"/>
        <w:rPr>
          <w:rFonts w:ascii="宋体"/>
          <w:bCs/>
          <w:color w:val="auto"/>
          <w:sz w:val="24"/>
          <w:highlight w:val="none"/>
        </w:rPr>
      </w:pPr>
      <w:r>
        <w:rPr>
          <w:rFonts w:hint="eastAsia" w:ascii="宋体"/>
          <w:bCs/>
          <w:color w:val="auto"/>
          <w:sz w:val="24"/>
          <w:highlight w:val="none"/>
        </w:rPr>
        <w:t>（5）建筑施工企业安全生产许可证（取自库内上传件）；</w:t>
      </w:r>
    </w:p>
    <w:p>
      <w:pPr>
        <w:spacing w:line="360" w:lineRule="auto"/>
        <w:ind w:firstLine="480" w:firstLineChars="200"/>
        <w:rPr>
          <w:rFonts w:ascii="宋体" w:hAnsi="宋体"/>
          <w:bCs/>
          <w:color w:val="auto"/>
          <w:sz w:val="24"/>
          <w:szCs w:val="24"/>
          <w:highlight w:val="none"/>
        </w:rPr>
      </w:pPr>
      <w:r>
        <w:rPr>
          <w:rFonts w:hint="eastAsia" w:ascii="宋体"/>
          <w:bCs/>
          <w:color w:val="auto"/>
          <w:sz w:val="24"/>
          <w:highlight w:val="none"/>
        </w:rPr>
        <w:t>（6）</w:t>
      </w:r>
      <w:r>
        <w:rPr>
          <w:rFonts w:hint="eastAsia" w:ascii="宋体" w:hAnsi="宋体"/>
          <w:bCs/>
          <w:color w:val="auto"/>
          <w:sz w:val="24"/>
          <w:szCs w:val="24"/>
          <w:highlight w:val="none"/>
        </w:rPr>
        <w:t>项目负责人（按网上投标登记时选择拟投标的项目负责人）</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（7）专职安全员（按网上投标登记时选择拟投标的专职安全员）</w:t>
      </w:r>
    </w:p>
    <w:p>
      <w:pPr>
        <w:spacing w:line="360" w:lineRule="auto"/>
        <w:ind w:firstLine="480" w:firstLineChars="200"/>
        <w:rPr>
          <w:rFonts w:ascii="宋体"/>
          <w:bCs/>
          <w:color w:val="auto"/>
          <w:sz w:val="24"/>
          <w:highlight w:val="none"/>
        </w:rPr>
      </w:pPr>
      <w:r>
        <w:rPr>
          <w:rFonts w:hint="eastAsia" w:ascii="宋体"/>
          <w:bCs/>
          <w:color w:val="auto"/>
          <w:sz w:val="24"/>
          <w:highlight w:val="none"/>
        </w:rPr>
        <w:t>（8）拟委托技术负责人的相关证书、资料（具体要求由招标人明确）</w:t>
      </w:r>
    </w:p>
    <w:p>
      <w:pPr>
        <w:spacing w:line="360" w:lineRule="auto"/>
        <w:ind w:firstLine="480" w:firstLineChars="200"/>
        <w:rPr>
          <w:rFonts w:ascii="宋体"/>
          <w:bCs/>
          <w:color w:val="auto"/>
          <w:sz w:val="24"/>
          <w:highlight w:val="none"/>
        </w:rPr>
      </w:pPr>
      <w:r>
        <w:rPr>
          <w:rFonts w:hint="eastAsia" w:ascii="宋体"/>
          <w:bCs/>
          <w:color w:val="auto"/>
          <w:sz w:val="24"/>
          <w:highlight w:val="none"/>
        </w:rPr>
        <w:t xml:space="preserve">（9）拟委派项目负责人的建造师证书或二级注册建造师电子注册证书或小型项目负责人相关证明（取自库内上传件）； </w:t>
      </w:r>
    </w:p>
    <w:p>
      <w:pPr>
        <w:spacing w:line="360" w:lineRule="auto"/>
        <w:ind w:firstLine="480" w:firstLineChars="200"/>
        <w:rPr>
          <w:rFonts w:ascii="宋体"/>
          <w:bCs/>
          <w:color w:val="auto"/>
          <w:sz w:val="24"/>
          <w:highlight w:val="none"/>
        </w:rPr>
      </w:pPr>
      <w:r>
        <w:rPr>
          <w:rFonts w:hint="eastAsia" w:ascii="宋体"/>
          <w:bCs/>
          <w:color w:val="auto"/>
          <w:sz w:val="24"/>
          <w:highlight w:val="none"/>
        </w:rPr>
        <w:t>（10）项目负责人安全培训考核合格证明或在有效期内的安全考核合格证书（B类）（取自库内上传件），</w:t>
      </w:r>
      <w:r>
        <w:rPr>
          <w:rFonts w:hint="eastAsia" w:ascii="宋体" w:hAnsi="宋体"/>
          <w:color w:val="auto"/>
          <w:sz w:val="24"/>
          <w:szCs w:val="24"/>
          <w:highlight w:val="none"/>
        </w:rPr>
        <w:t>或提供广东省建筑施工企业管理人员安全生产考核信息系统安全生产管理人员证书信息的网页截图</w:t>
      </w:r>
      <w:r>
        <w:rPr>
          <w:rFonts w:hint="eastAsia" w:ascii="宋体"/>
          <w:bCs/>
          <w:color w:val="auto"/>
          <w:sz w:val="24"/>
          <w:szCs w:val="24"/>
          <w:highlight w:val="none"/>
        </w:rPr>
        <w:t>；</w:t>
      </w:r>
    </w:p>
    <w:p>
      <w:pPr>
        <w:spacing w:line="360" w:lineRule="auto"/>
        <w:ind w:firstLine="480" w:firstLineChars="200"/>
        <w:rPr>
          <w:rFonts w:ascii="宋体"/>
          <w:bCs/>
          <w:color w:val="auto"/>
          <w:sz w:val="24"/>
          <w:szCs w:val="24"/>
          <w:highlight w:val="none"/>
        </w:rPr>
      </w:pPr>
      <w:r>
        <w:rPr>
          <w:rFonts w:hint="eastAsia" w:ascii="宋体"/>
          <w:bCs/>
          <w:color w:val="auto"/>
          <w:sz w:val="24"/>
          <w:highlight w:val="none"/>
        </w:rPr>
        <w:t>（11）专职安全员须具有在有效期内的安全考核合格证书（C类）</w:t>
      </w:r>
      <w:r>
        <w:rPr>
          <w:rFonts w:hint="eastAsia" w:ascii="宋体"/>
          <w:bCs/>
          <w:color w:val="auto"/>
          <w:sz w:val="24"/>
          <w:szCs w:val="24"/>
          <w:highlight w:val="none"/>
        </w:rPr>
        <w:t>（取自库内上传件），</w:t>
      </w:r>
      <w:r>
        <w:rPr>
          <w:rFonts w:hint="eastAsia" w:ascii="宋体" w:hAnsi="宋体"/>
          <w:color w:val="auto"/>
          <w:sz w:val="24"/>
          <w:szCs w:val="24"/>
          <w:highlight w:val="none"/>
        </w:rPr>
        <w:t>或提供广东省建筑施工企业管理人员安全生产考核信息系统安全生产管理人员证书信息的网页截图</w:t>
      </w:r>
      <w:r>
        <w:rPr>
          <w:rFonts w:hint="eastAsia" w:ascii="宋体"/>
          <w:bCs/>
          <w:color w:val="auto"/>
          <w:sz w:val="24"/>
          <w:szCs w:val="24"/>
          <w:highlight w:val="none"/>
        </w:rPr>
        <w:t>；</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（12）</w:t>
      </w:r>
      <w:r>
        <w:rPr>
          <w:rFonts w:hint="eastAsia" w:ascii="宋体" w:hAnsi="宋体"/>
          <w:bCs/>
          <w:color w:val="auto"/>
          <w:sz w:val="24"/>
          <w:szCs w:val="24"/>
          <w:highlight w:val="none"/>
        </w:rPr>
        <w:t>用于资格审查的业绩（设置业绩要求时选择此项，投标人</w:t>
      </w:r>
      <w:r>
        <w:rPr>
          <w:rFonts w:hint="eastAsia" w:ascii="宋体" w:hAnsi="宋体"/>
          <w:color w:val="auto"/>
          <w:sz w:val="24"/>
          <w:highlight w:val="none"/>
        </w:rPr>
        <w:t>须提供类似工程业绩的项目名称及项目编号，具体格式由招标人自定</w:t>
      </w:r>
      <w:r>
        <w:rPr>
          <w:rFonts w:hint="eastAsia" w:ascii="宋体" w:hAnsi="宋体"/>
          <w:bCs/>
          <w:color w:val="auto"/>
          <w:sz w:val="24"/>
          <w:szCs w:val="24"/>
          <w:highlight w:val="none"/>
        </w:rPr>
        <w:t>）；</w:t>
      </w:r>
    </w:p>
    <w:p>
      <w:pPr>
        <w:spacing w:line="360" w:lineRule="auto"/>
        <w:ind w:firstLine="480" w:firstLineChars="200"/>
        <w:rPr>
          <w:rFonts w:ascii="宋体"/>
          <w:bCs/>
          <w:color w:val="auto"/>
          <w:sz w:val="24"/>
          <w:highlight w:val="none"/>
        </w:rPr>
      </w:pPr>
      <w:r>
        <w:rPr>
          <w:rFonts w:hint="eastAsia" w:ascii="宋体"/>
          <w:bCs/>
          <w:color w:val="auto"/>
          <w:sz w:val="24"/>
          <w:highlight w:val="none"/>
        </w:rPr>
        <w:t>（13）</w:t>
      </w:r>
      <w:r>
        <w:rPr>
          <w:rFonts w:hint="eastAsia" w:ascii="宋体" w:hAnsi="宋体"/>
          <w:color w:val="auto"/>
          <w:sz w:val="24"/>
          <w:szCs w:val="24"/>
          <w:highlight w:val="none"/>
        </w:rPr>
        <w:t>资格审查前，投标人申请人在投标登记前必须在广州公共资源交易中心已办理企业信息登记及拟担任本工程项目负责人和安全员须是本单位在企业库中的在册人员。</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（14）列明主办单位的联合体工作协议（采用联合体投标时需递交，投标人拟任本工程项目负责人应为联合体主办方诚信档案中的在册人员，</w:t>
      </w:r>
      <w:r>
        <w:rPr>
          <w:rFonts w:hint="eastAsia" w:ascii="宋体" w:hAnsi="宋体"/>
          <w:color w:val="auto"/>
          <w:sz w:val="24"/>
          <w:szCs w:val="24"/>
          <w:highlight w:val="none"/>
        </w:rPr>
        <w:t>联合体工作协议应明确约定各方拟承担的工作和责任</w:t>
      </w:r>
      <w:r>
        <w:rPr>
          <w:rFonts w:hint="eastAsia" w:ascii="宋体" w:hAnsi="宋体"/>
          <w:bCs/>
          <w:color w:val="auto"/>
          <w:sz w:val="24"/>
          <w:szCs w:val="24"/>
          <w:highlight w:val="none"/>
        </w:rPr>
        <w:t xml:space="preserve">）； </w:t>
      </w:r>
    </w:p>
    <w:p>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w:t>
      </w:r>
    </w:p>
    <w:p>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hAnsi="宋体"/>
          <w:color w:val="auto"/>
          <w:sz w:val="24"/>
          <w:highlight w:val="none"/>
        </w:rPr>
        <w:t>。</w:t>
      </w:r>
    </w:p>
    <w:p>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p>
    <w:p>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（4）单项工程投标报价汇总表；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pPr>
        <w:tabs>
          <w:tab w:val="left" w:pos="1125"/>
        </w:tabs>
        <w:spacing w:line="360" w:lineRule="auto"/>
        <w:ind w:firstLine="480" w:firstLineChars="200"/>
        <w:rPr>
          <w:rFonts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pPr>
        <w:spacing w:line="440" w:lineRule="exact"/>
        <w:ind w:firstLine="480" w:firstLineChars="200"/>
        <w:rPr>
          <w:rFonts w:ascii="宋体" w:hAnsi="宋体"/>
          <w:bCs/>
          <w:color w:val="auto"/>
          <w:sz w:val="24"/>
          <w:szCs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r>
        <w:rPr>
          <w:rFonts w:hint="eastAsia" w:ascii="宋体" w:hAnsi="宋体"/>
          <w:color w:val="auto"/>
          <w:sz w:val="24"/>
          <w:szCs w:val="24"/>
          <w:highlight w:val="none"/>
        </w:rPr>
        <w:t>。</w:t>
      </w:r>
    </w:p>
    <w:p>
      <w:pPr>
        <w:spacing w:line="440" w:lineRule="exact"/>
        <w:ind w:firstLine="482" w:firstLineChars="200"/>
        <w:rPr>
          <w:rFonts w:ascii="宋体" w:hAnsi="宋体"/>
          <w:color w:val="auto"/>
          <w:sz w:val="24"/>
          <w:szCs w:val="24"/>
          <w:highlight w:val="none"/>
          <w:u w:val="single"/>
        </w:rPr>
      </w:pPr>
      <w:r>
        <w:rPr>
          <w:rFonts w:hint="eastAsia" w:ascii="宋体" w:hAnsi="宋体"/>
          <w:b/>
          <w:color w:val="auto"/>
          <w:sz w:val="24"/>
          <w:szCs w:val="24"/>
          <w:highlight w:val="none"/>
        </w:rPr>
        <w:t>现文：</w:t>
      </w:r>
      <w:r>
        <w:rPr>
          <w:rFonts w:hint="eastAsia" w:ascii="宋体" w:hAnsi="宋体"/>
          <w:color w:val="auto"/>
          <w:sz w:val="24"/>
          <w:szCs w:val="24"/>
          <w:highlight w:val="none"/>
        </w:rPr>
        <w:t>11.2投标文件技术标部分主要包括下列内容:</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11.2.1广州建设工程施工招标投标书（按招标文件的要求填写）；</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11.2.2资格审查文件：</w:t>
      </w:r>
    </w:p>
    <w:p>
      <w:pPr>
        <w:spacing w:line="440" w:lineRule="exact"/>
        <w:ind w:firstLine="480" w:firstLineChars="200"/>
        <w:rPr>
          <w:rFonts w:ascii="宋体"/>
          <w:bCs/>
          <w:color w:val="auto"/>
          <w:sz w:val="24"/>
          <w:szCs w:val="24"/>
          <w:highlight w:val="none"/>
        </w:rPr>
      </w:pPr>
      <w:r>
        <w:rPr>
          <w:rFonts w:hint="eastAsia" w:ascii="宋体"/>
          <w:bCs/>
          <w:color w:val="auto"/>
          <w:sz w:val="24"/>
          <w:szCs w:val="24"/>
          <w:highlight w:val="none"/>
        </w:rPr>
        <w:t>（1）投标申请人声明</w:t>
      </w:r>
      <w:r>
        <w:rPr>
          <w:rFonts w:hint="eastAsia" w:ascii="宋体"/>
          <w:bCs/>
          <w:color w:val="auto"/>
          <w:sz w:val="24"/>
          <w:szCs w:val="24"/>
          <w:highlight w:val="none"/>
          <w:u w:val="single"/>
        </w:rPr>
        <w:t>（见招标公告附件一）</w:t>
      </w:r>
      <w:r>
        <w:rPr>
          <w:rFonts w:hint="eastAsia" w:ascii="宋体"/>
          <w:bCs/>
          <w:color w:val="auto"/>
          <w:sz w:val="24"/>
          <w:szCs w:val="24"/>
          <w:highlight w:val="none"/>
        </w:rPr>
        <w:t xml:space="preserve">； </w:t>
      </w:r>
    </w:p>
    <w:p>
      <w:pPr>
        <w:spacing w:line="440" w:lineRule="exact"/>
        <w:ind w:firstLine="480" w:firstLineChars="200"/>
        <w:rPr>
          <w:rFonts w:ascii="宋体"/>
          <w:bCs/>
          <w:color w:val="auto"/>
          <w:sz w:val="24"/>
          <w:szCs w:val="24"/>
          <w:highlight w:val="none"/>
        </w:rPr>
      </w:pPr>
      <w:r>
        <w:rPr>
          <w:rFonts w:hint="eastAsia" w:ascii="宋体"/>
          <w:bCs/>
          <w:color w:val="auto"/>
          <w:sz w:val="24"/>
          <w:szCs w:val="24"/>
          <w:highlight w:val="none"/>
        </w:rPr>
        <w:t>（2）法定代表人证明书、法定代表人签字或盖章的本投标文件授权委托证明书；</w:t>
      </w:r>
    </w:p>
    <w:p>
      <w:pPr>
        <w:spacing w:line="440" w:lineRule="exact"/>
        <w:ind w:firstLine="480" w:firstLineChars="200"/>
        <w:rPr>
          <w:rFonts w:ascii="宋体"/>
          <w:bCs/>
          <w:color w:val="auto"/>
          <w:sz w:val="24"/>
          <w:szCs w:val="24"/>
          <w:highlight w:val="none"/>
        </w:rPr>
      </w:pPr>
      <w:r>
        <w:rPr>
          <w:rFonts w:hint="eastAsia" w:ascii="宋体"/>
          <w:bCs/>
          <w:color w:val="auto"/>
          <w:sz w:val="24"/>
          <w:szCs w:val="24"/>
          <w:highlight w:val="none"/>
        </w:rPr>
        <w:t>（3）企业营业执照（取自库内上传件）；</w:t>
      </w:r>
    </w:p>
    <w:p>
      <w:pPr>
        <w:spacing w:line="440" w:lineRule="exact"/>
        <w:ind w:firstLine="480" w:firstLineChars="200"/>
        <w:rPr>
          <w:rFonts w:ascii="宋体"/>
          <w:bCs/>
          <w:color w:val="auto"/>
          <w:sz w:val="24"/>
          <w:szCs w:val="24"/>
          <w:highlight w:val="none"/>
        </w:rPr>
      </w:pPr>
      <w:r>
        <w:rPr>
          <w:rFonts w:hint="eastAsia" w:ascii="宋体"/>
          <w:bCs/>
          <w:color w:val="auto"/>
          <w:sz w:val="24"/>
          <w:szCs w:val="24"/>
          <w:highlight w:val="none"/>
        </w:rPr>
        <w:t>（4）企业资质证书（取自库内上传件）；</w:t>
      </w:r>
    </w:p>
    <w:p>
      <w:pPr>
        <w:spacing w:line="440" w:lineRule="exact"/>
        <w:ind w:firstLine="480" w:firstLineChars="200"/>
        <w:rPr>
          <w:rFonts w:ascii="宋体"/>
          <w:bCs/>
          <w:color w:val="auto"/>
          <w:sz w:val="24"/>
          <w:szCs w:val="24"/>
          <w:highlight w:val="none"/>
        </w:rPr>
      </w:pPr>
      <w:r>
        <w:rPr>
          <w:rFonts w:hint="eastAsia" w:ascii="宋体"/>
          <w:bCs/>
          <w:color w:val="auto"/>
          <w:sz w:val="24"/>
          <w:szCs w:val="24"/>
          <w:highlight w:val="none"/>
        </w:rPr>
        <w:t>（5）建筑施工企业安全生产许可证（取自库内上传件）；</w:t>
      </w:r>
    </w:p>
    <w:p>
      <w:pPr>
        <w:spacing w:line="440" w:lineRule="exact"/>
        <w:ind w:firstLine="480" w:firstLineChars="200"/>
        <w:rPr>
          <w:rFonts w:ascii="宋体" w:hAnsi="宋体"/>
          <w:bCs/>
          <w:color w:val="auto"/>
          <w:sz w:val="24"/>
          <w:szCs w:val="24"/>
          <w:highlight w:val="none"/>
        </w:rPr>
      </w:pPr>
      <w:r>
        <w:rPr>
          <w:rFonts w:hint="eastAsia" w:ascii="宋体"/>
          <w:bCs/>
          <w:color w:val="auto"/>
          <w:sz w:val="24"/>
          <w:szCs w:val="24"/>
          <w:highlight w:val="none"/>
        </w:rPr>
        <w:t>（6）</w:t>
      </w:r>
      <w:r>
        <w:rPr>
          <w:rFonts w:hint="eastAsia" w:ascii="宋体" w:hAnsi="宋体"/>
          <w:bCs/>
          <w:color w:val="auto"/>
          <w:sz w:val="24"/>
          <w:szCs w:val="24"/>
          <w:highlight w:val="none"/>
        </w:rPr>
        <w:t>项目负责人（按网上投标登记时选择拟投标的项目负责人）；</w:t>
      </w:r>
    </w:p>
    <w:p>
      <w:pPr>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（7）专职安全员（按网上投标登记时选择拟投标的专职安全员）；</w:t>
      </w:r>
    </w:p>
    <w:p>
      <w:pPr>
        <w:spacing w:line="440" w:lineRule="exact"/>
        <w:ind w:firstLine="480" w:firstLineChars="200"/>
        <w:rPr>
          <w:rFonts w:ascii="宋体"/>
          <w:bCs/>
          <w:color w:val="auto"/>
          <w:sz w:val="24"/>
          <w:szCs w:val="24"/>
          <w:highlight w:val="none"/>
        </w:rPr>
      </w:pPr>
      <w:r>
        <w:rPr>
          <w:rFonts w:hint="eastAsia" w:ascii="宋体"/>
          <w:bCs/>
          <w:color w:val="auto"/>
          <w:sz w:val="24"/>
          <w:szCs w:val="24"/>
          <w:highlight w:val="none"/>
        </w:rPr>
        <w:t>（8）</w:t>
      </w:r>
      <w:r>
        <w:rPr>
          <w:rFonts w:hint="eastAsia" w:ascii="宋体"/>
          <w:bCs/>
          <w:color w:val="auto"/>
          <w:sz w:val="24"/>
          <w:szCs w:val="24"/>
          <w:highlight w:val="none"/>
          <w:u w:val="single"/>
        </w:rPr>
        <w:t>拟委托技术负责人的职称证书</w:t>
      </w:r>
      <w:r>
        <w:rPr>
          <w:rFonts w:hint="eastAsia" w:ascii="宋体"/>
          <w:bCs/>
          <w:color w:val="auto"/>
          <w:sz w:val="24"/>
          <w:szCs w:val="24"/>
          <w:highlight w:val="none"/>
        </w:rPr>
        <w:t>（按招标公告要求）；</w:t>
      </w:r>
    </w:p>
    <w:p>
      <w:pPr>
        <w:spacing w:line="440" w:lineRule="exact"/>
        <w:ind w:firstLine="480" w:firstLineChars="200"/>
        <w:rPr>
          <w:rFonts w:ascii="宋体"/>
          <w:bCs/>
          <w:color w:val="auto"/>
          <w:sz w:val="24"/>
          <w:szCs w:val="24"/>
          <w:highlight w:val="none"/>
          <w:u w:val="single"/>
        </w:rPr>
      </w:pPr>
      <w:r>
        <w:rPr>
          <w:rFonts w:hint="eastAsia" w:ascii="宋体"/>
          <w:bCs/>
          <w:color w:val="auto"/>
          <w:sz w:val="24"/>
          <w:szCs w:val="24"/>
          <w:highlight w:val="none"/>
        </w:rPr>
        <w:t>（9）</w:t>
      </w:r>
      <w:r>
        <w:rPr>
          <w:rFonts w:hint="eastAsia" w:ascii="宋体"/>
          <w:bCs/>
          <w:color w:val="auto"/>
          <w:sz w:val="24"/>
          <w:szCs w:val="24"/>
          <w:highlight w:val="none"/>
          <w:u w:val="single"/>
        </w:rPr>
        <w:t>拟委派项目负责人的建造师证书</w:t>
      </w:r>
      <w:r>
        <w:rPr>
          <w:rFonts w:hint="eastAsia" w:ascii="宋体"/>
          <w:bCs/>
          <w:color w:val="auto"/>
          <w:sz w:val="24"/>
          <w:szCs w:val="24"/>
          <w:highlight w:val="none"/>
        </w:rPr>
        <w:t>（取自库内上传件）；</w:t>
      </w:r>
    </w:p>
    <w:p>
      <w:pPr>
        <w:spacing w:line="440" w:lineRule="exact"/>
        <w:ind w:firstLine="480" w:firstLineChars="200"/>
        <w:rPr>
          <w:rFonts w:ascii="宋体"/>
          <w:bCs/>
          <w:color w:val="auto"/>
          <w:sz w:val="24"/>
          <w:szCs w:val="24"/>
          <w:highlight w:val="none"/>
        </w:rPr>
      </w:pPr>
      <w:r>
        <w:rPr>
          <w:rFonts w:hint="eastAsia" w:ascii="宋体"/>
          <w:bCs/>
          <w:color w:val="auto"/>
          <w:sz w:val="24"/>
          <w:szCs w:val="24"/>
          <w:highlight w:val="none"/>
        </w:rPr>
        <w:t>（10）项目负责人安全培训考核合格证明或在有效期内的安全考核合格证书（B类）（取自库内上传件），</w:t>
      </w:r>
      <w:r>
        <w:rPr>
          <w:rFonts w:hint="eastAsia" w:ascii="宋体" w:hAnsi="宋体"/>
          <w:color w:val="auto"/>
          <w:sz w:val="24"/>
          <w:szCs w:val="24"/>
          <w:highlight w:val="none"/>
        </w:rPr>
        <w:t>或提供广东省建筑施工企业管理人员安全生产考核信息系统安全生产管理人员证书信息的网页截图</w:t>
      </w:r>
      <w:r>
        <w:rPr>
          <w:rFonts w:hint="eastAsia" w:ascii="宋体"/>
          <w:bCs/>
          <w:color w:val="auto"/>
          <w:sz w:val="24"/>
          <w:szCs w:val="24"/>
          <w:highlight w:val="none"/>
        </w:rPr>
        <w:t>；</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（11）专职安全员须具有在有效期内的安全考核合格证书（C类）（取自库内上传件），</w:t>
      </w:r>
      <w:r>
        <w:rPr>
          <w:rFonts w:hint="eastAsia" w:ascii="宋体" w:hAnsi="宋体"/>
          <w:color w:val="auto"/>
          <w:sz w:val="24"/>
          <w:szCs w:val="24"/>
          <w:highlight w:val="none"/>
        </w:rPr>
        <w:t>或提供广东省建筑施工企业管理人员安全生产考核信息系统安全生产管理人员证书信息的网页截图</w:t>
      </w:r>
      <w:r>
        <w:rPr>
          <w:rFonts w:hint="eastAsia" w:ascii="宋体"/>
          <w:bCs/>
          <w:color w:val="auto"/>
          <w:sz w:val="24"/>
          <w:szCs w:val="24"/>
          <w:highlight w:val="none"/>
        </w:rPr>
        <w:t>；</w:t>
      </w:r>
    </w:p>
    <w:p>
      <w:pPr>
        <w:spacing w:line="360" w:lineRule="auto"/>
        <w:ind w:firstLine="480" w:firstLineChars="200"/>
        <w:rPr>
          <w:rFonts w:ascii="宋体"/>
          <w:bCs/>
          <w:color w:val="auto"/>
          <w:sz w:val="24"/>
          <w:highlight w:val="none"/>
        </w:rPr>
      </w:pPr>
      <w:r>
        <w:rPr>
          <w:rFonts w:hint="eastAsia" w:ascii="宋体"/>
          <w:bCs/>
          <w:color w:val="auto"/>
          <w:sz w:val="24"/>
          <w:highlight w:val="none"/>
        </w:rPr>
        <w:t>（12）用于资格审查的业绩。</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（13）</w:t>
      </w:r>
      <w:r>
        <w:rPr>
          <w:rFonts w:hint="eastAsia" w:ascii="宋体" w:hAnsi="宋体"/>
          <w:color w:val="auto"/>
          <w:sz w:val="24"/>
          <w:szCs w:val="24"/>
          <w:highlight w:val="none"/>
        </w:rPr>
        <w:t>资格审查前，投标人申请人在投标登记前必须在广州公共资源交易中心已办理企业信息登记及拟担任本工程项目负责人和安全员须是本单位在企业库中的在册人员。</w:t>
      </w:r>
    </w:p>
    <w:p>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11.2.3危险性较大的分部分项工程清单及超过一定规模的危险性较大的分部分项工程清单（按招标文件的要求填写）。</w:t>
      </w:r>
    </w:p>
    <w:p>
      <w:pPr>
        <w:spacing w:line="440" w:lineRule="exact"/>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11.2.4施工投标承诺函（技术标）（按招标文件的要求填写）。</w:t>
      </w:r>
    </w:p>
    <w:p>
      <w:pPr>
        <w:spacing w:line="440" w:lineRule="exact"/>
        <w:ind w:firstLine="480" w:firstLineChars="200"/>
        <w:rPr>
          <w:rFonts w:ascii="宋体"/>
          <w:bCs/>
          <w:color w:val="auto"/>
          <w:sz w:val="24"/>
          <w:szCs w:val="24"/>
          <w:highlight w:val="none"/>
        </w:rPr>
      </w:pPr>
      <w:r>
        <w:rPr>
          <w:rFonts w:hint="eastAsia" w:ascii="宋体"/>
          <w:bCs/>
          <w:color w:val="auto"/>
          <w:sz w:val="24"/>
          <w:szCs w:val="24"/>
          <w:highlight w:val="none"/>
        </w:rPr>
        <w:t>11.2.5《参与编制技术标投标文件人员名单》（按招标文件的要求填写）。</w:t>
      </w:r>
    </w:p>
    <w:p>
      <w:pPr>
        <w:spacing w:line="440" w:lineRule="exact"/>
        <w:ind w:firstLine="480" w:firstLineChars="200"/>
        <w:rPr>
          <w:rFonts w:ascii="宋体"/>
          <w:bCs/>
          <w:color w:val="auto"/>
          <w:sz w:val="24"/>
          <w:szCs w:val="24"/>
          <w:highlight w:val="none"/>
        </w:rPr>
      </w:pPr>
      <w:r>
        <w:rPr>
          <w:rFonts w:hint="eastAsia" w:ascii="宋体"/>
          <w:bCs/>
          <w:color w:val="auto"/>
          <w:sz w:val="24"/>
          <w:szCs w:val="24"/>
          <w:highlight w:val="none"/>
        </w:rPr>
        <w:t>11.2.6投标人认为应该提供的其他资料。</w:t>
      </w:r>
    </w:p>
    <w:p>
      <w:pPr>
        <w:spacing w:line="44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11.3 经济部分投标文件主要包括下列内容：</w:t>
      </w:r>
    </w:p>
    <w:p>
      <w:pPr>
        <w:spacing w:line="44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11.3.1投标总价。投标人按招标文件的要求填写。</w:t>
      </w:r>
    </w:p>
    <w:p>
      <w:pPr>
        <w:spacing w:line="44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11.3.2按照招标文件要求填写的《参与编制经济标投标文件人员名单》。</w:t>
      </w:r>
    </w:p>
    <w:p>
      <w:pPr>
        <w:spacing w:line="44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11.3.3对投标文件编制的承诺。</w:t>
      </w:r>
    </w:p>
    <w:p>
      <w:pPr>
        <w:spacing w:line="44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11.3.4施工投标承诺函（经济标）</w:t>
      </w:r>
      <w:r>
        <w:rPr>
          <w:rFonts w:hint="eastAsia" w:ascii="宋体"/>
          <w:bCs/>
          <w:color w:val="auto"/>
          <w:sz w:val="24"/>
          <w:szCs w:val="24"/>
          <w:highlight w:val="none"/>
          <w:u w:val="single"/>
        </w:rPr>
        <w:t>（按招标文件的要求填写）</w:t>
      </w:r>
      <w:r>
        <w:rPr>
          <w:rFonts w:hint="eastAsia" w:ascii="宋体" w:hAnsi="宋体"/>
          <w:color w:val="auto"/>
          <w:sz w:val="24"/>
          <w:szCs w:val="24"/>
          <w:highlight w:val="none"/>
          <w:u w:val="single"/>
        </w:rPr>
        <w:t>。</w:t>
      </w:r>
    </w:p>
    <w:p>
      <w:pPr>
        <w:pBdr>
          <w:bottom w:val="single" w:color="auto" w:sz="6" w:space="0"/>
        </w:pBdr>
        <w:spacing w:line="440" w:lineRule="exact"/>
        <w:rPr>
          <w:rFonts w:ascii="宋体" w:hAnsi="宋体"/>
          <w:color w:val="auto"/>
          <w:sz w:val="24"/>
          <w:szCs w:val="24"/>
          <w:highlight w:val="none"/>
        </w:rPr>
      </w:pPr>
    </w:p>
    <w:p>
      <w:pPr>
        <w:spacing w:line="440" w:lineRule="exact"/>
        <w:ind w:firstLine="472" w:firstLineChars="196"/>
        <w:rPr>
          <w:rFonts w:ascii="宋体" w:hAnsi="宋体"/>
          <w:b/>
          <w:color w:val="auto"/>
          <w:sz w:val="24"/>
          <w:szCs w:val="24"/>
          <w:highlight w:val="none"/>
        </w:rPr>
      </w:pPr>
      <w:r>
        <w:rPr>
          <w:rFonts w:hint="eastAsia" w:ascii="宋体" w:hAnsi="宋体"/>
          <w:b/>
          <w:color w:val="auto"/>
          <w:sz w:val="24"/>
          <w:szCs w:val="24"/>
          <w:highlight w:val="none"/>
        </w:rPr>
        <w:t>条款号：11.4 修改类型：增加</w:t>
      </w:r>
    </w:p>
    <w:p>
      <w:pPr>
        <w:spacing w:line="440" w:lineRule="exact"/>
        <w:ind w:firstLine="540" w:firstLineChars="224"/>
        <w:rPr>
          <w:rFonts w:ascii="宋体" w:hAnsi="宋体"/>
          <w:color w:val="auto"/>
          <w:sz w:val="24"/>
          <w:szCs w:val="24"/>
          <w:highlight w:val="none"/>
          <w:u w:val="single"/>
        </w:rPr>
      </w:pPr>
      <w:r>
        <w:rPr>
          <w:rFonts w:hint="eastAsia" w:ascii="宋体" w:hAnsi="宋体"/>
          <w:b/>
          <w:color w:val="auto"/>
          <w:sz w:val="24"/>
          <w:szCs w:val="24"/>
          <w:highlight w:val="none"/>
        </w:rPr>
        <w:t>现文：</w:t>
      </w:r>
      <w:r>
        <w:rPr>
          <w:rFonts w:hint="eastAsia" w:ascii="宋体" w:hAnsi="宋体"/>
          <w:color w:val="auto"/>
          <w:sz w:val="24"/>
          <w:szCs w:val="24"/>
          <w:highlight w:val="none"/>
          <w:u w:val="single"/>
        </w:rPr>
        <w:t>11.4定标辅助文件的组成（由投标人根据定性评审表的内容，清晰、有条理、有针对性地编制，各部分文字应直接简炼，不得出现大量宣传性及无实质性意义或直接引用范本照搬照套的描述）：</w:t>
      </w:r>
    </w:p>
    <w:p>
      <w:pPr>
        <w:spacing w:line="440" w:lineRule="exact"/>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11.4.1目录（必须标注页码）；</w:t>
      </w:r>
    </w:p>
    <w:p>
      <w:pPr>
        <w:spacing w:line="440" w:lineRule="exact"/>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11.4.2企业资信（企业业绩、企业研发能力、企业项目获奖情况、注册人员、注册资金、企业诚信分、企业资信证明等）；</w:t>
      </w:r>
    </w:p>
    <w:p>
      <w:pPr>
        <w:spacing w:line="440" w:lineRule="exact"/>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11.4.3投标人拟派的项目组织架构（项目负责人、项目技术负责人、管理人员）；</w:t>
      </w:r>
    </w:p>
    <w:p>
      <w:pPr>
        <w:spacing w:line="440" w:lineRule="exact"/>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11.4.4施工组织设计（施工重难点分析、施工工期管理、资源投入计划、施工总平面布置、质量保证措施、安全生产方案）、专项施工方案（专项方案、其他方案清单）；</w:t>
      </w:r>
    </w:p>
    <w:p>
      <w:pPr>
        <w:spacing w:line="440" w:lineRule="exact"/>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11.4.5投标价格；</w:t>
      </w:r>
    </w:p>
    <w:p>
      <w:pPr>
        <w:spacing w:line="440" w:lineRule="exact"/>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11.4.6投标人认为应该提供的其它资料。</w:t>
      </w:r>
    </w:p>
    <w:p>
      <w:pPr>
        <w:spacing w:line="440" w:lineRule="exact"/>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11.4.7定标辅助文件电子文件U盘（内容与投标人打印产生的纸质定标辅助文件内容一致）。</w:t>
      </w:r>
    </w:p>
    <w:p>
      <w:pPr>
        <w:spacing w:line="440" w:lineRule="exact"/>
        <w:ind w:firstLine="540" w:firstLineChars="224"/>
        <w:rPr>
          <w:rFonts w:ascii="宋体" w:hAnsi="宋体"/>
          <w:b/>
          <w:color w:val="auto"/>
          <w:kern w:val="0"/>
          <w:sz w:val="24"/>
          <w:highlight w:val="none"/>
          <w:u w:val="single"/>
        </w:rPr>
      </w:pPr>
      <w:r>
        <w:rPr>
          <w:rFonts w:hint="eastAsia" w:ascii="宋体" w:hAnsi="宋体"/>
          <w:b/>
          <w:color w:val="auto"/>
          <w:kern w:val="0"/>
          <w:sz w:val="24"/>
          <w:highlight w:val="none"/>
          <w:u w:val="single"/>
        </w:rPr>
        <w:t>注：定标辅助文件的递交时间和形式由投标人按照投标须知前附表第</w:t>
      </w:r>
      <w:r>
        <w:rPr>
          <w:rFonts w:ascii="宋体" w:hAnsi="宋体"/>
          <w:b/>
          <w:color w:val="auto"/>
          <w:kern w:val="0"/>
          <w:sz w:val="24"/>
          <w:highlight w:val="none"/>
          <w:u w:val="single"/>
        </w:rPr>
        <w:t>18项所规定的时间及本须知第18条的相关要求执行。</w:t>
      </w:r>
    </w:p>
    <w:p>
      <w:pPr>
        <w:pBdr>
          <w:bottom w:val="single" w:color="auto" w:sz="6" w:space="0"/>
        </w:pBdr>
        <w:spacing w:line="440" w:lineRule="exact"/>
        <w:rPr>
          <w:rFonts w:ascii="宋体" w:hAnsi="宋体"/>
          <w:color w:val="auto"/>
          <w:sz w:val="24"/>
          <w:szCs w:val="24"/>
          <w:highlight w:val="none"/>
        </w:rPr>
      </w:pPr>
    </w:p>
    <w:p>
      <w:pPr>
        <w:spacing w:line="440" w:lineRule="exact"/>
        <w:ind w:firstLine="472" w:firstLineChars="196"/>
        <w:rPr>
          <w:rFonts w:ascii="宋体" w:hAnsi="宋体"/>
          <w:b/>
          <w:color w:val="auto"/>
          <w:sz w:val="24"/>
          <w:szCs w:val="24"/>
          <w:highlight w:val="none"/>
        </w:rPr>
      </w:pPr>
      <w:r>
        <w:rPr>
          <w:rFonts w:hint="eastAsia" w:ascii="宋体" w:hAnsi="宋体"/>
          <w:b/>
          <w:color w:val="auto"/>
          <w:sz w:val="24"/>
          <w:szCs w:val="24"/>
          <w:highlight w:val="none"/>
        </w:rPr>
        <w:t>条款号：12.2 修改类型：修改</w:t>
      </w:r>
    </w:p>
    <w:p>
      <w:pPr>
        <w:pStyle w:val="5"/>
        <w:spacing w:after="0" w:line="440" w:lineRule="exact"/>
        <w:ind w:firstLine="482" w:firstLineChars="200"/>
        <w:rPr>
          <w:rFonts w:ascii="宋体" w:hAnsi="宋体"/>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p>
    <w:p>
      <w:pPr>
        <w:pBdr>
          <w:bottom w:val="single" w:color="auto" w:sz="6" w:space="1"/>
        </w:pBdr>
        <w:spacing w:line="440" w:lineRule="exact"/>
        <w:ind w:firstLine="602" w:firstLineChars="250"/>
        <w:rPr>
          <w:rFonts w:ascii="宋体" w:hAnsi="宋体"/>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rPr>
        <w:t>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bCs/>
          <w:color w:val="auto"/>
          <w:kern w:val="0"/>
          <w:sz w:val="24"/>
          <w:szCs w:val="24"/>
          <w:highlight w:val="none"/>
          <w:u w:val="single"/>
        </w:rPr>
        <w:t>广州公共资源交易中心网站。</w:t>
      </w:r>
    </w:p>
    <w:p>
      <w:pPr>
        <w:spacing w:line="440" w:lineRule="exact"/>
        <w:ind w:firstLine="540" w:firstLineChars="224"/>
        <w:rPr>
          <w:rFonts w:ascii="宋体" w:hAnsi="宋体"/>
          <w:b/>
          <w:color w:val="auto"/>
          <w:sz w:val="24"/>
          <w:szCs w:val="24"/>
          <w:highlight w:val="none"/>
        </w:rPr>
      </w:pPr>
      <w:r>
        <w:rPr>
          <w:rFonts w:hint="eastAsia" w:ascii="宋体" w:hAnsi="宋体"/>
          <w:b/>
          <w:color w:val="auto"/>
          <w:sz w:val="24"/>
          <w:szCs w:val="24"/>
          <w:highlight w:val="none"/>
        </w:rPr>
        <w:t>条款号：12.3修改类型：修改</w:t>
      </w:r>
    </w:p>
    <w:p>
      <w:pPr>
        <w:spacing w:line="440" w:lineRule="exact"/>
        <w:ind w:firstLine="540" w:firstLineChars="224"/>
        <w:rPr>
          <w:rFonts w:ascii="宋体" w:hAnsi="宋体"/>
          <w:b/>
          <w:color w:val="auto"/>
          <w:sz w:val="24"/>
          <w:szCs w:val="24"/>
          <w:highlight w:val="none"/>
        </w:rPr>
      </w:pPr>
      <w:r>
        <w:rPr>
          <w:rFonts w:hint="eastAsia" w:ascii="宋体" w:hAnsi="宋体"/>
          <w:b/>
          <w:color w:val="auto"/>
          <w:sz w:val="24"/>
          <w:szCs w:val="24"/>
          <w:highlight w:val="none"/>
        </w:rPr>
        <w:t>原文：</w:t>
      </w:r>
      <w:r>
        <w:rPr>
          <w:rFonts w:hint="eastAsia" w:ascii="宋体" w:hAnsi="宋体"/>
          <w:bCs/>
          <w:color w:val="auto"/>
          <w:sz w:val="24"/>
          <w:szCs w:val="24"/>
          <w:highlight w:val="none"/>
        </w:rPr>
        <w:t>投标文件应按</w:t>
      </w:r>
      <w:r>
        <w:rPr>
          <w:rFonts w:hint="eastAsia" w:ascii="宋体" w:hAnsi="宋体"/>
          <w:color w:val="auto"/>
          <w:sz w:val="24"/>
          <w:szCs w:val="24"/>
          <w:highlight w:val="none"/>
        </w:rPr>
        <w:t>照交易平台关于全流程电子化项目的相关指南进行编制，详见：。</w:t>
      </w:r>
    </w:p>
    <w:p>
      <w:pPr>
        <w:pBdr>
          <w:bottom w:val="single" w:color="auto" w:sz="6" w:space="1"/>
        </w:pBdr>
        <w:spacing w:line="440" w:lineRule="exact"/>
        <w:ind w:firstLine="590" w:firstLineChars="245"/>
        <w:rPr>
          <w:rFonts w:ascii="宋体" w:hAnsi="宋体"/>
          <w:color w:val="auto"/>
          <w:sz w:val="24"/>
          <w:szCs w:val="24"/>
          <w:highlight w:val="none"/>
        </w:rPr>
      </w:pPr>
      <w:r>
        <w:rPr>
          <w:rFonts w:hint="eastAsia" w:ascii="宋体" w:hAnsi="宋体"/>
          <w:b/>
          <w:color w:val="auto"/>
          <w:sz w:val="24"/>
          <w:szCs w:val="24"/>
          <w:highlight w:val="none"/>
        </w:rPr>
        <w:t>现文：</w:t>
      </w:r>
      <w:r>
        <w:rPr>
          <w:rFonts w:hint="eastAsia" w:ascii="宋体" w:hAnsi="宋体"/>
          <w:bCs/>
          <w:color w:val="auto"/>
          <w:sz w:val="24"/>
          <w:szCs w:val="24"/>
          <w:highlight w:val="none"/>
        </w:rPr>
        <w:t>投标文件应按</w:t>
      </w:r>
      <w:r>
        <w:rPr>
          <w:rFonts w:hint="eastAsia" w:ascii="宋体" w:hAnsi="宋体"/>
          <w:color w:val="auto"/>
          <w:sz w:val="24"/>
          <w:szCs w:val="24"/>
          <w:highlight w:val="none"/>
        </w:rPr>
        <w:t>照交易平台关于全流程电子化项目的相关指南进行编制，详见：</w:t>
      </w:r>
      <w:r>
        <w:rPr>
          <w:rFonts w:hint="eastAsia" w:ascii="宋体" w:hAnsi="宋体"/>
          <w:bCs/>
          <w:color w:val="auto"/>
          <w:kern w:val="0"/>
          <w:sz w:val="24"/>
          <w:szCs w:val="24"/>
          <w:highlight w:val="none"/>
          <w:u w:val="single"/>
        </w:rPr>
        <w:t>广州公共资源交易中心网站</w:t>
      </w:r>
      <w:r>
        <w:rPr>
          <w:rFonts w:hint="eastAsia" w:ascii="宋体" w:hAnsi="宋体"/>
          <w:color w:val="auto"/>
          <w:sz w:val="24"/>
          <w:szCs w:val="24"/>
          <w:highlight w:val="none"/>
        </w:rPr>
        <w:t>。</w:t>
      </w:r>
    </w:p>
    <w:p>
      <w:pPr>
        <w:spacing w:line="360" w:lineRule="auto"/>
        <w:ind w:firstLine="540" w:firstLineChars="224"/>
        <w:rPr>
          <w:rFonts w:ascii="宋体" w:hAnsi="宋体"/>
          <w:b/>
          <w:color w:val="auto"/>
          <w:sz w:val="24"/>
          <w:highlight w:val="none"/>
        </w:rPr>
      </w:pPr>
      <w:r>
        <w:rPr>
          <w:rFonts w:hint="eastAsia" w:ascii="宋体" w:hAnsi="宋体"/>
          <w:b/>
          <w:color w:val="auto"/>
          <w:sz w:val="24"/>
          <w:highlight w:val="none"/>
        </w:rPr>
        <w:t>条款号：</w:t>
      </w:r>
      <w:r>
        <w:rPr>
          <w:rFonts w:ascii="宋体" w:hAnsi="宋体"/>
          <w:b/>
          <w:color w:val="auto"/>
          <w:sz w:val="24"/>
          <w:highlight w:val="none"/>
        </w:rPr>
        <w:t>13.</w:t>
      </w:r>
      <w:r>
        <w:rPr>
          <w:rFonts w:hint="eastAsia" w:ascii="宋体" w:hAnsi="宋体"/>
          <w:b/>
          <w:color w:val="auto"/>
          <w:sz w:val="24"/>
          <w:highlight w:val="none"/>
        </w:rPr>
        <w:t>4、13.5          修改类型：修改</w:t>
      </w:r>
    </w:p>
    <w:p>
      <w:pPr>
        <w:pStyle w:val="5"/>
        <w:pBdr>
          <w:bottom w:val="single" w:color="auto" w:sz="6" w:space="1"/>
        </w:pBdr>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
        <w:pBdr>
          <w:bottom w:val="single" w:color="auto" w:sz="6" w:space="1"/>
        </w:pBd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pBdr>
          <w:bottom w:val="single" w:color="auto" w:sz="6" w:space="1"/>
        </w:pBd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13.5.1中标的投标文件工程量清单中已有相同项目的适用综合单价，则沿用；</w:t>
      </w:r>
    </w:p>
    <w:p>
      <w:pPr>
        <w:pStyle w:val="5"/>
        <w:pBdr>
          <w:bottom w:val="single" w:color="auto" w:sz="6" w:space="1"/>
        </w:pBd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pBdr>
          <w:bottom w:val="single" w:color="auto" w:sz="6" w:space="1"/>
        </w:pBd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13.5.3 中标的投标文件工程量清单中没有相同项目或类似项目的，如可套取相关定额，则以相关定额为基数下浮计算单价,下浮率为中标价相对于最高投标限价的下浮率（下浮率以合同相关条款为准）。</w:t>
      </w:r>
    </w:p>
    <w:p>
      <w:pPr>
        <w:pStyle w:val="5"/>
        <w:pBdr>
          <w:bottom w:val="single" w:color="auto" w:sz="6" w:space="1"/>
        </w:pBdr>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13.5.4 如相关定额没有相应子目的，其计价方式由招标人在本招标文件第三章中另行规定。未规定的，中标后双方协商约定。</w:t>
      </w:r>
    </w:p>
    <w:p>
      <w:pPr>
        <w:pStyle w:val="5"/>
        <w:pBdr>
          <w:bottom w:val="single" w:color="auto" w:sz="6" w:space="1"/>
        </w:pBdr>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rPr>
        <w:t>13.4</w:t>
      </w:r>
      <w:r>
        <w:rPr>
          <w:rFonts w:hint="eastAsia" w:ascii="宋体" w:hAnsi="宋体"/>
          <w:color w:val="auto"/>
          <w:sz w:val="24"/>
          <w:szCs w:val="24"/>
          <w:highlight w:val="none"/>
          <w:u w:val="single"/>
        </w:rPr>
        <w:t>详见本工程《施工合同》相关条款规定。</w:t>
      </w:r>
    </w:p>
    <w:p>
      <w:pPr>
        <w:pStyle w:val="5"/>
        <w:pBdr>
          <w:bottom w:val="single" w:color="auto" w:sz="6" w:space="1"/>
        </w:pBd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13.5</w:t>
      </w:r>
      <w:r>
        <w:rPr>
          <w:rFonts w:hint="eastAsia" w:ascii="宋体" w:hAnsi="宋体"/>
          <w:color w:val="auto"/>
          <w:sz w:val="24"/>
          <w:szCs w:val="24"/>
          <w:highlight w:val="none"/>
          <w:u w:val="single"/>
        </w:rPr>
        <w:t>详见本工程《施工合同》相关条款规定。</w:t>
      </w:r>
    </w:p>
    <w:p>
      <w:pPr>
        <w:spacing w:line="440" w:lineRule="exact"/>
        <w:ind w:firstLine="540" w:firstLineChars="224"/>
        <w:rPr>
          <w:rFonts w:ascii="宋体" w:hAnsi="宋体"/>
          <w:b/>
          <w:color w:val="auto"/>
          <w:sz w:val="24"/>
          <w:szCs w:val="24"/>
          <w:highlight w:val="none"/>
        </w:rPr>
      </w:pPr>
      <w:r>
        <w:rPr>
          <w:rFonts w:hint="eastAsia" w:ascii="宋体" w:hAnsi="宋体"/>
          <w:b/>
          <w:color w:val="auto"/>
          <w:sz w:val="24"/>
          <w:szCs w:val="24"/>
          <w:highlight w:val="none"/>
        </w:rPr>
        <w:t>条款号：13.9修改类型：修改</w:t>
      </w:r>
    </w:p>
    <w:p>
      <w:pPr>
        <w:pBdr>
          <w:bottom w:val="single" w:color="auto" w:sz="6" w:space="1"/>
        </w:pBdr>
        <w:spacing w:line="440" w:lineRule="exact"/>
        <w:ind w:firstLine="602" w:firstLineChars="250"/>
        <w:rPr>
          <w:rFonts w:ascii="宋体" w:hAnsi="宋体"/>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Bdr>
          <w:bottom w:val="single" w:color="auto" w:sz="6" w:space="1"/>
        </w:pBdr>
        <w:spacing w:line="440" w:lineRule="exact"/>
        <w:ind w:firstLine="602" w:firstLineChars="250"/>
        <w:rPr>
          <w:rFonts w:ascii="宋体" w:hAnsi="宋体"/>
          <w:b/>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w:t>
      </w:r>
      <w:r>
        <w:rPr>
          <w:rFonts w:hint="eastAsia" w:ascii="宋体" w:hAnsi="宋体"/>
          <w:color w:val="auto"/>
          <w:sz w:val="24"/>
          <w:szCs w:val="24"/>
          <w:highlight w:val="none"/>
          <w:u w:val="single"/>
        </w:rPr>
        <w:t>按照《施工合同》相应条款调整</w:t>
      </w:r>
      <w:r>
        <w:rPr>
          <w:rFonts w:hint="eastAsia" w:ascii="宋体" w:hAnsi="宋体"/>
          <w:color w:val="auto"/>
          <w:sz w:val="24"/>
          <w:szCs w:val="24"/>
          <w:highlight w:val="none"/>
        </w:rPr>
        <w:t>。</w:t>
      </w:r>
    </w:p>
    <w:p>
      <w:pPr>
        <w:spacing w:line="440" w:lineRule="exact"/>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w:t>
      </w:r>
      <w:r>
        <w:rPr>
          <w:rFonts w:ascii="宋体" w:hAnsi="宋体"/>
          <w:b/>
          <w:color w:val="auto"/>
          <w:sz w:val="24"/>
          <w:szCs w:val="24"/>
          <w:highlight w:val="none"/>
        </w:rPr>
        <w:t>1</w:t>
      </w:r>
      <w:r>
        <w:rPr>
          <w:rFonts w:hint="eastAsia" w:ascii="宋体" w:hAnsi="宋体"/>
          <w:b/>
          <w:color w:val="auto"/>
          <w:sz w:val="24"/>
          <w:szCs w:val="24"/>
          <w:highlight w:val="none"/>
        </w:rPr>
        <w:t>6 修改类型：修改</w:t>
      </w:r>
    </w:p>
    <w:p>
      <w:pPr>
        <w:spacing w:line="440" w:lineRule="exact"/>
        <w:ind w:firstLine="590" w:firstLineChars="245"/>
        <w:rPr>
          <w:rFonts w:ascii="宋体" w:hAnsi="宋体"/>
          <w:b/>
          <w:color w:val="auto"/>
          <w:sz w:val="24"/>
          <w:szCs w:val="24"/>
          <w:highlight w:val="none"/>
        </w:rPr>
      </w:pPr>
      <w:r>
        <w:rPr>
          <w:rFonts w:hint="eastAsia" w:ascii="宋体" w:hAnsi="宋体"/>
          <w:b/>
          <w:color w:val="auto"/>
          <w:sz w:val="24"/>
          <w:szCs w:val="24"/>
          <w:highlight w:val="none"/>
        </w:rPr>
        <w:t>原文：16.投标保证金</w:t>
      </w:r>
    </w:p>
    <w:p>
      <w:pPr>
        <w:spacing w:line="440" w:lineRule="exact"/>
        <w:ind w:firstLine="588" w:firstLineChars="245"/>
        <w:rPr>
          <w:rFonts w:ascii="宋体" w:hAnsi="宋体"/>
          <w:color w:val="auto"/>
          <w:sz w:val="24"/>
          <w:szCs w:val="24"/>
          <w:highlight w:val="none"/>
        </w:rPr>
      </w:pPr>
      <w:r>
        <w:rPr>
          <w:rFonts w:hint="eastAsia" w:ascii="宋体" w:hAnsi="宋体"/>
          <w:color w:val="auto"/>
          <w:sz w:val="24"/>
          <w:szCs w:val="24"/>
          <w:highlight w:val="none"/>
        </w:rPr>
        <w:t>16.1投标人应按投标须知前附表第14项所述金额和时间递交投标保证金。招标人不得限定投标保证金只能以现金形式提交。</w:t>
      </w:r>
    </w:p>
    <w:p>
      <w:pPr>
        <w:spacing w:line="440" w:lineRule="exact"/>
        <w:ind w:firstLine="588" w:firstLineChars="245"/>
        <w:rPr>
          <w:rFonts w:ascii="宋体" w:hAnsi="宋体"/>
          <w:bCs/>
          <w:color w:val="auto"/>
          <w:sz w:val="24"/>
          <w:szCs w:val="24"/>
          <w:highlight w:val="none"/>
        </w:rPr>
      </w:pPr>
      <w:r>
        <w:rPr>
          <w:rFonts w:hint="eastAsia" w:ascii="宋体" w:hAnsi="宋体"/>
          <w:bCs/>
          <w:color w:val="auto"/>
          <w:sz w:val="24"/>
          <w:szCs w:val="24"/>
          <w:highlight w:val="none"/>
        </w:rPr>
        <w:t>16.1.1 采用现金、支票或汇票形式提交的，投标保证金须从投标人的银行基本账户转出。</w:t>
      </w:r>
    </w:p>
    <w:p>
      <w:pPr>
        <w:spacing w:line="440" w:lineRule="exact"/>
        <w:ind w:firstLine="588" w:firstLineChars="245"/>
        <w:rPr>
          <w:rFonts w:ascii="宋体" w:hAnsi="宋体"/>
          <w:bCs/>
          <w:color w:val="auto"/>
          <w:sz w:val="24"/>
          <w:szCs w:val="24"/>
          <w:highlight w:val="none"/>
        </w:rPr>
      </w:pPr>
      <w:r>
        <w:rPr>
          <w:rFonts w:hint="eastAsia" w:ascii="宋体" w:hAnsi="宋体"/>
          <w:bCs/>
          <w:color w:val="auto"/>
          <w:sz w:val="24"/>
          <w:szCs w:val="24"/>
          <w:highlight w:val="none"/>
        </w:rPr>
        <w:t>16.1.2 依法必须招标的房屋建筑工程如采用非电子形式的投标保函或投标保证保险提交投标保证金的，在开标前不强制要求投标人提交纸质原件，由中标候选人在中标候选人公示前提交并在网上公示，投标人应在投标文件中提交投标保函或投标保证保险扫描件并加盖投标人电子印章。</w:t>
      </w:r>
    </w:p>
    <w:p>
      <w:pPr>
        <w:spacing w:line="440" w:lineRule="exact"/>
        <w:ind w:firstLine="588" w:firstLineChars="245"/>
        <w:rPr>
          <w:rFonts w:ascii="宋体" w:hAnsi="宋体"/>
          <w:bCs/>
          <w:color w:val="auto"/>
          <w:sz w:val="24"/>
          <w:szCs w:val="24"/>
          <w:highlight w:val="none"/>
        </w:rPr>
      </w:pPr>
      <w:r>
        <w:rPr>
          <w:rFonts w:hint="eastAsia" w:ascii="宋体" w:hAnsi="宋体"/>
          <w:bCs/>
          <w:color w:val="auto"/>
          <w:sz w:val="24"/>
          <w:szCs w:val="24"/>
          <w:highlight w:val="none"/>
        </w:rPr>
        <w:t>16.1.3 采用电子保函提交投标保证金的，应在招标文件中明确电子递交途径。</w:t>
      </w:r>
    </w:p>
    <w:p>
      <w:pPr>
        <w:spacing w:line="440" w:lineRule="exact"/>
        <w:ind w:firstLine="590" w:firstLineChars="245"/>
        <w:rPr>
          <w:rFonts w:ascii="宋体" w:hAnsi="宋体"/>
          <w:b/>
          <w:bCs/>
          <w:color w:val="auto"/>
          <w:sz w:val="24"/>
          <w:szCs w:val="24"/>
          <w:highlight w:val="none"/>
        </w:rPr>
      </w:pPr>
      <w:r>
        <w:rPr>
          <w:rFonts w:hint="eastAsia" w:ascii="宋体" w:hAnsi="宋体"/>
          <w:b/>
          <w:bCs/>
          <w:color w:val="auto"/>
          <w:sz w:val="24"/>
          <w:szCs w:val="24"/>
          <w:highlight w:val="none"/>
        </w:rPr>
        <w:t>16.2招标人可委托本项目招标交易平台具体实施保证金的收取和退还工作。通过交易平台递交投标保证金的相关事宜，请自行咨询交易平台。</w:t>
      </w:r>
    </w:p>
    <w:p>
      <w:pPr>
        <w:spacing w:line="440" w:lineRule="exact"/>
        <w:ind w:firstLine="590" w:firstLineChars="245"/>
        <w:rPr>
          <w:rFonts w:ascii="宋体" w:hAnsi="宋体"/>
          <w:b/>
          <w:bCs/>
          <w:color w:val="auto"/>
          <w:sz w:val="24"/>
          <w:szCs w:val="24"/>
          <w:highlight w:val="none"/>
        </w:rPr>
      </w:pPr>
      <w:r>
        <w:rPr>
          <w:rFonts w:hint="eastAsia" w:ascii="宋体" w:hAnsi="宋体"/>
          <w:b/>
          <w:bCs/>
          <w:color w:val="auto"/>
          <w:sz w:val="24"/>
          <w:szCs w:val="24"/>
          <w:highlight w:val="none"/>
        </w:rPr>
        <w:t>16.3交易平台代收投标保证金的，其缴纳情况以交易平台数据库记录的信息为准。</w:t>
      </w:r>
    </w:p>
    <w:p>
      <w:pPr>
        <w:spacing w:line="440" w:lineRule="exact"/>
        <w:ind w:firstLine="588" w:firstLineChars="245"/>
        <w:rPr>
          <w:rFonts w:ascii="宋体" w:hAnsi="宋体"/>
          <w:color w:val="auto"/>
          <w:sz w:val="24"/>
          <w:szCs w:val="24"/>
          <w:highlight w:val="none"/>
        </w:rPr>
      </w:pPr>
      <w:r>
        <w:rPr>
          <w:rFonts w:hint="eastAsia" w:ascii="宋体" w:hAnsi="宋体"/>
          <w:color w:val="auto"/>
          <w:sz w:val="24"/>
          <w:szCs w:val="24"/>
          <w:highlight w:val="none"/>
        </w:rPr>
        <w:t>16.4开标时投标人没有按要求提供投标保证金的，其投标文件将被否决。</w:t>
      </w:r>
    </w:p>
    <w:p>
      <w:pPr>
        <w:spacing w:line="440" w:lineRule="exact"/>
        <w:ind w:firstLine="588" w:firstLineChars="245"/>
        <w:rPr>
          <w:rFonts w:ascii="宋体" w:hAnsi="宋体"/>
          <w:color w:val="auto"/>
          <w:sz w:val="24"/>
          <w:szCs w:val="24"/>
          <w:highlight w:val="none"/>
        </w:rPr>
      </w:pPr>
      <w:r>
        <w:rPr>
          <w:rFonts w:hint="eastAsia" w:ascii="宋体" w:hAnsi="宋体"/>
          <w:color w:val="auto"/>
          <w:sz w:val="24"/>
          <w:szCs w:val="24"/>
          <w:highlight w:val="none"/>
        </w:rPr>
        <w:t>16.5投标保证金应依据法律法规的相关规定退还。</w:t>
      </w:r>
    </w:p>
    <w:p>
      <w:pPr>
        <w:spacing w:line="440" w:lineRule="exact"/>
        <w:ind w:firstLine="588" w:firstLineChars="245"/>
        <w:rPr>
          <w:rFonts w:ascii="宋体" w:hAnsi="宋体"/>
          <w:color w:val="auto"/>
          <w:sz w:val="24"/>
          <w:szCs w:val="24"/>
          <w:highlight w:val="none"/>
        </w:rPr>
      </w:pPr>
      <w:r>
        <w:rPr>
          <w:rFonts w:hint="eastAsia" w:ascii="宋体" w:hAnsi="宋体"/>
          <w:color w:val="auto"/>
          <w:sz w:val="24"/>
          <w:szCs w:val="24"/>
          <w:highlight w:val="none"/>
        </w:rPr>
        <w:t>16.6如有下列情况之一的，招标人可以不予退还投标保证金（是否退还投标保证金由招标人在招标文件中规定）：</w:t>
      </w:r>
    </w:p>
    <w:p>
      <w:pPr>
        <w:spacing w:line="440" w:lineRule="exact"/>
        <w:ind w:firstLine="588" w:firstLineChars="245"/>
        <w:rPr>
          <w:rFonts w:ascii="宋体" w:hAnsi="宋体"/>
          <w:color w:val="auto"/>
          <w:sz w:val="24"/>
          <w:szCs w:val="24"/>
          <w:highlight w:val="none"/>
        </w:rPr>
      </w:pPr>
      <w:r>
        <w:rPr>
          <w:rFonts w:hint="eastAsia" w:ascii="宋体" w:hAnsi="宋体"/>
          <w:color w:val="auto"/>
          <w:sz w:val="24"/>
          <w:szCs w:val="24"/>
          <w:highlight w:val="none"/>
        </w:rPr>
        <w:t>16.6.1因投标人原因造成投标文件未解密的；</w:t>
      </w:r>
    </w:p>
    <w:p>
      <w:pPr>
        <w:spacing w:line="440" w:lineRule="exact"/>
        <w:ind w:firstLine="588" w:firstLineChars="245"/>
        <w:rPr>
          <w:rFonts w:ascii="宋体" w:hAnsi="宋体"/>
          <w:color w:val="auto"/>
          <w:sz w:val="24"/>
          <w:szCs w:val="24"/>
          <w:highlight w:val="none"/>
        </w:rPr>
      </w:pPr>
      <w:r>
        <w:rPr>
          <w:rFonts w:hint="eastAsia" w:ascii="宋体" w:hAnsi="宋体"/>
          <w:color w:val="auto"/>
          <w:sz w:val="24"/>
          <w:szCs w:val="24"/>
          <w:highlight w:val="none"/>
        </w:rPr>
        <w:t>16.6.2投标人在投标有效期内撤销投标文件；</w:t>
      </w:r>
    </w:p>
    <w:p>
      <w:pPr>
        <w:spacing w:line="440" w:lineRule="exact"/>
        <w:ind w:firstLine="588" w:firstLineChars="245"/>
        <w:rPr>
          <w:rFonts w:ascii="宋体" w:hAnsi="宋体"/>
          <w:color w:val="auto"/>
          <w:sz w:val="24"/>
          <w:szCs w:val="24"/>
          <w:highlight w:val="none"/>
        </w:rPr>
      </w:pPr>
      <w:r>
        <w:rPr>
          <w:rFonts w:hint="eastAsia" w:ascii="宋体" w:hAnsi="宋体"/>
          <w:color w:val="auto"/>
          <w:sz w:val="24"/>
          <w:szCs w:val="24"/>
          <w:highlight w:val="none"/>
        </w:rPr>
        <w:t>16.6.3中标人未能在规定期限内按要求提交履约担保；</w:t>
      </w:r>
    </w:p>
    <w:p>
      <w:pPr>
        <w:spacing w:line="440" w:lineRule="exact"/>
        <w:ind w:firstLine="588" w:firstLineChars="245"/>
        <w:rPr>
          <w:rFonts w:ascii="宋体" w:hAnsi="宋体"/>
          <w:color w:val="auto"/>
          <w:sz w:val="24"/>
          <w:szCs w:val="24"/>
          <w:highlight w:val="none"/>
        </w:rPr>
      </w:pPr>
      <w:r>
        <w:rPr>
          <w:rFonts w:hint="eastAsia" w:ascii="宋体" w:hAnsi="宋体"/>
          <w:color w:val="auto"/>
          <w:sz w:val="24"/>
          <w:szCs w:val="24"/>
          <w:highlight w:val="none"/>
        </w:rPr>
        <w:t>16.6.4中标人未能在规定期限内签署合同协议。</w:t>
      </w:r>
    </w:p>
    <w:p>
      <w:pPr>
        <w:pStyle w:val="5"/>
        <w:spacing w:line="360" w:lineRule="auto"/>
        <w:ind w:firstLine="482" w:firstLineChars="200"/>
        <w:rPr>
          <w:rFonts w:ascii="宋体" w:hAnsi="宋体" w:cs="宋体"/>
          <w:b/>
          <w:color w:val="auto"/>
          <w:sz w:val="24"/>
          <w:highlight w:val="none"/>
        </w:rPr>
      </w:pPr>
      <w:r>
        <w:rPr>
          <w:rFonts w:hint="eastAsia" w:ascii="宋体" w:hAnsi="宋体"/>
          <w:b/>
          <w:color w:val="auto"/>
          <w:sz w:val="24"/>
          <w:szCs w:val="24"/>
          <w:highlight w:val="none"/>
        </w:rPr>
        <w:t>现文：</w:t>
      </w:r>
      <w:r>
        <w:rPr>
          <w:rFonts w:hint="eastAsia" w:ascii="宋体" w:hAnsi="宋体" w:cs="宋体"/>
          <w:b/>
          <w:color w:val="auto"/>
          <w:sz w:val="24"/>
          <w:highlight w:val="none"/>
        </w:rPr>
        <w:t>16．投标保证金</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16.1投标人应按投标须知前附表第14项所述金额和时间递交投标保证金。</w:t>
      </w:r>
      <w:r>
        <w:rPr>
          <w:rFonts w:hint="eastAsia" w:ascii="宋体" w:hAnsi="宋体" w:cs="宋体"/>
          <w:b/>
          <w:bCs/>
          <w:color w:val="auto"/>
          <w:sz w:val="24"/>
          <w:highlight w:val="none"/>
        </w:rPr>
        <w:t>招标人应当允许投标人自主选择现金、银行保函、保证保险、专业工程担保公司担保等方式缴纳投标保证金。</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16.1.1</w:t>
      </w:r>
      <w:r>
        <w:rPr>
          <w:rFonts w:hint="eastAsia" w:ascii="宋体" w:hAnsi="宋体" w:cs="宋体"/>
          <w:bCs/>
          <w:color w:val="auto"/>
          <w:sz w:val="24"/>
          <w:highlight w:val="none"/>
        </w:rPr>
        <w:t>采用现金</w:t>
      </w:r>
      <w:r>
        <w:rPr>
          <w:rFonts w:hint="eastAsia" w:ascii="宋体" w:hAnsi="宋体" w:cs="宋体"/>
          <w:b/>
          <w:bCs/>
          <w:color w:val="auto"/>
          <w:sz w:val="24"/>
          <w:highlight w:val="none"/>
        </w:rPr>
        <w:t>或者支票</w:t>
      </w:r>
      <w:r>
        <w:rPr>
          <w:rFonts w:hint="eastAsia" w:ascii="宋体" w:hAnsi="宋体" w:cs="宋体"/>
          <w:bCs/>
          <w:color w:val="auto"/>
          <w:sz w:val="24"/>
          <w:highlight w:val="none"/>
        </w:rPr>
        <w:t>形式提交的，投标保证金须从投标人的银行基本账户转出</w:t>
      </w:r>
      <w:r>
        <w:rPr>
          <w:rFonts w:hint="eastAsia" w:ascii="宋体" w:hAnsi="宋体" w:cs="宋体"/>
          <w:color w:val="auto"/>
          <w:sz w:val="24"/>
          <w:highlight w:val="none"/>
        </w:rPr>
        <w:t>。</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16.1.2</w:t>
      </w:r>
      <w:r>
        <w:rPr>
          <w:rFonts w:hint="eastAsia" w:ascii="宋体" w:hAnsi="宋体" w:cs="宋体"/>
          <w:bCs/>
          <w:color w:val="auto"/>
          <w:sz w:val="24"/>
          <w:highlight w:val="none"/>
        </w:rPr>
        <w:t>依法必须招标的房屋建筑工程如采用非电子形式的</w:t>
      </w:r>
      <w:r>
        <w:rPr>
          <w:rFonts w:hint="eastAsia" w:ascii="宋体" w:hAnsi="宋体" w:cs="宋体"/>
          <w:b/>
          <w:bCs/>
          <w:color w:val="auto"/>
          <w:sz w:val="24"/>
          <w:highlight w:val="none"/>
        </w:rPr>
        <w:t>银行保函、专业工程担保公司担保或保证保险</w:t>
      </w:r>
      <w:r>
        <w:rPr>
          <w:rFonts w:hint="eastAsia" w:ascii="宋体" w:hAnsi="宋体" w:cs="宋体"/>
          <w:bCs/>
          <w:color w:val="auto"/>
          <w:sz w:val="24"/>
          <w:highlight w:val="none"/>
        </w:rPr>
        <w:t>提交投标保证金的，在开标前不强制要求投标人提交纸质原件，由中标候选人在中标候选人公示前提交并在网上公示，投标人应在投标文件中提交</w:t>
      </w:r>
      <w:r>
        <w:rPr>
          <w:rFonts w:hint="eastAsia" w:ascii="宋体" w:hAnsi="宋体" w:cs="宋体"/>
          <w:b/>
          <w:bCs/>
          <w:color w:val="auto"/>
          <w:sz w:val="24"/>
          <w:highlight w:val="none"/>
        </w:rPr>
        <w:t>保函、担保或保证保险</w:t>
      </w:r>
      <w:r>
        <w:rPr>
          <w:rFonts w:hint="eastAsia" w:ascii="宋体" w:hAnsi="宋体" w:cs="宋体"/>
          <w:bCs/>
          <w:color w:val="auto"/>
          <w:sz w:val="24"/>
          <w:highlight w:val="none"/>
        </w:rPr>
        <w:t>扫描件并加盖投标人电子印章。</w:t>
      </w:r>
      <w:r>
        <w:rPr>
          <w:rFonts w:hint="eastAsia" w:ascii="宋体" w:hAnsi="宋体" w:cs="宋体"/>
          <w:b/>
          <w:color w:val="auto"/>
          <w:sz w:val="24"/>
          <w:highlight w:val="none"/>
        </w:rPr>
        <w:t>如投标人存在16.4条款所列情形的，应将</w:t>
      </w:r>
      <w:r>
        <w:rPr>
          <w:rFonts w:hint="eastAsia" w:ascii="宋体" w:hAnsi="宋体" w:cs="宋体"/>
          <w:b/>
          <w:bCs/>
          <w:color w:val="auto"/>
          <w:sz w:val="24"/>
          <w:highlight w:val="none"/>
        </w:rPr>
        <w:t>纸质</w:t>
      </w:r>
      <w:r>
        <w:rPr>
          <w:rFonts w:hint="eastAsia" w:ascii="宋体" w:hAnsi="宋体" w:cs="宋体"/>
          <w:b/>
          <w:color w:val="auto"/>
          <w:sz w:val="24"/>
          <w:highlight w:val="none"/>
        </w:rPr>
        <w:t>原件提交给招标人</w:t>
      </w:r>
      <w:r>
        <w:rPr>
          <w:rFonts w:hint="eastAsia" w:ascii="宋体" w:hAnsi="宋体" w:cs="宋体"/>
          <w:color w:val="auto"/>
          <w:sz w:val="24"/>
          <w:highlight w:val="none"/>
        </w:rPr>
        <w:t>。</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16.1.3</w:t>
      </w:r>
      <w:r>
        <w:rPr>
          <w:rFonts w:hint="eastAsia" w:ascii="宋体" w:hAnsi="宋体" w:cs="宋体"/>
          <w:bCs/>
          <w:color w:val="auto"/>
          <w:sz w:val="24"/>
          <w:highlight w:val="none"/>
        </w:rPr>
        <w:t>采用</w:t>
      </w:r>
      <w:r>
        <w:rPr>
          <w:rFonts w:hint="eastAsia" w:ascii="宋体" w:hAnsi="宋体" w:cs="宋体"/>
          <w:b/>
          <w:color w:val="auto"/>
          <w:sz w:val="24"/>
          <w:highlight w:val="none"/>
        </w:rPr>
        <w:t>电子形式的保函、担保或保证保险</w:t>
      </w:r>
      <w:r>
        <w:rPr>
          <w:rFonts w:hint="eastAsia" w:ascii="宋体" w:hAnsi="宋体" w:cs="宋体"/>
          <w:bCs/>
          <w:color w:val="auto"/>
          <w:sz w:val="24"/>
          <w:highlight w:val="none"/>
        </w:rPr>
        <w:t>提交投标保证金的，应在招标文件中明确电子递交途径</w:t>
      </w:r>
      <w:r>
        <w:rPr>
          <w:rFonts w:hint="eastAsia" w:ascii="宋体" w:hAnsi="宋体" w:cs="宋体"/>
          <w:color w:val="auto"/>
          <w:sz w:val="24"/>
          <w:highlight w:val="none"/>
        </w:rPr>
        <w:t>。</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16.2开标时投标人没有按要求提供投标保证金的，其投标文件将被否决；</w:t>
      </w:r>
      <w:r>
        <w:rPr>
          <w:rFonts w:hint="eastAsia" w:ascii="宋体" w:hAnsi="宋体" w:cs="宋体"/>
          <w:b/>
          <w:bCs/>
          <w:color w:val="auto"/>
          <w:sz w:val="24"/>
          <w:highlight w:val="none"/>
        </w:rPr>
        <w:t>未按招标文件要求提交符合免予提供投标保证金相关证明材料，且未提交投标保证金的投标人，视为未按要求提供投标保证金</w:t>
      </w:r>
      <w:r>
        <w:rPr>
          <w:rFonts w:hint="eastAsia" w:ascii="宋体" w:hAnsi="宋体" w:cs="宋体"/>
          <w:color w:val="auto"/>
          <w:sz w:val="24"/>
          <w:highlight w:val="none"/>
        </w:rPr>
        <w:t>。</w:t>
      </w:r>
    </w:p>
    <w:p>
      <w:pPr>
        <w:pStyle w:val="5"/>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16.3投标保证金应依据法律法规的相关规定退还。</w:t>
      </w:r>
    </w:p>
    <w:p>
      <w:pPr>
        <w:pStyle w:val="5"/>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16.4如有下列情况之一的，招标人可以不予退还投标保证金：</w:t>
      </w:r>
    </w:p>
    <w:p>
      <w:pPr>
        <w:pStyle w:val="5"/>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16.4.1因投标人原因造成投标文件未解密的；</w:t>
      </w:r>
    </w:p>
    <w:p>
      <w:pPr>
        <w:pStyle w:val="5"/>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16.4.2投标人在投标有效期内撤销投标文件；</w:t>
      </w:r>
    </w:p>
    <w:p>
      <w:pPr>
        <w:pStyle w:val="5"/>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16.4.3中标人未能在规定期限内按要求提交履约担保；</w:t>
      </w:r>
    </w:p>
    <w:p>
      <w:pPr>
        <w:pStyle w:val="5"/>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16.4.4中标人未能在规定期限内签署合同协议。</w:t>
      </w:r>
    </w:p>
    <w:p>
      <w:pPr>
        <w:pStyle w:val="5"/>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16.5投标人如存在下列情况之一的，将被拒绝在三个月内参与招标人后续工程投标：</w:t>
      </w:r>
    </w:p>
    <w:p>
      <w:pPr>
        <w:pStyle w:val="5"/>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16.5.1</w:t>
      </w:r>
      <w:r>
        <w:rPr>
          <w:rFonts w:hint="eastAsia" w:ascii="宋体" w:hAnsi="宋体" w:cs="宋体"/>
          <w:b/>
          <w:bCs/>
          <w:color w:val="auto"/>
          <w:sz w:val="24"/>
          <w:highlight w:val="none"/>
        </w:rPr>
        <w:t>投标人</w:t>
      </w:r>
      <w:r>
        <w:rPr>
          <w:rFonts w:hint="eastAsia" w:ascii="宋体" w:hAnsi="宋体" w:cs="宋体"/>
          <w:b/>
          <w:color w:val="auto"/>
          <w:sz w:val="24"/>
          <w:highlight w:val="none"/>
        </w:rPr>
        <w:t>存在16.4条款所列情形且投标人提交的保函、担保或保证保险无法兑付的；</w:t>
      </w:r>
    </w:p>
    <w:p>
      <w:pPr>
        <w:pStyle w:val="5"/>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highlight w:val="none"/>
        </w:rPr>
        <w:t>16.5.2采用非电子形式提交投标保证金的</w:t>
      </w:r>
      <w:r>
        <w:rPr>
          <w:rFonts w:hint="eastAsia" w:ascii="宋体" w:hAnsi="宋体" w:cs="宋体"/>
          <w:b/>
          <w:bCs/>
          <w:color w:val="auto"/>
          <w:sz w:val="24"/>
          <w:highlight w:val="none"/>
        </w:rPr>
        <w:t>投标人</w:t>
      </w:r>
      <w:r>
        <w:rPr>
          <w:rFonts w:hint="eastAsia" w:ascii="宋体" w:hAnsi="宋体" w:cs="宋体"/>
          <w:b/>
          <w:color w:val="auto"/>
          <w:sz w:val="24"/>
          <w:highlight w:val="none"/>
        </w:rPr>
        <w:t>存在16.4条款所列情形，且未按招标人要求补交</w:t>
      </w:r>
      <w:r>
        <w:rPr>
          <w:rFonts w:hint="eastAsia" w:ascii="宋体" w:hAnsi="宋体" w:cs="宋体"/>
          <w:b/>
          <w:bCs/>
          <w:color w:val="auto"/>
          <w:sz w:val="24"/>
          <w:highlight w:val="none"/>
        </w:rPr>
        <w:t>银行保函、专业工程担保公司担保或保证保险原件的；</w:t>
      </w:r>
    </w:p>
    <w:p>
      <w:pPr>
        <w:pBdr>
          <w:bottom w:val="single" w:color="auto" w:sz="6" w:space="1"/>
        </w:pBdr>
        <w:spacing w:line="440" w:lineRule="exact"/>
        <w:ind w:firstLine="472" w:firstLineChars="196"/>
        <w:rPr>
          <w:rFonts w:ascii="宋体" w:hAnsi="宋体"/>
          <w:b/>
          <w:color w:val="auto"/>
          <w:sz w:val="24"/>
          <w:szCs w:val="24"/>
          <w:highlight w:val="none"/>
        </w:rPr>
      </w:pPr>
      <w:r>
        <w:rPr>
          <w:rFonts w:hint="eastAsia" w:ascii="宋体" w:hAnsi="宋体" w:cs="宋体"/>
          <w:b/>
          <w:bCs/>
          <w:color w:val="auto"/>
          <w:sz w:val="24"/>
          <w:highlight w:val="none"/>
        </w:rPr>
        <w:t>16.5.3按招标文件要求免于提供投标保证金</w:t>
      </w:r>
      <w:r>
        <w:rPr>
          <w:rFonts w:hint="eastAsia" w:ascii="宋体" w:hAnsi="宋体" w:cs="宋体"/>
          <w:b/>
          <w:color w:val="auto"/>
          <w:sz w:val="24"/>
          <w:highlight w:val="none"/>
        </w:rPr>
        <w:t>的</w:t>
      </w:r>
      <w:r>
        <w:rPr>
          <w:rFonts w:hint="eastAsia" w:ascii="宋体" w:hAnsi="宋体" w:cs="宋体"/>
          <w:b/>
          <w:bCs/>
          <w:color w:val="auto"/>
          <w:sz w:val="24"/>
          <w:highlight w:val="none"/>
        </w:rPr>
        <w:t>投标人</w:t>
      </w:r>
      <w:r>
        <w:rPr>
          <w:rFonts w:hint="eastAsia" w:ascii="宋体" w:hAnsi="宋体" w:cs="宋体"/>
          <w:b/>
          <w:color w:val="auto"/>
          <w:sz w:val="24"/>
          <w:highlight w:val="none"/>
        </w:rPr>
        <w:t>存在16.4条款所列情形，且未按招标人要求补交投标保证金的</w:t>
      </w:r>
      <w:r>
        <w:rPr>
          <w:rFonts w:hint="eastAsia" w:ascii="宋体" w:hAnsi="宋体"/>
          <w:bCs/>
          <w:color w:val="auto"/>
          <w:kern w:val="0"/>
          <w:sz w:val="24"/>
          <w:szCs w:val="24"/>
          <w:highlight w:val="none"/>
        </w:rPr>
        <w:t>。</w:t>
      </w:r>
    </w:p>
    <w:p>
      <w:pPr>
        <w:spacing w:line="440" w:lineRule="exact"/>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w:t>
      </w:r>
      <w:r>
        <w:rPr>
          <w:rFonts w:ascii="宋体" w:hAnsi="宋体"/>
          <w:b/>
          <w:color w:val="auto"/>
          <w:sz w:val="24"/>
          <w:szCs w:val="24"/>
          <w:highlight w:val="none"/>
        </w:rPr>
        <w:t xml:space="preserve">17.1        </w:t>
      </w:r>
      <w:r>
        <w:rPr>
          <w:rFonts w:hint="eastAsia" w:ascii="宋体" w:hAnsi="宋体"/>
          <w:b/>
          <w:color w:val="auto"/>
          <w:sz w:val="24"/>
          <w:szCs w:val="24"/>
          <w:highlight w:val="none"/>
        </w:rPr>
        <w:t xml:space="preserve"> 修改类型：修改</w:t>
      </w:r>
    </w:p>
    <w:p>
      <w:pPr>
        <w:spacing w:line="440" w:lineRule="exact"/>
        <w:ind w:firstLine="590" w:firstLineChars="245"/>
        <w:rPr>
          <w:rFonts w:ascii="宋体" w:hAnsi="宋体"/>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投标人应采用单位数字证书，按招标文件要求在相应位置加盖电子印章。投标文件中需个人签字或盖章的，应手签后扫描上传。按照交易平台关于全流程电子化项目的相关指南进行操作。详见： 。</w:t>
      </w:r>
    </w:p>
    <w:p>
      <w:pPr>
        <w:pBdr>
          <w:bottom w:val="single" w:color="auto" w:sz="6" w:space="1"/>
        </w:pBdr>
        <w:spacing w:line="440" w:lineRule="exact"/>
        <w:ind w:firstLine="602" w:firstLineChars="250"/>
        <w:rPr>
          <w:rFonts w:ascii="宋体" w:hAnsi="宋体"/>
          <w:b/>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rPr>
        <w:t>投标人应采用单位数字证书，按招标文件要求在相应位置加盖电子印章。投标文件中需个人签字或盖章的，应手签后扫描上传。按照交易平台关于全流程电子化项目的相关指南进行操作。详见：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bCs/>
          <w:color w:val="auto"/>
          <w:kern w:val="0"/>
          <w:sz w:val="24"/>
          <w:szCs w:val="24"/>
          <w:highlight w:val="none"/>
          <w:u w:val="single"/>
        </w:rPr>
        <w:t>广州公共资源交易中心网站</w:t>
      </w:r>
      <w:r>
        <w:rPr>
          <w:rFonts w:hint="eastAsia" w:ascii="宋体" w:hAnsi="宋体"/>
          <w:bCs/>
          <w:color w:val="auto"/>
          <w:kern w:val="0"/>
          <w:sz w:val="24"/>
          <w:szCs w:val="24"/>
          <w:highlight w:val="none"/>
        </w:rPr>
        <w:t>。</w:t>
      </w:r>
    </w:p>
    <w:p>
      <w:pPr>
        <w:spacing w:line="440" w:lineRule="exact"/>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w:t>
      </w:r>
      <w:r>
        <w:rPr>
          <w:rFonts w:ascii="宋体" w:hAnsi="宋体"/>
          <w:b/>
          <w:bCs/>
          <w:color w:val="auto"/>
          <w:sz w:val="24"/>
          <w:szCs w:val="24"/>
          <w:highlight w:val="none"/>
        </w:rPr>
        <w:t>1</w:t>
      </w:r>
      <w:r>
        <w:rPr>
          <w:rFonts w:hint="eastAsia" w:ascii="宋体" w:hAnsi="宋体"/>
          <w:b/>
          <w:bCs/>
          <w:color w:val="auto"/>
          <w:sz w:val="24"/>
          <w:szCs w:val="24"/>
          <w:highlight w:val="none"/>
        </w:rPr>
        <w:t>8.</w:t>
      </w:r>
      <w:r>
        <w:rPr>
          <w:rFonts w:hint="eastAsia" w:ascii="宋体" w:hAnsi="宋体"/>
          <w:b/>
          <w:color w:val="auto"/>
          <w:sz w:val="24"/>
          <w:szCs w:val="24"/>
          <w:highlight w:val="none"/>
        </w:rPr>
        <w:t xml:space="preserve">   修改类型：修改</w:t>
      </w:r>
    </w:p>
    <w:p>
      <w:pPr>
        <w:pStyle w:val="5"/>
        <w:spacing w:after="0" w:line="360" w:lineRule="auto"/>
        <w:ind w:firstLine="600" w:firstLineChars="249"/>
        <w:rPr>
          <w:rFonts w:ascii="宋体"/>
          <w:b/>
          <w:bCs/>
          <w:color w:val="auto"/>
          <w:sz w:val="24"/>
          <w:highlight w:val="none"/>
        </w:rPr>
      </w:pPr>
      <w:r>
        <w:rPr>
          <w:rFonts w:hint="eastAsia" w:ascii="宋体" w:hAnsi="宋体"/>
          <w:b/>
          <w:color w:val="auto"/>
          <w:sz w:val="24"/>
          <w:szCs w:val="24"/>
          <w:highlight w:val="none"/>
        </w:rPr>
        <w:t>原文：</w:t>
      </w:r>
      <w:r>
        <w:rPr>
          <w:rFonts w:ascii="宋体" w:hAnsi="宋体"/>
          <w:bCs/>
          <w:color w:val="auto"/>
          <w:sz w:val="24"/>
          <w:highlight w:val="none"/>
        </w:rPr>
        <w:t>18</w:t>
      </w:r>
      <w:r>
        <w:rPr>
          <w:rFonts w:hint="eastAsia" w:ascii="宋体" w:hAnsi="宋体"/>
          <w:bCs/>
          <w:color w:val="auto"/>
          <w:sz w:val="24"/>
          <w:highlight w:val="none"/>
        </w:rPr>
        <w:t>．</w:t>
      </w:r>
      <w:r>
        <w:rPr>
          <w:rFonts w:hint="eastAsia"/>
          <w:color w:val="auto"/>
          <w:sz w:val="24"/>
          <w:szCs w:val="24"/>
          <w:highlight w:val="none"/>
        </w:rPr>
        <w:t>投标文件的密封和标记</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递交的电子投标文件（不含备用U盘）必须进行加密。按照交易平台关于</w:t>
      </w:r>
      <w:r>
        <w:rPr>
          <w:rFonts w:hint="eastAsia"/>
          <w:color w:val="auto"/>
          <w:sz w:val="24"/>
          <w:szCs w:val="24"/>
          <w:highlight w:val="none"/>
        </w:rPr>
        <w:t>全流程电子化项目的相关指南进行操作。详见：。</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hint="eastAsia" w:ascii="宋体"/>
          <w:bCs/>
          <w:color w:val="auto"/>
          <w:sz w:val="24"/>
          <w:highlight w:val="none"/>
        </w:rPr>
        <w:t>未按要求加密的投标文件，</w:t>
      </w:r>
      <w:r>
        <w:rPr>
          <w:rFonts w:hint="eastAsia" w:ascii="宋体" w:hAnsi="宋体"/>
          <w:color w:val="auto"/>
          <w:sz w:val="24"/>
          <w:szCs w:val="24"/>
          <w:highlight w:val="none"/>
        </w:rPr>
        <w:t>交易平台</w:t>
      </w:r>
      <w:r>
        <w:rPr>
          <w:rFonts w:hint="eastAsia" w:ascii="宋体"/>
          <w:bCs/>
          <w:color w:val="auto"/>
          <w:sz w:val="24"/>
          <w:highlight w:val="none"/>
        </w:rPr>
        <w:t>将予以拒收。</w:t>
      </w:r>
    </w:p>
    <w:p>
      <w:pP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rPr>
        <w:t xml:space="preserve">18. </w:t>
      </w:r>
      <w:r>
        <w:rPr>
          <w:rFonts w:hint="eastAsia" w:ascii="宋体" w:hAnsi="宋体"/>
          <w:color w:val="auto"/>
          <w:sz w:val="24"/>
          <w:szCs w:val="24"/>
          <w:highlight w:val="none"/>
          <w:u w:val="single"/>
        </w:rPr>
        <w:t>电子投标文件及定标辅助文件</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18.1.1递交的电子投标文件（不含备用U盘）必须进行加密。按照交易平台关于全流程电子化项目的相关指南进行操作。详见：</w:t>
      </w:r>
      <w:r>
        <w:rPr>
          <w:rFonts w:hint="eastAsia" w:ascii="宋体" w:hAnsi="宋体"/>
          <w:color w:val="auto"/>
          <w:sz w:val="24"/>
          <w:szCs w:val="24"/>
          <w:highlight w:val="none"/>
          <w:u w:val="single"/>
        </w:rPr>
        <w:t>广州公共资源交易中心网站</w:t>
      </w:r>
      <w:r>
        <w:rPr>
          <w:rFonts w:hint="eastAsia" w:ascii="宋体" w:hAnsi="宋体"/>
          <w:color w:val="auto"/>
          <w:sz w:val="24"/>
          <w:szCs w:val="24"/>
          <w:highlight w:val="none"/>
        </w:rPr>
        <w:t>。</w:t>
      </w:r>
    </w:p>
    <w:p>
      <w:pPr>
        <w:spacing w:line="360" w:lineRule="auto"/>
        <w:ind w:firstLine="480" w:firstLineChars="200"/>
        <w:rPr>
          <w:rFonts w:ascii="宋体" w:hAnsi="宋体"/>
          <w:bCs/>
          <w:color w:val="auto"/>
          <w:sz w:val="24"/>
          <w:szCs w:val="24"/>
          <w:highlight w:val="none"/>
        </w:rPr>
      </w:pPr>
      <w:r>
        <w:rPr>
          <w:rFonts w:hint="eastAsia" w:ascii="宋体" w:hAnsi="宋体"/>
          <w:color w:val="auto"/>
          <w:sz w:val="24"/>
          <w:szCs w:val="24"/>
          <w:highlight w:val="none"/>
        </w:rPr>
        <w:t>18.2</w:t>
      </w:r>
      <w:r>
        <w:rPr>
          <w:rFonts w:hint="eastAsia" w:ascii="宋体" w:hAnsi="宋体"/>
          <w:bCs/>
          <w:color w:val="auto"/>
          <w:sz w:val="24"/>
          <w:szCs w:val="24"/>
          <w:highlight w:val="none"/>
        </w:rPr>
        <w:t>未按要求加密的投标文件，</w:t>
      </w:r>
      <w:r>
        <w:rPr>
          <w:rFonts w:hint="eastAsia" w:ascii="宋体" w:hAnsi="宋体"/>
          <w:color w:val="auto"/>
          <w:sz w:val="24"/>
          <w:szCs w:val="24"/>
          <w:highlight w:val="none"/>
          <w:u w:val="single"/>
        </w:rPr>
        <w:t>广州</w:t>
      </w:r>
      <w:r>
        <w:rPr>
          <w:rFonts w:ascii="宋体" w:hAnsi="宋体"/>
          <w:color w:val="auto"/>
          <w:sz w:val="24"/>
          <w:szCs w:val="24"/>
          <w:highlight w:val="none"/>
          <w:u w:val="single"/>
        </w:rPr>
        <w:t>公共资源交易中心</w:t>
      </w:r>
      <w:r>
        <w:rPr>
          <w:rFonts w:hint="eastAsia" w:ascii="宋体" w:hAnsi="宋体"/>
          <w:color w:val="auto"/>
          <w:sz w:val="24"/>
          <w:szCs w:val="24"/>
          <w:highlight w:val="none"/>
        </w:rPr>
        <w:t>交易平台</w:t>
      </w:r>
      <w:r>
        <w:rPr>
          <w:rFonts w:hint="eastAsia" w:ascii="宋体" w:hAnsi="宋体"/>
          <w:bCs/>
          <w:color w:val="auto"/>
          <w:sz w:val="24"/>
          <w:szCs w:val="24"/>
          <w:highlight w:val="none"/>
        </w:rPr>
        <w:t>将予以拒收。</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18.3</w:t>
      </w:r>
      <w:r>
        <w:rPr>
          <w:rFonts w:hint="eastAsia" w:ascii="宋体" w:hAnsi="宋体"/>
          <w:color w:val="auto"/>
          <w:sz w:val="24"/>
          <w:szCs w:val="24"/>
          <w:highlight w:val="none"/>
          <w:u w:val="single"/>
        </w:rPr>
        <w:t>投标人可制作非加密的电子投标文件（</w:t>
      </w:r>
      <w:r>
        <w:rPr>
          <w:rFonts w:hint="eastAsia"/>
          <w:color w:val="auto"/>
          <w:sz w:val="24"/>
          <w:szCs w:val="24"/>
          <w:highlight w:val="none"/>
          <w:u w:val="single"/>
        </w:rPr>
        <w:t>PDF</w:t>
      </w:r>
      <w:r>
        <w:rPr>
          <w:rFonts w:hint="eastAsia" w:ascii="宋体" w:hAnsi="宋体"/>
          <w:color w:val="auto"/>
          <w:sz w:val="24"/>
          <w:szCs w:val="24"/>
          <w:highlight w:val="none"/>
          <w:u w:val="single"/>
        </w:rPr>
        <w:t>格式）存入U盘（</w:t>
      </w:r>
      <w:r>
        <w:rPr>
          <w:rFonts w:hint="eastAsia"/>
          <w:color w:val="auto"/>
          <w:sz w:val="24"/>
          <w:szCs w:val="24"/>
          <w:highlight w:val="none"/>
          <w:u w:val="single"/>
        </w:rPr>
        <w:t>1</w:t>
      </w:r>
      <w:r>
        <w:rPr>
          <w:rFonts w:hint="eastAsia" w:ascii="宋体" w:hAnsi="宋体"/>
          <w:color w:val="auto"/>
          <w:sz w:val="24"/>
          <w:szCs w:val="24"/>
          <w:highlight w:val="none"/>
          <w:u w:val="single"/>
        </w:rPr>
        <w:t>份），投标文件U盘密封在密封袋中，并在封口处加盖投标人单位公章。密封袋上应写明项目名称和招标人名称。</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18.4投标人应递交定标辅助文件电子版及纸制版，纸质版正本一份、副本四份，电子文件U盘一套，并将纸质版定标辅助文件及其电子文件U盘一起密封在密封袋中，并在封口处加盖投标人单位公章。密封袋上应写明①项目名称②招标人名称③定标辅助文件。当副本和正本不一致或电子版文件和纸质正本文件不一致时，以纸质正本文件为准。</w:t>
      </w:r>
    </w:p>
    <w:p>
      <w:pPr>
        <w:pBdr>
          <w:bottom w:val="single" w:color="auto" w:sz="6" w:space="1"/>
        </w:pBdr>
        <w:spacing w:line="440" w:lineRule="exact"/>
        <w:rPr>
          <w:rFonts w:ascii="宋体" w:hAnsi="宋体"/>
          <w:color w:val="auto"/>
          <w:sz w:val="24"/>
          <w:szCs w:val="24"/>
          <w:highlight w:val="none"/>
        </w:rPr>
      </w:pPr>
    </w:p>
    <w:p>
      <w:pPr>
        <w:spacing w:line="440" w:lineRule="exact"/>
        <w:ind w:firstLine="540" w:firstLineChars="224"/>
        <w:rPr>
          <w:rFonts w:ascii="宋体" w:hAnsi="宋体"/>
          <w:b/>
          <w:color w:val="auto"/>
          <w:sz w:val="24"/>
          <w:szCs w:val="24"/>
          <w:highlight w:val="none"/>
        </w:rPr>
      </w:pPr>
      <w:r>
        <w:rPr>
          <w:rFonts w:hint="eastAsia" w:ascii="宋体" w:hAnsi="宋体"/>
          <w:b/>
          <w:color w:val="auto"/>
          <w:sz w:val="24"/>
          <w:szCs w:val="24"/>
          <w:highlight w:val="none"/>
        </w:rPr>
        <w:t>条款号：</w:t>
      </w:r>
      <w:r>
        <w:rPr>
          <w:rFonts w:ascii="宋体" w:hAnsi="宋体"/>
          <w:b/>
          <w:color w:val="auto"/>
          <w:sz w:val="24"/>
          <w:szCs w:val="24"/>
          <w:highlight w:val="none"/>
        </w:rPr>
        <w:t xml:space="preserve"> 19</w:t>
      </w:r>
      <w:r>
        <w:rPr>
          <w:rFonts w:hint="eastAsia" w:ascii="宋体" w:hAnsi="宋体"/>
          <w:b/>
          <w:color w:val="auto"/>
          <w:sz w:val="24"/>
          <w:szCs w:val="24"/>
          <w:highlight w:val="none"/>
        </w:rPr>
        <w:t>． 修改类型：修改</w:t>
      </w:r>
    </w:p>
    <w:p>
      <w:pPr>
        <w:spacing w:line="440" w:lineRule="exact"/>
        <w:ind w:firstLine="600" w:firstLineChars="249"/>
        <w:rPr>
          <w:rFonts w:ascii="宋体" w:hAnsi="宋体"/>
          <w:bCs/>
          <w:color w:val="auto"/>
          <w:sz w:val="24"/>
          <w:szCs w:val="24"/>
          <w:highlight w:val="none"/>
        </w:rPr>
      </w:pPr>
      <w:r>
        <w:rPr>
          <w:rFonts w:hint="eastAsia" w:ascii="宋体" w:hAnsi="宋体"/>
          <w:b/>
          <w:color w:val="auto"/>
          <w:sz w:val="24"/>
          <w:szCs w:val="24"/>
          <w:highlight w:val="none"/>
        </w:rPr>
        <w:t>原文：</w:t>
      </w:r>
      <w:r>
        <w:rPr>
          <w:rFonts w:hint="eastAsia" w:ascii="宋体" w:hAnsi="宋体"/>
          <w:bCs/>
          <w:color w:val="auto"/>
          <w:sz w:val="24"/>
          <w:szCs w:val="24"/>
          <w:highlight w:val="none"/>
        </w:rPr>
        <w:t>投标文件的递交和接收</w:t>
      </w:r>
    </w:p>
    <w:p>
      <w:pPr>
        <w:spacing w:line="44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9</w:t>
      </w:r>
      <w:r>
        <w:rPr>
          <w:rFonts w:ascii="宋体" w:hAnsi="宋体"/>
          <w:bCs/>
          <w:color w:val="auto"/>
          <w:sz w:val="24"/>
          <w:szCs w:val="24"/>
          <w:highlight w:val="none"/>
        </w:rPr>
        <w:t>.</w:t>
      </w:r>
      <w:r>
        <w:rPr>
          <w:rFonts w:hint="eastAsia" w:ascii="宋体" w:hAnsi="宋体"/>
          <w:bCs/>
          <w:color w:val="auto"/>
          <w:sz w:val="24"/>
          <w:szCs w:val="24"/>
          <w:highlight w:val="none"/>
        </w:rPr>
        <w:t>1投标人通过</w:t>
      </w:r>
      <w:r>
        <w:rPr>
          <w:rFonts w:hint="eastAsia" w:ascii="宋体" w:hAnsi="宋体"/>
          <w:color w:val="auto"/>
          <w:sz w:val="24"/>
          <w:szCs w:val="24"/>
          <w:highlight w:val="none"/>
        </w:rPr>
        <w:t>交易平台递交电子投标文件。</w:t>
      </w:r>
    </w:p>
    <w:p>
      <w:pPr>
        <w:spacing w:line="44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9</w:t>
      </w:r>
      <w:r>
        <w:rPr>
          <w:rFonts w:ascii="宋体" w:hAnsi="宋体"/>
          <w:bCs/>
          <w:color w:val="auto"/>
          <w:sz w:val="24"/>
          <w:szCs w:val="24"/>
          <w:highlight w:val="none"/>
        </w:rPr>
        <w:t>.</w:t>
      </w:r>
      <w:r>
        <w:rPr>
          <w:rFonts w:hint="eastAsia" w:ascii="宋体" w:hAnsi="宋体"/>
          <w:bCs/>
          <w:color w:val="auto"/>
          <w:sz w:val="24"/>
          <w:szCs w:val="24"/>
          <w:highlight w:val="none"/>
        </w:rPr>
        <w:t>2投标人完成电子</w:t>
      </w:r>
      <w:r>
        <w:rPr>
          <w:rFonts w:hint="eastAsia" w:ascii="宋体" w:hAnsi="宋体"/>
          <w:color w:val="auto"/>
          <w:sz w:val="24"/>
          <w:szCs w:val="24"/>
          <w:highlight w:val="none"/>
        </w:rPr>
        <w:t>投标文件</w:t>
      </w:r>
      <w:r>
        <w:rPr>
          <w:rFonts w:hint="eastAsia" w:ascii="宋体" w:hAnsi="宋体"/>
          <w:bCs/>
          <w:color w:val="auto"/>
          <w:sz w:val="24"/>
          <w:szCs w:val="24"/>
          <w:highlight w:val="none"/>
        </w:rPr>
        <w:t>上传后，</w:t>
      </w:r>
      <w:r>
        <w:rPr>
          <w:rFonts w:hint="eastAsia" w:ascii="宋体" w:hAnsi="宋体"/>
          <w:color w:val="auto"/>
          <w:sz w:val="24"/>
          <w:szCs w:val="24"/>
          <w:highlight w:val="none"/>
        </w:rPr>
        <w:t>交易平台即时向投标人发出递交回执通知。递交时间以递交回执通知载明的传输完成时间为准。</w:t>
      </w:r>
    </w:p>
    <w:p>
      <w:pPr>
        <w:spacing w:line="440" w:lineRule="exact"/>
        <w:ind w:firstLine="480" w:firstLineChars="200"/>
        <w:rPr>
          <w:rFonts w:ascii="宋体" w:hAnsi="宋体"/>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9</w:t>
      </w:r>
      <w:r>
        <w:rPr>
          <w:rFonts w:ascii="宋体" w:hAnsi="宋体"/>
          <w:bCs/>
          <w:color w:val="auto"/>
          <w:sz w:val="24"/>
          <w:szCs w:val="24"/>
          <w:highlight w:val="none"/>
        </w:rPr>
        <w:t>.</w:t>
      </w:r>
      <w:r>
        <w:rPr>
          <w:rFonts w:hint="eastAsia" w:ascii="宋体" w:hAnsi="宋体"/>
          <w:bCs/>
          <w:color w:val="auto"/>
          <w:sz w:val="24"/>
          <w:szCs w:val="24"/>
          <w:highlight w:val="none"/>
        </w:rPr>
        <w:t>3逾期送达的电子投标文件，</w:t>
      </w:r>
      <w:r>
        <w:rPr>
          <w:rFonts w:hint="eastAsia" w:ascii="宋体" w:hAnsi="宋体"/>
          <w:color w:val="auto"/>
          <w:sz w:val="24"/>
          <w:szCs w:val="24"/>
          <w:highlight w:val="none"/>
        </w:rPr>
        <w:t>交易平台将予以拒收。</w:t>
      </w:r>
    </w:p>
    <w:p>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19.</w:t>
      </w:r>
      <w:r>
        <w:rPr>
          <w:rFonts w:hint="eastAsia" w:ascii="宋体" w:hAnsi="宋体"/>
          <w:color w:val="auto"/>
          <w:sz w:val="24"/>
          <w:szCs w:val="24"/>
          <w:highlight w:val="none"/>
        </w:rPr>
        <w:t>4投标截止前，招标人拒绝接收符合条件的投标文件，投标人可向招标投标监督机构投诉。</w:t>
      </w:r>
    </w:p>
    <w:p>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19.</w:t>
      </w:r>
      <w:r>
        <w:rPr>
          <w:rFonts w:hint="eastAsia" w:ascii="宋体" w:hAnsi="宋体"/>
          <w:color w:val="auto"/>
          <w:sz w:val="24"/>
          <w:szCs w:val="24"/>
          <w:highlight w:val="none"/>
        </w:rPr>
        <w:t>5如技术标和经济标先后分别开启，交易平台将按招标文件规定的时间分别开启技术标和经济标。</w:t>
      </w:r>
    </w:p>
    <w:p>
      <w:pPr>
        <w:spacing w:line="440" w:lineRule="exact"/>
        <w:ind w:firstLine="537" w:firstLineChars="224"/>
        <w:rPr>
          <w:rFonts w:ascii="宋体" w:hAnsi="宋体"/>
          <w:b/>
          <w:color w:val="auto"/>
          <w:sz w:val="24"/>
          <w:szCs w:val="24"/>
          <w:highlight w:val="none"/>
        </w:rPr>
      </w:pPr>
      <w:r>
        <w:rPr>
          <w:rFonts w:ascii="宋体" w:hAnsi="宋体"/>
          <w:color w:val="auto"/>
          <w:sz w:val="24"/>
          <w:szCs w:val="24"/>
          <w:highlight w:val="none"/>
        </w:rPr>
        <w:t>19.6</w:t>
      </w:r>
      <w:r>
        <w:rPr>
          <w:rFonts w:hint="eastAsia" w:ascii="宋体" w:hAnsi="宋体"/>
          <w:color w:val="auto"/>
          <w:sz w:val="24"/>
          <w:szCs w:val="24"/>
          <w:highlight w:val="none"/>
        </w:rPr>
        <w:t>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440" w:lineRule="exact"/>
        <w:ind w:firstLine="590" w:firstLineChars="245"/>
        <w:rPr>
          <w:rFonts w:ascii="宋体" w:hAnsi="宋体"/>
          <w:b/>
          <w:color w:val="auto"/>
          <w:sz w:val="24"/>
          <w:szCs w:val="24"/>
          <w:highlight w:val="none"/>
        </w:rPr>
      </w:pPr>
      <w:r>
        <w:rPr>
          <w:rFonts w:hint="eastAsia" w:ascii="宋体" w:hAnsi="宋体"/>
          <w:b/>
          <w:color w:val="auto"/>
          <w:sz w:val="24"/>
          <w:szCs w:val="24"/>
          <w:highlight w:val="none"/>
        </w:rPr>
        <w:t>现文：</w:t>
      </w:r>
      <w:r>
        <w:rPr>
          <w:rFonts w:hint="eastAsia" w:ascii="宋体" w:hAnsi="宋体"/>
          <w:b/>
          <w:bCs/>
          <w:color w:val="auto"/>
          <w:sz w:val="24"/>
          <w:szCs w:val="24"/>
          <w:highlight w:val="none"/>
        </w:rPr>
        <w:t>投标文件及定标辅助文件的递交和接收</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19</w:t>
      </w:r>
      <w:r>
        <w:rPr>
          <w:rFonts w:hint="eastAsia" w:ascii="宋体"/>
          <w:color w:val="auto"/>
          <w:sz w:val="24"/>
          <w:szCs w:val="24"/>
          <w:highlight w:val="none"/>
        </w:rPr>
        <w:t>.</w:t>
      </w:r>
      <w:r>
        <w:rPr>
          <w:rFonts w:hint="eastAsia" w:ascii="宋体" w:hAnsi="宋体"/>
          <w:color w:val="auto"/>
          <w:sz w:val="24"/>
          <w:szCs w:val="24"/>
          <w:highlight w:val="none"/>
        </w:rPr>
        <w:t>1投标人通过</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交易平台递交电子投标文件</w:t>
      </w:r>
      <w:r>
        <w:rPr>
          <w:rFonts w:hint="eastAsia" w:ascii="宋体" w:hAnsi="宋体"/>
          <w:color w:val="auto"/>
          <w:sz w:val="24"/>
          <w:szCs w:val="24"/>
          <w:highlight w:val="none"/>
          <w:u w:val="single"/>
        </w:rPr>
        <w:t>（含定标辅助文件）</w:t>
      </w:r>
      <w:r>
        <w:rPr>
          <w:rFonts w:hint="eastAsia" w:ascii="宋体" w:hAnsi="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19</w:t>
      </w:r>
      <w:r>
        <w:rPr>
          <w:rFonts w:hint="eastAsia" w:ascii="宋体"/>
          <w:color w:val="auto"/>
          <w:sz w:val="24"/>
          <w:szCs w:val="24"/>
          <w:highlight w:val="none"/>
        </w:rPr>
        <w:t>.</w:t>
      </w:r>
      <w:r>
        <w:rPr>
          <w:rFonts w:hint="eastAsia" w:ascii="宋体" w:hAnsi="宋体"/>
          <w:color w:val="auto"/>
          <w:sz w:val="24"/>
          <w:szCs w:val="24"/>
          <w:highlight w:val="none"/>
        </w:rPr>
        <w:t>2投标人完成电子投标文件上传后，</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交易平台即时向投标人发出递交回执通知。递交时间以递交回执通知载明的传输完成时间为准。</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19</w:t>
      </w:r>
      <w:r>
        <w:rPr>
          <w:rFonts w:hint="eastAsia" w:ascii="宋体"/>
          <w:color w:val="auto"/>
          <w:sz w:val="24"/>
          <w:szCs w:val="24"/>
          <w:highlight w:val="none"/>
        </w:rPr>
        <w:t>.</w:t>
      </w:r>
      <w:r>
        <w:rPr>
          <w:rFonts w:hint="eastAsia" w:ascii="宋体" w:hAnsi="宋体"/>
          <w:color w:val="auto"/>
          <w:sz w:val="24"/>
          <w:szCs w:val="24"/>
          <w:highlight w:val="none"/>
        </w:rPr>
        <w:t>3逾期送达的电子投标文件，</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交易平台将予以拒收。</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19.4 投标截止前，招标人拒绝接收符合条件的投标文件，投标人可向招标投标监督机构投诉。</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19.5技术标和经济标同时开启，</w:t>
      </w:r>
      <w:r>
        <w:rPr>
          <w:rFonts w:hint="eastAsia"/>
          <w:color w:val="auto"/>
          <w:sz w:val="24"/>
          <w:szCs w:val="24"/>
          <w:highlight w:val="none"/>
          <w:u w:val="single"/>
        </w:rPr>
        <w:t>广州</w:t>
      </w:r>
      <w:r>
        <w:rPr>
          <w:color w:val="auto"/>
          <w:sz w:val="24"/>
          <w:szCs w:val="24"/>
          <w:highlight w:val="none"/>
          <w:u w:val="single"/>
        </w:rPr>
        <w:t>公共资源交易中心</w:t>
      </w:r>
      <w:r>
        <w:rPr>
          <w:rFonts w:hint="eastAsia" w:ascii="宋体" w:hAnsi="宋体"/>
          <w:color w:val="auto"/>
          <w:sz w:val="24"/>
          <w:szCs w:val="24"/>
          <w:highlight w:val="none"/>
          <w:u w:val="single"/>
        </w:rPr>
        <w:t>交易平台将按招标文件规定的时间同时开启技术标和经济标。</w:t>
      </w:r>
    </w:p>
    <w:p>
      <w:pPr>
        <w:spacing w:line="360" w:lineRule="auto"/>
        <w:ind w:firstLine="480" w:firstLineChars="200"/>
        <w:rPr>
          <w:rFonts w:ascii="宋体"/>
          <w:color w:val="auto"/>
          <w:sz w:val="24"/>
          <w:szCs w:val="24"/>
          <w:highlight w:val="none"/>
          <w:u w:val="single"/>
        </w:rPr>
      </w:pPr>
      <w:r>
        <w:rPr>
          <w:rFonts w:hint="eastAsia" w:ascii="宋体"/>
          <w:color w:val="auto"/>
          <w:sz w:val="24"/>
          <w:szCs w:val="24"/>
          <w:highlight w:val="none"/>
          <w:u w:val="single"/>
        </w:rPr>
        <w:t>19.6投标人代表应按投标须知前附表第18项所规定的时间和地点向招标人递交定标辅助文件，投标人代表应由投标人法定代表人或法定代表人书面授权的委托代理人担任，若出现以下情况之一的，招标人将拒绝接收定标辅助文件：</w:t>
      </w:r>
    </w:p>
    <w:p>
      <w:pPr>
        <w:spacing w:line="360" w:lineRule="auto"/>
        <w:ind w:firstLine="480" w:firstLineChars="200"/>
        <w:rPr>
          <w:rFonts w:ascii="宋体"/>
          <w:color w:val="auto"/>
          <w:sz w:val="24"/>
          <w:szCs w:val="24"/>
          <w:highlight w:val="none"/>
          <w:u w:val="single"/>
        </w:rPr>
      </w:pPr>
      <w:r>
        <w:rPr>
          <w:rFonts w:hint="eastAsia" w:ascii="宋体"/>
          <w:color w:val="auto"/>
          <w:sz w:val="24"/>
          <w:szCs w:val="24"/>
          <w:highlight w:val="none"/>
          <w:u w:val="single"/>
        </w:rPr>
        <w:t>19.6.1逾期或未在指定地点递交定标辅助文件的；</w:t>
      </w:r>
    </w:p>
    <w:p>
      <w:pPr>
        <w:pBdr>
          <w:bottom w:val="single" w:color="auto" w:sz="4" w:space="1"/>
        </w:pBdr>
        <w:spacing w:line="360" w:lineRule="auto"/>
        <w:ind w:firstLine="480" w:firstLineChars="200"/>
        <w:rPr>
          <w:rFonts w:ascii="宋体" w:hAnsi="宋体"/>
          <w:color w:val="auto"/>
          <w:sz w:val="24"/>
          <w:szCs w:val="24"/>
          <w:highlight w:val="none"/>
          <w:u w:val="single"/>
        </w:rPr>
      </w:pPr>
      <w:r>
        <w:rPr>
          <w:rFonts w:hint="eastAsia" w:ascii="宋体"/>
          <w:color w:val="auto"/>
          <w:sz w:val="24"/>
          <w:szCs w:val="24"/>
          <w:highlight w:val="none"/>
          <w:u w:val="single"/>
        </w:rPr>
        <w:t>19.7投标人如不提交定标辅助文件，不被认定为不通过资格审查或有效性审查，但如该投标人成为定标阶段的合格中标候选人，将影响其定标阶段的最终排名。</w:t>
      </w:r>
    </w:p>
    <w:p>
      <w:pPr>
        <w:spacing w:line="440" w:lineRule="exact"/>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w:t>
      </w:r>
      <w:r>
        <w:rPr>
          <w:rFonts w:ascii="宋体" w:hAnsi="宋体"/>
          <w:b/>
          <w:color w:val="auto"/>
          <w:sz w:val="24"/>
          <w:szCs w:val="24"/>
          <w:highlight w:val="none"/>
        </w:rPr>
        <w:t xml:space="preserve">21.1      </w:t>
      </w:r>
      <w:r>
        <w:rPr>
          <w:rFonts w:hint="eastAsia" w:ascii="宋体" w:hAnsi="宋体"/>
          <w:b/>
          <w:color w:val="auto"/>
          <w:sz w:val="24"/>
          <w:szCs w:val="24"/>
          <w:highlight w:val="none"/>
        </w:rPr>
        <w:t xml:space="preserve"> 修改类型：修改</w:t>
      </w:r>
    </w:p>
    <w:p>
      <w:pPr>
        <w:spacing w:line="440" w:lineRule="exact"/>
        <w:ind w:firstLine="590" w:firstLineChars="245"/>
        <w:rPr>
          <w:rFonts w:ascii="宋体" w:hAnsi="宋体"/>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本须知前附表第</w:t>
      </w:r>
      <w:r>
        <w:rPr>
          <w:rFonts w:ascii="宋体" w:hAnsi="宋体"/>
          <w:color w:val="auto"/>
          <w:sz w:val="24"/>
          <w:szCs w:val="24"/>
          <w:highlight w:val="none"/>
        </w:rPr>
        <w:t>1</w:t>
      </w:r>
      <w:r>
        <w:rPr>
          <w:rFonts w:hint="eastAsia" w:ascii="宋体" w:hAnsi="宋体"/>
          <w:color w:val="auto"/>
          <w:sz w:val="24"/>
          <w:szCs w:val="24"/>
          <w:highlight w:val="none"/>
        </w:rPr>
        <w:t>7项规定的投标截止时间</w:t>
      </w:r>
      <w:r>
        <w:rPr>
          <w:rFonts w:hint="eastAsia" w:ascii="宋体" w:hAnsi="宋体"/>
          <w:bCs/>
          <w:color w:val="auto"/>
          <w:sz w:val="24"/>
          <w:szCs w:val="24"/>
          <w:highlight w:val="none"/>
        </w:rPr>
        <w:t>后送达的电子投标文件，</w:t>
      </w:r>
      <w:r>
        <w:rPr>
          <w:rFonts w:hint="eastAsia" w:ascii="宋体" w:hAnsi="宋体"/>
          <w:color w:val="auto"/>
          <w:sz w:val="24"/>
          <w:szCs w:val="24"/>
          <w:highlight w:val="none"/>
        </w:rPr>
        <w:t>交易平台将予以拒收。</w:t>
      </w:r>
    </w:p>
    <w:p>
      <w:pPr>
        <w:pBdr>
          <w:bottom w:val="single" w:color="auto" w:sz="6" w:space="1"/>
        </w:pBdr>
        <w:spacing w:line="440" w:lineRule="exact"/>
        <w:ind w:firstLine="602" w:firstLineChars="250"/>
        <w:rPr>
          <w:rFonts w:ascii="宋体" w:hAnsi="宋体"/>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rPr>
        <w:t>本须知前附表第17项规定的投标截止时间后送达的电子投标文件，</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交易平台将予以拒收。</w:t>
      </w:r>
    </w:p>
    <w:p>
      <w:pPr>
        <w:spacing w:line="440" w:lineRule="exact"/>
        <w:ind w:firstLine="540" w:firstLineChars="224"/>
        <w:rPr>
          <w:rFonts w:ascii="宋体" w:hAnsi="宋体"/>
          <w:b/>
          <w:color w:val="auto"/>
          <w:sz w:val="24"/>
          <w:szCs w:val="24"/>
          <w:highlight w:val="none"/>
        </w:rPr>
      </w:pPr>
      <w:r>
        <w:rPr>
          <w:rFonts w:hint="eastAsia" w:ascii="宋体" w:hAnsi="宋体"/>
          <w:b/>
          <w:color w:val="auto"/>
          <w:sz w:val="24"/>
          <w:szCs w:val="24"/>
          <w:highlight w:val="none"/>
        </w:rPr>
        <w:t>条款号：</w:t>
      </w:r>
      <w:r>
        <w:rPr>
          <w:rFonts w:ascii="宋体" w:hAnsi="宋体"/>
          <w:b/>
          <w:color w:val="auto"/>
          <w:sz w:val="24"/>
          <w:szCs w:val="24"/>
          <w:highlight w:val="none"/>
        </w:rPr>
        <w:t>27.</w:t>
      </w:r>
      <w:r>
        <w:rPr>
          <w:rFonts w:hint="eastAsia" w:ascii="宋体" w:hAnsi="宋体"/>
          <w:b/>
          <w:color w:val="auto"/>
          <w:sz w:val="24"/>
          <w:szCs w:val="24"/>
          <w:highlight w:val="none"/>
        </w:rPr>
        <w:t>、27.</w:t>
      </w:r>
      <w:r>
        <w:rPr>
          <w:rFonts w:ascii="宋体" w:hAnsi="宋体"/>
          <w:b/>
          <w:color w:val="auto"/>
          <w:sz w:val="24"/>
          <w:szCs w:val="24"/>
          <w:highlight w:val="none"/>
        </w:rPr>
        <w:t xml:space="preserve">1           </w:t>
      </w:r>
      <w:r>
        <w:rPr>
          <w:rFonts w:hint="eastAsia" w:ascii="宋体" w:hAnsi="宋体"/>
          <w:b/>
          <w:color w:val="auto"/>
          <w:sz w:val="24"/>
          <w:szCs w:val="24"/>
          <w:highlight w:val="none"/>
        </w:rPr>
        <w:t>修改类型：修改</w:t>
      </w:r>
    </w:p>
    <w:p>
      <w:pPr>
        <w:spacing w:line="440" w:lineRule="exact"/>
        <w:ind w:firstLine="540" w:firstLineChars="224"/>
        <w:rPr>
          <w:rFonts w:ascii="宋体" w:hAnsi="宋体"/>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中标通知书</w:t>
      </w:r>
    </w:p>
    <w:p>
      <w:pPr>
        <w:spacing w:line="440" w:lineRule="exact"/>
        <w:ind w:firstLine="537" w:firstLineChars="224"/>
        <w:rPr>
          <w:rFonts w:ascii="宋体" w:hAnsi="宋体"/>
          <w:b/>
          <w:color w:val="auto"/>
          <w:sz w:val="24"/>
          <w:szCs w:val="24"/>
          <w:highlight w:val="none"/>
        </w:rPr>
      </w:pPr>
      <w:r>
        <w:rPr>
          <w:rFonts w:hint="eastAsia" w:ascii="宋体" w:hAnsi="宋体"/>
          <w:color w:val="auto"/>
          <w:sz w:val="24"/>
          <w:szCs w:val="24"/>
          <w:highlight w:val="none"/>
        </w:rPr>
        <w:t>27.1招标人将在交易平台、广东省招标投标监管网和中国招标投标公共服务平台公示中标候选人，公示期为三天。</w:t>
      </w:r>
    </w:p>
    <w:p>
      <w:pPr>
        <w:pBdr>
          <w:bottom w:val="single" w:color="auto" w:sz="6" w:space="1"/>
        </w:pBdr>
        <w:spacing w:line="440" w:lineRule="exact"/>
        <w:ind w:firstLine="602" w:firstLineChars="250"/>
        <w:rPr>
          <w:rFonts w:ascii="宋体" w:hAnsi="宋体"/>
          <w:b/>
          <w:color w:val="auto"/>
          <w:sz w:val="24"/>
          <w:szCs w:val="24"/>
          <w:highlight w:val="none"/>
        </w:rPr>
      </w:pPr>
      <w:r>
        <w:rPr>
          <w:rFonts w:hint="eastAsia" w:ascii="宋体" w:hAnsi="宋体"/>
          <w:b/>
          <w:color w:val="auto"/>
          <w:sz w:val="24"/>
          <w:szCs w:val="24"/>
          <w:highlight w:val="none"/>
        </w:rPr>
        <w:t>现文：27.</w:t>
      </w:r>
      <w:r>
        <w:rPr>
          <w:rFonts w:hint="eastAsia" w:ascii="宋体" w:hAnsi="宋体"/>
          <w:color w:val="auto"/>
          <w:sz w:val="24"/>
          <w:szCs w:val="24"/>
          <w:highlight w:val="none"/>
          <w:u w:val="single"/>
        </w:rPr>
        <w:t>定标及</w:t>
      </w:r>
      <w:r>
        <w:rPr>
          <w:rFonts w:hint="eastAsia" w:ascii="宋体" w:hAnsi="宋体"/>
          <w:color w:val="auto"/>
          <w:sz w:val="24"/>
          <w:szCs w:val="24"/>
          <w:highlight w:val="none"/>
        </w:rPr>
        <w:t>中标通知书</w:t>
      </w:r>
    </w:p>
    <w:p>
      <w:pPr>
        <w:pBdr>
          <w:bottom w:val="single" w:color="auto" w:sz="6" w:space="1"/>
        </w:pBdr>
        <w:spacing w:line="440" w:lineRule="exact"/>
        <w:ind w:firstLine="600" w:firstLineChars="250"/>
        <w:rPr>
          <w:rFonts w:ascii="宋体" w:hAnsi="宋体"/>
          <w:color w:val="auto"/>
          <w:sz w:val="24"/>
          <w:szCs w:val="24"/>
          <w:highlight w:val="none"/>
        </w:rPr>
      </w:pPr>
      <w:r>
        <w:rPr>
          <w:rFonts w:hint="eastAsia" w:ascii="宋体" w:hAnsi="宋体"/>
          <w:color w:val="auto"/>
          <w:sz w:val="24"/>
          <w:szCs w:val="24"/>
          <w:highlight w:val="none"/>
        </w:rPr>
        <w:t>27.1招标人将在</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交易平台、广东省招标投标监管网和中国招标投标公共服务平台公示合格的中标候选人</w:t>
      </w:r>
      <w:r>
        <w:rPr>
          <w:rFonts w:hint="eastAsia" w:ascii="宋体" w:hAnsi="宋体"/>
          <w:color w:val="auto"/>
          <w:sz w:val="24"/>
          <w:szCs w:val="24"/>
          <w:highlight w:val="none"/>
          <w:u w:val="single"/>
        </w:rPr>
        <w:t>【不排序，按统一社会信用代码后4位（除效验码外）大小排位】</w:t>
      </w:r>
      <w:r>
        <w:rPr>
          <w:rFonts w:hint="eastAsia" w:ascii="宋体" w:hAnsi="宋体"/>
          <w:color w:val="auto"/>
          <w:sz w:val="24"/>
          <w:szCs w:val="24"/>
          <w:highlight w:val="none"/>
        </w:rPr>
        <w:t>，公示期为三天。</w:t>
      </w:r>
      <w:r>
        <w:rPr>
          <w:rFonts w:hint="eastAsia" w:ascii="宋体" w:hAnsi="宋体"/>
          <w:color w:val="auto"/>
          <w:sz w:val="24"/>
          <w:szCs w:val="24"/>
          <w:highlight w:val="none"/>
          <w:u w:val="single"/>
        </w:rPr>
        <w:t>中标候选人公示期间，投标人对评标结果有异议的应当在公示期内提出，因质疑或投诉生效导致合格中标候选人不符合中标资格的，将取消其中标候选人资格；因质疑或投诉生效导致所有合格中标候选人均不符合招标文件要求的，应当重新组织招标。</w:t>
      </w:r>
    </w:p>
    <w:p>
      <w:pPr>
        <w:pBdr>
          <w:bottom w:val="single" w:color="auto" w:sz="6" w:space="1"/>
        </w:pBdr>
        <w:spacing w:line="440" w:lineRule="exact"/>
        <w:ind w:firstLine="600" w:firstLineChars="250"/>
        <w:rPr>
          <w:rFonts w:ascii="宋体" w:hAnsi="宋体"/>
          <w:color w:val="auto"/>
          <w:sz w:val="24"/>
          <w:szCs w:val="24"/>
          <w:highlight w:val="none"/>
        </w:rPr>
      </w:pPr>
      <w:r>
        <w:rPr>
          <w:rFonts w:hint="eastAsia" w:ascii="宋体" w:hAnsi="宋体"/>
          <w:color w:val="auto"/>
          <w:sz w:val="24"/>
          <w:szCs w:val="24"/>
          <w:highlight w:val="none"/>
          <w:u w:val="single"/>
        </w:rPr>
        <w:t>在定标委员会完成定标工作后，招标人将在广州公共资源交易中心交易平台、广东省招标投标监管网和中国招标投标公共服务平台公示中标结果，定标后出现中标人不符合法定情形的，招标人可从其他合格的中标候选人中采用原定标办法，由原定标委员会确定中标人，也可以重新组织招标。</w:t>
      </w:r>
    </w:p>
    <w:p>
      <w:pPr>
        <w:spacing w:line="440" w:lineRule="exact"/>
        <w:ind w:firstLine="540" w:firstLineChars="224"/>
        <w:rPr>
          <w:rFonts w:ascii="宋体" w:hAnsi="宋体"/>
          <w:b/>
          <w:color w:val="auto"/>
          <w:sz w:val="24"/>
          <w:szCs w:val="24"/>
          <w:highlight w:val="none"/>
        </w:rPr>
      </w:pPr>
      <w:r>
        <w:rPr>
          <w:rFonts w:hint="eastAsia" w:ascii="宋体" w:hAnsi="宋体"/>
          <w:b/>
          <w:color w:val="auto"/>
          <w:sz w:val="24"/>
          <w:szCs w:val="24"/>
          <w:highlight w:val="none"/>
        </w:rPr>
        <w:t>条款号：27.4修改类型：修改</w:t>
      </w:r>
    </w:p>
    <w:p>
      <w:pPr>
        <w:spacing w:line="440" w:lineRule="exact"/>
        <w:ind w:firstLine="540" w:firstLineChars="224"/>
        <w:rPr>
          <w:rFonts w:ascii="宋体" w:hAnsi="宋体"/>
          <w:b/>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在产生中标候选人后，招标人将中标候选人的投标文件商务部分文件的所有内容（包括报价清单、人员、业绩、奖项等资料）在交易平台和广东省招标投标监管网公开。</w:t>
      </w:r>
    </w:p>
    <w:p>
      <w:pPr>
        <w:pBdr>
          <w:bottom w:val="single" w:color="auto" w:sz="6" w:space="1"/>
        </w:pBdr>
        <w:spacing w:line="440" w:lineRule="exact"/>
        <w:ind w:firstLine="602" w:firstLineChars="250"/>
        <w:rPr>
          <w:rFonts w:ascii="宋体" w:hAnsi="宋体"/>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rPr>
        <w:t>在产生合格中标候选人后，招标人将中标候选人的投标文件商务部分文件的所有内容（包括人员、业绩、奖项等资料）在</w:t>
      </w:r>
      <w:r>
        <w:rPr>
          <w:rFonts w:hint="eastAsia" w:ascii="宋体" w:hAnsi="宋体"/>
          <w:color w:val="auto"/>
          <w:sz w:val="24"/>
          <w:szCs w:val="24"/>
          <w:highlight w:val="none"/>
          <w:u w:val="single"/>
        </w:rPr>
        <w:t>广州</w:t>
      </w:r>
      <w:r>
        <w:rPr>
          <w:rFonts w:ascii="宋体" w:hAnsi="宋体"/>
          <w:color w:val="auto"/>
          <w:sz w:val="24"/>
          <w:szCs w:val="24"/>
          <w:highlight w:val="none"/>
          <w:u w:val="single"/>
        </w:rPr>
        <w:t>公共资源交易中心</w:t>
      </w:r>
      <w:r>
        <w:rPr>
          <w:rFonts w:hint="eastAsia" w:ascii="宋体" w:hAnsi="宋体"/>
          <w:color w:val="auto"/>
          <w:sz w:val="24"/>
          <w:szCs w:val="24"/>
          <w:highlight w:val="none"/>
        </w:rPr>
        <w:t>交易平台和广东省招标投标监管网公开。</w:t>
      </w:r>
    </w:p>
    <w:p>
      <w:pPr>
        <w:spacing w:line="360" w:lineRule="auto"/>
        <w:ind w:firstLine="211" w:firstLineChars="100"/>
        <w:rPr>
          <w:rFonts w:ascii="宋体" w:hAnsi="宋体"/>
          <w:b/>
          <w:color w:val="auto"/>
          <w:szCs w:val="21"/>
          <w:highlight w:val="none"/>
        </w:rPr>
      </w:pPr>
      <w:r>
        <w:rPr>
          <w:rFonts w:hint="eastAsia" w:ascii="宋体" w:hAnsi="宋体"/>
          <w:b/>
          <w:color w:val="auto"/>
          <w:szCs w:val="21"/>
          <w:highlight w:val="none"/>
        </w:rPr>
        <w:t>注：以上修改，仅限于本范本中有可供选择条款的情形。</w:t>
      </w:r>
    </w:p>
    <w:p>
      <w:pPr>
        <w:spacing w:line="360" w:lineRule="auto"/>
        <w:rPr>
          <w:rFonts w:ascii="宋体" w:hAnsi="宋体"/>
          <w:color w:val="auto"/>
          <w:highlight w:val="none"/>
        </w:rPr>
      </w:pPr>
      <w:r>
        <w:rPr>
          <w:rFonts w:hint="eastAsia" w:ascii="宋体" w:hAnsi="宋体"/>
          <w:b/>
          <w:color w:val="auto"/>
          <w:szCs w:val="21"/>
          <w:highlight w:val="none"/>
        </w:rPr>
        <w:t>（以下无正文）</w:t>
      </w:r>
    </w:p>
    <w:p>
      <w:pPr>
        <w:pStyle w:val="7"/>
        <w:rPr>
          <w:color w:val="auto"/>
          <w:highlight w:val="none"/>
        </w:rPr>
      </w:pPr>
      <w:r>
        <w:rPr>
          <w:color w:val="auto"/>
          <w:highlight w:val="none"/>
        </w:rPr>
        <w:br w:type="page"/>
      </w:r>
      <w:bookmarkStart w:id="3" w:name="_Toc80289062"/>
      <w:r>
        <w:rPr>
          <w:rFonts w:hint="eastAsia"/>
          <w:color w:val="auto"/>
          <w:highlight w:val="none"/>
        </w:rPr>
        <w:t>三、投标须知通用条款</w:t>
      </w:r>
      <w:bookmarkEnd w:id="3"/>
    </w:p>
    <w:p>
      <w:pPr>
        <w:pStyle w:val="9"/>
        <w:spacing w:before="156" w:after="156"/>
        <w:rPr>
          <w:color w:val="auto"/>
          <w:highlight w:val="none"/>
        </w:rPr>
      </w:pPr>
      <w:bookmarkStart w:id="4" w:name="_Toc80289063"/>
      <w:bookmarkStart w:id="5" w:name="_Toc2272549"/>
      <w:r>
        <w:rPr>
          <w:rFonts w:hint="eastAsia"/>
          <w:color w:val="auto"/>
          <w:highlight w:val="none"/>
        </w:rPr>
        <w:t>（一）总则</w:t>
      </w:r>
      <w:bookmarkEnd w:id="4"/>
      <w:bookmarkEnd w:id="5"/>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pPr>
        <w:pStyle w:val="5"/>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pPr>
        <w:pStyle w:val="5"/>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pPr>
        <w:spacing w:line="360" w:lineRule="auto"/>
        <w:ind w:firstLine="480" w:firstLineChars="200"/>
        <w:rPr>
          <w:rFonts w:ascii="宋体"/>
          <w:bCs/>
          <w:color w:val="auto"/>
          <w:sz w:val="24"/>
          <w:highlight w:val="none"/>
          <w:u w:val="single"/>
        </w:rPr>
      </w:pPr>
      <w:r>
        <w:rPr>
          <w:rFonts w:hint="eastAsia" w:ascii="宋体" w:hAnsi="宋体"/>
          <w:bCs/>
          <w:color w:val="auto"/>
          <w:sz w:val="24"/>
          <w:highlight w:val="none"/>
        </w:rPr>
        <w:t>5.1投标人应按本投标须知前附表第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bCs/>
          <w:color w:val="auto"/>
          <w:sz w:val="24"/>
          <w:highlight w:val="none"/>
          <w:u w:val="single"/>
        </w:rPr>
        <w:t>投标人不进行踏勘的，视为已熟知现场条件，自行承担相关风险。</w:t>
      </w:r>
      <w:r>
        <w:rPr>
          <w:rFonts w:hint="eastAsia" w:ascii="宋体" w:hAnsi="宋体"/>
          <w:bCs/>
          <w:color w:val="auto"/>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pPr>
        <w:pStyle w:val="9"/>
        <w:spacing w:before="156" w:after="156"/>
        <w:rPr>
          <w:color w:val="auto"/>
          <w:highlight w:val="none"/>
        </w:rPr>
      </w:pPr>
      <w:bookmarkStart w:id="6" w:name="_Toc80289064"/>
      <w:bookmarkStart w:id="7" w:name="_Toc2272550"/>
      <w:r>
        <w:rPr>
          <w:rFonts w:hint="eastAsia"/>
          <w:color w:val="auto"/>
          <w:highlight w:val="none"/>
        </w:rPr>
        <w:t>（二）招标文件</w:t>
      </w:r>
      <w:bookmarkEnd w:id="6"/>
      <w:bookmarkEnd w:id="7"/>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第一章</w:t>
      </w:r>
      <w:r>
        <w:rPr>
          <w:rFonts w:hint="eastAsia" w:ascii="宋体" w:hAnsi="宋体"/>
          <w:color w:val="auto"/>
          <w:sz w:val="24"/>
          <w:highlight w:val="none"/>
        </w:rPr>
        <w:t>投标须知</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第二章</w:t>
      </w:r>
      <w:r>
        <w:rPr>
          <w:rFonts w:hint="eastAsia" w:ascii="宋体" w:hAnsi="宋体"/>
          <w:color w:val="auto"/>
          <w:sz w:val="24"/>
          <w:highlight w:val="none"/>
        </w:rPr>
        <w:t>开标、评标及定标办法</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第三章合同条款</w:t>
      </w:r>
    </w:p>
    <w:p>
      <w:pPr>
        <w:pStyle w:val="5"/>
        <w:spacing w:after="0" w:line="360" w:lineRule="auto"/>
        <w:ind w:firstLine="480" w:firstLineChars="200"/>
        <w:rPr>
          <w:rFonts w:ascii="宋体"/>
          <w:color w:val="auto"/>
          <w:sz w:val="24"/>
          <w:highlight w:val="none"/>
        </w:rPr>
      </w:pPr>
      <w:r>
        <w:rPr>
          <w:rFonts w:hint="eastAsia" w:ascii="宋体" w:hAnsi="宋体"/>
          <w:bCs/>
          <w:color w:val="auto"/>
          <w:sz w:val="24"/>
          <w:highlight w:val="none"/>
        </w:rPr>
        <w:t>第四章</w:t>
      </w:r>
      <w:r>
        <w:rPr>
          <w:rFonts w:hint="eastAsia" w:ascii="宋体" w:hAnsi="宋体"/>
          <w:color w:val="auto"/>
          <w:sz w:val="24"/>
          <w:highlight w:val="none"/>
        </w:rPr>
        <w:t>投标文件格式</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第五章</w:t>
      </w:r>
      <w:r>
        <w:rPr>
          <w:rFonts w:hint="eastAsia" w:ascii="宋体" w:hAnsi="宋体"/>
          <w:color w:val="auto"/>
          <w:sz w:val="24"/>
          <w:highlight w:val="none"/>
        </w:rPr>
        <w:t>技术条件（工程建设标准）（另册）</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第六章</w:t>
      </w:r>
      <w:r>
        <w:rPr>
          <w:rFonts w:hint="eastAsia" w:ascii="宋体" w:hAnsi="宋体"/>
          <w:color w:val="auto"/>
          <w:sz w:val="24"/>
          <w:highlight w:val="none"/>
        </w:rPr>
        <w:t>图纸及勘察资料（另册）</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第七章招标</w:t>
      </w:r>
      <w:r>
        <w:rPr>
          <w:rFonts w:hint="eastAsia" w:ascii="宋体" w:hAnsi="宋体"/>
          <w:color w:val="auto"/>
          <w:sz w:val="24"/>
          <w:highlight w:val="none"/>
        </w:rPr>
        <w:t>工程量清单（另册）</w:t>
      </w:r>
    </w:p>
    <w:p>
      <w:pPr>
        <w:pStyle w:val="5"/>
        <w:spacing w:after="0" w:line="360" w:lineRule="auto"/>
        <w:ind w:left="-2" w:firstLine="480" w:firstLineChars="200"/>
        <w:rPr>
          <w:rFonts w:ascii="宋体"/>
          <w:color w:val="auto"/>
          <w:sz w:val="24"/>
          <w:highlight w:val="none"/>
        </w:rPr>
      </w:pPr>
      <w:r>
        <w:rPr>
          <w:rFonts w:hint="eastAsia" w:ascii="宋体" w:hAnsi="宋体"/>
          <w:color w:val="auto"/>
          <w:sz w:val="24"/>
          <w:highlight w:val="none"/>
        </w:rPr>
        <w:t>第八章最高投标限价</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8.1</w:t>
      </w:r>
      <w:r>
        <w:rPr>
          <w:rFonts w:hint="eastAsia" w:ascii="宋体" w:hAnsi="宋体"/>
          <w:color w:val="auto"/>
          <w:sz w:val="24"/>
          <w:highlight w:val="none"/>
        </w:rPr>
        <w:t>投标人若对招标文件（包括招标图纸）中有疑问，可以书面形式通过广州公共资源交易中心交易平台提交给招标人或招标代理人，提交形式</w:t>
      </w:r>
      <w:r>
        <w:rPr>
          <w:rFonts w:hint="eastAsia" w:ascii="宋体" w:hAnsi="宋体"/>
          <w:color w:val="auto"/>
          <w:sz w:val="24"/>
          <w:szCs w:val="24"/>
          <w:highlight w:val="none"/>
        </w:rPr>
        <w:t>和</w:t>
      </w:r>
      <w:r>
        <w:rPr>
          <w:rFonts w:ascii="宋体" w:hAnsi="宋体"/>
          <w:color w:val="auto"/>
          <w:sz w:val="24"/>
          <w:szCs w:val="24"/>
          <w:highlight w:val="none"/>
        </w:rPr>
        <w:t>时间</w:t>
      </w:r>
      <w:r>
        <w:rPr>
          <w:rFonts w:hint="eastAsia" w:ascii="宋体" w:hAnsi="宋体"/>
          <w:color w:val="auto"/>
          <w:sz w:val="24"/>
          <w:highlight w:val="none"/>
        </w:rPr>
        <w:t>见本须知前附表第16项。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u w:val="single"/>
        </w:rPr>
        <w:t>招标答疑纪要</w:t>
      </w:r>
      <w:r>
        <w:rPr>
          <w:rFonts w:hint="eastAsia" w:ascii="宋体"/>
          <w:color w:val="auto"/>
          <w:sz w:val="24"/>
          <w:highlight w:val="none"/>
        </w:rPr>
        <w:t>将在提交投标文件截止时间15日前在</w:t>
      </w:r>
      <w:r>
        <w:rPr>
          <w:rFonts w:hint="eastAsia" w:ascii="宋体"/>
          <w:color w:val="auto"/>
          <w:sz w:val="24"/>
          <w:highlight w:val="none"/>
          <w:u w:val="single"/>
        </w:rPr>
        <w:t>广州</w:t>
      </w:r>
      <w:r>
        <w:rPr>
          <w:rFonts w:ascii="宋体"/>
          <w:color w:val="auto"/>
          <w:sz w:val="24"/>
          <w:highlight w:val="none"/>
          <w:u w:val="single"/>
        </w:rPr>
        <w:t xml:space="preserve">公共资源交易中心  </w:t>
      </w:r>
      <w:r>
        <w:rPr>
          <w:rFonts w:hint="eastAsia" w:ascii="宋体"/>
          <w:color w:val="auto"/>
          <w:sz w:val="24"/>
          <w:highlight w:val="none"/>
        </w:rPr>
        <w:t>交易平台 “项目答疑纪要”专区公开发布。答疑纪要一经在</w:t>
      </w:r>
      <w:r>
        <w:rPr>
          <w:rFonts w:hint="eastAsia" w:ascii="宋体"/>
          <w:color w:val="auto"/>
          <w:sz w:val="24"/>
          <w:highlight w:val="none"/>
          <w:u w:val="single"/>
        </w:rPr>
        <w:t>广州</w:t>
      </w:r>
      <w:r>
        <w:rPr>
          <w:rFonts w:ascii="宋体"/>
          <w:color w:val="auto"/>
          <w:sz w:val="24"/>
          <w:highlight w:val="none"/>
          <w:u w:val="single"/>
        </w:rPr>
        <w:t>公共资源交易中心</w:t>
      </w:r>
      <w:r>
        <w:rPr>
          <w:rFonts w:hint="eastAsia" w:ascii="宋体"/>
          <w:color w:val="auto"/>
          <w:sz w:val="24"/>
          <w:highlight w:val="none"/>
        </w:rPr>
        <w:t>交易平台发布，视作已发放给所有投标人。</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szCs w:val="24"/>
          <w:highlight w:val="none"/>
          <w:u w:val="single"/>
        </w:rPr>
        <w:t>招标答疑纪要</w:t>
      </w:r>
      <w:r>
        <w:rPr>
          <w:rFonts w:hint="eastAsia" w:ascii="宋体" w:hAnsi="宋体"/>
          <w:color w:val="auto"/>
          <w:sz w:val="24"/>
          <w:highlight w:val="none"/>
        </w:rPr>
        <w:t>为招标文件的一部分。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w:t>
      </w:r>
      <w:r>
        <w:rPr>
          <w:rFonts w:hint="eastAsia" w:ascii="宋体" w:hAnsi="宋体"/>
          <w:color w:val="auto"/>
          <w:sz w:val="24"/>
          <w:szCs w:val="24"/>
          <w:highlight w:val="none"/>
          <w:u w:val="single"/>
        </w:rPr>
        <w:t>招标答疑纪要</w:t>
      </w:r>
      <w:r>
        <w:rPr>
          <w:rFonts w:hint="eastAsia" w:ascii="宋体" w:hAnsi="宋体"/>
          <w:color w:val="auto"/>
          <w:sz w:val="24"/>
          <w:highlight w:val="none"/>
        </w:rPr>
        <w:t>与招标文件有矛盾，以</w:t>
      </w:r>
      <w:r>
        <w:rPr>
          <w:rFonts w:hint="eastAsia" w:ascii="宋体" w:hAnsi="宋体"/>
          <w:color w:val="auto"/>
          <w:sz w:val="24"/>
          <w:szCs w:val="24"/>
          <w:highlight w:val="none"/>
          <w:u w:val="single"/>
        </w:rPr>
        <w:t>招标答疑纪要</w:t>
      </w:r>
      <w:r>
        <w:rPr>
          <w:rFonts w:hint="eastAsia" w:ascii="宋体" w:hAnsi="宋体"/>
          <w:color w:val="auto"/>
          <w:sz w:val="24"/>
          <w:highlight w:val="none"/>
        </w:rPr>
        <w:t>最后发出的书面形式的文件为准。</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rFonts w:hint="eastAsia" w:ascii="宋体"/>
          <w:color w:val="auto"/>
          <w:sz w:val="24"/>
          <w:highlight w:val="none"/>
          <w:u w:val="single"/>
        </w:rPr>
        <w:t>广州</w:t>
      </w:r>
      <w:r>
        <w:rPr>
          <w:rFonts w:ascii="宋体"/>
          <w:color w:val="auto"/>
          <w:sz w:val="24"/>
          <w:highlight w:val="none"/>
          <w:u w:val="single"/>
        </w:rPr>
        <w:t>公共资源交易中心</w:t>
      </w:r>
      <w:r>
        <w:rPr>
          <w:rFonts w:hint="eastAsia" w:ascii="宋体"/>
          <w:color w:val="auto"/>
          <w:sz w:val="24"/>
          <w:highlight w:val="none"/>
        </w:rPr>
        <w:t>交易平台“项目答疑纪要”专区公开发布。答疑纪要一经在</w:t>
      </w:r>
      <w:r>
        <w:rPr>
          <w:rFonts w:hint="eastAsia" w:ascii="宋体"/>
          <w:color w:val="auto"/>
          <w:sz w:val="24"/>
          <w:highlight w:val="none"/>
          <w:u w:val="single"/>
        </w:rPr>
        <w:t>广州</w:t>
      </w:r>
      <w:r>
        <w:rPr>
          <w:rFonts w:ascii="宋体"/>
          <w:color w:val="auto"/>
          <w:sz w:val="24"/>
          <w:highlight w:val="none"/>
          <w:u w:val="single"/>
        </w:rPr>
        <w:t>公共资源交易中心</w:t>
      </w:r>
      <w:r>
        <w:rPr>
          <w:rFonts w:hint="eastAsia" w:ascii="宋体"/>
          <w:color w:val="auto"/>
          <w:sz w:val="24"/>
          <w:highlight w:val="none"/>
        </w:rPr>
        <w:t>交易平台发布，视作已发放给所有投标人，以</w:t>
      </w:r>
      <w:r>
        <w:rPr>
          <w:rFonts w:hint="eastAsia" w:ascii="宋体"/>
          <w:color w:val="auto"/>
          <w:sz w:val="24"/>
          <w:highlight w:val="none"/>
          <w:u w:val="single"/>
        </w:rPr>
        <w:t>广州</w:t>
      </w:r>
      <w:r>
        <w:rPr>
          <w:rFonts w:ascii="宋体"/>
          <w:color w:val="auto"/>
          <w:sz w:val="24"/>
          <w:highlight w:val="none"/>
          <w:u w:val="single"/>
        </w:rPr>
        <w:t>公共资源交易中心</w:t>
      </w:r>
      <w:r>
        <w:rPr>
          <w:rFonts w:hint="eastAsia" w:ascii="宋体"/>
          <w:color w:val="auto"/>
          <w:sz w:val="24"/>
          <w:highlight w:val="none"/>
        </w:rPr>
        <w:t>交易平台上网发布时间作为送达时间。</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9"/>
        <w:spacing w:before="156" w:after="156"/>
        <w:rPr>
          <w:color w:val="auto"/>
          <w:highlight w:val="none"/>
        </w:rPr>
      </w:pPr>
      <w:bookmarkStart w:id="8" w:name="_Toc80289065"/>
      <w:bookmarkStart w:id="9" w:name="_Toc2272551"/>
      <w:r>
        <w:rPr>
          <w:rFonts w:hint="eastAsia"/>
          <w:color w:val="auto"/>
          <w:highlight w:val="none"/>
        </w:rPr>
        <w:t>（三）投标文件的编制</w:t>
      </w:r>
      <w:bookmarkEnd w:id="8"/>
      <w:bookmarkEnd w:id="9"/>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pPr>
        <w:pStyle w:val="5"/>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
          <w:color w:val="auto"/>
          <w:sz w:val="24"/>
          <w:highlight w:val="none"/>
        </w:rPr>
        <w:t>。</w:t>
      </w:r>
    </w:p>
    <w:p>
      <w:pPr>
        <w:spacing w:line="360" w:lineRule="auto"/>
        <w:ind w:firstLine="480" w:firstLineChars="200"/>
        <w:rPr>
          <w:rFonts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r>
        <w:rPr>
          <w:rFonts w:ascii="宋体" w:hAnsi="宋体"/>
          <w:bCs/>
          <w:color w:val="auto"/>
          <w:sz w:val="24"/>
          <w:highlight w:val="none"/>
        </w:rPr>
        <w:t>:</w:t>
      </w:r>
    </w:p>
    <w:p>
      <w:pPr>
        <w:tabs>
          <w:tab w:val="left" w:pos="1125"/>
        </w:tabs>
        <w:spacing w:line="360" w:lineRule="auto"/>
        <w:ind w:firstLine="480" w:firstLineChars="200"/>
        <w:rPr>
          <w:rFonts w:ascii="宋体"/>
          <w:bCs/>
          <w:color w:val="auto"/>
          <w:sz w:val="24"/>
          <w:highlight w:val="none"/>
        </w:rPr>
      </w:pPr>
      <w:r>
        <w:rPr>
          <w:rFonts w:hint="eastAsia" w:ascii="宋体"/>
          <w:bCs/>
          <w:color w:val="auto"/>
          <w:sz w:val="24"/>
          <w:highlight w:val="none"/>
        </w:rPr>
        <w:t>11.2.1广州建设工程施工招标投标书（按招标文件的要求填写）；</w:t>
      </w:r>
    </w:p>
    <w:p>
      <w:pPr>
        <w:tabs>
          <w:tab w:val="left" w:pos="1125"/>
        </w:tabs>
        <w:spacing w:line="360" w:lineRule="auto"/>
        <w:ind w:firstLine="480" w:firstLineChars="200"/>
        <w:rPr>
          <w:rFonts w:ascii="宋体"/>
          <w:bCs/>
          <w:color w:val="auto"/>
          <w:sz w:val="24"/>
          <w:highlight w:val="none"/>
        </w:rPr>
      </w:pPr>
      <w:r>
        <w:rPr>
          <w:rFonts w:hint="eastAsia" w:ascii="宋体"/>
          <w:bCs/>
          <w:color w:val="auto"/>
          <w:sz w:val="24"/>
          <w:highlight w:val="none"/>
        </w:rPr>
        <w:t>11.2.2资格审查文件：</w:t>
      </w:r>
    </w:p>
    <w:p>
      <w:pPr>
        <w:tabs>
          <w:tab w:val="left" w:pos="1125"/>
        </w:tabs>
        <w:spacing w:line="360" w:lineRule="auto"/>
        <w:ind w:firstLine="480" w:firstLineChars="200"/>
        <w:rPr>
          <w:rFonts w:ascii="宋体"/>
          <w:bCs/>
          <w:color w:val="auto"/>
          <w:sz w:val="24"/>
          <w:highlight w:val="none"/>
        </w:rPr>
      </w:pPr>
      <w:r>
        <w:rPr>
          <w:rFonts w:hint="eastAsia" w:ascii="宋体"/>
          <w:bCs/>
          <w:color w:val="auto"/>
          <w:sz w:val="24"/>
          <w:highlight w:val="none"/>
        </w:rPr>
        <w:t>（1）投标申请人声明</w:t>
      </w:r>
      <w:r>
        <w:rPr>
          <w:rFonts w:hint="eastAsia" w:ascii="宋体"/>
          <w:bCs/>
          <w:color w:val="auto"/>
          <w:sz w:val="24"/>
          <w:highlight w:val="none"/>
          <w:u w:val="single"/>
        </w:rPr>
        <w:t>（见招标公告附件一）</w:t>
      </w:r>
      <w:r>
        <w:rPr>
          <w:rFonts w:hint="eastAsia" w:ascii="宋体"/>
          <w:bCs/>
          <w:color w:val="auto"/>
          <w:sz w:val="24"/>
          <w:highlight w:val="none"/>
        </w:rPr>
        <w:t xml:space="preserve">； </w:t>
      </w:r>
    </w:p>
    <w:p>
      <w:pPr>
        <w:tabs>
          <w:tab w:val="left" w:pos="1125"/>
        </w:tabs>
        <w:spacing w:line="360" w:lineRule="auto"/>
        <w:ind w:firstLine="480" w:firstLineChars="200"/>
        <w:rPr>
          <w:rFonts w:ascii="宋体"/>
          <w:bCs/>
          <w:color w:val="auto"/>
          <w:sz w:val="24"/>
          <w:highlight w:val="none"/>
        </w:rPr>
      </w:pPr>
      <w:r>
        <w:rPr>
          <w:rFonts w:hint="eastAsia" w:ascii="宋体"/>
          <w:bCs/>
          <w:color w:val="auto"/>
          <w:sz w:val="24"/>
          <w:highlight w:val="none"/>
        </w:rPr>
        <w:t>（2）法定代表人证明书、法定代表人签字或盖章的本投标文件授权委托证明书；</w:t>
      </w:r>
    </w:p>
    <w:p>
      <w:pPr>
        <w:tabs>
          <w:tab w:val="left" w:pos="1125"/>
        </w:tabs>
        <w:spacing w:line="360" w:lineRule="auto"/>
        <w:ind w:firstLine="480" w:firstLineChars="200"/>
        <w:rPr>
          <w:rFonts w:ascii="宋体"/>
          <w:bCs/>
          <w:color w:val="auto"/>
          <w:sz w:val="24"/>
          <w:highlight w:val="none"/>
        </w:rPr>
      </w:pPr>
      <w:r>
        <w:rPr>
          <w:rFonts w:hint="eastAsia" w:ascii="宋体"/>
          <w:bCs/>
          <w:color w:val="auto"/>
          <w:sz w:val="24"/>
          <w:highlight w:val="none"/>
        </w:rPr>
        <w:t>（3）企业营业执照（取自库内上传件）；</w:t>
      </w:r>
    </w:p>
    <w:p>
      <w:pPr>
        <w:tabs>
          <w:tab w:val="left" w:pos="1125"/>
        </w:tabs>
        <w:spacing w:line="360" w:lineRule="auto"/>
        <w:ind w:firstLine="480" w:firstLineChars="200"/>
        <w:rPr>
          <w:rFonts w:ascii="宋体"/>
          <w:bCs/>
          <w:color w:val="auto"/>
          <w:sz w:val="24"/>
          <w:highlight w:val="none"/>
        </w:rPr>
      </w:pPr>
      <w:r>
        <w:rPr>
          <w:rFonts w:hint="eastAsia" w:ascii="宋体"/>
          <w:bCs/>
          <w:color w:val="auto"/>
          <w:sz w:val="24"/>
          <w:highlight w:val="none"/>
        </w:rPr>
        <w:t>（4）企业资质证书（取自库内上传件）；</w:t>
      </w:r>
    </w:p>
    <w:p>
      <w:pPr>
        <w:tabs>
          <w:tab w:val="left" w:pos="1125"/>
        </w:tabs>
        <w:spacing w:line="360" w:lineRule="auto"/>
        <w:ind w:firstLine="480" w:firstLineChars="200"/>
        <w:rPr>
          <w:rFonts w:ascii="宋体"/>
          <w:bCs/>
          <w:color w:val="auto"/>
          <w:sz w:val="24"/>
          <w:highlight w:val="none"/>
        </w:rPr>
      </w:pPr>
      <w:r>
        <w:rPr>
          <w:rFonts w:hint="eastAsia" w:ascii="宋体"/>
          <w:bCs/>
          <w:color w:val="auto"/>
          <w:sz w:val="24"/>
          <w:highlight w:val="none"/>
        </w:rPr>
        <w:t>（5）建筑施工企业安全生产许可证（取自库内上传件）；</w:t>
      </w:r>
    </w:p>
    <w:p>
      <w:pPr>
        <w:tabs>
          <w:tab w:val="left" w:pos="1125"/>
        </w:tabs>
        <w:spacing w:line="360" w:lineRule="auto"/>
        <w:ind w:firstLine="480" w:firstLineChars="200"/>
        <w:rPr>
          <w:rFonts w:ascii="宋体"/>
          <w:bCs/>
          <w:color w:val="auto"/>
          <w:sz w:val="24"/>
          <w:highlight w:val="none"/>
        </w:rPr>
      </w:pPr>
      <w:r>
        <w:rPr>
          <w:rFonts w:hint="eastAsia" w:ascii="宋体"/>
          <w:bCs/>
          <w:color w:val="auto"/>
          <w:sz w:val="24"/>
          <w:highlight w:val="none"/>
        </w:rPr>
        <w:t>（6）项目负责人（按网上投标登记时选择拟投标的项目负责人）；</w:t>
      </w:r>
    </w:p>
    <w:p>
      <w:pPr>
        <w:tabs>
          <w:tab w:val="left" w:pos="1125"/>
        </w:tabs>
        <w:spacing w:line="360" w:lineRule="auto"/>
        <w:ind w:firstLine="480" w:firstLineChars="200"/>
        <w:rPr>
          <w:rFonts w:ascii="宋体"/>
          <w:bCs/>
          <w:color w:val="auto"/>
          <w:sz w:val="24"/>
          <w:highlight w:val="none"/>
        </w:rPr>
      </w:pPr>
      <w:r>
        <w:rPr>
          <w:rFonts w:hint="eastAsia" w:ascii="宋体"/>
          <w:bCs/>
          <w:color w:val="auto"/>
          <w:sz w:val="24"/>
          <w:highlight w:val="none"/>
        </w:rPr>
        <w:t>（7）专职安全员（按网上投标登记时选择拟投标的专职安全员）；</w:t>
      </w:r>
    </w:p>
    <w:p>
      <w:pPr>
        <w:tabs>
          <w:tab w:val="left" w:pos="1125"/>
        </w:tabs>
        <w:spacing w:line="360" w:lineRule="auto"/>
        <w:ind w:firstLine="480" w:firstLineChars="200"/>
        <w:rPr>
          <w:rFonts w:ascii="宋体"/>
          <w:bCs/>
          <w:color w:val="auto"/>
          <w:sz w:val="24"/>
          <w:highlight w:val="none"/>
        </w:rPr>
      </w:pPr>
      <w:r>
        <w:rPr>
          <w:rFonts w:hint="eastAsia" w:ascii="宋体"/>
          <w:bCs/>
          <w:color w:val="auto"/>
          <w:sz w:val="24"/>
          <w:highlight w:val="none"/>
        </w:rPr>
        <w:t>（8）</w:t>
      </w:r>
      <w:r>
        <w:rPr>
          <w:rFonts w:hint="eastAsia" w:ascii="宋体"/>
          <w:bCs/>
          <w:color w:val="auto"/>
          <w:sz w:val="24"/>
          <w:highlight w:val="none"/>
          <w:u w:val="single"/>
        </w:rPr>
        <w:t>拟委托技术负责人的职称证书</w:t>
      </w:r>
      <w:r>
        <w:rPr>
          <w:rFonts w:hint="eastAsia" w:ascii="宋体"/>
          <w:bCs/>
          <w:color w:val="auto"/>
          <w:sz w:val="24"/>
          <w:highlight w:val="none"/>
        </w:rPr>
        <w:t>（按招标公告要求）；</w:t>
      </w:r>
    </w:p>
    <w:p>
      <w:pPr>
        <w:tabs>
          <w:tab w:val="left" w:pos="1125"/>
        </w:tabs>
        <w:spacing w:line="360" w:lineRule="auto"/>
        <w:ind w:firstLine="480" w:firstLineChars="200"/>
        <w:rPr>
          <w:rFonts w:ascii="宋体"/>
          <w:bCs/>
          <w:color w:val="auto"/>
          <w:sz w:val="24"/>
          <w:highlight w:val="none"/>
          <w:u w:val="single"/>
        </w:rPr>
      </w:pPr>
      <w:r>
        <w:rPr>
          <w:rFonts w:hint="eastAsia" w:ascii="宋体"/>
          <w:bCs/>
          <w:color w:val="auto"/>
          <w:sz w:val="24"/>
          <w:highlight w:val="none"/>
        </w:rPr>
        <w:t>（9）</w:t>
      </w:r>
      <w:r>
        <w:rPr>
          <w:rFonts w:hint="eastAsia" w:ascii="宋体"/>
          <w:bCs/>
          <w:color w:val="auto"/>
          <w:sz w:val="24"/>
          <w:highlight w:val="none"/>
          <w:u w:val="single"/>
        </w:rPr>
        <w:t>拟委派项目负责人的建造师证书</w:t>
      </w:r>
      <w:r>
        <w:rPr>
          <w:rFonts w:hint="eastAsia" w:ascii="宋体"/>
          <w:bCs/>
          <w:color w:val="auto"/>
          <w:sz w:val="24"/>
          <w:highlight w:val="none"/>
        </w:rPr>
        <w:t>（取自库内上传件）；</w:t>
      </w:r>
    </w:p>
    <w:p>
      <w:pPr>
        <w:tabs>
          <w:tab w:val="left" w:pos="1125"/>
        </w:tabs>
        <w:spacing w:line="360" w:lineRule="auto"/>
        <w:ind w:firstLine="480" w:firstLineChars="200"/>
        <w:rPr>
          <w:rFonts w:ascii="宋体"/>
          <w:bCs/>
          <w:color w:val="auto"/>
          <w:sz w:val="24"/>
          <w:highlight w:val="none"/>
        </w:rPr>
      </w:pPr>
      <w:r>
        <w:rPr>
          <w:rFonts w:hint="eastAsia" w:ascii="宋体"/>
          <w:bCs/>
          <w:color w:val="auto"/>
          <w:sz w:val="24"/>
          <w:highlight w:val="none"/>
        </w:rPr>
        <w:t>（10）项目负责人安全培训考核合格证明或在有效期内的安全考核合格证书（B类）（取自库内上传件），或提供广东省建筑施工企业管理人员安全生产考核信息系统安全生产管理人员证书信息的网页截图；</w:t>
      </w:r>
    </w:p>
    <w:p>
      <w:pPr>
        <w:tabs>
          <w:tab w:val="left" w:pos="1125"/>
        </w:tabs>
        <w:spacing w:line="360" w:lineRule="auto"/>
        <w:ind w:firstLine="480" w:firstLineChars="200"/>
        <w:rPr>
          <w:rFonts w:ascii="宋体"/>
          <w:bCs/>
          <w:color w:val="auto"/>
          <w:sz w:val="24"/>
          <w:highlight w:val="none"/>
        </w:rPr>
      </w:pPr>
      <w:r>
        <w:rPr>
          <w:rFonts w:hint="eastAsia" w:ascii="宋体"/>
          <w:bCs/>
          <w:color w:val="auto"/>
          <w:sz w:val="24"/>
          <w:highlight w:val="none"/>
        </w:rPr>
        <w:t>（11）专职安全员须具有在有效期内的安全考核合格证书（C类）（取自库内上传件），或提供广东省建筑施工企业管理人员安全生产考核信息系统安全生产管理人员证书信息的网页截图；</w:t>
      </w:r>
    </w:p>
    <w:p>
      <w:pPr>
        <w:spacing w:line="360" w:lineRule="auto"/>
        <w:ind w:firstLine="480" w:firstLineChars="200"/>
        <w:rPr>
          <w:rFonts w:ascii="宋体"/>
          <w:bCs/>
          <w:color w:val="auto"/>
          <w:sz w:val="24"/>
          <w:highlight w:val="none"/>
        </w:rPr>
      </w:pPr>
      <w:r>
        <w:rPr>
          <w:rFonts w:hint="eastAsia" w:ascii="宋体"/>
          <w:bCs/>
          <w:color w:val="auto"/>
          <w:sz w:val="24"/>
          <w:highlight w:val="none"/>
        </w:rPr>
        <w:t>（12）用于资格审查的业绩。</w:t>
      </w:r>
    </w:p>
    <w:p>
      <w:pPr>
        <w:spacing w:line="360" w:lineRule="auto"/>
        <w:ind w:firstLine="480" w:firstLineChars="200"/>
        <w:rPr>
          <w:rFonts w:ascii="宋体"/>
          <w:bCs/>
          <w:color w:val="auto"/>
          <w:sz w:val="24"/>
          <w:highlight w:val="none"/>
        </w:rPr>
      </w:pPr>
      <w:r>
        <w:rPr>
          <w:rFonts w:hint="eastAsia" w:ascii="宋体"/>
          <w:bCs/>
          <w:color w:val="auto"/>
          <w:sz w:val="24"/>
          <w:highlight w:val="none"/>
        </w:rPr>
        <w:t>（13）</w:t>
      </w:r>
      <w:r>
        <w:rPr>
          <w:rFonts w:hint="eastAsia" w:ascii="宋体" w:hAnsi="宋体"/>
          <w:color w:val="auto"/>
          <w:sz w:val="24"/>
          <w:szCs w:val="24"/>
          <w:highlight w:val="none"/>
        </w:rPr>
        <w:t>资格审查前，投标人申请人在投标登记前必须在广州公共资源交易中心已办理企业信息登记及拟担任本工程项目负责人和安全员须是本单位在企业库中的在册人员。</w:t>
      </w:r>
    </w:p>
    <w:p>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11.2.3危险性较大的分部分项工程清单及超过一定规模的危险性较大的分部分项工程清单（按招标文件的要求填写）。</w:t>
      </w:r>
    </w:p>
    <w:p>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11.2.4施工投标承诺函（按招标文件的要求填写）。</w:t>
      </w:r>
    </w:p>
    <w:p>
      <w:pPr>
        <w:tabs>
          <w:tab w:val="left" w:pos="1125"/>
        </w:tabs>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11.2.5《参与编制技术标投标文件人员名单》（按招标文件的要求填写）。</w:t>
      </w:r>
    </w:p>
    <w:p>
      <w:pPr>
        <w:spacing w:line="440" w:lineRule="exact"/>
        <w:ind w:firstLine="480" w:firstLineChars="200"/>
        <w:rPr>
          <w:rFonts w:ascii="宋体"/>
          <w:bCs/>
          <w:color w:val="auto"/>
          <w:sz w:val="24"/>
          <w:szCs w:val="24"/>
          <w:highlight w:val="none"/>
        </w:rPr>
      </w:pPr>
      <w:r>
        <w:rPr>
          <w:rFonts w:hint="eastAsia" w:ascii="宋体"/>
          <w:bCs/>
          <w:color w:val="auto"/>
          <w:sz w:val="24"/>
          <w:szCs w:val="24"/>
          <w:highlight w:val="none"/>
        </w:rPr>
        <w:t>11.2.6投标人认为应该提供的其他资料。</w:t>
      </w:r>
    </w:p>
    <w:p>
      <w:pPr>
        <w:tabs>
          <w:tab w:val="left" w:pos="1125"/>
        </w:tabs>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11.3 经济部分投标文件主要包括下列内容：</w:t>
      </w:r>
    </w:p>
    <w:p>
      <w:pPr>
        <w:spacing w:line="44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11.3 经济部分投标文件主要包括下列内容：</w:t>
      </w:r>
    </w:p>
    <w:p>
      <w:pPr>
        <w:spacing w:line="44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11.3.1投标总价。投标人按招标文件的要求填写。</w:t>
      </w:r>
    </w:p>
    <w:p>
      <w:pPr>
        <w:spacing w:line="44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11.3.2按照招标文件要求填写的《参与编制经济标投标文件人员名单》。</w:t>
      </w:r>
    </w:p>
    <w:p>
      <w:pPr>
        <w:spacing w:line="44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11.3.3对投标文件编制的承诺。</w:t>
      </w:r>
    </w:p>
    <w:p>
      <w:pPr>
        <w:spacing w:line="44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11.3.4施工投标承诺函（经济标）</w:t>
      </w:r>
      <w:r>
        <w:rPr>
          <w:rFonts w:hint="eastAsia" w:ascii="宋体"/>
          <w:bCs/>
          <w:color w:val="auto"/>
          <w:sz w:val="24"/>
          <w:szCs w:val="24"/>
          <w:highlight w:val="none"/>
          <w:u w:val="single"/>
        </w:rPr>
        <w:t>（按招标文件的要求填写）</w:t>
      </w:r>
      <w:r>
        <w:rPr>
          <w:rFonts w:hint="eastAsia" w:ascii="宋体" w:hAnsi="宋体"/>
          <w:color w:val="auto"/>
          <w:sz w:val="24"/>
          <w:szCs w:val="24"/>
          <w:highlight w:val="none"/>
          <w:u w:val="single"/>
        </w:rPr>
        <w:t>。</w:t>
      </w:r>
    </w:p>
    <w:p>
      <w:pPr>
        <w:spacing w:line="44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11.4定标辅助文件的组成（由投标人根据定性评审表的内容，清晰、有条理、有针对性地编制，各部分文字应直接简炼，不得出现大量宣传性及无实质性意义或直接引用范本照搬照套的描述）：</w:t>
      </w:r>
    </w:p>
    <w:p>
      <w:pPr>
        <w:spacing w:line="440" w:lineRule="exact"/>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11.4.1目录（必须标注页码）；</w:t>
      </w:r>
    </w:p>
    <w:p>
      <w:pPr>
        <w:spacing w:line="440" w:lineRule="exact"/>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11.4.2企业资信（企业业绩、企业诚信分等）；</w:t>
      </w:r>
    </w:p>
    <w:p>
      <w:pPr>
        <w:spacing w:line="440" w:lineRule="exact"/>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11.4.3投标人拟派的项目组织架构（项目负责人、技术负责人、管理人员等）；</w:t>
      </w:r>
    </w:p>
    <w:p>
      <w:pPr>
        <w:spacing w:line="440" w:lineRule="exact"/>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11.4.4施工组织设计（施工进度网络图或带关键线路的横道图及相关说明、施工管理重点和难点分析、专项施工方案等）；</w:t>
      </w:r>
    </w:p>
    <w:p>
      <w:pPr>
        <w:spacing w:line="440" w:lineRule="exact"/>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11.4.5投标价格；</w:t>
      </w:r>
    </w:p>
    <w:p>
      <w:pPr>
        <w:spacing w:line="440" w:lineRule="exact"/>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11.4.6投标人认为应该提供的其它资料。</w:t>
      </w:r>
    </w:p>
    <w:p>
      <w:pPr>
        <w:spacing w:line="440" w:lineRule="exact"/>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11.4.7定标辅助文件电子文件U盘（内容与投标人打印产生的纸质定标辅助文件内容一致，且必须包含COS格式清单电子版及</w:t>
      </w:r>
      <w:r>
        <w:rPr>
          <w:rFonts w:ascii="宋体" w:hAnsi="宋体"/>
          <w:color w:val="auto"/>
          <w:sz w:val="24"/>
          <w:szCs w:val="24"/>
          <w:highlight w:val="none"/>
          <w:u w:val="single"/>
        </w:rPr>
        <w:t>Excel</w:t>
      </w:r>
      <w:r>
        <w:rPr>
          <w:rFonts w:hint="eastAsia" w:ascii="宋体" w:hAnsi="宋体"/>
          <w:color w:val="auto"/>
          <w:sz w:val="24"/>
          <w:szCs w:val="24"/>
          <w:highlight w:val="none"/>
          <w:u w:val="single"/>
        </w:rPr>
        <w:t>版清单电子版）。</w:t>
      </w:r>
    </w:p>
    <w:p>
      <w:pPr>
        <w:spacing w:line="440" w:lineRule="exact"/>
        <w:ind w:firstLine="540" w:firstLineChars="224"/>
        <w:rPr>
          <w:rFonts w:ascii="宋体" w:hAnsi="宋体"/>
          <w:b/>
          <w:color w:val="auto"/>
          <w:kern w:val="0"/>
          <w:sz w:val="24"/>
          <w:highlight w:val="none"/>
          <w:u w:val="single"/>
        </w:rPr>
      </w:pPr>
      <w:r>
        <w:rPr>
          <w:rFonts w:hint="eastAsia" w:ascii="宋体" w:hAnsi="宋体"/>
          <w:b/>
          <w:color w:val="auto"/>
          <w:kern w:val="0"/>
          <w:sz w:val="24"/>
          <w:highlight w:val="none"/>
          <w:u w:val="single"/>
        </w:rPr>
        <w:t>注：定标辅助文件的递交时间和形式由投标人按照投标须知前附表第</w:t>
      </w:r>
      <w:r>
        <w:rPr>
          <w:rFonts w:ascii="宋体" w:hAnsi="宋体"/>
          <w:b/>
          <w:color w:val="auto"/>
          <w:kern w:val="0"/>
          <w:sz w:val="24"/>
          <w:highlight w:val="none"/>
          <w:u w:val="single"/>
        </w:rPr>
        <w:t>18项所规定的时间及本须知第18条的相关要求执行。</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．投标文件格式d</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pPr>
        <w:pStyle w:val="5"/>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12.2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bCs/>
          <w:color w:val="auto"/>
          <w:sz w:val="24"/>
          <w:highlight w:val="none"/>
          <w:u w:val="single"/>
        </w:rPr>
        <w:t>广州公共资源交易中心网站</w:t>
      </w:r>
      <w:r>
        <w:rPr>
          <w:rFonts w:hint="eastAsia"/>
          <w:color w:val="auto"/>
          <w:sz w:val="24"/>
          <w:szCs w:val="24"/>
          <w:highlight w:val="none"/>
        </w:rPr>
        <w:t>。</w:t>
      </w:r>
    </w:p>
    <w:p>
      <w:pPr>
        <w:pStyle w:val="5"/>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12.3</w:t>
      </w:r>
      <w:r>
        <w:rPr>
          <w:rFonts w:hint="eastAsia" w:ascii="宋体" w:hAnsi="宋体"/>
          <w:bCs/>
          <w:color w:val="auto"/>
          <w:sz w:val="24"/>
          <w:szCs w:val="24"/>
          <w:highlight w:val="none"/>
        </w:rPr>
        <w:t>投标文件应按</w:t>
      </w:r>
      <w:r>
        <w:rPr>
          <w:rFonts w:hint="eastAsia" w:ascii="宋体" w:hAnsi="宋体"/>
          <w:color w:val="auto"/>
          <w:sz w:val="24"/>
          <w:szCs w:val="24"/>
          <w:highlight w:val="none"/>
        </w:rPr>
        <w:t>照交易平台关于全流程电子化项目的相关指南进行编制，详见：</w:t>
      </w:r>
      <w:r>
        <w:rPr>
          <w:rFonts w:hint="eastAsia" w:ascii="宋体" w:hAnsi="宋体"/>
          <w:bCs/>
          <w:color w:val="auto"/>
          <w:sz w:val="24"/>
          <w:szCs w:val="24"/>
          <w:highlight w:val="none"/>
          <w:u w:val="single"/>
        </w:rPr>
        <w:t>广州公共资源交易中心网站</w:t>
      </w:r>
      <w:r>
        <w:rPr>
          <w:rFonts w:hint="eastAsia" w:ascii="宋体" w:hAnsi="宋体"/>
          <w:color w:val="auto"/>
          <w:sz w:val="24"/>
          <w:highlight w:val="none"/>
        </w:rPr>
        <w:t xml:space="preserve">。               </w:t>
      </w:r>
    </w:p>
    <w:p>
      <w:pPr>
        <w:pStyle w:val="5"/>
        <w:spacing w:after="0" w:line="360" w:lineRule="auto"/>
        <w:ind w:firstLine="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．投标报价和变更结算方式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12</w:t>
      </w:r>
      <w:r>
        <w:rPr>
          <w:rFonts w:hint="eastAsia" w:ascii="宋体" w:hAnsi="宋体"/>
          <w:color w:val="auto"/>
          <w:sz w:val="24"/>
          <w:highlight w:val="none"/>
        </w:rPr>
        <w:t>项所规定的方式。投标报价（含单价及总价）精确到“分”的单位。</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13.4</w:t>
      </w:r>
      <w:r>
        <w:rPr>
          <w:rFonts w:hint="eastAsia" w:ascii="宋体" w:hAnsi="宋体"/>
          <w:color w:val="auto"/>
          <w:sz w:val="24"/>
          <w:highlight w:val="none"/>
          <w:u w:val="single"/>
        </w:rPr>
        <w:t>详见本工程《施工合同》相关条款规定。</w:t>
      </w:r>
    </w:p>
    <w:p>
      <w:pPr>
        <w:pStyle w:val="5"/>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13.5</w:t>
      </w:r>
      <w:r>
        <w:rPr>
          <w:rFonts w:hint="eastAsia" w:ascii="宋体" w:hAnsi="宋体"/>
          <w:color w:val="auto"/>
          <w:sz w:val="24"/>
          <w:highlight w:val="none"/>
          <w:u w:val="single"/>
        </w:rPr>
        <w:t>详见本工程《施工合同》相关条款规定。</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在工程实施中，暂列金额、暂估价所包含的工作范围和图纸、标准深化固定后，按照工程专业、设备、材料类别等分类汇总的金额，达到法定招标范围标准的，由招标人另行招标，确定承包人和承包价格。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由招标人另行招标，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hAns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w:t>
      </w:r>
      <w:r>
        <w:rPr>
          <w:rFonts w:hint="eastAsia" w:ascii="宋体" w:hAnsi="宋体"/>
          <w:color w:val="auto"/>
          <w:sz w:val="24"/>
          <w:szCs w:val="24"/>
          <w:highlight w:val="none"/>
          <w:u w:val="single"/>
        </w:rPr>
        <w:t>按照《施工合同》相应条款调整</w:t>
      </w:r>
      <w:r>
        <w:rPr>
          <w:rFonts w:hint="eastAsia" w:ascii="宋体"/>
          <w:color w:val="auto"/>
          <w:sz w:val="24"/>
          <w:szCs w:val="24"/>
          <w:highlight w:val="none"/>
        </w:rPr>
        <w:t>。</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pPr>
        <w:pStyle w:val="5"/>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16.1投标人应按投标须知前附表第14项所述金额和时间递交投标保证金。</w:t>
      </w:r>
      <w:r>
        <w:rPr>
          <w:rFonts w:hint="eastAsia" w:ascii="宋体" w:hAnsi="宋体" w:cs="宋体"/>
          <w:b/>
          <w:bCs/>
          <w:color w:val="auto"/>
          <w:sz w:val="24"/>
          <w:highlight w:val="none"/>
        </w:rPr>
        <w:t>招标人应当允许投标人自主选择现金、银行保函、保证保险、专业工程担保公司担保等方式缴纳投标保证金。</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16.1.1</w:t>
      </w:r>
      <w:r>
        <w:rPr>
          <w:rFonts w:hint="eastAsia" w:ascii="宋体" w:hAnsi="宋体" w:cs="宋体"/>
          <w:bCs/>
          <w:color w:val="auto"/>
          <w:sz w:val="24"/>
          <w:highlight w:val="none"/>
        </w:rPr>
        <w:t>采用现金</w:t>
      </w:r>
      <w:r>
        <w:rPr>
          <w:rFonts w:hint="eastAsia" w:ascii="宋体" w:hAnsi="宋体" w:cs="宋体"/>
          <w:b/>
          <w:bCs/>
          <w:color w:val="auto"/>
          <w:sz w:val="24"/>
          <w:highlight w:val="none"/>
        </w:rPr>
        <w:t>或者支票</w:t>
      </w:r>
      <w:r>
        <w:rPr>
          <w:rFonts w:hint="eastAsia" w:ascii="宋体" w:hAnsi="宋体" w:cs="宋体"/>
          <w:bCs/>
          <w:color w:val="auto"/>
          <w:sz w:val="24"/>
          <w:highlight w:val="none"/>
        </w:rPr>
        <w:t>形式提交的，投标保证金须从投标人的银行基本账户转出</w:t>
      </w:r>
      <w:r>
        <w:rPr>
          <w:rFonts w:hint="eastAsia" w:ascii="宋体" w:hAnsi="宋体" w:cs="宋体"/>
          <w:color w:val="auto"/>
          <w:sz w:val="24"/>
          <w:highlight w:val="none"/>
        </w:rPr>
        <w:t>。</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16.1.2</w:t>
      </w:r>
      <w:r>
        <w:rPr>
          <w:rFonts w:hint="eastAsia" w:ascii="宋体" w:hAnsi="宋体" w:cs="宋体"/>
          <w:bCs/>
          <w:color w:val="auto"/>
          <w:sz w:val="24"/>
          <w:highlight w:val="none"/>
        </w:rPr>
        <w:t>依法必须招标的房屋建筑工程如采用非电子形式的</w:t>
      </w:r>
      <w:r>
        <w:rPr>
          <w:rFonts w:hint="eastAsia" w:ascii="宋体" w:hAnsi="宋体" w:cs="宋体"/>
          <w:b/>
          <w:bCs/>
          <w:color w:val="auto"/>
          <w:sz w:val="24"/>
          <w:highlight w:val="none"/>
        </w:rPr>
        <w:t>银行保函、专业工程担保公司担保或保证保险</w:t>
      </w:r>
      <w:r>
        <w:rPr>
          <w:rFonts w:hint="eastAsia" w:ascii="宋体" w:hAnsi="宋体" w:cs="宋体"/>
          <w:bCs/>
          <w:color w:val="auto"/>
          <w:sz w:val="24"/>
          <w:highlight w:val="none"/>
        </w:rPr>
        <w:t>提交投标保证金的，在开标前不强制要求投标人提交纸质原件，由中标候选人在中标候选人公示前提交并在网上公示，投标人应在投标文件中提交</w:t>
      </w:r>
      <w:r>
        <w:rPr>
          <w:rFonts w:hint="eastAsia" w:ascii="宋体" w:hAnsi="宋体" w:cs="宋体"/>
          <w:b/>
          <w:bCs/>
          <w:color w:val="auto"/>
          <w:sz w:val="24"/>
          <w:highlight w:val="none"/>
        </w:rPr>
        <w:t>保函、担保或保证保险</w:t>
      </w:r>
      <w:r>
        <w:rPr>
          <w:rFonts w:hint="eastAsia" w:ascii="宋体" w:hAnsi="宋体" w:cs="宋体"/>
          <w:bCs/>
          <w:color w:val="auto"/>
          <w:sz w:val="24"/>
          <w:highlight w:val="none"/>
        </w:rPr>
        <w:t>扫描件并加盖投标人电子印章。</w:t>
      </w:r>
      <w:r>
        <w:rPr>
          <w:rFonts w:hint="eastAsia" w:ascii="宋体" w:hAnsi="宋体" w:cs="宋体"/>
          <w:b/>
          <w:color w:val="auto"/>
          <w:sz w:val="24"/>
          <w:highlight w:val="none"/>
        </w:rPr>
        <w:t>如投标人存在16.4条款所列情形的，应将</w:t>
      </w:r>
      <w:r>
        <w:rPr>
          <w:rFonts w:hint="eastAsia" w:ascii="宋体" w:hAnsi="宋体" w:cs="宋体"/>
          <w:b/>
          <w:bCs/>
          <w:color w:val="auto"/>
          <w:sz w:val="24"/>
          <w:highlight w:val="none"/>
        </w:rPr>
        <w:t>纸质</w:t>
      </w:r>
      <w:r>
        <w:rPr>
          <w:rFonts w:hint="eastAsia" w:ascii="宋体" w:hAnsi="宋体" w:cs="宋体"/>
          <w:b/>
          <w:color w:val="auto"/>
          <w:sz w:val="24"/>
          <w:highlight w:val="none"/>
        </w:rPr>
        <w:t>原件提交给招标人</w:t>
      </w:r>
      <w:r>
        <w:rPr>
          <w:rFonts w:hint="eastAsia" w:ascii="宋体" w:hAnsi="宋体" w:cs="宋体"/>
          <w:color w:val="auto"/>
          <w:sz w:val="24"/>
          <w:highlight w:val="none"/>
        </w:rPr>
        <w:t>。</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16.1.3</w:t>
      </w:r>
      <w:r>
        <w:rPr>
          <w:rFonts w:hint="eastAsia" w:ascii="宋体" w:hAnsi="宋体" w:cs="宋体"/>
          <w:bCs/>
          <w:color w:val="auto"/>
          <w:sz w:val="24"/>
          <w:highlight w:val="none"/>
        </w:rPr>
        <w:t>采用</w:t>
      </w:r>
      <w:r>
        <w:rPr>
          <w:rFonts w:hint="eastAsia" w:ascii="宋体" w:hAnsi="宋体" w:cs="宋体"/>
          <w:b/>
          <w:color w:val="auto"/>
          <w:sz w:val="24"/>
          <w:highlight w:val="none"/>
        </w:rPr>
        <w:t>电子形式的保函、担保或保证保险</w:t>
      </w:r>
      <w:r>
        <w:rPr>
          <w:rFonts w:hint="eastAsia" w:ascii="宋体" w:hAnsi="宋体" w:cs="宋体"/>
          <w:bCs/>
          <w:color w:val="auto"/>
          <w:sz w:val="24"/>
          <w:highlight w:val="none"/>
        </w:rPr>
        <w:t>提交投标保证金的，应在招标文件中明确电子递交途径</w:t>
      </w:r>
      <w:r>
        <w:rPr>
          <w:rFonts w:hint="eastAsia" w:ascii="宋体" w:hAnsi="宋体" w:cs="宋体"/>
          <w:color w:val="auto"/>
          <w:sz w:val="24"/>
          <w:highlight w:val="none"/>
        </w:rPr>
        <w:t>。</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16.2开标时投标人没有按要求提供投标保证金的，其投标文件将被否决；</w:t>
      </w:r>
      <w:r>
        <w:rPr>
          <w:rFonts w:hint="eastAsia" w:ascii="宋体" w:hAnsi="宋体" w:cs="宋体"/>
          <w:b/>
          <w:bCs/>
          <w:color w:val="auto"/>
          <w:sz w:val="24"/>
          <w:highlight w:val="none"/>
        </w:rPr>
        <w:t>未按招标文件要求提交符合免予提供投标保证金相关证明材料，且未提交投标保证金的投标人，视为未按要求提供投标保证金</w:t>
      </w:r>
      <w:r>
        <w:rPr>
          <w:rFonts w:hint="eastAsia" w:ascii="宋体" w:hAnsi="宋体" w:cs="宋体"/>
          <w:color w:val="auto"/>
          <w:sz w:val="24"/>
          <w:highlight w:val="none"/>
        </w:rPr>
        <w:t>。</w:t>
      </w:r>
    </w:p>
    <w:p>
      <w:pPr>
        <w:pStyle w:val="5"/>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16.3投标保证金应依据法律法规的相关规定退还。</w:t>
      </w:r>
    </w:p>
    <w:p>
      <w:pPr>
        <w:pStyle w:val="5"/>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16.4如有下列情况之一的，招标人可以不予退还投标保证金：</w:t>
      </w:r>
    </w:p>
    <w:p>
      <w:pPr>
        <w:pStyle w:val="5"/>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16.4.1因投标人原因造成投标文件未解密的；</w:t>
      </w:r>
    </w:p>
    <w:p>
      <w:pPr>
        <w:pStyle w:val="5"/>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16.4.2投标人在投标有效期内撤销投标文件；</w:t>
      </w:r>
    </w:p>
    <w:p>
      <w:pPr>
        <w:pStyle w:val="5"/>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16.4.3中标人未能在规定期限内按要求提交履约担保；</w:t>
      </w:r>
    </w:p>
    <w:p>
      <w:pPr>
        <w:pStyle w:val="5"/>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16.4.4中标人未能在规定期限内签署合同协议。</w:t>
      </w:r>
    </w:p>
    <w:p>
      <w:pPr>
        <w:pStyle w:val="5"/>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16.5投标人如存在下列情况之一的，将被拒绝在三个月内参与招标人后续工程投标：</w:t>
      </w:r>
    </w:p>
    <w:p>
      <w:pPr>
        <w:pStyle w:val="5"/>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16.5.1</w:t>
      </w:r>
      <w:r>
        <w:rPr>
          <w:rFonts w:hint="eastAsia" w:ascii="宋体" w:hAnsi="宋体" w:cs="宋体"/>
          <w:b/>
          <w:bCs/>
          <w:color w:val="auto"/>
          <w:sz w:val="24"/>
          <w:highlight w:val="none"/>
        </w:rPr>
        <w:t>投标人</w:t>
      </w:r>
      <w:r>
        <w:rPr>
          <w:rFonts w:hint="eastAsia" w:ascii="宋体" w:hAnsi="宋体" w:cs="宋体"/>
          <w:b/>
          <w:color w:val="auto"/>
          <w:sz w:val="24"/>
          <w:highlight w:val="none"/>
        </w:rPr>
        <w:t>存在16.4条款所列情形且投标人提交的保函、担保或保证保险无法兑付的；</w:t>
      </w:r>
    </w:p>
    <w:p>
      <w:pPr>
        <w:pStyle w:val="5"/>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highlight w:val="none"/>
        </w:rPr>
        <w:t>16.5.2采用非电子形式提交投标保证金的</w:t>
      </w:r>
      <w:r>
        <w:rPr>
          <w:rFonts w:hint="eastAsia" w:ascii="宋体" w:hAnsi="宋体" w:cs="宋体"/>
          <w:b/>
          <w:bCs/>
          <w:color w:val="auto"/>
          <w:sz w:val="24"/>
          <w:highlight w:val="none"/>
        </w:rPr>
        <w:t>投标人</w:t>
      </w:r>
      <w:r>
        <w:rPr>
          <w:rFonts w:hint="eastAsia" w:ascii="宋体" w:hAnsi="宋体" w:cs="宋体"/>
          <w:b/>
          <w:color w:val="auto"/>
          <w:sz w:val="24"/>
          <w:highlight w:val="none"/>
        </w:rPr>
        <w:t>存在16.4条款所列情形，且未按招标人要求补交</w:t>
      </w:r>
      <w:r>
        <w:rPr>
          <w:rFonts w:hint="eastAsia" w:ascii="宋体" w:hAnsi="宋体" w:cs="宋体"/>
          <w:b/>
          <w:bCs/>
          <w:color w:val="auto"/>
          <w:sz w:val="24"/>
          <w:highlight w:val="none"/>
        </w:rPr>
        <w:t>银行保函、专业工程担保公司担保或保证保险原件的；</w:t>
      </w:r>
    </w:p>
    <w:p>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16.5.3按招标文件要求免于提供投标保证金</w:t>
      </w:r>
      <w:r>
        <w:rPr>
          <w:rFonts w:hint="eastAsia" w:ascii="宋体" w:hAnsi="宋体" w:cs="宋体"/>
          <w:b/>
          <w:color w:val="auto"/>
          <w:sz w:val="24"/>
          <w:highlight w:val="none"/>
        </w:rPr>
        <w:t>的</w:t>
      </w:r>
      <w:r>
        <w:rPr>
          <w:rFonts w:hint="eastAsia" w:ascii="宋体" w:hAnsi="宋体" w:cs="宋体"/>
          <w:b/>
          <w:bCs/>
          <w:color w:val="auto"/>
          <w:sz w:val="24"/>
          <w:highlight w:val="none"/>
        </w:rPr>
        <w:t>投标人</w:t>
      </w:r>
      <w:r>
        <w:rPr>
          <w:rFonts w:hint="eastAsia" w:ascii="宋体" w:hAnsi="宋体" w:cs="宋体"/>
          <w:b/>
          <w:color w:val="auto"/>
          <w:sz w:val="24"/>
          <w:highlight w:val="none"/>
        </w:rPr>
        <w:t>存在16.4条款所列情形，且未按招标人要求补交投标保证金的</w:t>
      </w:r>
      <w:r>
        <w:rPr>
          <w:rFonts w:hint="eastAsia" w:ascii="宋体" w:hAnsi="宋体"/>
          <w:color w:val="auto"/>
          <w:sz w:val="24"/>
          <w:highlight w:val="none"/>
        </w:rPr>
        <w:t>。</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bCs/>
          <w:color w:val="auto"/>
          <w:kern w:val="0"/>
          <w:sz w:val="24"/>
          <w:szCs w:val="24"/>
          <w:highlight w:val="none"/>
          <w:u w:val="single"/>
        </w:rPr>
        <w:t>广州公共资源交易中心网站</w:t>
      </w:r>
      <w:r>
        <w:rPr>
          <w:rFonts w:hint="eastAsia" w:ascii="宋体" w:hAnsi="宋体"/>
          <w:color w:val="auto"/>
          <w:sz w:val="24"/>
          <w:highlight w:val="none"/>
        </w:rPr>
        <w:t>。</w:t>
      </w:r>
    </w:p>
    <w:p>
      <w:pPr>
        <w:pStyle w:val="9"/>
        <w:spacing w:before="156" w:after="156"/>
        <w:rPr>
          <w:color w:val="auto"/>
          <w:highlight w:val="none"/>
        </w:rPr>
      </w:pPr>
      <w:bookmarkStart w:id="10" w:name="_Toc80289066"/>
      <w:bookmarkStart w:id="11" w:name="_Toc2272552"/>
      <w:r>
        <w:rPr>
          <w:rFonts w:hint="eastAsia"/>
          <w:color w:val="auto"/>
          <w:highlight w:val="none"/>
        </w:rPr>
        <w:t>（四）投标文件的提交</w:t>
      </w:r>
      <w:bookmarkEnd w:id="10"/>
      <w:bookmarkEnd w:id="11"/>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18.1.递交的电子投标文件（不含备用U盘）必须进行加密。按照交易平台关于全流程电子化项目的相关指南进行操作。详见：</w:t>
      </w:r>
      <w:r>
        <w:rPr>
          <w:rFonts w:hint="eastAsia" w:ascii="宋体" w:hAnsi="宋体"/>
          <w:color w:val="auto"/>
          <w:sz w:val="24"/>
          <w:szCs w:val="24"/>
          <w:highlight w:val="none"/>
          <w:u w:val="single"/>
        </w:rPr>
        <w:t>广州公共资源交易中心网站</w:t>
      </w:r>
      <w:r>
        <w:rPr>
          <w:rFonts w:hint="eastAsia" w:ascii="宋体" w:hAnsi="宋体"/>
          <w:color w:val="auto"/>
          <w:sz w:val="24"/>
          <w:szCs w:val="24"/>
          <w:highlight w:val="none"/>
        </w:rPr>
        <w:t>。</w:t>
      </w:r>
    </w:p>
    <w:p>
      <w:pPr>
        <w:spacing w:line="360" w:lineRule="auto"/>
        <w:ind w:firstLine="480" w:firstLineChars="200"/>
        <w:rPr>
          <w:rFonts w:ascii="宋体"/>
          <w:bCs/>
          <w:color w:val="auto"/>
          <w:sz w:val="24"/>
          <w:highlight w:val="none"/>
        </w:rPr>
      </w:pPr>
      <w:r>
        <w:rPr>
          <w:rFonts w:hint="eastAsia" w:ascii="宋体" w:hAnsi="宋体"/>
          <w:color w:val="auto"/>
          <w:sz w:val="24"/>
          <w:szCs w:val="24"/>
          <w:highlight w:val="none"/>
        </w:rPr>
        <w:t>18.2</w:t>
      </w:r>
      <w:r>
        <w:rPr>
          <w:rFonts w:hint="eastAsia" w:ascii="宋体" w:hAnsi="宋体"/>
          <w:bCs/>
          <w:color w:val="auto"/>
          <w:sz w:val="24"/>
          <w:szCs w:val="24"/>
          <w:highlight w:val="none"/>
        </w:rPr>
        <w:t>未按要求加密的投标文件，</w:t>
      </w:r>
      <w:r>
        <w:rPr>
          <w:rFonts w:hint="eastAsia" w:ascii="宋体" w:hAnsi="宋体"/>
          <w:color w:val="auto"/>
          <w:sz w:val="24"/>
          <w:szCs w:val="24"/>
          <w:highlight w:val="none"/>
          <w:u w:val="single"/>
        </w:rPr>
        <w:t>广州</w:t>
      </w:r>
      <w:r>
        <w:rPr>
          <w:rFonts w:ascii="宋体" w:hAnsi="宋体"/>
          <w:color w:val="auto"/>
          <w:sz w:val="24"/>
          <w:szCs w:val="24"/>
          <w:highlight w:val="none"/>
          <w:u w:val="single"/>
        </w:rPr>
        <w:t>公共资源交易中心</w:t>
      </w:r>
      <w:r>
        <w:rPr>
          <w:rFonts w:hint="eastAsia" w:ascii="宋体" w:hAnsi="宋体"/>
          <w:color w:val="auto"/>
          <w:sz w:val="24"/>
          <w:szCs w:val="24"/>
          <w:highlight w:val="none"/>
        </w:rPr>
        <w:t>交易平台</w:t>
      </w:r>
      <w:r>
        <w:rPr>
          <w:rFonts w:hint="eastAsia" w:ascii="宋体" w:hAnsi="宋体"/>
          <w:bCs/>
          <w:color w:val="auto"/>
          <w:sz w:val="24"/>
          <w:szCs w:val="24"/>
          <w:highlight w:val="none"/>
        </w:rPr>
        <w:t>将予以拒收。</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18.3</w:t>
      </w:r>
      <w:r>
        <w:rPr>
          <w:rFonts w:hint="eastAsia" w:ascii="宋体" w:hAnsi="宋体"/>
          <w:color w:val="auto"/>
          <w:sz w:val="24"/>
          <w:szCs w:val="24"/>
          <w:highlight w:val="none"/>
          <w:u w:val="single"/>
        </w:rPr>
        <w:t>投标人可制作非加密的电子投标文件（</w:t>
      </w:r>
      <w:r>
        <w:rPr>
          <w:rFonts w:hint="eastAsia"/>
          <w:color w:val="auto"/>
          <w:sz w:val="24"/>
          <w:szCs w:val="24"/>
          <w:highlight w:val="none"/>
          <w:u w:val="single"/>
        </w:rPr>
        <w:t>PDF</w:t>
      </w:r>
      <w:r>
        <w:rPr>
          <w:rFonts w:hint="eastAsia" w:ascii="宋体" w:hAnsi="宋体"/>
          <w:color w:val="auto"/>
          <w:sz w:val="24"/>
          <w:szCs w:val="24"/>
          <w:highlight w:val="none"/>
          <w:u w:val="single"/>
        </w:rPr>
        <w:t>格式）存入U盘（</w:t>
      </w:r>
      <w:r>
        <w:rPr>
          <w:rFonts w:hint="eastAsia"/>
          <w:color w:val="auto"/>
          <w:sz w:val="24"/>
          <w:szCs w:val="24"/>
          <w:highlight w:val="none"/>
          <w:u w:val="single"/>
        </w:rPr>
        <w:t>1</w:t>
      </w:r>
      <w:r>
        <w:rPr>
          <w:rFonts w:hint="eastAsia" w:ascii="宋体" w:hAnsi="宋体"/>
          <w:color w:val="auto"/>
          <w:sz w:val="24"/>
          <w:szCs w:val="24"/>
          <w:highlight w:val="none"/>
          <w:u w:val="single"/>
        </w:rPr>
        <w:t>份），投标文件U盘密封在密封袋中，并在封口处加盖投标人单位公章。密封袋上应写明项目名称和招标人名称。</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18.4投标人应递交定标辅助文件电子版及纸制版，纸质版正本一份、副本四份，电子文件U盘一套，并将纸质版定标辅助文件及其电子文件U盘一起密封在密封袋中，并在封口处加盖投标人单位公章。密封袋上应写明①项目名称②招标人名称③定标辅助文件。当副本和正本不一致或电子版文件和纸质正本文件不一致时，以纸质正本文件为准。</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19</w:t>
      </w:r>
      <w:r>
        <w:rPr>
          <w:rFonts w:hint="eastAsia" w:ascii="宋体"/>
          <w:color w:val="auto"/>
          <w:sz w:val="24"/>
          <w:szCs w:val="24"/>
          <w:highlight w:val="none"/>
        </w:rPr>
        <w:t>.</w:t>
      </w:r>
      <w:r>
        <w:rPr>
          <w:rFonts w:hint="eastAsia" w:ascii="宋体" w:hAnsi="宋体"/>
          <w:color w:val="auto"/>
          <w:sz w:val="24"/>
          <w:szCs w:val="24"/>
          <w:highlight w:val="none"/>
        </w:rPr>
        <w:t>1投标人通过</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交易平台递交电子投标文件（</w:t>
      </w:r>
      <w:r>
        <w:rPr>
          <w:rFonts w:hint="eastAsia" w:ascii="宋体" w:hAnsi="宋体"/>
          <w:color w:val="auto"/>
          <w:sz w:val="24"/>
          <w:szCs w:val="24"/>
          <w:highlight w:val="none"/>
          <w:u w:val="single"/>
        </w:rPr>
        <w:t>含定标辅助文件）</w:t>
      </w:r>
      <w:r>
        <w:rPr>
          <w:rFonts w:hint="eastAsia" w:ascii="宋体" w:hAnsi="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19</w:t>
      </w:r>
      <w:r>
        <w:rPr>
          <w:rFonts w:hint="eastAsia" w:ascii="宋体"/>
          <w:color w:val="auto"/>
          <w:sz w:val="24"/>
          <w:szCs w:val="24"/>
          <w:highlight w:val="none"/>
        </w:rPr>
        <w:t>.</w:t>
      </w:r>
      <w:r>
        <w:rPr>
          <w:rFonts w:hint="eastAsia" w:ascii="宋体" w:hAnsi="宋体"/>
          <w:color w:val="auto"/>
          <w:sz w:val="24"/>
          <w:szCs w:val="24"/>
          <w:highlight w:val="none"/>
        </w:rPr>
        <w:t>2投标人完成电子投标文件上传后，</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交易平台即时向投标人发出递交回执通知。递交时间以递交回执通知载明的传输完成时间为准。</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19</w:t>
      </w:r>
      <w:r>
        <w:rPr>
          <w:rFonts w:hint="eastAsia" w:ascii="宋体"/>
          <w:color w:val="auto"/>
          <w:sz w:val="24"/>
          <w:szCs w:val="24"/>
          <w:highlight w:val="none"/>
        </w:rPr>
        <w:t>.</w:t>
      </w:r>
      <w:r>
        <w:rPr>
          <w:rFonts w:hint="eastAsia" w:ascii="宋体" w:hAnsi="宋体"/>
          <w:color w:val="auto"/>
          <w:sz w:val="24"/>
          <w:szCs w:val="24"/>
          <w:highlight w:val="none"/>
        </w:rPr>
        <w:t>3逾期送达的电子投标文件，</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交易平台将予以拒收。</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19.4 投标截止前，招标人拒绝接收符合条件的投标文件，投标人可向招标投标监督机构投诉。</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19.5技术标和经济标同时开启，</w:t>
      </w:r>
      <w:r>
        <w:rPr>
          <w:rFonts w:hint="eastAsia"/>
          <w:color w:val="auto"/>
          <w:sz w:val="24"/>
          <w:szCs w:val="24"/>
          <w:highlight w:val="none"/>
          <w:u w:val="single"/>
        </w:rPr>
        <w:t>广州</w:t>
      </w:r>
      <w:r>
        <w:rPr>
          <w:color w:val="auto"/>
          <w:sz w:val="24"/>
          <w:szCs w:val="24"/>
          <w:highlight w:val="none"/>
          <w:u w:val="single"/>
        </w:rPr>
        <w:t>公共资源交易中心</w:t>
      </w:r>
      <w:r>
        <w:rPr>
          <w:rFonts w:hint="eastAsia" w:ascii="宋体" w:hAnsi="宋体"/>
          <w:color w:val="auto"/>
          <w:sz w:val="24"/>
          <w:szCs w:val="24"/>
          <w:highlight w:val="none"/>
          <w:u w:val="single"/>
        </w:rPr>
        <w:t>交易平台将按招标文件规定的时间同时开启技术标和经济标。</w:t>
      </w:r>
    </w:p>
    <w:p>
      <w:pPr>
        <w:spacing w:line="360" w:lineRule="auto"/>
        <w:ind w:firstLine="480" w:firstLineChars="200"/>
        <w:rPr>
          <w:rFonts w:ascii="宋体"/>
          <w:color w:val="auto"/>
          <w:sz w:val="24"/>
          <w:szCs w:val="24"/>
          <w:highlight w:val="none"/>
          <w:u w:val="single"/>
        </w:rPr>
      </w:pPr>
      <w:r>
        <w:rPr>
          <w:rFonts w:hint="eastAsia" w:ascii="宋体"/>
          <w:color w:val="auto"/>
          <w:sz w:val="24"/>
          <w:szCs w:val="24"/>
          <w:highlight w:val="none"/>
          <w:u w:val="single"/>
        </w:rPr>
        <w:t>19.6投标人代表应按投标须知前附表第18项所规定的时间和地点向招标人递交定标辅助文件，投标人代表应由投标人法定代表人或法定代表人书面授权的委托代理人担任，若出现以下情况之一的，招标人将拒绝接收定标辅助文件：</w:t>
      </w:r>
    </w:p>
    <w:p>
      <w:pPr>
        <w:spacing w:line="360" w:lineRule="auto"/>
        <w:ind w:firstLine="480" w:firstLineChars="200"/>
        <w:rPr>
          <w:rFonts w:ascii="宋体"/>
          <w:color w:val="auto"/>
          <w:sz w:val="24"/>
          <w:szCs w:val="24"/>
          <w:highlight w:val="none"/>
          <w:u w:val="single"/>
        </w:rPr>
      </w:pPr>
      <w:r>
        <w:rPr>
          <w:rFonts w:hint="eastAsia" w:ascii="宋体"/>
          <w:color w:val="auto"/>
          <w:sz w:val="24"/>
          <w:szCs w:val="24"/>
          <w:highlight w:val="none"/>
          <w:u w:val="single"/>
        </w:rPr>
        <w:t>19.6.1逾期或未在指定地点递交定标辅助文件的；</w:t>
      </w:r>
    </w:p>
    <w:p>
      <w:pPr>
        <w:spacing w:line="360" w:lineRule="auto"/>
        <w:ind w:firstLine="480" w:firstLineChars="200"/>
        <w:rPr>
          <w:rFonts w:ascii="宋体"/>
          <w:color w:val="auto"/>
          <w:sz w:val="24"/>
          <w:highlight w:val="none"/>
        </w:rPr>
      </w:pPr>
      <w:r>
        <w:rPr>
          <w:rFonts w:hint="eastAsia" w:ascii="宋体"/>
          <w:color w:val="auto"/>
          <w:sz w:val="24"/>
          <w:szCs w:val="24"/>
          <w:highlight w:val="none"/>
          <w:u w:val="single"/>
        </w:rPr>
        <w:t>19.7投标人如不提交定标辅助文件，不被认定为不通过资格审查或有效性审查，但如该投标人成为定标阶段的合格中标候选人，将影响其定标阶段的最终排名</w:t>
      </w:r>
      <w:r>
        <w:rPr>
          <w:rFonts w:hint="eastAsia" w:ascii="宋体" w:hAnsi="宋体"/>
          <w:color w:val="auto"/>
          <w:sz w:val="24"/>
          <w:szCs w:val="24"/>
          <w:highlight w:val="none"/>
        </w:rPr>
        <w:t>。</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4在投标截止时间之后，投标人不得补充、修改和更换投标文件。</w:t>
      </w:r>
    </w:p>
    <w:p>
      <w:pPr>
        <w:pStyle w:val="9"/>
        <w:spacing w:before="156" w:after="156"/>
        <w:rPr>
          <w:color w:val="auto"/>
          <w:highlight w:val="none"/>
        </w:rPr>
      </w:pPr>
      <w:bookmarkStart w:id="12" w:name="_Toc2272553"/>
      <w:bookmarkStart w:id="13" w:name="_Toc80289067"/>
      <w:r>
        <w:rPr>
          <w:rFonts w:hint="eastAsia"/>
          <w:color w:val="auto"/>
          <w:highlight w:val="none"/>
        </w:rPr>
        <w:t>（五）开标、评标、定标及合同签定</w:t>
      </w:r>
      <w:bookmarkEnd w:id="12"/>
      <w:bookmarkEnd w:id="13"/>
    </w:p>
    <w:p>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．定标及中标通知书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27.1</w:t>
      </w:r>
      <w:r>
        <w:rPr>
          <w:rFonts w:hint="eastAsia" w:ascii="宋体" w:hAnsi="宋体"/>
          <w:color w:val="auto"/>
          <w:sz w:val="24"/>
          <w:szCs w:val="24"/>
          <w:highlight w:val="none"/>
        </w:rPr>
        <w:t>招标人将在</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交易平台、广东省招标投标监管网和中国招标投标公共服务平台公示合格的中标候选人</w:t>
      </w:r>
      <w:r>
        <w:rPr>
          <w:rFonts w:hint="eastAsia" w:ascii="宋体" w:hAnsi="宋体"/>
          <w:color w:val="auto"/>
          <w:sz w:val="24"/>
          <w:szCs w:val="24"/>
          <w:highlight w:val="none"/>
          <w:u w:val="single"/>
        </w:rPr>
        <w:t>【不排序，按统一社会信用代码后4位（除效验码外）大小排位】</w:t>
      </w:r>
      <w:r>
        <w:rPr>
          <w:rFonts w:hint="eastAsia" w:ascii="宋体" w:hAnsi="宋体"/>
          <w:color w:val="auto"/>
          <w:sz w:val="24"/>
          <w:szCs w:val="24"/>
          <w:highlight w:val="none"/>
        </w:rPr>
        <w:t>，公示期为三天。</w:t>
      </w:r>
      <w:r>
        <w:rPr>
          <w:rFonts w:hint="eastAsia" w:ascii="宋体" w:hAnsi="宋体"/>
          <w:color w:val="auto"/>
          <w:sz w:val="24"/>
          <w:szCs w:val="24"/>
          <w:highlight w:val="none"/>
          <w:u w:val="single"/>
        </w:rPr>
        <w:t>中标候选人公示期间，投标人对评标结果有异议的应当在公示期内提出，因质疑或投诉生效导致合格中标候选人不符合中标资格的，将取消其中标候选人资格；因质疑或投诉生效导致所有合格中标候选人均不符合招标文件要求的，应当重新组织招标</w:t>
      </w:r>
      <w:r>
        <w:rPr>
          <w:rFonts w:hint="eastAsia" w:ascii="宋体" w:hAnsi="宋体"/>
          <w:color w:val="auto"/>
          <w:sz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在定标委员会完成定标工作后，招标人将在广州公共资源交易中心交易平台、广东省招标投标监管网和中国招标投标公共服务平台公示中标结果，定标后出现中标人不符合法定情形的，招标人可从其他合格的中标候选人中采用原定标办法，由原定标委员会确定中标人，也可以重新组织招标</w:t>
      </w:r>
      <w:r>
        <w:rPr>
          <w:rFonts w:hint="eastAsia" w:ascii="宋体" w:hAnsi="宋体"/>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27.4在产生中标候选人后，招标人将中标候选人的投标文件商务部分文件的所有内容（包括人员、业绩、奖项等资料）在</w:t>
      </w:r>
      <w:r>
        <w:rPr>
          <w:rFonts w:hint="eastAsia" w:ascii="宋体" w:hAnsi="宋体"/>
          <w:color w:val="auto"/>
          <w:sz w:val="24"/>
          <w:szCs w:val="24"/>
          <w:highlight w:val="none"/>
          <w:u w:val="single"/>
        </w:rPr>
        <w:t>广州</w:t>
      </w:r>
      <w:r>
        <w:rPr>
          <w:rFonts w:ascii="宋体" w:hAnsi="宋体"/>
          <w:color w:val="auto"/>
          <w:sz w:val="24"/>
          <w:szCs w:val="24"/>
          <w:highlight w:val="none"/>
          <w:u w:val="single"/>
        </w:rPr>
        <w:t>公共资源交易中心</w:t>
      </w:r>
      <w:r>
        <w:rPr>
          <w:rFonts w:hint="eastAsia" w:ascii="宋体" w:hAnsi="宋体"/>
          <w:color w:val="auto"/>
          <w:sz w:val="24"/>
          <w:szCs w:val="24"/>
          <w:highlight w:val="none"/>
        </w:rPr>
        <w:t>交易平台和广东省招标投标监管网</w:t>
      </w:r>
      <w:r>
        <w:rPr>
          <w:rFonts w:hint="eastAsia" w:ascii="宋体" w:hAnsi="宋体"/>
          <w:color w:val="auto"/>
          <w:sz w:val="24"/>
          <w:highlight w:val="none"/>
        </w:rPr>
        <w:t>公开。</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招标人支付工程款时，中标人应提供工程所在地发票。</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b/>
          <w:color w:val="auto"/>
          <w:sz w:val="24"/>
          <w:highlight w:val="none"/>
        </w:rPr>
        <w:t>15</w:t>
      </w:r>
      <w:r>
        <w:rPr>
          <w:rFonts w:hint="eastAsia" w:ascii="宋体" w:hAnsi="宋体"/>
          <w:b/>
          <w:color w:val="auto"/>
          <w:sz w:val="24"/>
          <w:highlight w:val="none"/>
        </w:rPr>
        <w:t>日</w:t>
      </w:r>
      <w:r>
        <w:rPr>
          <w:rFonts w:hint="eastAsia" w:ascii="宋体" w:hAnsi="宋体"/>
          <w:color w:val="auto"/>
          <w:sz w:val="24"/>
          <w:highlight w:val="none"/>
        </w:rPr>
        <w:t>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0项的规定向招标人提交履约担保；如果中标人的履约担保是以银行保函的形式提供，则该银行保函应由在中国注册且营业地点在广州行政辖区内的银行开具。</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pPr>
        <w:pStyle w:val="5"/>
        <w:spacing w:after="0" w:line="360" w:lineRule="auto"/>
        <w:ind w:firstLine="480" w:firstLineChars="200"/>
        <w:rPr>
          <w:rFonts w:ascii="宋体"/>
          <w:color w:val="auto"/>
          <w:sz w:val="24"/>
          <w:highlight w:val="none"/>
        </w:rPr>
      </w:pPr>
      <w:r>
        <w:rPr>
          <w:rFonts w:hint="eastAsia" w:ascii="宋体"/>
          <w:color w:val="auto"/>
          <w:sz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pPr>
        <w:spacing w:line="360" w:lineRule="auto"/>
        <w:ind w:firstLine="540" w:firstLineChars="224"/>
        <w:rPr>
          <w:rFonts w:ascii="宋体" w:hAnsi="宋体"/>
          <w:b/>
          <w:color w:val="auto"/>
          <w:sz w:val="24"/>
          <w:highlight w:val="none"/>
        </w:rPr>
      </w:pPr>
      <w:r>
        <w:rPr>
          <w:rFonts w:hint="eastAsia" w:ascii="宋体"/>
          <w:b/>
          <w:color w:val="auto"/>
          <w:sz w:val="24"/>
          <w:highlight w:val="none"/>
        </w:rPr>
        <w:t>33.</w:t>
      </w:r>
      <w:r>
        <w:rPr>
          <w:rFonts w:hint="eastAsia" w:ascii="宋体" w:hAnsi="宋体"/>
          <w:b/>
          <w:color w:val="auto"/>
          <w:sz w:val="24"/>
          <w:highlight w:val="none"/>
        </w:rPr>
        <w:t xml:space="preserve"> 投标人信誉的要求</w:t>
      </w:r>
    </w:p>
    <w:p>
      <w:pPr>
        <w:spacing w:line="360" w:lineRule="auto"/>
        <w:ind w:firstLine="537" w:firstLineChars="224"/>
        <w:rPr>
          <w:rFonts w:ascii="宋体" w:hAnsi="宋体"/>
          <w:color w:val="auto"/>
          <w:sz w:val="24"/>
          <w:highlight w:val="none"/>
        </w:rPr>
      </w:pPr>
      <w:r>
        <w:rPr>
          <w:rFonts w:hint="eastAsia" w:ascii="宋体" w:hAnsi="宋体"/>
          <w:color w:val="auto"/>
          <w:sz w:val="24"/>
          <w:highlight w:val="none"/>
        </w:rPr>
        <w:t>存在下列情形之一的，招标人可以限制其投标（需在招标文件中明确评定方法）</w:t>
      </w:r>
    </w:p>
    <w:p>
      <w:pPr>
        <w:spacing w:line="360" w:lineRule="auto"/>
        <w:ind w:firstLine="537" w:firstLineChars="224"/>
        <w:rPr>
          <w:rFonts w:ascii="宋体" w:hAnsi="宋体"/>
          <w:color w:val="auto"/>
          <w:sz w:val="24"/>
          <w:highlight w:val="none"/>
        </w:rPr>
      </w:pPr>
      <w:r>
        <w:rPr>
          <w:rFonts w:hint="eastAsia" w:ascii="宋体" w:hAnsi="宋体"/>
          <w:color w:val="auto"/>
          <w:sz w:val="24"/>
          <w:highlight w:val="none"/>
        </w:rPr>
        <w:t>（1）被建设行政主管部门在全国建筑市场监管一体化工作平台列入建筑市场主体“黑名单”；</w:t>
      </w:r>
    </w:p>
    <w:p>
      <w:pPr>
        <w:pStyle w:val="8"/>
        <w:spacing w:line="360" w:lineRule="auto"/>
        <w:rPr>
          <w:color w:val="auto"/>
          <w:highlight w:val="none"/>
        </w:rPr>
      </w:pPr>
      <w:r>
        <w:rPr>
          <w:rFonts w:hint="eastAsia" w:ascii="宋体" w:hAnsi="宋体"/>
          <w:color w:val="auto"/>
          <w:sz w:val="24"/>
          <w:highlight w:val="none"/>
        </w:rPr>
        <w:t>（2）被发改委、人力资源社会保障、质检总局等有关部门、单位在“信用中国”网站中列入联合惩戒失信黑名单。</w:t>
      </w:r>
    </w:p>
    <w:p>
      <w:pPr>
        <w:pStyle w:val="8"/>
        <w:spacing w:line="360" w:lineRule="auto"/>
        <w:rPr>
          <w:color w:val="auto"/>
          <w:highlight w:val="none"/>
        </w:rPr>
      </w:pPr>
      <w:r>
        <w:rPr>
          <w:color w:val="auto"/>
          <w:highlight w:val="none"/>
        </w:rPr>
        <w:br w:type="page"/>
      </w:r>
    </w:p>
    <w:p>
      <w:pPr>
        <w:pStyle w:val="3"/>
        <w:rPr>
          <w:rFonts w:ascii="宋体" w:hAnsi="宋体"/>
          <w:color w:val="auto"/>
          <w:highlight w:val="none"/>
        </w:rPr>
      </w:pPr>
      <w:bookmarkStart w:id="14" w:name="_Toc80289068"/>
      <w:r>
        <w:rPr>
          <w:rFonts w:hint="eastAsia" w:ascii="宋体" w:hAnsi="宋体"/>
          <w:color w:val="auto"/>
          <w:highlight w:val="none"/>
        </w:rPr>
        <w:t>第二章开标、评标及定标办法</w:t>
      </w:r>
      <w:bookmarkEnd w:id="14"/>
    </w:p>
    <w:p>
      <w:pPr>
        <w:pStyle w:val="7"/>
        <w:rPr>
          <w:color w:val="auto"/>
          <w:highlight w:val="none"/>
        </w:rPr>
      </w:pPr>
      <w:bookmarkStart w:id="15" w:name="_Toc80289069"/>
      <w:r>
        <w:rPr>
          <w:rFonts w:hint="eastAsia"/>
          <w:color w:val="auto"/>
          <w:sz w:val="28"/>
          <w:szCs w:val="28"/>
          <w:highlight w:val="none"/>
        </w:rPr>
        <w:t>一、</w:t>
      </w:r>
      <w:r>
        <w:rPr>
          <w:rFonts w:hint="eastAsia"/>
          <w:color w:val="auto"/>
          <w:highlight w:val="none"/>
        </w:rPr>
        <w:t>开标、评标及定标办法修改表</w:t>
      </w:r>
      <w:bookmarkEnd w:id="15"/>
    </w:p>
    <w:p>
      <w:pPr>
        <w:pStyle w:val="5"/>
        <w:spacing w:after="0" w:line="360" w:lineRule="auto"/>
        <w:rPr>
          <w:rFonts w:ascii="宋体" w:hAnsi="宋体"/>
          <w:b/>
          <w:color w:val="auto"/>
          <w:szCs w:val="21"/>
          <w:highlight w:val="none"/>
        </w:rPr>
      </w:pPr>
      <w:r>
        <w:rPr>
          <w:rFonts w:hint="eastAsia" w:ascii="宋体" w:hAnsi="宋体"/>
          <w:b/>
          <w:color w:val="auto"/>
          <w:szCs w:val="21"/>
          <w:highlight w:val="none"/>
        </w:rPr>
        <w:t>声明：本</w:t>
      </w:r>
      <w:r>
        <w:rPr>
          <w:rFonts w:hint="eastAsia" w:ascii="宋体" w:hAnsi="宋体"/>
          <w:b/>
          <w:color w:val="auto"/>
          <w:highlight w:val="none"/>
        </w:rPr>
        <w:t>开标、评标及定标办法使用GZZB2018-3招标文件范本的开标、评标及定标办法通用条款，与该通用条款不同之处，均在本表中列明，并以现文为准，原</w:t>
      </w:r>
      <w:r>
        <w:rPr>
          <w:rFonts w:hint="eastAsia" w:ascii="宋体" w:hAnsi="宋体"/>
          <w:b/>
          <w:color w:val="auto"/>
          <w:szCs w:val="21"/>
          <w:highlight w:val="none"/>
        </w:rPr>
        <w:t>文不再有效。本招标文件中不再转录</w:t>
      </w:r>
      <w:r>
        <w:rPr>
          <w:rFonts w:hint="eastAsia" w:ascii="宋体" w:hAnsi="宋体"/>
          <w:b/>
          <w:color w:val="auto"/>
          <w:highlight w:val="none"/>
        </w:rPr>
        <w:t>开标、评标及定标办法</w:t>
      </w:r>
      <w:r>
        <w:rPr>
          <w:rFonts w:hint="eastAsia" w:ascii="宋体" w:hAnsi="宋体"/>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Fonts w:ascii="宋体" w:hAnsi="宋体"/>
          <w:b/>
          <w:color w:val="auto"/>
          <w:szCs w:val="21"/>
          <w:highlight w:val="none"/>
        </w:rPr>
        <w:t>http://zfcj.gz.gov.cn/</w:t>
      </w:r>
      <w:r>
        <w:rPr>
          <w:rStyle w:val="46"/>
          <w:rFonts w:hint="eastAsia" w:ascii="宋体" w:hAnsi="宋体"/>
          <w:b/>
          <w:color w:val="auto"/>
          <w:szCs w:val="21"/>
          <w:highlight w:val="none"/>
          <w:u w:val="none"/>
        </w:rPr>
        <w:t>）下载GZZB2018-3</w:t>
      </w:r>
      <w:r>
        <w:rPr>
          <w:rStyle w:val="46"/>
          <w:rFonts w:hint="eastAsia" w:ascii="宋体" w:hAnsi="宋体"/>
          <w:b/>
          <w:color w:val="auto"/>
          <w:szCs w:val="21"/>
          <w:highlight w:val="none"/>
          <w:u w:val="none"/>
        </w:rPr>
        <w:fldChar w:fldCharType="end"/>
      </w:r>
      <w:r>
        <w:rPr>
          <w:rFonts w:hint="eastAsia" w:ascii="宋体" w:hAnsi="宋体"/>
          <w:b/>
          <w:color w:val="auto"/>
          <w:szCs w:val="21"/>
          <w:highlight w:val="none"/>
        </w:rPr>
        <w:t>范本查阅。</w:t>
      </w:r>
    </w:p>
    <w:p>
      <w:pPr>
        <w:pStyle w:val="5"/>
        <w:spacing w:after="0" w:line="360" w:lineRule="auto"/>
        <w:rPr>
          <w:rFonts w:ascii="宋体" w:hAnsi="宋体"/>
          <w:b/>
          <w:color w:val="auto"/>
          <w:szCs w:val="21"/>
          <w:highlight w:val="none"/>
        </w:rPr>
      </w:pPr>
    </w:p>
    <w:p>
      <w:pP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条款号：35.10     修改类型：增加</w:t>
      </w:r>
    </w:p>
    <w:p>
      <w:pPr>
        <w:spacing w:line="360" w:lineRule="auto"/>
        <w:ind w:firstLine="600" w:firstLineChars="249"/>
        <w:rPr>
          <w:rFonts w:ascii="宋体" w:hAnsi="宋体"/>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u w:val="single"/>
        </w:rPr>
        <w:t>35.10本项目采用评定分离定标办法，其中：评标采用通过制评标办法，定标采用“记名投票+撰写评语”的方式择优确定中标人。</w:t>
      </w:r>
    </w:p>
    <w:p>
      <w:pPr>
        <w:pBdr>
          <w:bottom w:val="single" w:color="auto" w:sz="6" w:space="1"/>
        </w:pBdr>
        <w:spacing w:line="360" w:lineRule="auto"/>
        <w:rPr>
          <w:rFonts w:ascii="宋体" w:hAnsi="宋体"/>
          <w:b/>
          <w:color w:val="auto"/>
          <w:sz w:val="24"/>
          <w:szCs w:val="24"/>
          <w:highlight w:val="none"/>
        </w:rPr>
      </w:pPr>
    </w:p>
    <w:p>
      <w:pPr>
        <w:spacing w:line="46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条款号：36.1修改类型：修改</w:t>
      </w:r>
    </w:p>
    <w:p>
      <w:pPr>
        <w:spacing w:line="46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原文：</w:t>
      </w: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46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现文：</w:t>
      </w: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 w:val="24"/>
          <w:szCs w:val="24"/>
          <w:highlight w:val="none"/>
          <w:u w:val="single"/>
        </w:rPr>
        <w:t>若投标人不参加开标会的，其投标文件在开标现场的其它投标人或招标人代表、招标代理机构代表及交易中心代表见证下公开开启、解密、公布，并视同该投标人认可开标结果。</w:t>
      </w:r>
    </w:p>
    <w:p>
      <w:pPr>
        <w:spacing w:line="360" w:lineRule="auto"/>
        <w:ind w:firstLine="708" w:firstLineChars="294"/>
        <w:rPr>
          <w:rFonts w:ascii="宋体" w:hAnsi="宋体"/>
          <w:b/>
          <w:color w:val="auto"/>
          <w:sz w:val="24"/>
          <w:szCs w:val="24"/>
          <w:highlight w:val="none"/>
        </w:rPr>
      </w:pPr>
      <w:r>
        <w:rPr>
          <w:rFonts w:hint="eastAsia" w:ascii="宋体" w:hAnsi="宋体"/>
          <w:b/>
          <w:color w:val="auto"/>
          <w:sz w:val="24"/>
          <w:szCs w:val="24"/>
          <w:highlight w:val="none"/>
        </w:rPr>
        <w:t>条款号：36.3 修改类型：删除</w:t>
      </w:r>
    </w:p>
    <w:p>
      <w:pPr>
        <w:spacing w:line="360" w:lineRule="auto"/>
        <w:ind w:firstLine="600" w:firstLineChars="249"/>
        <w:rPr>
          <w:rFonts w:ascii="宋体" w:hAnsi="宋体"/>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 xml:space="preserve"> 根据投标须知前附表第19项，如需抽取某一种评标办法供评标时使用的，应在开标前抽取。首先对招标文件中约定的若干种评标方法进行编号，再随机抽取某一编号，该编号所对应的评标办法供评标时使用；</w:t>
      </w:r>
    </w:p>
    <w:p>
      <w:pPr>
        <w:pBdr>
          <w:bottom w:val="single" w:color="auto" w:sz="6" w:space="1"/>
        </w:pBdr>
        <w:spacing w:line="360" w:lineRule="auto"/>
        <w:rPr>
          <w:rFonts w:ascii="宋体" w:hAnsi="宋体"/>
          <w:b/>
          <w:color w:val="auto"/>
          <w:sz w:val="24"/>
          <w:szCs w:val="24"/>
          <w:highlight w:val="none"/>
        </w:rPr>
      </w:pPr>
    </w:p>
    <w:p>
      <w:pP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w:t>
      </w:r>
      <w:r>
        <w:rPr>
          <w:rFonts w:hint="eastAsia" w:ascii="宋体" w:hAnsi="宋体"/>
          <w:color w:val="auto"/>
          <w:sz w:val="24"/>
          <w:szCs w:val="24"/>
          <w:highlight w:val="none"/>
        </w:rPr>
        <w:t>：</w:t>
      </w:r>
      <w:r>
        <w:rPr>
          <w:rFonts w:hint="eastAsia" w:ascii="宋体" w:hAnsi="宋体"/>
          <w:b/>
          <w:color w:val="auto"/>
          <w:sz w:val="24"/>
          <w:szCs w:val="24"/>
          <w:highlight w:val="none"/>
        </w:rPr>
        <w:t>36.5.1、36.5.2修改类型：修改</w:t>
      </w:r>
    </w:p>
    <w:p>
      <w:pPr>
        <w:spacing w:line="360" w:lineRule="auto"/>
        <w:ind w:firstLine="600" w:firstLineChars="249"/>
        <w:rPr>
          <w:rFonts w:ascii="宋体" w:hAnsi="宋体"/>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597" w:firstLineChars="249"/>
        <w:rPr>
          <w:rFonts w:ascii="宋体" w:hAnsi="宋体"/>
          <w:color w:val="auto"/>
          <w:sz w:val="24"/>
          <w:szCs w:val="24"/>
          <w:highlight w:val="none"/>
        </w:rPr>
      </w:pPr>
      <w:r>
        <w:rPr>
          <w:rFonts w:hint="eastAsia" w:ascii="宋体" w:hAnsi="宋体"/>
          <w:color w:val="auto"/>
          <w:sz w:val="24"/>
          <w:szCs w:val="24"/>
          <w:highlight w:val="none"/>
        </w:rPr>
        <w:t>36.5.2备用U盘的读取按投标须知前附表第36项的规定执行；</w:t>
      </w:r>
    </w:p>
    <w:p>
      <w:pPr>
        <w:pBdr>
          <w:bottom w:val="single" w:color="auto" w:sz="6" w:space="1"/>
        </w:pBdr>
        <w:spacing w:line="360" w:lineRule="auto"/>
        <w:ind w:firstLine="658" w:firstLineChars="273"/>
        <w:rPr>
          <w:rFonts w:ascii="宋体" w:hAnsi="宋体"/>
          <w:color w:val="auto"/>
          <w:sz w:val="24"/>
          <w:szCs w:val="24"/>
          <w:highlight w:val="none"/>
        </w:rPr>
      </w:pPr>
      <w:r>
        <w:rPr>
          <w:rFonts w:ascii="宋体" w:hAnsi="宋体"/>
          <w:b/>
          <w:color w:val="auto"/>
          <w:sz w:val="24"/>
          <w:szCs w:val="24"/>
          <w:highlight w:val="none"/>
        </w:rPr>
        <w:t>现文</w:t>
      </w:r>
      <w:r>
        <w:rPr>
          <w:rFonts w:hint="eastAsia" w:ascii="宋体" w:hAnsi="宋体"/>
          <w:b/>
          <w:color w:val="auto"/>
          <w:sz w:val="24"/>
          <w:szCs w:val="24"/>
          <w:highlight w:val="none"/>
        </w:rPr>
        <w:t>：</w:t>
      </w:r>
      <w:r>
        <w:rPr>
          <w:rFonts w:hint="eastAsia" w:ascii="宋体" w:hAnsi="宋体"/>
          <w:color w:val="auto"/>
          <w:sz w:val="24"/>
          <w:szCs w:val="24"/>
          <w:highlight w:val="none"/>
        </w:rPr>
        <w:t>36.5.1在投标截止时间后半小时内，投标人通过</w:t>
      </w:r>
      <w:r>
        <w:rPr>
          <w:rFonts w:hint="eastAsia" w:ascii="宋体" w:hAnsi="宋体"/>
          <w:color w:val="auto"/>
          <w:sz w:val="24"/>
          <w:szCs w:val="24"/>
          <w:highlight w:val="none"/>
          <w:u w:val="single"/>
        </w:rPr>
        <w:t>广州</w:t>
      </w:r>
      <w:r>
        <w:rPr>
          <w:rFonts w:ascii="宋体" w:hAnsi="宋体"/>
          <w:color w:val="auto"/>
          <w:sz w:val="24"/>
          <w:szCs w:val="24"/>
          <w:highlight w:val="none"/>
          <w:u w:val="single"/>
        </w:rPr>
        <w:t>公共资源交易中心</w:t>
      </w:r>
      <w:r>
        <w:rPr>
          <w:rFonts w:hint="eastAsia" w:ascii="宋体" w:hAnsi="宋体"/>
          <w:color w:val="auto"/>
          <w:sz w:val="24"/>
          <w:szCs w:val="24"/>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655" w:firstLineChars="273"/>
        <w:rPr>
          <w:rFonts w:ascii="宋体" w:hAnsi="宋体"/>
          <w:b/>
          <w:color w:val="auto"/>
          <w:sz w:val="24"/>
          <w:szCs w:val="24"/>
          <w:highlight w:val="none"/>
        </w:rPr>
      </w:pPr>
      <w:r>
        <w:rPr>
          <w:rFonts w:hint="eastAsia" w:ascii="宋体" w:hAnsi="宋体"/>
          <w:color w:val="auto"/>
          <w:sz w:val="24"/>
          <w:szCs w:val="24"/>
          <w:highlight w:val="none"/>
        </w:rPr>
        <w:t>36.5.2备用U盘的读取按投标须知前附表第</w:t>
      </w:r>
      <w:r>
        <w:rPr>
          <w:rFonts w:hint="eastAsia" w:ascii="宋体" w:hAnsi="宋体"/>
          <w:color w:val="auto"/>
          <w:sz w:val="24"/>
          <w:szCs w:val="24"/>
          <w:highlight w:val="none"/>
          <w:u w:val="single"/>
        </w:rPr>
        <w:t>37</w:t>
      </w:r>
      <w:r>
        <w:rPr>
          <w:rFonts w:hint="eastAsia" w:ascii="宋体" w:hAnsi="宋体"/>
          <w:color w:val="auto"/>
          <w:sz w:val="24"/>
          <w:szCs w:val="24"/>
          <w:highlight w:val="none"/>
        </w:rPr>
        <w:t>项的规定执行；</w:t>
      </w:r>
    </w:p>
    <w:p>
      <w:pP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条款号：37. 修改类型：修改</w:t>
      </w:r>
    </w:p>
    <w:p>
      <w:pPr>
        <w:spacing w:line="360" w:lineRule="auto"/>
        <w:ind w:firstLine="600" w:firstLineChars="249"/>
        <w:rPr>
          <w:rFonts w:ascii="宋体" w:hAnsi="宋体"/>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评标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w:t>
      </w:r>
      <w:r>
        <w:rPr>
          <w:rFonts w:hint="eastAsia" w:ascii="宋体" w:hAnsi="宋体"/>
          <w:color w:val="auto"/>
          <w:sz w:val="24"/>
          <w:szCs w:val="24"/>
          <w:highlight w:val="none"/>
        </w:rPr>
        <w:t>评标委员会的职责及守则：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37.2.2</w:t>
      </w:r>
      <w:r>
        <w:rPr>
          <w:rFonts w:hint="eastAsia" w:ascii="宋体" w:hAnsi="宋体"/>
          <w:color w:val="auto"/>
          <w:sz w:val="24"/>
          <w:szCs w:val="24"/>
          <w:highlight w:val="none"/>
        </w:rPr>
        <w:t>向招标人报告评审意见，推荐合格的中标候选人。</w:t>
      </w:r>
    </w:p>
    <w:p>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37.2.3</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37.2.4</w:t>
      </w:r>
      <w:r>
        <w:rPr>
          <w:rFonts w:hint="eastAsia" w:ascii="宋体" w:hAnsi="宋体"/>
          <w:color w:val="auto"/>
          <w:sz w:val="24"/>
          <w:szCs w:val="24"/>
          <w:highlight w:val="none"/>
        </w:rPr>
        <w:t>全体参与评标人员：</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37.2.4.1 </w:t>
      </w:r>
      <w:r>
        <w:rPr>
          <w:rFonts w:hint="eastAsia" w:ascii="宋体" w:hAnsi="宋体"/>
          <w:color w:val="auto"/>
          <w:sz w:val="24"/>
          <w:szCs w:val="24"/>
          <w:highlight w:val="none"/>
        </w:rPr>
        <w:t>必须遵守评标纪律、不得泄密；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37.2.4.2 </w:t>
      </w:r>
      <w:r>
        <w:rPr>
          <w:rFonts w:hint="eastAsia" w:ascii="宋体" w:hAnsi="宋体"/>
          <w:color w:val="auto"/>
          <w:sz w:val="24"/>
          <w:szCs w:val="24"/>
          <w:highlight w:val="none"/>
        </w:rPr>
        <w:t>必须公正、不得循私；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37.2.4.3 </w:t>
      </w:r>
      <w:r>
        <w:rPr>
          <w:rFonts w:hint="eastAsia" w:ascii="宋体" w:hAnsi="宋体"/>
          <w:color w:val="auto"/>
          <w:sz w:val="24"/>
          <w:szCs w:val="24"/>
          <w:highlight w:val="none"/>
        </w:rPr>
        <w:t>必须科学、不得草率；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37.2.4.4 </w:t>
      </w:r>
      <w:r>
        <w:rPr>
          <w:rFonts w:hint="eastAsia" w:ascii="宋体" w:hAnsi="宋体"/>
          <w:color w:val="auto"/>
          <w:sz w:val="24"/>
          <w:szCs w:val="24"/>
          <w:highlight w:val="none"/>
        </w:rPr>
        <w:t>必须客观、不得带有成见；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37.2.4.5 </w:t>
      </w:r>
      <w:r>
        <w:rPr>
          <w:rFonts w:hint="eastAsia" w:ascii="宋体" w:hAnsi="宋体"/>
          <w:color w:val="auto"/>
          <w:sz w:val="24"/>
          <w:szCs w:val="24"/>
          <w:highlight w:val="none"/>
        </w:rPr>
        <w:t>必须平等、不得强加于人；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37.2.4.6 </w:t>
      </w:r>
      <w:r>
        <w:rPr>
          <w:rFonts w:hint="eastAsia" w:ascii="宋体" w:hAnsi="宋体"/>
          <w:color w:val="auto"/>
          <w:sz w:val="24"/>
          <w:szCs w:val="24"/>
          <w:highlight w:val="none"/>
        </w:rPr>
        <w:t>必须严谨、不得随意马虎。</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37.3 </w:t>
      </w:r>
      <w:r>
        <w:rPr>
          <w:rFonts w:hint="eastAsia" w:ascii="宋体" w:hAnsi="宋体"/>
          <w:color w:val="auto"/>
          <w:sz w:val="24"/>
          <w:szCs w:val="24"/>
          <w:highlight w:val="none"/>
        </w:rPr>
        <w:t>评标结束后，评标委员会递交评标报告并依法推荐中标候选人。</w:t>
      </w:r>
    </w:p>
    <w:p>
      <w:pPr>
        <w:spacing w:line="360" w:lineRule="auto"/>
        <w:ind w:firstLine="482" w:firstLineChars="200"/>
        <w:rPr>
          <w:rFonts w:ascii="宋体"/>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rPr>
        <w:t>评标</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37.1评标委员会由招标人依法组建。</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37.2评标委员会的职责及守则：</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37.2.1根据评标细则，对投标文件进行认真评审，完成评标报告；</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37.2.2向招标人推荐</w:t>
      </w:r>
      <w:r>
        <w:rPr>
          <w:rFonts w:hint="eastAsia" w:ascii="宋体" w:hAnsi="宋体"/>
          <w:color w:val="auto"/>
          <w:sz w:val="24"/>
          <w:szCs w:val="24"/>
          <w:highlight w:val="none"/>
          <w:u w:val="single"/>
        </w:rPr>
        <w:t>进入定标阶段的合格中标</w:t>
      </w:r>
      <w:r>
        <w:rPr>
          <w:rFonts w:hint="eastAsia" w:ascii="宋体" w:hAnsi="宋体"/>
          <w:color w:val="auto"/>
          <w:sz w:val="24"/>
          <w:szCs w:val="24"/>
          <w:highlight w:val="none"/>
        </w:rPr>
        <w:t>候选人</w:t>
      </w:r>
      <w:r>
        <w:rPr>
          <w:rFonts w:hint="eastAsia" w:ascii="宋体" w:hAnsi="宋体"/>
          <w:color w:val="auto"/>
          <w:sz w:val="24"/>
          <w:szCs w:val="24"/>
          <w:highlight w:val="none"/>
          <w:u w:val="single"/>
        </w:rPr>
        <w:t>【不排序，按统一社会信用代码后4位（除效验码外）大小排位】</w:t>
      </w:r>
      <w:r>
        <w:rPr>
          <w:rFonts w:hint="eastAsia" w:ascii="宋体" w:hAnsi="宋体"/>
          <w:color w:val="auto"/>
          <w:sz w:val="24"/>
          <w:szCs w:val="24"/>
          <w:highlight w:val="none"/>
        </w:rPr>
        <w:t>，并递交资格审查报告和评标报告。</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37.2.3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37.2.4全体参与评标人员：</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37.2.4.1 必须遵守评标纪律、不得泄密；</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37.2.4.2 必须公正、不得循私；</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37.2.4.3 必须科学、不得草率；</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37.2.4.4 必须客观、不得带有成见；</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37.2.4.5 必须平等、不得强加于人；</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37.2.4.6 必须严谨、不得随意马虎。</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 评标结束后，评标委员会递交资格审查报告和评标报告并依法推荐</w:t>
      </w:r>
      <w:r>
        <w:rPr>
          <w:rFonts w:hint="eastAsia" w:ascii="宋体" w:hAnsi="宋体"/>
          <w:color w:val="auto"/>
          <w:sz w:val="24"/>
          <w:szCs w:val="24"/>
          <w:highlight w:val="none"/>
          <w:u w:val="single"/>
        </w:rPr>
        <w:t>进入定标阶段的合格中标</w:t>
      </w:r>
      <w:r>
        <w:rPr>
          <w:rFonts w:hint="eastAsia" w:ascii="宋体" w:hAnsi="宋体"/>
          <w:color w:val="auto"/>
          <w:sz w:val="24"/>
          <w:szCs w:val="24"/>
          <w:highlight w:val="none"/>
        </w:rPr>
        <w:t>候选人</w:t>
      </w:r>
      <w:r>
        <w:rPr>
          <w:rFonts w:hint="eastAsia" w:ascii="宋体" w:hAnsi="宋体"/>
          <w:color w:val="auto"/>
          <w:sz w:val="24"/>
          <w:szCs w:val="24"/>
          <w:highlight w:val="none"/>
          <w:u w:val="single"/>
        </w:rPr>
        <w:t>【不排序，按统一社会信用代码后4位（除效验码外）大小排位】</w:t>
      </w:r>
      <w:r>
        <w:rPr>
          <w:rFonts w:hint="eastAsia" w:ascii="宋体" w:hAnsi="宋体"/>
          <w:color w:val="auto"/>
          <w:sz w:val="24"/>
          <w:szCs w:val="24"/>
          <w:highlight w:val="none"/>
        </w:rPr>
        <w:t>。</w:t>
      </w:r>
    </w:p>
    <w:p>
      <w:pPr>
        <w:pBdr>
          <w:bottom w:val="single" w:color="auto" w:sz="6" w:space="1"/>
        </w:pBdr>
        <w:spacing w:line="360" w:lineRule="auto"/>
        <w:rPr>
          <w:rFonts w:ascii="宋体" w:hAnsi="宋体"/>
          <w:b/>
          <w:color w:val="auto"/>
          <w:sz w:val="24"/>
          <w:szCs w:val="24"/>
          <w:highlight w:val="none"/>
        </w:rPr>
      </w:pPr>
    </w:p>
    <w:p>
      <w:pPr>
        <w:spacing w:line="46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条款号：38.1修改类型：修改</w:t>
      </w:r>
    </w:p>
    <w:p>
      <w:pPr>
        <w:spacing w:line="46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3</w:t>
      </w:r>
      <w:r>
        <w:rPr>
          <w:rFonts w:ascii="宋体" w:hAnsi="宋体"/>
          <w:color w:val="auto"/>
          <w:sz w:val="24"/>
          <w:szCs w:val="24"/>
          <w:highlight w:val="none"/>
        </w:rPr>
        <w:t>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460" w:lineRule="exact"/>
        <w:ind w:firstLine="482" w:firstLineChars="200"/>
        <w:rPr>
          <w:rFonts w:ascii="宋体" w:hAnsi="宋体"/>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rPr>
        <w:t>3</w:t>
      </w:r>
      <w:r>
        <w:rPr>
          <w:rFonts w:ascii="宋体" w:hAnsi="宋体"/>
          <w:color w:val="auto"/>
          <w:sz w:val="24"/>
          <w:szCs w:val="24"/>
          <w:highlight w:val="none"/>
        </w:rPr>
        <w:t>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u w:val="single"/>
        </w:rPr>
        <w:t>、对同类问题表述不一致、有明显文字和计算错误的内容以及细微偏差</w:t>
      </w:r>
      <w:r>
        <w:rPr>
          <w:rFonts w:hint="eastAsia" w:ascii="宋体" w:hAnsi="宋体"/>
          <w:color w:val="auto"/>
          <w:sz w:val="24"/>
          <w:szCs w:val="24"/>
          <w:highlight w:val="none"/>
        </w:rPr>
        <w:t>的内容作出澄清。</w:t>
      </w:r>
    </w:p>
    <w:p>
      <w:pP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条款号：39.定标修改类型：删除</w:t>
      </w:r>
    </w:p>
    <w:p>
      <w:pPr>
        <w:spacing w:line="360" w:lineRule="auto"/>
        <w:ind w:firstLine="590" w:firstLineChars="245"/>
        <w:rPr>
          <w:rFonts w:ascii="宋体" w:hAnsi="宋体"/>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39.1 招标人根据评标委员会递交的评标报告，最终审定中标人。</w:t>
      </w:r>
    </w:p>
    <w:p>
      <w:pPr>
        <w:spacing w:line="360" w:lineRule="auto"/>
        <w:ind w:firstLine="588" w:firstLineChars="245"/>
        <w:rPr>
          <w:rFonts w:ascii="宋体" w:hAnsi="宋体"/>
          <w:color w:val="auto"/>
          <w:sz w:val="24"/>
          <w:szCs w:val="24"/>
          <w:highlight w:val="none"/>
        </w:rPr>
      </w:pPr>
      <w:r>
        <w:rPr>
          <w:rFonts w:hint="eastAsia" w:ascii="宋体" w:hAnsi="宋体"/>
          <w:color w:val="auto"/>
          <w:sz w:val="24"/>
          <w:szCs w:val="24"/>
          <w:highlight w:val="none"/>
        </w:rPr>
        <w:t>39.2 依法必须进行公开招标的项目，招标人应当确定排名第一的中标候选人为中标人。</w:t>
      </w:r>
    </w:p>
    <w:p>
      <w:pPr>
        <w:spacing w:line="360" w:lineRule="auto"/>
        <w:ind w:firstLine="588" w:firstLineChars="245"/>
        <w:rPr>
          <w:rFonts w:ascii="宋体" w:hAnsi="宋体"/>
          <w:color w:val="auto"/>
          <w:sz w:val="24"/>
          <w:szCs w:val="24"/>
          <w:highlight w:val="none"/>
        </w:rPr>
      </w:pPr>
      <w:r>
        <w:rPr>
          <w:rFonts w:hint="eastAsia" w:ascii="宋体" w:hAnsi="宋体"/>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588" w:firstLineChars="245"/>
        <w:rPr>
          <w:rFonts w:ascii="宋体" w:hAnsi="宋体"/>
          <w:color w:val="auto"/>
          <w:sz w:val="24"/>
          <w:szCs w:val="24"/>
          <w:highlight w:val="none"/>
        </w:rPr>
      </w:pPr>
      <w:r>
        <w:rPr>
          <w:rFonts w:hint="eastAsia" w:ascii="宋体" w:hAnsi="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588" w:firstLineChars="245"/>
        <w:rPr>
          <w:rFonts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Bdr>
          <w:bottom w:val="single" w:color="auto" w:sz="6" w:space="1"/>
        </w:pBdr>
        <w:spacing w:line="360" w:lineRule="auto"/>
        <w:rPr>
          <w:rFonts w:ascii="宋体" w:hAnsi="宋体"/>
          <w:b/>
          <w:color w:val="auto"/>
          <w:sz w:val="24"/>
          <w:szCs w:val="24"/>
          <w:highlight w:val="none"/>
        </w:rPr>
      </w:pPr>
    </w:p>
    <w:p>
      <w:pP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条款号：可选办法、40.修改类型：修改</w:t>
      </w:r>
    </w:p>
    <w:p>
      <w:pPr>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可选办法七（适合综合评分法四，技术标与经济标同时开启）</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开标和评标程序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rPr>
        <w:t>40.8评标委员会按排序向招标人推荐中标候选人名单，并递交资格审查报告及评标报告。</w:t>
      </w:r>
    </w:p>
    <w:p>
      <w:pPr>
        <w:snapToGrid w:val="0"/>
        <w:spacing w:line="360" w:lineRule="auto"/>
        <w:ind w:firstLine="482" w:firstLineChars="200"/>
        <w:rPr>
          <w:rFonts w:ascii="宋体"/>
          <w:b/>
          <w:color w:val="auto"/>
          <w:sz w:val="24"/>
          <w:szCs w:val="24"/>
          <w:highlight w:val="none"/>
        </w:rPr>
      </w:pPr>
      <w:r>
        <w:rPr>
          <w:rFonts w:hint="eastAsia" w:ascii="宋体"/>
          <w:b/>
          <w:color w:val="auto"/>
          <w:sz w:val="24"/>
          <w:szCs w:val="24"/>
          <w:highlight w:val="none"/>
        </w:rPr>
        <w:t>现文：</w:t>
      </w:r>
      <w:r>
        <w:rPr>
          <w:rFonts w:hint="eastAsia" w:ascii="宋体" w:hAnsi="宋体"/>
          <w:color w:val="auto"/>
          <w:sz w:val="24"/>
          <w:szCs w:val="24"/>
          <w:highlight w:val="none"/>
        </w:rPr>
        <w:t>合格制评审法</w:t>
      </w:r>
    </w:p>
    <w:p>
      <w:pPr>
        <w:snapToGrid w:val="0"/>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u w:val="single"/>
        </w:rPr>
        <w:t>开标、评标及定标程序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w:t>
      </w:r>
      <w:r>
        <w:rPr>
          <w:rFonts w:hint="eastAsia" w:ascii="宋体" w:hAnsi="宋体"/>
          <w:color w:val="auto"/>
          <w:sz w:val="24"/>
          <w:szCs w:val="24"/>
          <w:highlight w:val="none"/>
        </w:rPr>
        <w:t>技术标（含资格审查文件）与经济标投标文件同时公开开标；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w:t>
      </w:r>
      <w:r>
        <w:rPr>
          <w:rFonts w:hint="eastAsia" w:ascii="宋体" w:hAnsi="宋体"/>
          <w:color w:val="auto"/>
          <w:sz w:val="24"/>
          <w:szCs w:val="24"/>
          <w:highlight w:val="none"/>
        </w:rPr>
        <w:t>由评标委员会对所有已公开开标的投标人进行资格审查；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w:t>
      </w:r>
      <w:r>
        <w:rPr>
          <w:rFonts w:hint="eastAsia" w:ascii="宋体" w:hAnsi="宋体"/>
          <w:color w:val="auto"/>
          <w:sz w:val="24"/>
          <w:szCs w:val="24"/>
          <w:highlight w:val="none"/>
        </w:rPr>
        <w:t>技术标投标文件有效性审查；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w:t>
      </w:r>
      <w:r>
        <w:rPr>
          <w:rFonts w:hint="eastAsia" w:ascii="宋体" w:hAnsi="宋体"/>
          <w:color w:val="auto"/>
          <w:sz w:val="24"/>
          <w:szCs w:val="24"/>
          <w:highlight w:val="none"/>
        </w:rPr>
        <w:t>经济标投标文件有效性审查；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w:t>
      </w:r>
      <w:r>
        <w:rPr>
          <w:rFonts w:hint="eastAsia" w:ascii="宋体" w:hAnsi="宋体"/>
          <w:color w:val="auto"/>
          <w:sz w:val="24"/>
          <w:szCs w:val="24"/>
          <w:highlight w:val="none"/>
          <w:u w:val="single"/>
        </w:rPr>
        <w:t>评标委员会按通过技术标及经济标有效性审查的合格投标人向招标人推荐进入定标阶段合格中标候选人名单【不排序，按统一社会信用代码后4位（除效验码外）大小排位】，并递交资格审查报告及评标报告；</w:t>
      </w:r>
    </w:p>
    <w:p>
      <w:pPr>
        <w:spacing w:line="360" w:lineRule="auto"/>
        <w:ind w:firstLine="480" w:firstLineChars="200"/>
        <w:rPr>
          <w:rFonts w:ascii="宋体" w:hAnsi="宋体"/>
          <w:b/>
          <w:color w:val="auto"/>
          <w:sz w:val="24"/>
          <w:szCs w:val="24"/>
          <w:highlight w:val="none"/>
        </w:rPr>
      </w:pPr>
      <w:r>
        <w:rPr>
          <w:rFonts w:hint="eastAsia" w:ascii="宋体"/>
          <w:color w:val="auto"/>
          <w:sz w:val="24"/>
          <w:szCs w:val="24"/>
          <w:highlight w:val="none"/>
          <w:u w:val="single"/>
        </w:rPr>
        <w:t xml:space="preserve">40.6 </w:t>
      </w:r>
      <w:r>
        <w:rPr>
          <w:rFonts w:hint="eastAsia" w:ascii="宋体" w:hAnsi="宋体"/>
          <w:color w:val="auto"/>
          <w:sz w:val="24"/>
          <w:szCs w:val="24"/>
          <w:highlight w:val="none"/>
          <w:u w:val="single"/>
        </w:rPr>
        <w:t>定标委员会对评标委员会推荐的合格中标候选人进行投票，根据票数情况确定中标人。定标结束后，定标委员会向招标人递交定标报告。</w:t>
      </w:r>
    </w:p>
    <w:p>
      <w:pPr>
        <w:pBdr>
          <w:bottom w:val="single" w:color="auto" w:sz="6" w:space="1"/>
        </w:pBdr>
        <w:spacing w:line="360" w:lineRule="auto"/>
        <w:rPr>
          <w:rFonts w:ascii="宋体" w:hAnsi="宋体"/>
          <w:b/>
          <w:color w:val="auto"/>
          <w:sz w:val="24"/>
          <w:szCs w:val="24"/>
          <w:highlight w:val="none"/>
        </w:rPr>
      </w:pPr>
    </w:p>
    <w:p>
      <w:pP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条款号：41.1修改类型：修改</w:t>
      </w:r>
    </w:p>
    <w:p>
      <w:pPr>
        <w:snapToGrid w:val="0"/>
        <w:spacing w:line="360" w:lineRule="auto"/>
        <w:ind w:firstLine="590" w:firstLineChars="245"/>
        <w:rPr>
          <w:rFonts w:ascii="宋体" w:hAnsi="宋体"/>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开标由招标人主持；</w:t>
      </w:r>
    </w:p>
    <w:p>
      <w:pPr>
        <w:pBdr>
          <w:bottom w:val="single" w:color="auto" w:sz="6" w:space="1"/>
        </w:pBd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u w:val="single"/>
        </w:rPr>
        <w:t>开标由招标人或招标代理主持；</w:t>
      </w:r>
    </w:p>
    <w:p>
      <w:pPr>
        <w:spacing w:line="360" w:lineRule="auto"/>
        <w:ind w:firstLine="540" w:firstLineChars="224"/>
        <w:rPr>
          <w:rFonts w:ascii="宋体" w:hAnsi="宋体"/>
          <w:b/>
          <w:color w:val="auto"/>
          <w:sz w:val="24"/>
          <w:szCs w:val="24"/>
          <w:highlight w:val="none"/>
        </w:rPr>
      </w:pPr>
      <w:r>
        <w:rPr>
          <w:rFonts w:hint="eastAsia" w:ascii="宋体" w:hAnsi="宋体"/>
          <w:b/>
          <w:color w:val="auto"/>
          <w:sz w:val="24"/>
          <w:szCs w:val="24"/>
          <w:highlight w:val="none"/>
        </w:rPr>
        <w:t>条款号：41.2.1修改类型：修改</w:t>
      </w:r>
    </w:p>
    <w:p>
      <w:pPr>
        <w:pBdr>
          <w:bottom w:val="single" w:color="auto" w:sz="6" w:space="1"/>
        </w:pBdr>
        <w:spacing w:line="360" w:lineRule="auto"/>
        <w:ind w:firstLine="540" w:firstLineChars="224"/>
        <w:rPr>
          <w:rFonts w:ascii="宋体" w:hAnsi="宋体"/>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投标截止期前，各投标人递交投标文件（包括技术标投标文件、经济标投标文件）至交易平台。有关投标文件提交的事项详见第一章投标须知。</w:t>
      </w:r>
    </w:p>
    <w:p>
      <w:pPr>
        <w:pBdr>
          <w:bottom w:val="single" w:color="auto" w:sz="6" w:space="1"/>
        </w:pBdr>
        <w:spacing w:line="360" w:lineRule="auto"/>
        <w:ind w:firstLine="540" w:firstLineChars="224"/>
        <w:rPr>
          <w:rFonts w:ascii="宋体" w:hAnsi="宋体"/>
          <w:b/>
          <w:color w:val="auto"/>
          <w:sz w:val="24"/>
          <w:szCs w:val="24"/>
          <w:highlight w:val="none"/>
        </w:rPr>
      </w:pPr>
      <w:r>
        <w:rPr>
          <w:rFonts w:ascii="宋体" w:hAnsi="宋体"/>
          <w:b/>
          <w:color w:val="auto"/>
          <w:sz w:val="24"/>
          <w:szCs w:val="24"/>
          <w:highlight w:val="none"/>
        </w:rPr>
        <w:t>现文</w:t>
      </w:r>
      <w:r>
        <w:rPr>
          <w:rFonts w:hint="eastAsia" w:ascii="宋体" w:hAnsi="宋体"/>
          <w:b/>
          <w:color w:val="auto"/>
          <w:sz w:val="24"/>
          <w:szCs w:val="24"/>
          <w:highlight w:val="none"/>
        </w:rPr>
        <w:t>：</w:t>
      </w:r>
      <w:r>
        <w:rPr>
          <w:rFonts w:hint="eastAsia" w:ascii="宋体" w:hAnsi="宋体"/>
          <w:color w:val="auto"/>
          <w:sz w:val="24"/>
          <w:szCs w:val="24"/>
          <w:highlight w:val="none"/>
        </w:rPr>
        <w:t>投标截止期前，各投标人递交投标文件（包括技术标投标文件、经济标投标文件）至</w:t>
      </w:r>
      <w:r>
        <w:rPr>
          <w:rFonts w:hint="eastAsia" w:ascii="宋体" w:hAnsi="宋体"/>
          <w:color w:val="auto"/>
          <w:sz w:val="24"/>
          <w:szCs w:val="24"/>
          <w:highlight w:val="none"/>
          <w:u w:val="single"/>
        </w:rPr>
        <w:t>广州</w:t>
      </w:r>
      <w:r>
        <w:rPr>
          <w:rFonts w:ascii="宋体" w:hAnsi="宋体"/>
          <w:color w:val="auto"/>
          <w:sz w:val="24"/>
          <w:szCs w:val="24"/>
          <w:highlight w:val="none"/>
          <w:u w:val="single"/>
        </w:rPr>
        <w:t>公共资源交易中心</w:t>
      </w:r>
      <w:r>
        <w:rPr>
          <w:rFonts w:hint="eastAsia" w:ascii="宋体" w:hAnsi="宋体"/>
          <w:color w:val="auto"/>
          <w:sz w:val="24"/>
          <w:szCs w:val="24"/>
          <w:highlight w:val="none"/>
        </w:rPr>
        <w:t>交易平台。有关投标文件提交的事项详见第一章投标须知。</w:t>
      </w:r>
    </w:p>
    <w:p>
      <w:pP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条款号：42.2修改类型：修改</w:t>
      </w:r>
    </w:p>
    <w:p>
      <w:pPr>
        <w:spacing w:line="360" w:lineRule="auto"/>
        <w:ind w:firstLine="600" w:firstLineChars="249"/>
        <w:rPr>
          <w:rFonts w:ascii="宋体" w:hAnsi="宋体"/>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评标委员会的组成：方式。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方式一：评标委员会为综合评标委员会，负责资格审查及评标工作。</w:t>
      </w:r>
    </w:p>
    <w:p>
      <w:pPr>
        <w:spacing w:line="360" w:lineRule="auto"/>
        <w:ind w:firstLine="480" w:firstLineChars="200"/>
        <w:rPr>
          <w:rFonts w:ascii="宋体" w:hAnsi="宋体"/>
          <w:b/>
          <w:color w:val="auto"/>
          <w:sz w:val="24"/>
          <w:szCs w:val="24"/>
          <w:highlight w:val="none"/>
        </w:rPr>
      </w:pPr>
      <w:r>
        <w:rPr>
          <w:rFonts w:hint="eastAsia" w:ascii="宋体" w:hAnsi="宋体"/>
          <w:color w:val="auto"/>
          <w:sz w:val="24"/>
          <w:szCs w:val="24"/>
          <w:highlight w:val="none"/>
        </w:rPr>
        <w:t>方式二：</w:t>
      </w:r>
      <w:r>
        <w:rPr>
          <w:rFonts w:hint="eastAsia" w:ascii="宋体"/>
          <w:color w:val="auto"/>
          <w:sz w:val="24"/>
          <w:szCs w:val="24"/>
          <w:highlight w:val="none"/>
        </w:rPr>
        <w:t>评标委员会由技术评审组和经济评审组组成。其中：资格审查及技术评审由技术评标组负责，经济评审由经济评审组负责</w:t>
      </w:r>
      <w:r>
        <w:rPr>
          <w:rFonts w:hint="eastAsia" w:ascii="宋体" w:hAnsi="宋体"/>
          <w:color w:val="auto"/>
          <w:sz w:val="24"/>
          <w:szCs w:val="24"/>
          <w:highlight w:val="none"/>
        </w:rPr>
        <w:t>。</w:t>
      </w:r>
    </w:p>
    <w:p>
      <w:pPr>
        <w:spacing w:line="360" w:lineRule="auto"/>
        <w:ind w:firstLine="600" w:firstLineChars="249"/>
        <w:rPr>
          <w:rFonts w:ascii="宋体" w:hAnsi="宋体"/>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rPr>
        <w:t>评标委员会的组成：方式</w:t>
      </w:r>
      <w:r>
        <w:rPr>
          <w:rFonts w:hint="eastAsia" w:ascii="宋体" w:hAnsi="宋体"/>
          <w:color w:val="auto"/>
          <w:sz w:val="24"/>
          <w:szCs w:val="24"/>
          <w:highlight w:val="none"/>
          <w:u w:val="single"/>
        </w:rPr>
        <w:t>一</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方式一：评标委员会为综合评标委员会，负责资格审查及评标工作。</w:t>
      </w:r>
    </w:p>
    <w:p>
      <w:pPr>
        <w:spacing w:line="360" w:lineRule="auto"/>
        <w:ind w:firstLine="480" w:firstLineChars="200"/>
        <w:rPr>
          <w:rFonts w:ascii="宋体" w:hAnsi="宋体"/>
          <w:b/>
          <w:color w:val="auto"/>
          <w:sz w:val="24"/>
          <w:szCs w:val="24"/>
          <w:highlight w:val="none"/>
        </w:rPr>
      </w:pPr>
      <w:r>
        <w:rPr>
          <w:rFonts w:hint="eastAsia" w:ascii="宋体" w:hAnsi="宋体"/>
          <w:color w:val="auto"/>
          <w:sz w:val="24"/>
          <w:szCs w:val="24"/>
          <w:highlight w:val="none"/>
        </w:rPr>
        <w:t>方式二：</w:t>
      </w:r>
      <w:r>
        <w:rPr>
          <w:rFonts w:hint="eastAsia" w:ascii="宋体"/>
          <w:color w:val="auto"/>
          <w:sz w:val="24"/>
          <w:szCs w:val="24"/>
          <w:highlight w:val="none"/>
        </w:rPr>
        <w:t>评标委员会由技术评审组和经济评审组组成。其中：资格审查及技术评审由技术评标组负责，经济评审由经济评审组负责</w:t>
      </w:r>
      <w:r>
        <w:rPr>
          <w:rFonts w:hint="eastAsia" w:ascii="宋体" w:hAnsi="宋体"/>
          <w:color w:val="auto"/>
          <w:sz w:val="24"/>
          <w:szCs w:val="24"/>
          <w:highlight w:val="none"/>
        </w:rPr>
        <w:t>。</w:t>
      </w:r>
    </w:p>
    <w:p>
      <w:pPr>
        <w:pBdr>
          <w:bottom w:val="single" w:color="auto" w:sz="6" w:space="1"/>
        </w:pBdr>
        <w:spacing w:line="360" w:lineRule="auto"/>
        <w:ind w:firstLine="540" w:firstLineChars="224"/>
        <w:rPr>
          <w:rFonts w:ascii="宋体" w:hAnsi="宋体"/>
          <w:b/>
          <w:color w:val="auto"/>
          <w:sz w:val="24"/>
          <w:szCs w:val="24"/>
          <w:highlight w:val="none"/>
        </w:rPr>
      </w:pPr>
    </w:p>
    <w:p>
      <w:pP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条款号：42.3修改类型：增加</w:t>
      </w:r>
    </w:p>
    <w:p>
      <w:pPr>
        <w:pBdr>
          <w:bottom w:val="single" w:color="auto" w:sz="6" w:space="1"/>
        </w:pBdr>
        <w:spacing w:line="360" w:lineRule="auto"/>
        <w:rPr>
          <w:rFonts w:ascii="宋体" w:hAnsi="宋体"/>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u w:val="single"/>
        </w:rPr>
        <w:t>定标委员会的组成：由招标人依法组建，负责定标环节。</w:t>
      </w:r>
    </w:p>
    <w:p>
      <w:pP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条款号：43.3修改类型：修改</w:t>
      </w:r>
    </w:p>
    <w:p>
      <w:pP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资格审查不合格的投标文件不参加下一阶段的评标，不参与评标参考价的计算。</w:t>
      </w:r>
    </w:p>
    <w:p>
      <w:pPr>
        <w:spacing w:line="360" w:lineRule="auto"/>
        <w:ind w:firstLine="590" w:firstLineChars="245"/>
        <w:rPr>
          <w:rFonts w:ascii="宋体" w:hAnsi="宋体"/>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u w:val="single"/>
        </w:rPr>
        <w:t>资格审查不合格的投标文件不参与下一阶段的评审。</w:t>
      </w:r>
    </w:p>
    <w:p>
      <w:pPr>
        <w:pBdr>
          <w:bottom w:val="single" w:color="auto" w:sz="6" w:space="1"/>
        </w:pBdr>
        <w:spacing w:line="360" w:lineRule="auto"/>
        <w:rPr>
          <w:rFonts w:ascii="宋体" w:hAnsi="宋体"/>
          <w:color w:val="auto"/>
          <w:sz w:val="24"/>
          <w:szCs w:val="24"/>
          <w:highlight w:val="none"/>
        </w:rPr>
      </w:pPr>
    </w:p>
    <w:p>
      <w:pP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条款号：44.修改类型：修改</w:t>
      </w:r>
    </w:p>
    <w:p>
      <w:pP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技术标评审</w:t>
      </w:r>
    </w:p>
    <w:p>
      <w:pPr>
        <w:spacing w:line="360" w:lineRule="auto"/>
        <w:ind w:firstLine="588" w:firstLineChars="245"/>
        <w:rPr>
          <w:rFonts w:ascii="宋体" w:hAnsi="宋体"/>
          <w:color w:val="auto"/>
          <w:sz w:val="24"/>
          <w:szCs w:val="24"/>
          <w:highlight w:val="none"/>
        </w:rPr>
      </w:pPr>
      <w:r>
        <w:rPr>
          <w:rFonts w:hint="eastAsia" w:ascii="宋体" w:hAnsi="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rPr>
        <w:t>技术标的有效性审查</w:t>
      </w:r>
    </w:p>
    <w:p>
      <w:pPr>
        <w:spacing w:line="360" w:lineRule="auto"/>
        <w:ind w:firstLine="588" w:firstLineChars="245"/>
        <w:rPr>
          <w:rFonts w:ascii="宋体" w:hAnsi="宋体"/>
          <w:color w:val="auto"/>
          <w:sz w:val="24"/>
          <w:szCs w:val="24"/>
          <w:highlight w:val="none"/>
        </w:rPr>
      </w:pPr>
      <w:r>
        <w:rPr>
          <w:rFonts w:hint="eastAsia" w:ascii="宋体" w:hAnsi="宋体"/>
          <w:color w:val="auto"/>
          <w:sz w:val="24"/>
          <w:szCs w:val="24"/>
          <w:highlight w:val="none"/>
          <w:u w:val="single"/>
        </w:rPr>
        <w:t>44.1技术标中有任一种列于本办法附表二《技术标有效性审查表》中情形的，其投标文件将被否决。被否决的投标人不参与下一阶段评审。如评标委员会的评审意见不一致时，以评标委员会过半数成员的意见作为评标委员会对该情形的认定结论。若通过技术标有效性审查的投标人不足3名，则本项目招标失败。</w:t>
      </w:r>
    </w:p>
    <w:p>
      <w:pPr>
        <w:pBdr>
          <w:bottom w:val="single" w:color="auto" w:sz="6" w:space="1"/>
        </w:pBdr>
        <w:spacing w:line="360" w:lineRule="auto"/>
        <w:rPr>
          <w:rFonts w:ascii="宋体" w:hAnsi="宋体"/>
          <w:b/>
          <w:color w:val="auto"/>
          <w:sz w:val="24"/>
          <w:szCs w:val="24"/>
          <w:highlight w:val="none"/>
        </w:rPr>
      </w:pPr>
    </w:p>
    <w:p>
      <w:pPr>
        <w:spacing w:line="360" w:lineRule="auto"/>
        <w:ind w:firstLine="590" w:firstLineChars="245"/>
        <w:rPr>
          <w:rFonts w:ascii="宋体" w:hAnsi="宋体"/>
          <w:color w:val="auto"/>
          <w:sz w:val="24"/>
          <w:szCs w:val="24"/>
          <w:highlight w:val="none"/>
        </w:rPr>
      </w:pPr>
      <w:r>
        <w:rPr>
          <w:rFonts w:hint="eastAsia" w:ascii="宋体" w:hAnsi="宋体"/>
          <w:b/>
          <w:color w:val="auto"/>
          <w:sz w:val="24"/>
          <w:szCs w:val="24"/>
          <w:highlight w:val="none"/>
        </w:rPr>
        <w:t>条款号：44.2              修改类型：删除</w:t>
      </w:r>
    </w:p>
    <w:p>
      <w:pPr>
        <w:pBdr>
          <w:bottom w:val="single" w:color="auto" w:sz="6" w:space="1"/>
        </w:pBdr>
        <w:spacing w:line="360" w:lineRule="auto"/>
        <w:rPr>
          <w:rFonts w:ascii="宋体" w:hAnsi="宋体"/>
          <w:b/>
          <w:color w:val="auto"/>
          <w:sz w:val="24"/>
          <w:szCs w:val="24"/>
          <w:highlight w:val="none"/>
        </w:rPr>
      </w:pPr>
      <w:r>
        <w:rPr>
          <w:rFonts w:hint="eastAsia" w:ascii="宋体" w:hAnsi="宋体"/>
          <w:b/>
          <w:color w:val="auto"/>
          <w:sz w:val="24"/>
          <w:szCs w:val="24"/>
          <w:highlight w:val="none"/>
        </w:rPr>
        <w:t xml:space="preserve">     原文：</w:t>
      </w:r>
      <w:r>
        <w:rPr>
          <w:rFonts w:hint="eastAsia" w:ascii="宋体" w:hAnsi="宋体"/>
          <w:color w:val="auto"/>
          <w:sz w:val="24"/>
          <w:szCs w:val="24"/>
          <w:highlight w:val="none"/>
        </w:rPr>
        <w:t>技术标详细审查评分：评标委员会按照附表四《技术标详细审查评分表》的标准，对通过技术标有效性审查的投标文件技术标进行详细审查，评出技术分，得分四舍五入精确到小数点后两位。</w:t>
      </w:r>
    </w:p>
    <w:p>
      <w:pPr>
        <w:pBdr>
          <w:bottom w:val="single" w:color="auto" w:sz="6" w:space="1"/>
        </w:pBdr>
        <w:spacing w:line="360" w:lineRule="auto"/>
        <w:rPr>
          <w:rFonts w:ascii="宋体" w:hAnsi="宋体" w:cs="仿宋"/>
          <w:color w:val="auto"/>
          <w:sz w:val="24"/>
          <w:szCs w:val="24"/>
          <w:highlight w:val="none"/>
        </w:rPr>
      </w:pPr>
    </w:p>
    <w:p>
      <w:pP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条款号：45.       修改类型：删除</w:t>
      </w:r>
    </w:p>
    <w:p>
      <w:pPr>
        <w:pStyle w:val="5"/>
        <w:tabs>
          <w:tab w:val="left" w:pos="7380"/>
        </w:tabs>
        <w:snapToGrid w:val="0"/>
        <w:spacing w:after="0" w:line="360" w:lineRule="auto"/>
        <w:ind w:firstLine="600" w:firstLineChars="249"/>
        <w:rPr>
          <w:rFonts w:ascii="宋体" w:hAnsi="宋体" w:cs="仿宋"/>
          <w:b/>
          <w:color w:val="auto"/>
          <w:sz w:val="24"/>
          <w:szCs w:val="24"/>
          <w:highlight w:val="none"/>
        </w:rPr>
      </w:pPr>
      <w:r>
        <w:rPr>
          <w:rFonts w:hint="eastAsia" w:ascii="宋体" w:hAnsi="宋体" w:cs="仿宋"/>
          <w:b/>
          <w:color w:val="auto"/>
          <w:sz w:val="24"/>
          <w:szCs w:val="24"/>
          <w:highlight w:val="none"/>
        </w:rPr>
        <w:t>原文：</w:t>
      </w:r>
      <w:r>
        <w:rPr>
          <w:rFonts w:hint="eastAsia" w:ascii="宋体" w:hAnsi="宋体" w:cs="仿宋"/>
          <w:color w:val="auto"/>
          <w:sz w:val="24"/>
          <w:szCs w:val="24"/>
          <w:highlight w:val="none"/>
        </w:rPr>
        <w:t>45.经济标评审和得分汇总</w:t>
      </w:r>
    </w:p>
    <w:p>
      <w:pPr>
        <w:pStyle w:val="5"/>
        <w:tabs>
          <w:tab w:val="left" w:pos="7380"/>
        </w:tabs>
        <w:snapToGrid w:val="0"/>
        <w:spacing w:after="0" w:line="360" w:lineRule="auto"/>
        <w:ind w:firstLine="600" w:firstLineChars="250"/>
        <w:rPr>
          <w:rFonts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45.1若通过技术标有效性审查的投标人中所有投标报价均大于等于最高投标限价*D%（D的取值范围为[94,100],由招标人自主确定）的（具体金额为：元），则本项目招标失败，由招标人依法重新招标。</w:t>
      </w:r>
    </w:p>
    <w:p>
      <w:pPr>
        <w:pStyle w:val="5"/>
        <w:tabs>
          <w:tab w:val="left" w:pos="7380"/>
        </w:tabs>
        <w:snapToGrid w:val="0"/>
        <w:spacing w:after="0" w:line="360" w:lineRule="auto"/>
        <w:ind w:firstLine="600" w:firstLineChars="250"/>
        <w:rPr>
          <w:rFonts w:ascii="宋体"/>
          <w:color w:val="auto"/>
          <w:sz w:val="24"/>
          <w:szCs w:val="24"/>
          <w:highlight w:val="none"/>
        </w:rPr>
      </w:pPr>
      <w:r>
        <w:rPr>
          <w:rFonts w:hint="eastAsia" w:ascii="宋体" w:hAnsi="宋体"/>
          <w:color w:val="auto"/>
          <w:sz w:val="24"/>
          <w:szCs w:val="24"/>
          <w:highlight w:val="none"/>
        </w:rPr>
        <w:t>45.2按方法计算评标参考价：</w:t>
      </w:r>
    </w:p>
    <w:p>
      <w:pPr>
        <w:widowControl/>
        <w:spacing w:line="360" w:lineRule="auto"/>
        <w:ind w:firstLine="600" w:firstLineChars="249"/>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方法一：加权平均法</w:t>
      </w:r>
    </w:p>
    <w:p>
      <w:pPr>
        <w:spacing w:line="360" w:lineRule="auto"/>
        <w:ind w:firstLine="600" w:firstLineChars="250"/>
        <w:rPr>
          <w:rFonts w:ascii="宋体" w:hAnsi="宋体" w:cs="仿宋"/>
          <w:color w:val="auto"/>
          <w:sz w:val="24"/>
          <w:szCs w:val="24"/>
          <w:highlight w:val="none"/>
        </w:rPr>
      </w:pPr>
      <w:r>
        <w:rPr>
          <w:rFonts w:hint="eastAsia" w:ascii="宋体" w:hAnsi="宋体" w:cs="仿宋"/>
          <w:color w:val="auto"/>
          <w:sz w:val="24"/>
          <w:szCs w:val="24"/>
          <w:highlight w:val="none"/>
        </w:rPr>
        <w:t>技术标或技术标加诚信得分（具体由招标人自定）前</w:t>
      </w:r>
      <w:r>
        <w:rPr>
          <w:rFonts w:ascii="宋体" w:hAnsi="宋体" w:cs="仿宋"/>
          <w:color w:val="auto"/>
          <w:sz w:val="24"/>
          <w:szCs w:val="24"/>
          <w:highlight w:val="none"/>
        </w:rPr>
        <w:t>N</w:t>
      </w:r>
      <w:r>
        <w:rPr>
          <w:rFonts w:hint="eastAsia" w:ascii="宋体" w:hAnsi="宋体" w:cs="仿宋"/>
          <w:color w:val="auto"/>
          <w:sz w:val="24"/>
          <w:szCs w:val="24"/>
          <w:highlight w:val="none"/>
        </w:rPr>
        <w:t>名（N≥5，具体由招标人自定）的经济报价加权平均，计算评标参考价。公式如下：</w:t>
      </w:r>
    </w:p>
    <w:p>
      <w:pPr>
        <w:spacing w:line="360" w:lineRule="auto"/>
        <w:ind w:firstLine="600" w:firstLineChars="250"/>
        <w:rPr>
          <w:rFonts w:ascii="宋体" w:hAnsi="宋体" w:cs="仿宋"/>
          <w:color w:val="auto"/>
          <w:sz w:val="24"/>
          <w:szCs w:val="24"/>
          <w:highlight w:val="none"/>
        </w:rPr>
      </w:pPr>
      <w:r>
        <w:rPr>
          <w:rFonts w:hint="eastAsia" w:ascii="宋体" w:hAnsi="宋体" w:cs="仿宋"/>
          <w:color w:val="auto"/>
          <w:sz w:val="24"/>
          <w:szCs w:val="24"/>
          <w:highlight w:val="none"/>
        </w:rPr>
        <w:t>评标参考价</w:t>
      </w:r>
      <w:r>
        <w:rPr>
          <w:rFonts w:ascii="宋体" w:hAnsi="宋体" w:cs="仿宋"/>
          <w:color w:val="auto"/>
          <w:sz w:val="24"/>
          <w:szCs w:val="24"/>
          <w:highlight w:val="none"/>
        </w:rPr>
        <w:t>=</w:t>
      </w:r>
      <w:r>
        <w:rPr>
          <w:rFonts w:hint="eastAsia" w:ascii="宋体" w:hAnsi="宋体" w:cs="仿宋"/>
          <w:color w:val="auto"/>
          <w:sz w:val="24"/>
          <w:szCs w:val="24"/>
          <w:highlight w:val="none"/>
        </w:rPr>
        <w:t>Σ（投标人的投标报价</w:t>
      </w:r>
      <w:r>
        <w:rPr>
          <w:rFonts w:ascii="宋体" w:hAnsi="宋体" w:cs="仿宋"/>
          <w:color w:val="auto"/>
          <w:sz w:val="24"/>
          <w:szCs w:val="24"/>
          <w:highlight w:val="none"/>
        </w:rPr>
        <w:t>*</w:t>
      </w:r>
      <w:r>
        <w:rPr>
          <w:rFonts w:hint="eastAsia" w:ascii="宋体" w:hAnsi="宋体" w:cs="仿宋"/>
          <w:color w:val="auto"/>
          <w:sz w:val="24"/>
          <w:szCs w:val="24"/>
          <w:highlight w:val="none"/>
        </w:rPr>
        <w:t>报价权重）。</w:t>
      </w:r>
    </w:p>
    <w:p>
      <w:pPr>
        <w:spacing w:line="360" w:lineRule="auto"/>
        <w:ind w:firstLine="600" w:firstLineChars="250"/>
        <w:rPr>
          <w:rFonts w:ascii="宋体" w:hAnsi="宋体" w:cs="仿宋"/>
          <w:color w:val="auto"/>
          <w:sz w:val="24"/>
          <w:szCs w:val="24"/>
          <w:highlight w:val="none"/>
        </w:rPr>
      </w:pPr>
      <w:r>
        <w:rPr>
          <w:rFonts w:hint="eastAsia" w:ascii="宋体" w:hAnsi="宋体" w:cs="仿宋"/>
          <w:color w:val="auto"/>
          <w:sz w:val="24"/>
          <w:szCs w:val="24"/>
          <w:highlight w:val="none"/>
        </w:rPr>
        <w:t>其中：报价权重的计算方法为：将</w:t>
      </w:r>
      <w:r>
        <w:rPr>
          <w:rFonts w:ascii="宋体" w:hAnsi="宋体" w:cs="仿宋"/>
          <w:color w:val="auto"/>
          <w:sz w:val="24"/>
          <w:szCs w:val="24"/>
          <w:highlight w:val="none"/>
        </w:rPr>
        <w:t>N</w:t>
      </w:r>
      <w:r>
        <w:rPr>
          <w:rFonts w:hint="eastAsia" w:ascii="宋体" w:hAnsi="宋体" w:cs="仿宋"/>
          <w:color w:val="auto"/>
          <w:sz w:val="24"/>
          <w:szCs w:val="24"/>
          <w:highlight w:val="none"/>
        </w:rPr>
        <w:t>名投标人按技术分由高至低进行排序，第一名投标人的权重为（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sz w:val="24"/>
          <w:highlight w:val="none"/>
        </w:rPr>
        <w:drawing>
          <wp:inline distT="0" distB="0" distL="0" distR="0">
            <wp:extent cx="382905" cy="44640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宋体" w:hAnsi="宋体" w:cs="仿宋"/>
          <w:color w:val="auto"/>
          <w:sz w:val="24"/>
          <w:szCs w:val="24"/>
          <w:highlight w:val="none"/>
        </w:rPr>
        <w:fldChar w:fldCharType="separate"/>
      </w:r>
      <w:r>
        <w:rPr>
          <w:rFonts w:ascii="宋体" w:hAnsi="宋体"/>
          <w:color w:val="auto"/>
          <w:sz w:val="24"/>
          <w:highlight w:val="none"/>
        </w:rPr>
        <w:drawing>
          <wp:inline distT="0" distB="0" distL="0" distR="0">
            <wp:extent cx="382905" cy="446405"/>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），第二名投标人的权重为（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highlight w:val="none"/>
        </w:rPr>
        <w:drawing>
          <wp:inline distT="0" distB="0" distL="0" distR="0">
            <wp:extent cx="318770" cy="403860"/>
            <wp:effectExtent l="0" t="0" r="508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宋体" w:hAnsi="宋体" w:cs="仿宋"/>
          <w:color w:val="auto"/>
          <w:sz w:val="24"/>
          <w:szCs w:val="24"/>
          <w:highlight w:val="none"/>
        </w:rPr>
        <w:fldChar w:fldCharType="separate"/>
      </w:r>
      <w:r>
        <w:rPr>
          <w:rFonts w:ascii="宋体" w:hAnsi="宋体"/>
          <w:color w:val="auto"/>
          <w:position w:val="-23"/>
          <w:sz w:val="24"/>
          <w:highlight w:val="none"/>
        </w:rPr>
        <w:drawing>
          <wp:inline distT="0" distB="0" distL="0" distR="0">
            <wp:extent cx="318770" cy="403860"/>
            <wp:effectExtent l="0" t="0" r="508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），以此类推，最后一名投标人的权重为（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highlight w:val="none"/>
        </w:rPr>
        <w:drawing>
          <wp:inline distT="0" distB="0" distL="0" distR="0">
            <wp:extent cx="318770" cy="403860"/>
            <wp:effectExtent l="0" t="0" r="508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宋体" w:hAnsi="宋体" w:cs="仿宋"/>
          <w:color w:val="auto"/>
          <w:sz w:val="24"/>
          <w:szCs w:val="24"/>
          <w:highlight w:val="none"/>
        </w:rPr>
        <w:fldChar w:fldCharType="separate"/>
      </w:r>
      <w:r>
        <w:rPr>
          <w:rFonts w:ascii="宋体" w:hAnsi="宋体"/>
          <w:color w:val="auto"/>
          <w:position w:val="-23"/>
          <w:sz w:val="24"/>
          <w:highlight w:val="none"/>
        </w:rPr>
        <w:drawing>
          <wp:inline distT="0" distB="0" distL="0" distR="0">
            <wp:extent cx="318770" cy="403860"/>
            <wp:effectExtent l="0" t="0" r="508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w:t>
      </w:r>
    </w:p>
    <w:p>
      <w:pPr>
        <w:widowControl/>
        <w:spacing w:line="360" w:lineRule="auto"/>
        <w:ind w:firstLine="600" w:firstLineChars="249"/>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方法二：区间抽取法</w:t>
      </w:r>
    </w:p>
    <w:p>
      <w:pPr>
        <w:widowControl/>
        <w:snapToGrid w:val="0"/>
        <w:spacing w:line="360" w:lineRule="auto"/>
        <w:ind w:firstLine="600" w:firstLineChars="250"/>
        <w:rPr>
          <w:rFonts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600" w:firstLineChars="25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pPr>
        <w:widowControl/>
        <w:snapToGrid w:val="0"/>
        <w:spacing w:line="360" w:lineRule="auto"/>
        <w:ind w:firstLine="600" w:firstLineChars="25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pPr>
        <w:spacing w:line="360" w:lineRule="auto"/>
        <w:ind w:firstLine="600" w:firstLineChars="25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：为（最高投标限价</w:t>
      </w:r>
      <w:r>
        <w:rPr>
          <w:rFonts w:ascii="宋体" w:hAnsi="宋体" w:cs="仿宋"/>
          <w:color w:val="auto"/>
          <w:sz w:val="24"/>
          <w:szCs w:val="24"/>
          <w:highlight w:val="none"/>
        </w:rPr>
        <w:t>*D%</w:t>
      </w:r>
      <w:r>
        <w:rPr>
          <w:rFonts w:hint="eastAsia" w:ascii="宋体" w:hAnsi="宋体" w:cs="仿宋"/>
          <w:color w:val="auto"/>
          <w:sz w:val="24"/>
          <w:szCs w:val="24"/>
          <w:highlight w:val="none"/>
        </w:rPr>
        <w:t>）（</w:t>
      </w:r>
      <w:r>
        <w:rPr>
          <w:rFonts w:ascii="宋体" w:hAnsi="宋体" w:cs="仿宋"/>
          <w:color w:val="auto"/>
          <w:sz w:val="24"/>
          <w:szCs w:val="24"/>
          <w:highlight w:val="none"/>
        </w:rPr>
        <w:t>D</w:t>
      </w:r>
      <w:r>
        <w:rPr>
          <w:rFonts w:hint="eastAsia" w:ascii="宋体" w:hAnsi="宋体" w:cs="仿宋"/>
          <w:color w:val="auto"/>
          <w:sz w:val="24"/>
          <w:szCs w:val="24"/>
          <w:highlight w:val="none"/>
        </w:rPr>
        <w:t>的取值范围为</w:t>
      </w:r>
      <w:r>
        <w:rPr>
          <w:rFonts w:ascii="宋体" w:hAnsi="宋体" w:cs="仿宋"/>
          <w:color w:val="auto"/>
          <w:sz w:val="24"/>
          <w:szCs w:val="24"/>
          <w:highlight w:val="none"/>
        </w:rPr>
        <w:t>[94,100],</w:t>
      </w:r>
      <w:r>
        <w:rPr>
          <w:rFonts w:hint="eastAsia" w:ascii="宋体" w:hAnsi="宋体" w:cs="仿宋"/>
          <w:color w:val="auto"/>
          <w:sz w:val="24"/>
          <w:szCs w:val="24"/>
          <w:highlight w:val="none"/>
        </w:rPr>
        <w:t>由招标人自定）</w:t>
      </w:r>
    </w:p>
    <w:p>
      <w:pPr>
        <w:spacing w:line="360" w:lineRule="auto"/>
        <w:ind w:firstLine="600" w:firstLineChars="250"/>
        <w:rPr>
          <w:rFonts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pPr>
        <w:spacing w:line="360" w:lineRule="auto"/>
        <w:ind w:firstLine="600" w:firstLineChars="250"/>
        <w:rPr>
          <w:rFonts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pPr>
        <w:spacing w:line="360" w:lineRule="auto"/>
        <w:ind w:firstLine="600" w:firstLineChars="250"/>
        <w:rPr>
          <w:rFonts w:ascii="宋体" w:hAns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r>
        <w:rPr>
          <w:rFonts w:hint="eastAsia" w:ascii="宋体" w:hAnsi="宋体"/>
          <w:color w:val="auto"/>
          <w:sz w:val="24"/>
          <w:szCs w:val="24"/>
          <w:highlight w:val="none"/>
        </w:rPr>
        <w:t>。</w:t>
      </w:r>
    </w:p>
    <w:p>
      <w:pPr>
        <w:pBdr>
          <w:bottom w:val="single" w:color="auto" w:sz="6" w:space="1"/>
        </w:pBdr>
        <w:spacing w:line="360" w:lineRule="auto"/>
        <w:rPr>
          <w:rFonts w:ascii="宋体" w:hAnsi="宋体" w:cs="仿宋"/>
          <w:color w:val="auto"/>
          <w:sz w:val="24"/>
          <w:szCs w:val="24"/>
          <w:highlight w:val="none"/>
        </w:rPr>
      </w:pPr>
    </w:p>
    <w:p>
      <w:pP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 46.1        修改类型：修改</w:t>
      </w:r>
    </w:p>
    <w:p>
      <w:pPr>
        <w:spacing w:line="360" w:lineRule="auto"/>
        <w:ind w:firstLine="602" w:firstLineChars="250"/>
        <w:rPr>
          <w:rFonts w:ascii="宋体" w:hAnsi="宋体"/>
          <w:b/>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spacing w:line="360" w:lineRule="auto"/>
        <w:ind w:firstLine="602" w:firstLineChars="250"/>
        <w:rPr>
          <w:rFonts w:ascii="宋体" w:hAnsi="宋体"/>
          <w:color w:val="auto"/>
          <w:sz w:val="24"/>
          <w:szCs w:val="24"/>
          <w:highlight w:val="none"/>
        </w:rPr>
      </w:pPr>
      <w:r>
        <w:rPr>
          <w:rFonts w:hint="eastAsia" w:ascii="宋体" w:hAnsi="宋体"/>
          <w:b/>
          <w:color w:val="auto"/>
          <w:sz w:val="24"/>
          <w:szCs w:val="24"/>
          <w:highlight w:val="none"/>
        </w:rPr>
        <w:t>现文：</w:t>
      </w:r>
      <w:r>
        <w:rPr>
          <w:rFonts w:hint="eastAsia" w:ascii="宋体" w:hAnsi="宋体"/>
          <w:color w:val="auto"/>
          <w:sz w:val="24"/>
          <w:szCs w:val="24"/>
          <w:highlight w:val="none"/>
          <w:u w:val="single"/>
        </w:rPr>
        <w:t>46.1对通过技术标有效性审查投标人的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rPr>
          <w:rFonts w:ascii="宋体" w:hAnsi="宋体" w:cs="仿宋"/>
          <w:color w:val="auto"/>
          <w:sz w:val="24"/>
          <w:szCs w:val="24"/>
          <w:highlight w:val="none"/>
        </w:rPr>
      </w:pPr>
    </w:p>
    <w:p>
      <w:pPr>
        <w:spacing w:line="360" w:lineRule="auto"/>
        <w:ind w:firstLine="590" w:firstLineChars="245"/>
        <w:rPr>
          <w:rFonts w:ascii="宋体" w:hAnsi="宋体"/>
          <w:b/>
          <w:color w:val="auto"/>
          <w:sz w:val="24"/>
          <w:szCs w:val="24"/>
          <w:highlight w:val="none"/>
        </w:rPr>
      </w:pPr>
      <w:r>
        <w:rPr>
          <w:rFonts w:hint="eastAsia" w:ascii="宋体" w:hAnsi="宋体"/>
          <w:b/>
          <w:color w:val="auto"/>
          <w:sz w:val="24"/>
          <w:szCs w:val="24"/>
          <w:highlight w:val="none"/>
        </w:rPr>
        <w:t>条款号：47.、</w:t>
      </w:r>
      <w:r>
        <w:rPr>
          <w:rFonts w:hint="eastAsia" w:ascii="宋体" w:hAnsi="宋体" w:cs="宋体"/>
          <w:b/>
          <w:color w:val="auto"/>
          <w:kern w:val="0"/>
          <w:sz w:val="24"/>
          <w:szCs w:val="24"/>
          <w:highlight w:val="none"/>
        </w:rPr>
        <w:t>48.</w:t>
      </w:r>
      <w:r>
        <w:rPr>
          <w:rFonts w:hint="eastAsia" w:ascii="宋体" w:hAnsi="宋体"/>
          <w:b/>
          <w:color w:val="auto"/>
          <w:sz w:val="24"/>
          <w:szCs w:val="24"/>
          <w:highlight w:val="none"/>
        </w:rPr>
        <w:t xml:space="preserve">        修改类型：修改</w:t>
      </w:r>
    </w:p>
    <w:p>
      <w:pPr>
        <w:spacing w:line="360" w:lineRule="auto"/>
        <w:ind w:firstLine="595" w:firstLineChars="247"/>
        <w:rPr>
          <w:rFonts w:ascii="宋体" w:hAnsi="宋体"/>
          <w:b/>
          <w:color w:val="auto"/>
          <w:sz w:val="24"/>
          <w:szCs w:val="24"/>
          <w:highlight w:val="none"/>
        </w:rPr>
      </w:pPr>
      <w:r>
        <w:rPr>
          <w:rFonts w:hint="eastAsia" w:ascii="宋体" w:hAnsi="宋体"/>
          <w:b/>
          <w:color w:val="auto"/>
          <w:sz w:val="24"/>
          <w:szCs w:val="24"/>
          <w:highlight w:val="none"/>
        </w:rPr>
        <w:t>原文：</w:t>
      </w:r>
      <w:r>
        <w:rPr>
          <w:rFonts w:hint="eastAsia" w:ascii="宋体" w:hAnsi="宋体"/>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592" w:firstLineChars="247"/>
        <w:rPr>
          <w:rFonts w:ascii="宋体" w:hAnsi="宋体"/>
          <w:color w:val="auto"/>
          <w:sz w:val="24"/>
          <w:szCs w:val="24"/>
          <w:highlight w:val="none"/>
        </w:rPr>
      </w:pPr>
      <w:r>
        <w:rPr>
          <w:rFonts w:hint="eastAsia" w:ascii="宋体" w:hAnsi="宋体"/>
          <w:color w:val="auto"/>
          <w:sz w:val="24"/>
          <w:szCs w:val="24"/>
          <w:highlight w:val="none"/>
        </w:rPr>
        <w:t>48.评标委员会应在通过投标文件经济标有效性审查的投标人中，按步骤45.4确定的投标人第二阶段排序，推荐前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pPr>
        <w:spacing w:line="360" w:lineRule="auto"/>
        <w:ind w:firstLine="595" w:firstLineChars="247"/>
        <w:rPr>
          <w:rFonts w:ascii="宋体" w:hAnsi="宋体"/>
          <w:b/>
          <w:color w:val="auto"/>
          <w:sz w:val="24"/>
          <w:szCs w:val="24"/>
          <w:highlight w:val="none"/>
          <w:u w:val="single"/>
        </w:rPr>
      </w:pPr>
      <w:r>
        <w:rPr>
          <w:rFonts w:hint="eastAsia" w:ascii="宋体" w:hAnsi="宋体"/>
          <w:b/>
          <w:color w:val="auto"/>
          <w:sz w:val="24"/>
          <w:szCs w:val="24"/>
          <w:highlight w:val="none"/>
        </w:rPr>
        <w:t>现文：</w:t>
      </w:r>
      <w:r>
        <w:rPr>
          <w:rFonts w:hint="eastAsia" w:ascii="宋体" w:hAnsi="宋体"/>
          <w:color w:val="auto"/>
          <w:sz w:val="24"/>
          <w:szCs w:val="24"/>
          <w:highlight w:val="none"/>
          <w:u w:val="single"/>
        </w:rPr>
        <w:t>47.评标委员会按只有通过有效性审查的投标人的投标文件方可进入下一阶段有效性审查的原则，根据有效性审查结果，取消被否决投标的投标人进入定标阶段的合格中标候选人资格，其余通过全部有效性审查的投标人均可进入定标阶段。</w:t>
      </w:r>
    </w:p>
    <w:p>
      <w:pPr>
        <w:spacing w:line="360" w:lineRule="auto"/>
        <w:ind w:firstLine="592" w:firstLineChars="247"/>
        <w:rPr>
          <w:rFonts w:ascii="宋体" w:hAnsi="宋体"/>
          <w:color w:val="auto"/>
          <w:sz w:val="24"/>
          <w:szCs w:val="24"/>
          <w:highlight w:val="none"/>
          <w:u w:val="single"/>
        </w:rPr>
      </w:pPr>
      <w:r>
        <w:rPr>
          <w:rFonts w:hint="eastAsia" w:ascii="宋体" w:hAnsi="宋体"/>
          <w:color w:val="auto"/>
          <w:sz w:val="24"/>
          <w:szCs w:val="24"/>
          <w:highlight w:val="none"/>
          <w:u w:val="single"/>
        </w:rPr>
        <w:t>48.评标委员会应在通过投标文件经济标有效性审查的投标人中，确定合格中标候选人进入定标阶段【不排序，按统一社会信用代码后4位（除效验码外）大小排位】</w:t>
      </w:r>
      <w:r>
        <w:rPr>
          <w:rFonts w:hint="eastAsia" w:ascii="宋体"/>
          <w:color w:val="auto"/>
          <w:sz w:val="24"/>
          <w:szCs w:val="24"/>
          <w:highlight w:val="none"/>
          <w:u w:val="single"/>
        </w:rPr>
        <w:t>,</w:t>
      </w:r>
      <w:r>
        <w:rPr>
          <w:rFonts w:hint="eastAsia" w:ascii="宋体" w:hAnsi="宋体"/>
          <w:color w:val="auto"/>
          <w:sz w:val="24"/>
          <w:szCs w:val="24"/>
          <w:highlight w:val="none"/>
          <w:u w:val="single"/>
        </w:rPr>
        <w:t>并编制评标报告。</w:t>
      </w:r>
    </w:p>
    <w:p>
      <w:pPr>
        <w:pBdr>
          <w:bottom w:val="single" w:color="auto" w:sz="6" w:space="1"/>
        </w:pBdr>
        <w:spacing w:line="360" w:lineRule="auto"/>
        <w:rPr>
          <w:rFonts w:ascii="宋体" w:hAnsi="宋体"/>
          <w:color w:val="auto"/>
          <w:sz w:val="24"/>
          <w:szCs w:val="24"/>
          <w:highlight w:val="none"/>
        </w:rPr>
      </w:pPr>
    </w:p>
    <w:p>
      <w:pPr>
        <w:spacing w:line="360" w:lineRule="auto"/>
        <w:ind w:firstLine="590" w:firstLineChars="245"/>
        <w:rPr>
          <w:rFonts w:ascii="宋体" w:hAnsi="宋体"/>
          <w:b/>
          <w:color w:val="auto"/>
          <w:szCs w:val="21"/>
          <w:highlight w:val="none"/>
        </w:rPr>
      </w:pPr>
      <w:r>
        <w:rPr>
          <w:rFonts w:hint="eastAsia" w:ascii="宋体" w:hAnsi="宋体"/>
          <w:b/>
          <w:color w:val="auto"/>
          <w:sz w:val="24"/>
          <w:szCs w:val="24"/>
          <w:highlight w:val="none"/>
        </w:rPr>
        <w:t>条款号：</w:t>
      </w:r>
      <w:r>
        <w:rPr>
          <w:rFonts w:hint="eastAsia" w:ascii="宋体" w:hAnsi="宋体" w:cs="宋体"/>
          <w:b/>
          <w:color w:val="auto"/>
          <w:kern w:val="0"/>
          <w:sz w:val="24"/>
          <w:szCs w:val="24"/>
          <w:highlight w:val="none"/>
        </w:rPr>
        <w:t>50.</w:t>
      </w:r>
      <w:r>
        <w:rPr>
          <w:rFonts w:hint="eastAsia" w:ascii="宋体" w:hAnsi="宋体"/>
          <w:b/>
          <w:color w:val="auto"/>
          <w:sz w:val="24"/>
          <w:szCs w:val="24"/>
          <w:highlight w:val="none"/>
        </w:rPr>
        <w:t>修改类型：增加</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50、定标前期准备工作</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50.1定标前，招标人将对合格的中标候选人进行定标前的考察，考察内容包括但不限于：</w:t>
      </w:r>
    </w:p>
    <w:p>
      <w:pPr>
        <w:spacing w:line="360" w:lineRule="auto"/>
        <w:ind w:firstLine="480" w:firstLineChars="200"/>
        <w:rPr>
          <w:rFonts w:ascii="宋体" w:hAnsi="宋体"/>
          <w:bCs/>
          <w:color w:val="auto"/>
          <w:sz w:val="24"/>
          <w:szCs w:val="24"/>
          <w:highlight w:val="none"/>
          <w:u w:val="single"/>
        </w:rPr>
      </w:pPr>
      <w:r>
        <w:rPr>
          <w:rFonts w:hint="eastAsia" w:ascii="宋体" w:hAnsi="宋体"/>
          <w:bCs/>
          <w:color w:val="auto"/>
          <w:sz w:val="24"/>
          <w:szCs w:val="24"/>
          <w:highlight w:val="none"/>
          <w:u w:val="single"/>
        </w:rPr>
        <w:t>50.1.1企业组织架构、企业规模及企业资信情况；</w:t>
      </w:r>
    </w:p>
    <w:p>
      <w:pPr>
        <w:spacing w:line="360" w:lineRule="auto"/>
        <w:ind w:firstLine="480" w:firstLineChars="200"/>
        <w:rPr>
          <w:rFonts w:ascii="宋体" w:hAnsi="宋体"/>
          <w:bCs/>
          <w:color w:val="auto"/>
          <w:sz w:val="24"/>
          <w:szCs w:val="24"/>
          <w:highlight w:val="none"/>
          <w:u w:val="single"/>
        </w:rPr>
      </w:pPr>
      <w:r>
        <w:rPr>
          <w:rFonts w:hint="eastAsia" w:ascii="宋体" w:hAnsi="宋体"/>
          <w:bCs/>
          <w:color w:val="auto"/>
          <w:sz w:val="24"/>
          <w:szCs w:val="24"/>
          <w:highlight w:val="none"/>
          <w:u w:val="single"/>
        </w:rPr>
        <w:t>50.1.2企业经验及综合实力（如类似业绩、获奖）</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50.1.3项目管理团队组成人员能力等。</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50.2本项目实施时要求项目经理（即项目负责人）驻场，驻场人员必须与投</w:t>
      </w:r>
      <w:r>
        <w:rPr>
          <w:rFonts w:ascii="宋体" w:hAnsi="宋体"/>
          <w:color w:val="auto"/>
          <w:sz w:val="24"/>
          <w:szCs w:val="24"/>
          <w:highlight w:val="none"/>
          <w:u w:val="single"/>
        </w:rPr>
        <w:t>标文件</w:t>
      </w:r>
      <w:r>
        <w:rPr>
          <w:rFonts w:ascii="宋体" w:hAnsi="宋体"/>
          <w:strike/>
          <w:color w:val="auto"/>
          <w:sz w:val="24"/>
          <w:szCs w:val="24"/>
          <w:highlight w:val="none"/>
          <w:u w:val="single"/>
        </w:rPr>
        <w:t>及</w:t>
      </w:r>
      <w:r>
        <w:rPr>
          <w:rFonts w:hint="eastAsia" w:ascii="宋体" w:hAnsi="宋体"/>
          <w:strike/>
          <w:color w:val="auto"/>
          <w:sz w:val="24"/>
          <w:szCs w:val="24"/>
          <w:highlight w:val="none"/>
          <w:u w:val="single"/>
        </w:rPr>
        <w:t>述标时</w:t>
      </w:r>
      <w:r>
        <w:rPr>
          <w:rFonts w:hint="eastAsia" w:ascii="宋体" w:hAnsi="宋体"/>
          <w:color w:val="auto"/>
          <w:sz w:val="24"/>
          <w:szCs w:val="24"/>
          <w:highlight w:val="none"/>
          <w:u w:val="single"/>
        </w:rPr>
        <w:t>一致。</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50.3项目负责人、项目技术负责人必须参与述标及答辩，具体要求如下：</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50.3.1项目管理团队述标</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项目负责人、项目技术负责人参加述标；述标总时间不超</w:t>
      </w:r>
      <w:r>
        <w:rPr>
          <w:rFonts w:ascii="宋体" w:hAnsi="宋体"/>
          <w:strike/>
          <w:color w:val="auto"/>
          <w:sz w:val="24"/>
          <w:szCs w:val="24"/>
          <w:highlight w:val="none"/>
          <w:u w:val="single"/>
        </w:rPr>
        <w:t>过10</w:t>
      </w:r>
      <w:r>
        <w:rPr>
          <w:rFonts w:hint="eastAsia" w:ascii="宋体" w:hAnsi="宋体"/>
          <w:strike/>
          <w:color w:val="auto"/>
          <w:sz w:val="24"/>
          <w:szCs w:val="24"/>
          <w:highlight w:val="none"/>
          <w:u w:val="single"/>
        </w:rPr>
        <w:t>分钟。</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（1）项目负责人相关工程经验；</w:t>
      </w:r>
    </w:p>
    <w:p>
      <w:pPr>
        <w:spacing w:line="360" w:lineRule="auto"/>
        <w:ind w:firstLine="480" w:firstLineChars="200"/>
        <w:rPr>
          <w:rFonts w:ascii="宋体" w:hAnsi="宋体"/>
          <w:bCs/>
          <w:strike/>
          <w:color w:val="auto"/>
          <w:sz w:val="24"/>
          <w:szCs w:val="24"/>
          <w:highlight w:val="none"/>
          <w:u w:val="single"/>
        </w:rPr>
      </w:pPr>
      <w:r>
        <w:rPr>
          <w:rFonts w:hint="eastAsia" w:ascii="宋体" w:hAnsi="宋体"/>
          <w:strike/>
          <w:color w:val="auto"/>
          <w:sz w:val="24"/>
          <w:szCs w:val="24"/>
          <w:highlight w:val="none"/>
          <w:u w:val="single"/>
        </w:rPr>
        <w:t>（2）</w:t>
      </w:r>
      <w:r>
        <w:rPr>
          <w:rFonts w:ascii="宋体" w:hAnsi="宋体"/>
          <w:strike/>
          <w:color w:val="auto"/>
          <w:sz w:val="24"/>
          <w:szCs w:val="24"/>
          <w:highlight w:val="none"/>
          <w:u w:val="single"/>
        </w:rPr>
        <w:t>述标</w:t>
      </w:r>
      <w:r>
        <w:rPr>
          <w:rFonts w:hint="eastAsia" w:ascii="宋体" w:hAnsi="宋体"/>
          <w:strike/>
          <w:color w:val="auto"/>
          <w:sz w:val="24"/>
          <w:szCs w:val="24"/>
          <w:highlight w:val="none"/>
          <w:u w:val="single"/>
        </w:rPr>
        <w:t>要点；</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本工程专篇：本工程中施工的重点难点；</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现场协调专篇：</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1）针对本项目特点详细描述本项目内部协调相关主要重点难点。</w:t>
      </w:r>
    </w:p>
    <w:p>
      <w:pPr>
        <w:spacing w:line="360" w:lineRule="auto"/>
        <w:ind w:firstLine="480" w:firstLineChars="200"/>
        <w:rPr>
          <w:rFonts w:ascii="宋体" w:hAnsi="宋体"/>
          <w:strike/>
          <w:color w:val="auto"/>
          <w:sz w:val="24"/>
          <w:szCs w:val="24"/>
          <w:highlight w:val="none"/>
          <w:u w:val="single"/>
        </w:rPr>
      </w:pPr>
      <w:r>
        <w:rPr>
          <w:rFonts w:ascii="宋体" w:hAnsi="宋体"/>
          <w:strike/>
          <w:color w:val="auto"/>
          <w:sz w:val="24"/>
          <w:szCs w:val="24"/>
          <w:highlight w:val="none"/>
          <w:u w:val="single"/>
        </w:rPr>
        <w:t>2</w:t>
      </w:r>
      <w:r>
        <w:rPr>
          <w:rFonts w:hint="eastAsia" w:ascii="宋体" w:hAnsi="宋体"/>
          <w:strike/>
          <w:color w:val="auto"/>
          <w:sz w:val="24"/>
          <w:szCs w:val="24"/>
          <w:highlight w:val="none"/>
          <w:u w:val="single"/>
        </w:rPr>
        <w:t>）针对本项目特点详细描述本项目外部协调相关主要重点难点。</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50.3.2项目管理团队答辩</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项目负责人、项目技术负责人参加答辩，答辩总时间不多于</w:t>
      </w:r>
      <w:r>
        <w:rPr>
          <w:rFonts w:ascii="宋体" w:hAnsi="宋体"/>
          <w:strike/>
          <w:color w:val="auto"/>
          <w:sz w:val="24"/>
          <w:szCs w:val="24"/>
          <w:highlight w:val="none"/>
          <w:u w:val="single"/>
        </w:rPr>
        <w:t>5</w:t>
      </w:r>
      <w:r>
        <w:rPr>
          <w:rFonts w:hint="eastAsia" w:ascii="宋体" w:hAnsi="宋体"/>
          <w:strike/>
          <w:color w:val="auto"/>
          <w:sz w:val="24"/>
          <w:szCs w:val="24"/>
          <w:highlight w:val="none"/>
          <w:u w:val="single"/>
        </w:rPr>
        <w:t>分钟；</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答辩要求：答辩共计3～5个问题，问题由招标人在答辩前确定并提供。</w:t>
      </w:r>
    </w:p>
    <w:p>
      <w:pPr>
        <w:spacing w:line="360" w:lineRule="auto"/>
        <w:ind w:firstLine="480" w:firstLineChars="200"/>
        <w:rPr>
          <w:rFonts w:ascii="宋体" w:hAnsi="宋体"/>
          <w:b/>
          <w:strike/>
          <w:color w:val="auto"/>
          <w:sz w:val="24"/>
          <w:szCs w:val="24"/>
          <w:highlight w:val="none"/>
          <w:u w:val="single"/>
        </w:rPr>
      </w:pPr>
      <w:r>
        <w:rPr>
          <w:rFonts w:hint="eastAsia" w:ascii="宋体" w:hAnsi="宋体"/>
          <w:strike/>
          <w:color w:val="auto"/>
          <w:sz w:val="24"/>
          <w:szCs w:val="24"/>
          <w:highlight w:val="none"/>
          <w:u w:val="single"/>
        </w:rPr>
        <w:t>50.3.3述标、答辩人员如有缺席或与投标文件不符合</w:t>
      </w:r>
      <w:r>
        <w:rPr>
          <w:rFonts w:ascii="宋体" w:hAnsi="宋体"/>
          <w:strike/>
          <w:color w:val="auto"/>
          <w:sz w:val="24"/>
          <w:szCs w:val="24"/>
          <w:highlight w:val="none"/>
          <w:u w:val="single"/>
        </w:rPr>
        <w:t>，</w:t>
      </w:r>
      <w:r>
        <w:rPr>
          <w:rFonts w:hint="eastAsia" w:ascii="宋体" w:hAnsi="宋体"/>
          <w:strike/>
          <w:color w:val="auto"/>
          <w:sz w:val="24"/>
          <w:szCs w:val="24"/>
          <w:highlight w:val="none"/>
          <w:u w:val="single"/>
        </w:rPr>
        <w:t>将影响考察结果；</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50.3.4</w:t>
      </w:r>
      <w:r>
        <w:rPr>
          <w:rFonts w:ascii="宋体" w:hAnsi="宋体"/>
          <w:strike/>
          <w:color w:val="auto"/>
          <w:sz w:val="24"/>
          <w:szCs w:val="24"/>
          <w:highlight w:val="none"/>
          <w:u w:val="single"/>
        </w:rPr>
        <w:t>具体述标</w:t>
      </w:r>
      <w:r>
        <w:rPr>
          <w:rFonts w:hint="eastAsia" w:ascii="宋体" w:hAnsi="宋体"/>
          <w:strike/>
          <w:color w:val="auto"/>
          <w:sz w:val="24"/>
          <w:szCs w:val="24"/>
          <w:highlight w:val="none"/>
          <w:u w:val="single"/>
        </w:rPr>
        <w:t>时间、</w:t>
      </w:r>
      <w:r>
        <w:rPr>
          <w:rFonts w:ascii="宋体" w:hAnsi="宋体"/>
          <w:strike/>
          <w:color w:val="auto"/>
          <w:sz w:val="24"/>
          <w:szCs w:val="24"/>
          <w:highlight w:val="none"/>
          <w:u w:val="single"/>
        </w:rPr>
        <w:t>答辩时间</w:t>
      </w:r>
      <w:r>
        <w:rPr>
          <w:rFonts w:hint="eastAsia" w:ascii="宋体" w:hAnsi="宋体"/>
          <w:strike/>
          <w:color w:val="auto"/>
          <w:sz w:val="24"/>
          <w:szCs w:val="24"/>
          <w:highlight w:val="none"/>
          <w:u w:val="single"/>
        </w:rPr>
        <w:t>及地点</w:t>
      </w:r>
      <w:r>
        <w:rPr>
          <w:rFonts w:ascii="宋体" w:hAnsi="宋体"/>
          <w:strike/>
          <w:color w:val="auto"/>
          <w:sz w:val="24"/>
          <w:szCs w:val="24"/>
          <w:highlight w:val="none"/>
          <w:u w:val="single"/>
        </w:rPr>
        <w:t>以招标人</w:t>
      </w:r>
      <w:r>
        <w:rPr>
          <w:rFonts w:hint="eastAsia" w:ascii="宋体" w:hAnsi="宋体"/>
          <w:strike/>
          <w:color w:val="auto"/>
          <w:sz w:val="24"/>
          <w:szCs w:val="24"/>
          <w:highlight w:val="none"/>
          <w:u w:val="single"/>
        </w:rPr>
        <w:t>在</w:t>
      </w:r>
      <w:r>
        <w:rPr>
          <w:rFonts w:ascii="宋体" w:hAnsi="宋体"/>
          <w:strike/>
          <w:color w:val="auto"/>
          <w:sz w:val="24"/>
          <w:szCs w:val="24"/>
          <w:highlight w:val="none"/>
          <w:u w:val="single"/>
        </w:rPr>
        <w:t>中标</w:t>
      </w:r>
      <w:r>
        <w:rPr>
          <w:rFonts w:hint="eastAsia" w:ascii="宋体" w:hAnsi="宋体"/>
          <w:strike/>
          <w:color w:val="auto"/>
          <w:sz w:val="24"/>
          <w:szCs w:val="24"/>
          <w:highlight w:val="none"/>
          <w:u w:val="single"/>
        </w:rPr>
        <w:t>侯选</w:t>
      </w:r>
      <w:r>
        <w:rPr>
          <w:rFonts w:ascii="宋体" w:hAnsi="宋体"/>
          <w:strike/>
          <w:color w:val="auto"/>
          <w:sz w:val="24"/>
          <w:szCs w:val="24"/>
          <w:highlight w:val="none"/>
          <w:u w:val="single"/>
        </w:rPr>
        <w:t>人公示结束后、定标前</w:t>
      </w:r>
      <w:r>
        <w:rPr>
          <w:rFonts w:hint="eastAsia" w:ascii="宋体" w:hAnsi="宋体"/>
          <w:strike/>
          <w:color w:val="auto"/>
          <w:sz w:val="24"/>
          <w:szCs w:val="24"/>
          <w:highlight w:val="none"/>
          <w:u w:val="single"/>
        </w:rPr>
        <w:t>的</w:t>
      </w:r>
      <w:r>
        <w:rPr>
          <w:rFonts w:ascii="宋体" w:hAnsi="宋体"/>
          <w:strike/>
          <w:color w:val="auto"/>
          <w:sz w:val="24"/>
          <w:szCs w:val="24"/>
          <w:highlight w:val="none"/>
          <w:u w:val="single"/>
        </w:rPr>
        <w:t>考察通知为准</w:t>
      </w:r>
      <w:r>
        <w:rPr>
          <w:rFonts w:hint="eastAsia" w:ascii="宋体" w:hAnsi="宋体"/>
          <w:strike/>
          <w:color w:val="auto"/>
          <w:sz w:val="24"/>
          <w:szCs w:val="24"/>
          <w:highlight w:val="none"/>
          <w:u w:val="single"/>
        </w:rPr>
        <w:t>。</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50.4定标前期准备工作会议期间，招标人有权要求投标人对定标辅助文件中含义不明确、对同类问题表述不一致或者有明显文字和计算错误的内容作必要的澄清、说明或补正。澄清、说明或补正须在投标人收到招标人发出的澄清通知后半小时内，以书面形式（加盖投标人公章）答复并扫描发送招标人（书面原件须在两日内送达招标人）。澄清、说明或补正不得超出招标人要求投标人澄清的范围，并构成定标辅助文件的组成部分。招标人对投标人提交的澄清、说明或补正有疑问的，可以要求投标人进一步澄清、说明或补正，直至满足定标前期准备工作会议的要求。招标人不接受投标人主动提出的澄清、说明或补正。</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50.4.1投标报价算术复核</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50.4.1.1招标人有权对各合格的中标候选人的投标报价进行算术复核，指出其过高或过低的投标价格及其他算术计算错误，并要求投标人进行澄清或承诺。</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50.4.1.2投标人投标清单中消防水及喷淋管材、镀锌通风风管的清单项目单价，有一项或多项单价偏离市场价过大时，则招标人有权对该投标人的考察做出不利评审判断。</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50.5定标前期准备工作会议出具的考察报告作为定标委员会在定标时的参考材料。</w:t>
      </w:r>
    </w:p>
    <w:p>
      <w:pPr>
        <w:pBdr>
          <w:bottom w:val="single" w:color="auto" w:sz="6" w:space="1"/>
        </w:pBdr>
        <w:spacing w:line="360" w:lineRule="auto"/>
        <w:ind w:firstLine="470" w:firstLineChars="196"/>
        <w:rPr>
          <w:rFonts w:ascii="宋体" w:hAnsi="宋体" w:cs="仿宋"/>
          <w:color w:val="auto"/>
          <w:sz w:val="24"/>
          <w:szCs w:val="24"/>
          <w:highlight w:val="none"/>
        </w:rPr>
      </w:pPr>
    </w:p>
    <w:p>
      <w:pPr>
        <w:spacing w:line="360" w:lineRule="auto"/>
        <w:ind w:firstLine="590" w:firstLineChars="245"/>
        <w:rPr>
          <w:rFonts w:ascii="宋体" w:hAnsi="宋体"/>
          <w:b/>
          <w:color w:val="auto"/>
          <w:szCs w:val="21"/>
          <w:highlight w:val="none"/>
        </w:rPr>
      </w:pPr>
      <w:r>
        <w:rPr>
          <w:rFonts w:hint="eastAsia" w:ascii="宋体" w:hAnsi="宋体"/>
          <w:b/>
          <w:color w:val="auto"/>
          <w:sz w:val="24"/>
          <w:szCs w:val="24"/>
          <w:highlight w:val="none"/>
        </w:rPr>
        <w:t>条款号：</w:t>
      </w:r>
      <w:r>
        <w:rPr>
          <w:rFonts w:hint="eastAsia" w:ascii="宋体" w:hAnsi="宋体" w:cs="宋体"/>
          <w:b/>
          <w:color w:val="auto"/>
          <w:kern w:val="0"/>
          <w:sz w:val="24"/>
          <w:szCs w:val="24"/>
          <w:highlight w:val="none"/>
        </w:rPr>
        <w:t>51.</w:t>
      </w:r>
      <w:r>
        <w:rPr>
          <w:rFonts w:hint="eastAsia" w:ascii="宋体" w:hAnsi="宋体"/>
          <w:b/>
          <w:color w:val="auto"/>
          <w:sz w:val="24"/>
          <w:szCs w:val="24"/>
          <w:highlight w:val="none"/>
        </w:rPr>
        <w:t>修改类型：增加</w:t>
      </w:r>
    </w:p>
    <w:p>
      <w:pPr>
        <w:spacing w:line="360" w:lineRule="auto"/>
        <w:ind w:firstLine="482" w:firstLineChars="200"/>
        <w:rPr>
          <w:rFonts w:ascii="宋体" w:hAnsi="宋体"/>
          <w:color w:val="auto"/>
          <w:sz w:val="24"/>
          <w:szCs w:val="24"/>
          <w:highlight w:val="none"/>
          <w:u w:val="single"/>
        </w:rPr>
      </w:pPr>
      <w:r>
        <w:rPr>
          <w:rFonts w:hint="eastAsia" w:ascii="宋体" w:hAnsi="宋体"/>
          <w:b/>
          <w:color w:val="auto"/>
          <w:sz w:val="24"/>
          <w:szCs w:val="24"/>
          <w:highlight w:val="none"/>
        </w:rPr>
        <w:t>现文：</w:t>
      </w:r>
      <w:r>
        <w:rPr>
          <w:rFonts w:hint="eastAsia" w:ascii="宋体" w:hAnsi="宋体"/>
          <w:color w:val="auto"/>
          <w:sz w:val="24"/>
          <w:szCs w:val="24"/>
          <w:highlight w:val="none"/>
          <w:u w:val="single"/>
        </w:rPr>
        <w:t>51.定标</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中标候选人公示结束后，招标人按以下规定组建定标委员会，在评标委员会推荐的合格中标候选人确定中标人：</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（1）定标由招标人依法组建的定标委员会负责，成员数量为5人或以上单数，定标委员会成员不得参与定标前期准备工作。</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（2）招标人应当组建监督小组对定标过程进行见证监督。</w:t>
      </w:r>
    </w:p>
    <w:p>
      <w:pPr>
        <w:spacing w:line="360" w:lineRule="auto"/>
        <w:ind w:firstLine="480" w:firstLineChars="200"/>
        <w:rPr>
          <w:rFonts w:ascii="宋体" w:hAnsi="宋体"/>
          <w:bCs/>
          <w:color w:val="auto"/>
          <w:sz w:val="24"/>
          <w:szCs w:val="24"/>
          <w:highlight w:val="none"/>
          <w:u w:val="single"/>
        </w:rPr>
      </w:pPr>
      <w:r>
        <w:rPr>
          <w:rFonts w:hint="eastAsia" w:ascii="宋体" w:hAnsi="宋体"/>
          <w:bCs/>
          <w:color w:val="auto"/>
          <w:sz w:val="24"/>
          <w:szCs w:val="24"/>
          <w:highlight w:val="none"/>
          <w:u w:val="single"/>
        </w:rPr>
        <w:t>51.1 定标时间和地点</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招标人在合格的中标候选人公示结束后10个工作日内在广州公共资源交易中心举行定标会议，招标人按规定程序在广州公共资源交易中心约定的时间和地点完成定标工作。</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 定标规则</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本项目采用</w:t>
      </w:r>
      <w:r>
        <w:rPr>
          <w:rFonts w:hint="eastAsia" w:ascii="宋体" w:hAnsi="宋体"/>
          <w:color w:val="auto"/>
          <w:sz w:val="24"/>
          <w:szCs w:val="24"/>
          <w:highlight w:val="none"/>
          <w:u w:val="single"/>
        </w:rPr>
        <w:t>“记名投票+撰写评语”</w:t>
      </w:r>
      <w:r>
        <w:rPr>
          <w:rFonts w:hint="eastAsia" w:ascii="宋体" w:hAnsi="宋体"/>
          <w:color w:val="auto"/>
          <w:sz w:val="24"/>
          <w:szCs w:val="24"/>
          <w:highlight w:val="none"/>
        </w:rPr>
        <w:t>定标方法,定标方法如下：</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51.2.1 定标程序</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51.2.1.1定标工作开始后，发放选票，由定标委员会参考定标因素进行记名投票，定标委员会应推荐一人为定标委员会组长，主持当次定标会议。</w:t>
      </w:r>
    </w:p>
    <w:p>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51.2.1.2定标辅助资料为评标阶段的评标报告、投标人提交的投标文件与定标辅助文件。</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51.2.1.3定标委员会根据定标辅助资料，在同等条件下，定标因素的相对标准按以下几个方面进行：</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（1）投标人的企业规模及综合实力；</w:t>
      </w:r>
    </w:p>
    <w:p>
      <w:pPr>
        <w:spacing w:line="440" w:lineRule="exact"/>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（2）投标人拟派项目管理团队成员情况；</w:t>
      </w:r>
    </w:p>
    <w:p>
      <w:pPr>
        <w:spacing w:line="440" w:lineRule="exact"/>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（3）施工方案；</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（4）投标价格；</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（5）其他招标人认为需考察的因素。</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51.2.1.4投票规则：定标委员会根据定标因素对各合格的中标</w:t>
      </w:r>
      <w:r>
        <w:rPr>
          <w:rFonts w:ascii="宋体" w:hAnsi="宋体"/>
          <w:color w:val="auto"/>
          <w:sz w:val="24"/>
          <w:szCs w:val="24"/>
          <w:highlight w:val="none"/>
          <w:u w:val="single"/>
        </w:rPr>
        <w:t>侯选人</w:t>
      </w:r>
      <w:r>
        <w:rPr>
          <w:rFonts w:hint="eastAsia" w:ascii="宋体" w:hAnsi="宋体"/>
          <w:color w:val="auto"/>
          <w:sz w:val="24"/>
          <w:szCs w:val="24"/>
          <w:highlight w:val="none"/>
          <w:u w:val="single"/>
        </w:rPr>
        <w:t>进行综合比较后，进行一次性票决，每位定标委员会成员只有1票表决权（即只能对其中一家合格的中</w:t>
      </w:r>
      <w:r>
        <w:rPr>
          <w:rFonts w:ascii="宋体" w:hAnsi="宋体"/>
          <w:color w:val="auto"/>
          <w:sz w:val="24"/>
          <w:szCs w:val="24"/>
          <w:highlight w:val="none"/>
          <w:u w:val="single"/>
        </w:rPr>
        <w:t>标侯选</w:t>
      </w:r>
      <w:r>
        <w:rPr>
          <w:rFonts w:hint="eastAsia" w:ascii="宋体" w:hAnsi="宋体"/>
          <w:color w:val="auto"/>
          <w:sz w:val="24"/>
          <w:szCs w:val="24"/>
          <w:highlight w:val="none"/>
          <w:u w:val="single"/>
        </w:rPr>
        <w:t>人投票），得票数最多者为中标人；若出现票数相同且无法决出中标人时，票数相同的再进行一次性票决；若再次票决出现票数相同且无法决出中标人时，以投标报价低者为中标人；如仍存在相同情况，则对具有相同情况的投标人，由定标委员会采用随机抽取方式确定中标人。</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51.2.1.5定标委员会中的各定标委员应独立投票，可以弃权，当弃权票数达到定标委员会人数50%或以上时，本次定标会无效，招标人重新组建定标委员会或重新招标。</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51.2.2定标委员会根据选票情况确定中标人。</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51.2.3编写定标报告，定标委员会全体确认后签署定标报告。</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51.2.4招标人（招标代理）与中标人签订合同或办理施工许可前，如发现中标人委派的项目负责人、</w:t>
      </w:r>
      <w:r>
        <w:rPr>
          <w:rFonts w:ascii="宋体" w:hAnsi="宋体"/>
          <w:color w:val="auto"/>
          <w:sz w:val="24"/>
          <w:szCs w:val="24"/>
          <w:highlight w:val="none"/>
          <w:u w:val="single"/>
        </w:rPr>
        <w:t>安全员</w:t>
      </w:r>
      <w:r>
        <w:rPr>
          <w:rFonts w:hint="eastAsia" w:ascii="宋体" w:hAnsi="宋体"/>
          <w:color w:val="auto"/>
          <w:sz w:val="24"/>
          <w:szCs w:val="24"/>
          <w:highlight w:val="none"/>
          <w:u w:val="single"/>
        </w:rPr>
        <w:t>已在其他在建项目中任职、不符合任职数量，则招标人有权取消其中标人资格或解除合同，从其他合格的中标候选人中采用原定标办法，由原定标委员会确定中标人，招标人也可以重新招标。</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51.2.5因质疑或投诉生效，需要重新评标或定标的，评标、定标信息（含业绩、奖项等）仍以投标截止时投标人的信息为准。因特殊原因需要延长投标有效期，投标人拒绝延长投标有效期的，仍参与评标、定标，但不被推荐为中标候选人。</w:t>
      </w:r>
    </w:p>
    <w:p>
      <w:pPr>
        <w:pBdr>
          <w:bottom w:val="single" w:color="auto" w:sz="6" w:space="1"/>
        </w:pBdr>
        <w:spacing w:line="360" w:lineRule="auto"/>
        <w:rPr>
          <w:rFonts w:ascii="宋体" w:hAnsi="宋体"/>
          <w:color w:val="auto"/>
          <w:sz w:val="24"/>
          <w:szCs w:val="24"/>
          <w:highlight w:val="none"/>
        </w:rPr>
      </w:pPr>
    </w:p>
    <w:p>
      <w:pPr>
        <w:pBdr>
          <w:bottom w:val="single" w:color="auto" w:sz="4" w:space="1"/>
        </w:pBd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条款号：评标办法                                       修改类型：删除</w:t>
      </w:r>
    </w:p>
    <w:p>
      <w:pPr>
        <w:pBdr>
          <w:bottom w:val="single" w:color="auto" w:sz="4" w:space="1"/>
        </w:pBd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原文：</w:t>
      </w:r>
      <w:bookmarkStart w:id="16" w:name="_Toc420050320"/>
      <w:r>
        <w:rPr>
          <w:rFonts w:hint="eastAsia" w:ascii="宋体" w:hAnsi="宋体"/>
          <w:color w:val="auto"/>
          <w:highlight w:val="none"/>
        </w:rPr>
        <w:t>可选办法一（适合</w:t>
      </w:r>
      <w:r>
        <w:rPr>
          <w:rFonts w:hint="eastAsia" w:ascii="宋体" w:hAnsi="宋体" w:cs="宋体"/>
          <w:color w:val="auto"/>
          <w:kern w:val="0"/>
          <w:highlight w:val="none"/>
        </w:rPr>
        <w:t>综合评分法一</w:t>
      </w:r>
      <w:r>
        <w:rPr>
          <w:rFonts w:hint="eastAsia" w:ascii="宋体" w:hAnsi="宋体"/>
          <w:color w:val="auto"/>
          <w:highlight w:val="none"/>
        </w:rPr>
        <w:t>，技术标与经济标先后分别开启）</w:t>
      </w:r>
      <w:bookmarkEnd w:id="16"/>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条款号：评标办法                                       修改类型：删除</w:t>
      </w:r>
    </w:p>
    <w:p>
      <w:pPr>
        <w:pBdr>
          <w:bottom w:val="single" w:color="auto" w:sz="4" w:space="1"/>
        </w:pBdr>
        <w:spacing w:line="360" w:lineRule="auto"/>
        <w:ind w:firstLine="472" w:firstLineChars="224"/>
        <w:rPr>
          <w:rFonts w:ascii="宋体" w:hAnsi="宋体"/>
          <w:color w:val="auto"/>
          <w:highlight w:val="none"/>
        </w:rPr>
      </w:pPr>
      <w:r>
        <w:rPr>
          <w:rFonts w:hint="eastAsia" w:ascii="宋体" w:hAnsi="宋体"/>
          <w:b/>
          <w:color w:val="auto"/>
          <w:szCs w:val="21"/>
          <w:highlight w:val="none"/>
        </w:rPr>
        <w:t>原文：</w:t>
      </w:r>
      <w:r>
        <w:rPr>
          <w:rFonts w:hint="eastAsia" w:ascii="宋体" w:hAnsi="宋体"/>
          <w:color w:val="auto"/>
          <w:highlight w:val="none"/>
        </w:rPr>
        <w:t>可选办法二（适合综合评分法一，技术标与经济标同时开启）</w:t>
      </w:r>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条款号：评标办法                                       修改类型：删除</w:t>
      </w:r>
    </w:p>
    <w:p>
      <w:pPr>
        <w:pBdr>
          <w:bottom w:val="single" w:color="auto" w:sz="4" w:space="1"/>
        </w:pBd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highlight w:val="none"/>
        </w:rPr>
        <w:t>可选办法三（适合综合评分法二，技术标与经济标先后分别开启）</w:t>
      </w:r>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条款号：评标办法                                       修改类型：删除</w:t>
      </w:r>
    </w:p>
    <w:p>
      <w:pPr>
        <w:pBdr>
          <w:bottom w:val="single" w:color="auto" w:sz="4" w:space="1"/>
        </w:pBd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原文：</w:t>
      </w:r>
      <w:bookmarkStart w:id="17" w:name="_Toc420050322"/>
      <w:bookmarkStart w:id="18" w:name="_Toc416358012"/>
      <w:r>
        <w:rPr>
          <w:rFonts w:hint="eastAsia" w:ascii="宋体" w:hAnsi="宋体"/>
          <w:color w:val="auto"/>
          <w:highlight w:val="none"/>
        </w:rPr>
        <w:t>可选办法四（适合综合评分法二，技术标与经济标同时开启）</w:t>
      </w:r>
      <w:bookmarkEnd w:id="17"/>
      <w:bookmarkEnd w:id="18"/>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条款号：评标办法                                       修改类型：删除</w:t>
      </w:r>
    </w:p>
    <w:p>
      <w:pPr>
        <w:pBdr>
          <w:bottom w:val="single" w:color="auto" w:sz="4" w:space="1"/>
        </w:pBd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highlight w:val="none"/>
        </w:rPr>
        <w:t>可选办法五（适合综合评分法三，技术标与经济标先后分别开启）</w:t>
      </w:r>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条款号：评标办法                                       修改类型：删除</w:t>
      </w:r>
    </w:p>
    <w:p>
      <w:pPr>
        <w:pBdr>
          <w:bottom w:val="single" w:color="auto" w:sz="4" w:space="1"/>
        </w:pBd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原文：</w:t>
      </w:r>
      <w:bookmarkStart w:id="19" w:name="_Toc420050324"/>
      <w:bookmarkStart w:id="20" w:name="_Toc416358016"/>
      <w:r>
        <w:rPr>
          <w:rFonts w:hint="eastAsia" w:ascii="宋体" w:hAnsi="宋体"/>
          <w:color w:val="auto"/>
          <w:highlight w:val="none"/>
        </w:rPr>
        <w:t>可选办法六（适合综合评分法三，技术标与经济标同时开启）</w:t>
      </w:r>
      <w:bookmarkEnd w:id="19"/>
      <w:bookmarkEnd w:id="20"/>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条款号：评标办法                                       修改类型：删除</w:t>
      </w:r>
    </w:p>
    <w:p>
      <w:pPr>
        <w:pBdr>
          <w:bottom w:val="single" w:color="auto" w:sz="6" w:space="1"/>
        </w:pBdr>
        <w:spacing w:line="360" w:lineRule="auto"/>
        <w:ind w:firstLine="472" w:firstLineChars="224"/>
        <w:rPr>
          <w:rFonts w:ascii="宋体" w:hAnsi="宋体"/>
          <w:color w:val="auto"/>
          <w:sz w:val="24"/>
          <w:szCs w:val="24"/>
          <w:highlight w:val="none"/>
        </w:rPr>
      </w:pPr>
      <w:r>
        <w:rPr>
          <w:rFonts w:hint="eastAsia" w:ascii="宋体" w:hAnsi="宋体"/>
          <w:b/>
          <w:color w:val="auto"/>
          <w:szCs w:val="21"/>
          <w:highlight w:val="none"/>
        </w:rPr>
        <w:t>原文：</w:t>
      </w:r>
      <w:r>
        <w:rPr>
          <w:rFonts w:hint="eastAsia" w:ascii="宋体" w:hAnsi="宋体"/>
          <w:color w:val="auto"/>
          <w:highlight w:val="none"/>
        </w:rPr>
        <w:t>可选办法七（适合综合评分法四，技术标与经济标同时开启）</w:t>
      </w:r>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条款号：评标办法                                       修改类型：删除</w:t>
      </w:r>
    </w:p>
    <w:p>
      <w:pPr>
        <w:pBdr>
          <w:bottom w:val="single" w:color="auto" w:sz="6" w:space="1"/>
        </w:pBdr>
        <w:spacing w:line="360" w:lineRule="auto"/>
        <w:ind w:firstLine="472" w:firstLineChars="224"/>
        <w:rPr>
          <w:rFonts w:ascii="宋体" w:hAnsi="宋体"/>
          <w:color w:val="auto"/>
          <w:sz w:val="24"/>
          <w:szCs w:val="24"/>
          <w:highlight w:val="none"/>
        </w:rPr>
      </w:pPr>
      <w:r>
        <w:rPr>
          <w:rFonts w:hint="eastAsia" w:ascii="宋体" w:hAnsi="宋体"/>
          <w:b/>
          <w:color w:val="auto"/>
          <w:szCs w:val="21"/>
          <w:highlight w:val="none"/>
        </w:rPr>
        <w:t>原文：</w:t>
      </w:r>
      <w:r>
        <w:rPr>
          <w:rFonts w:hint="eastAsia" w:ascii="宋体" w:hAnsi="宋体"/>
          <w:color w:val="auto"/>
          <w:highlight w:val="none"/>
        </w:rPr>
        <w:t>可选办法八（适合经评审的最低投标价法，技术标与经济标同时开启）</w:t>
      </w:r>
    </w:p>
    <w:p>
      <w:pPr>
        <w:spacing w:line="360" w:lineRule="auto"/>
        <w:ind w:firstLine="103" w:firstLineChars="49"/>
        <w:rPr>
          <w:rFonts w:ascii="宋体" w:hAnsi="宋体"/>
          <w:b/>
          <w:color w:val="auto"/>
          <w:szCs w:val="21"/>
          <w:highlight w:val="none"/>
        </w:rPr>
      </w:pPr>
    </w:p>
    <w:p>
      <w:pPr>
        <w:spacing w:line="360" w:lineRule="auto"/>
        <w:ind w:firstLine="103" w:firstLineChars="49"/>
        <w:rPr>
          <w:rFonts w:ascii="宋体" w:hAnsi="宋体"/>
          <w:b/>
          <w:color w:val="auto"/>
          <w:szCs w:val="21"/>
          <w:highlight w:val="none"/>
        </w:rPr>
      </w:pPr>
      <w:r>
        <w:rPr>
          <w:rFonts w:hint="eastAsia" w:ascii="宋体" w:hAnsi="宋体"/>
          <w:b/>
          <w:color w:val="auto"/>
          <w:szCs w:val="21"/>
          <w:highlight w:val="none"/>
        </w:rPr>
        <w:t>注：以上修改，仅限于本范本中有可供选择条款的情形。</w:t>
      </w:r>
    </w:p>
    <w:p>
      <w:pPr>
        <w:spacing w:line="360" w:lineRule="auto"/>
        <w:rPr>
          <w:rFonts w:ascii="宋体" w:hAnsi="宋体"/>
          <w:color w:val="auto"/>
          <w:highlight w:val="none"/>
        </w:rPr>
      </w:pPr>
      <w:r>
        <w:rPr>
          <w:rFonts w:hint="eastAsia" w:ascii="宋体" w:hAnsi="宋体"/>
          <w:b/>
          <w:color w:val="auto"/>
          <w:szCs w:val="21"/>
          <w:highlight w:val="none"/>
        </w:rPr>
        <w:t>（以下无正文）</w:t>
      </w: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pStyle w:val="8"/>
        <w:ind w:firstLine="0"/>
        <w:rPr>
          <w:color w:val="auto"/>
          <w:highlight w:val="none"/>
        </w:rPr>
      </w:pPr>
    </w:p>
    <w:p>
      <w:pPr>
        <w:pStyle w:val="7"/>
        <w:rPr>
          <w:color w:val="auto"/>
          <w:szCs w:val="30"/>
          <w:highlight w:val="none"/>
        </w:rPr>
      </w:pPr>
      <w:r>
        <w:rPr>
          <w:color w:val="auto"/>
          <w:highlight w:val="none"/>
        </w:rPr>
        <w:br w:type="page"/>
      </w:r>
      <w:bookmarkStart w:id="21" w:name="_Toc80289070"/>
      <w:r>
        <w:rPr>
          <w:rFonts w:hint="eastAsia"/>
          <w:color w:val="auto"/>
          <w:highlight w:val="none"/>
        </w:rPr>
        <w:t>二、开标、评标及定标办法</w:t>
      </w:r>
      <w:r>
        <w:rPr>
          <w:rFonts w:hint="eastAsia"/>
          <w:color w:val="auto"/>
          <w:szCs w:val="30"/>
          <w:highlight w:val="none"/>
        </w:rPr>
        <w:t>通用条款</w:t>
      </w:r>
      <w:bookmarkEnd w:id="21"/>
    </w:p>
    <w:p>
      <w:pPr>
        <w:pStyle w:val="9"/>
        <w:spacing w:before="156" w:after="156"/>
        <w:ind w:firstLine="540" w:firstLineChars="200"/>
        <w:rPr>
          <w:color w:val="auto"/>
          <w:highlight w:val="none"/>
        </w:rPr>
      </w:pPr>
      <w:bookmarkStart w:id="22" w:name="_Toc80289071"/>
      <w:bookmarkStart w:id="23" w:name="_Toc2272557"/>
      <w:r>
        <w:rPr>
          <w:rFonts w:hint="eastAsia"/>
          <w:color w:val="auto"/>
          <w:highlight w:val="none"/>
        </w:rPr>
        <w:t>（一）总则</w:t>
      </w:r>
      <w:bookmarkEnd w:id="22"/>
      <w:bookmarkEnd w:id="23"/>
    </w:p>
    <w:p>
      <w:pPr>
        <w:spacing w:line="360" w:lineRule="auto"/>
        <w:ind w:firstLine="480" w:firstLineChars="200"/>
        <w:rPr>
          <w:rFonts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《广东省加强建设工程招标投标监督管理的若干规定》（粤发[2004]4号）；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8《广州市工程建设项目招标投标管理办法》（穗府办规〔2017〕5号）。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35.9本项目招标文件。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35.10本项目采用评定分离定标办法，其中：评标采用通过制评标办法，定标采用“记名投票+撰写评语”的方式择优确定中标人。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36.1</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olor w:val="auto"/>
          <w:sz w:val="24"/>
          <w:szCs w:val="24"/>
          <w:highlight w:val="none"/>
          <w:u w:val="single"/>
        </w:rPr>
        <w:t>若投标人不参加开标会的，其投标文件在开标现场的其</w:t>
      </w:r>
      <w:r>
        <w:rPr>
          <w:rFonts w:ascii="宋体" w:hAnsi="宋体"/>
          <w:color w:val="auto"/>
          <w:sz w:val="24"/>
          <w:szCs w:val="24"/>
          <w:highlight w:val="none"/>
          <w:u w:val="single"/>
        </w:rPr>
        <w:t>它</w:t>
      </w:r>
      <w:r>
        <w:rPr>
          <w:rFonts w:hint="eastAsia" w:ascii="宋体" w:hAnsi="宋体"/>
          <w:color w:val="auto"/>
          <w:sz w:val="24"/>
          <w:szCs w:val="24"/>
          <w:highlight w:val="none"/>
          <w:u w:val="single"/>
        </w:rPr>
        <w:t>投标人或招标人代表、招标代理机构代表及交易中心代表见证下公开开启、解密、公布，并视同该投标人认可开标结果</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rFonts w:ascii="宋体" w:hAnsi="宋体"/>
          <w:dstrike/>
          <w:color w:val="auto"/>
          <w:sz w:val="24"/>
          <w:szCs w:val="24"/>
          <w:highlight w:val="none"/>
        </w:rPr>
      </w:pPr>
      <w:r>
        <w:rPr>
          <w:rFonts w:hint="eastAsia" w:ascii="宋体" w:hAnsi="宋体"/>
          <w:dstrike/>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36.5.1在投标截止时间后半小时内，投标人通过</w:t>
      </w:r>
      <w:r>
        <w:rPr>
          <w:rFonts w:hint="eastAsia" w:ascii="宋体" w:hAnsi="宋体"/>
          <w:color w:val="auto"/>
          <w:sz w:val="24"/>
          <w:szCs w:val="24"/>
          <w:highlight w:val="none"/>
          <w:u w:val="single"/>
        </w:rPr>
        <w:t>广州</w:t>
      </w:r>
      <w:r>
        <w:rPr>
          <w:rFonts w:ascii="宋体" w:hAnsi="宋体"/>
          <w:color w:val="auto"/>
          <w:sz w:val="24"/>
          <w:szCs w:val="24"/>
          <w:highlight w:val="none"/>
          <w:u w:val="single"/>
        </w:rPr>
        <w:t>公共资源交易中</w:t>
      </w:r>
      <w:r>
        <w:rPr>
          <w:rFonts w:hint="eastAsia" w:ascii="宋体" w:hAnsi="宋体"/>
          <w:color w:val="auto"/>
          <w:sz w:val="24"/>
          <w:szCs w:val="24"/>
          <w:highlight w:val="none"/>
        </w:rPr>
        <w:t>交易平台</w:t>
      </w:r>
      <w:r>
        <w:rPr>
          <w:rFonts w:hint="eastAsia" w:ascii="宋体" w:hAnsi="宋体"/>
          <w:color w:val="auto"/>
          <w:sz w:val="24"/>
          <w:highlight w:val="none"/>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36.5.2备用U盘的读取按投标须知前附表第</w:t>
      </w:r>
      <w:r>
        <w:rPr>
          <w:rFonts w:hint="eastAsia" w:ascii="宋体" w:hAnsi="宋体"/>
          <w:color w:val="auto"/>
          <w:sz w:val="24"/>
          <w:highlight w:val="none"/>
          <w:u w:val="single"/>
        </w:rPr>
        <w:t>37项</w:t>
      </w:r>
      <w:r>
        <w:rPr>
          <w:rFonts w:hint="eastAsia" w:ascii="宋体" w:hAnsi="宋体"/>
          <w:color w:val="auto"/>
          <w:sz w:val="24"/>
          <w:highlight w:val="none"/>
        </w:rPr>
        <w:t>的规定执行；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36.5.4开标结束。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U盘的，视为投标人撤回投标文件。因投标人原因造成投标文件未解密或未在规定的时间内解密的，视为撤销其投标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w:t>
      </w:r>
      <w:r>
        <w:rPr>
          <w:rFonts w:hint="eastAsia" w:ascii="宋体" w:hAnsi="宋体"/>
          <w:color w:val="auto"/>
          <w:sz w:val="24"/>
          <w:szCs w:val="24"/>
          <w:highlight w:val="none"/>
        </w:rPr>
        <w:t>评标委员会的职责及守则：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37.2.2</w:t>
      </w:r>
      <w:r>
        <w:rPr>
          <w:rFonts w:hint="eastAsia" w:ascii="宋体" w:hAnsi="宋体"/>
          <w:color w:val="auto"/>
          <w:sz w:val="24"/>
          <w:szCs w:val="24"/>
          <w:highlight w:val="none"/>
        </w:rPr>
        <w:t>向招标人推荐</w:t>
      </w:r>
      <w:r>
        <w:rPr>
          <w:rFonts w:hint="eastAsia" w:ascii="宋体" w:hAnsi="宋体"/>
          <w:color w:val="auto"/>
          <w:sz w:val="24"/>
          <w:szCs w:val="24"/>
          <w:highlight w:val="none"/>
          <w:u w:val="single"/>
        </w:rPr>
        <w:t>进入定标阶段的合格中标</w:t>
      </w:r>
      <w:r>
        <w:rPr>
          <w:rFonts w:hint="eastAsia" w:ascii="宋体" w:hAnsi="宋体"/>
          <w:color w:val="auto"/>
          <w:sz w:val="24"/>
          <w:szCs w:val="24"/>
          <w:highlight w:val="none"/>
        </w:rPr>
        <w:t>候选人</w:t>
      </w:r>
      <w:r>
        <w:rPr>
          <w:rFonts w:hint="eastAsia" w:ascii="宋体" w:hAnsi="宋体"/>
          <w:color w:val="auto"/>
          <w:sz w:val="24"/>
          <w:highlight w:val="none"/>
          <w:u w:val="single"/>
        </w:rPr>
        <w:t>【不排序，按统一社会信用代码后4位（除效验码外）大小排位】</w:t>
      </w:r>
      <w:r>
        <w:rPr>
          <w:rFonts w:hint="eastAsia" w:ascii="宋体" w:hAnsi="宋体"/>
          <w:color w:val="auto"/>
          <w:sz w:val="24"/>
          <w:szCs w:val="24"/>
          <w:highlight w:val="none"/>
        </w:rPr>
        <w:t>，并递交资格审查报告和评标报告。</w:t>
      </w:r>
    </w:p>
    <w:p>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37.2.3</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37.2.4</w:t>
      </w:r>
      <w:r>
        <w:rPr>
          <w:rFonts w:hint="eastAsia" w:ascii="宋体" w:hAnsi="宋体"/>
          <w:color w:val="auto"/>
          <w:sz w:val="24"/>
          <w:szCs w:val="24"/>
          <w:highlight w:val="none"/>
        </w:rPr>
        <w:t>全体参与评标人员：</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37.2.4.1 </w:t>
      </w:r>
      <w:r>
        <w:rPr>
          <w:rFonts w:hint="eastAsia" w:ascii="宋体" w:hAnsi="宋体"/>
          <w:color w:val="auto"/>
          <w:sz w:val="24"/>
          <w:szCs w:val="24"/>
          <w:highlight w:val="none"/>
        </w:rPr>
        <w:t>必须遵守评标纪律、不得泄密；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37.2.4.2 </w:t>
      </w:r>
      <w:r>
        <w:rPr>
          <w:rFonts w:hint="eastAsia" w:ascii="宋体" w:hAnsi="宋体"/>
          <w:color w:val="auto"/>
          <w:sz w:val="24"/>
          <w:szCs w:val="24"/>
          <w:highlight w:val="none"/>
        </w:rPr>
        <w:t>必须公正、不得循私；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37.2.4.3 </w:t>
      </w:r>
      <w:r>
        <w:rPr>
          <w:rFonts w:hint="eastAsia" w:ascii="宋体" w:hAnsi="宋体"/>
          <w:color w:val="auto"/>
          <w:sz w:val="24"/>
          <w:szCs w:val="24"/>
          <w:highlight w:val="none"/>
        </w:rPr>
        <w:t>必须科学、不得草率；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37.2.4.4 </w:t>
      </w:r>
      <w:r>
        <w:rPr>
          <w:rFonts w:hint="eastAsia" w:ascii="宋体" w:hAnsi="宋体"/>
          <w:color w:val="auto"/>
          <w:sz w:val="24"/>
          <w:szCs w:val="24"/>
          <w:highlight w:val="none"/>
        </w:rPr>
        <w:t>必须客观、不得带有成见；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37.2.4.5 </w:t>
      </w:r>
      <w:r>
        <w:rPr>
          <w:rFonts w:hint="eastAsia" w:ascii="宋体" w:hAnsi="宋体"/>
          <w:color w:val="auto"/>
          <w:sz w:val="24"/>
          <w:szCs w:val="24"/>
          <w:highlight w:val="none"/>
        </w:rPr>
        <w:t>必须平等、不得强加于人；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37.2.4.6 </w:t>
      </w:r>
      <w:r>
        <w:rPr>
          <w:rFonts w:hint="eastAsia" w:ascii="宋体" w:hAnsi="宋体"/>
          <w:color w:val="auto"/>
          <w:sz w:val="24"/>
          <w:szCs w:val="24"/>
          <w:highlight w:val="none"/>
        </w:rPr>
        <w:t>必须严谨、不得随意马虎。</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37.3 </w:t>
      </w:r>
      <w:r>
        <w:rPr>
          <w:rFonts w:hint="eastAsia" w:ascii="宋体" w:hAnsi="宋体"/>
          <w:color w:val="auto"/>
          <w:sz w:val="24"/>
          <w:szCs w:val="24"/>
          <w:highlight w:val="none"/>
        </w:rPr>
        <w:t>评标结束后，评标委员会递交评标报告并依法推荐</w:t>
      </w:r>
      <w:r>
        <w:rPr>
          <w:rFonts w:hint="eastAsia" w:ascii="宋体" w:hAnsi="宋体"/>
          <w:color w:val="auto"/>
          <w:sz w:val="24"/>
          <w:szCs w:val="24"/>
          <w:highlight w:val="none"/>
          <w:u w:val="single"/>
        </w:rPr>
        <w:t>进入定标阶段的合格中标</w:t>
      </w:r>
      <w:r>
        <w:rPr>
          <w:rFonts w:hint="eastAsia" w:ascii="宋体" w:hAnsi="宋体"/>
          <w:color w:val="auto"/>
          <w:sz w:val="24"/>
          <w:szCs w:val="24"/>
          <w:highlight w:val="none"/>
        </w:rPr>
        <w:t>候选人</w:t>
      </w:r>
      <w:r>
        <w:rPr>
          <w:rFonts w:hint="eastAsia" w:ascii="宋体" w:hAnsi="宋体"/>
          <w:color w:val="auto"/>
          <w:sz w:val="24"/>
          <w:highlight w:val="none"/>
          <w:u w:val="single"/>
        </w:rPr>
        <w:t>【不排序，按统一社会信用代码后4位（除效验码外）大小排位】</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u w:val="single"/>
        </w:rPr>
        <w:t>、对同类问题表述不一致、有明显文字和计算错误的内容以及细微偏差</w:t>
      </w:r>
      <w:r>
        <w:rPr>
          <w:rFonts w:hint="eastAsia" w:ascii="宋体" w:hAnsi="宋体"/>
          <w:color w:val="auto"/>
          <w:sz w:val="24"/>
          <w:szCs w:val="24"/>
          <w:highlight w:val="none"/>
        </w:rPr>
        <w:t>的内容作出澄清。</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dstrike/>
          <w:color w:val="auto"/>
          <w:sz w:val="24"/>
          <w:szCs w:val="24"/>
          <w:highlight w:val="none"/>
        </w:rPr>
      </w:pPr>
      <w:r>
        <w:rPr>
          <w:rFonts w:ascii="宋体" w:hAnsi="宋体"/>
          <w:dstrike/>
          <w:color w:val="auto"/>
          <w:sz w:val="24"/>
          <w:szCs w:val="24"/>
          <w:highlight w:val="none"/>
        </w:rPr>
        <w:t>39</w:t>
      </w:r>
      <w:r>
        <w:rPr>
          <w:rFonts w:hint="eastAsia" w:ascii="宋体" w:hAnsi="宋体"/>
          <w:dstrike/>
          <w:color w:val="auto"/>
          <w:sz w:val="24"/>
          <w:szCs w:val="24"/>
          <w:highlight w:val="none"/>
        </w:rPr>
        <w:t>．定标</w:t>
      </w:r>
    </w:p>
    <w:p>
      <w:pPr>
        <w:spacing w:line="360" w:lineRule="auto"/>
        <w:ind w:firstLine="480" w:firstLineChars="200"/>
        <w:rPr>
          <w:rFonts w:ascii="宋体" w:hAnsi="宋体"/>
          <w:dstrike/>
          <w:color w:val="auto"/>
          <w:sz w:val="24"/>
          <w:szCs w:val="24"/>
          <w:highlight w:val="none"/>
        </w:rPr>
      </w:pPr>
      <w:r>
        <w:rPr>
          <w:rFonts w:ascii="宋体" w:hAnsi="宋体"/>
          <w:dstrike/>
          <w:color w:val="auto"/>
          <w:sz w:val="24"/>
          <w:szCs w:val="24"/>
          <w:highlight w:val="none"/>
        </w:rPr>
        <w:t xml:space="preserve">39.1 </w:t>
      </w:r>
      <w:r>
        <w:rPr>
          <w:rFonts w:hint="eastAsia" w:ascii="宋体" w:hAnsi="宋体"/>
          <w:dstrike/>
          <w:color w:val="auto"/>
          <w:sz w:val="24"/>
          <w:szCs w:val="24"/>
          <w:highlight w:val="none"/>
        </w:rPr>
        <w:t>招标人根据评标委员会递交的评标报告，最终审定中标人。</w:t>
      </w:r>
    </w:p>
    <w:p>
      <w:pPr>
        <w:spacing w:line="360" w:lineRule="auto"/>
        <w:ind w:firstLine="480" w:firstLineChars="200"/>
        <w:rPr>
          <w:rFonts w:ascii="宋体" w:hAnsi="宋体"/>
          <w:dstrike/>
          <w:color w:val="auto"/>
          <w:sz w:val="24"/>
          <w:szCs w:val="24"/>
          <w:highlight w:val="none"/>
        </w:rPr>
      </w:pPr>
      <w:r>
        <w:rPr>
          <w:rFonts w:ascii="宋体" w:hAnsi="宋体"/>
          <w:dstrike/>
          <w:color w:val="auto"/>
          <w:sz w:val="24"/>
          <w:szCs w:val="24"/>
          <w:highlight w:val="none"/>
        </w:rPr>
        <w:t xml:space="preserve">39.2 </w:t>
      </w:r>
      <w:r>
        <w:rPr>
          <w:rFonts w:hint="eastAsia" w:ascii="宋体" w:hAnsi="宋体"/>
          <w:dstrike/>
          <w:color w:val="auto"/>
          <w:sz w:val="24"/>
          <w:szCs w:val="24"/>
          <w:highlight w:val="none"/>
        </w:rPr>
        <w:t>依法必须进行公开招标的项目，招标人应当确定排名第一的中标候选人为中标人。</w:t>
      </w:r>
    </w:p>
    <w:p>
      <w:pPr>
        <w:spacing w:line="360" w:lineRule="auto"/>
        <w:ind w:firstLine="480" w:firstLineChars="200"/>
        <w:rPr>
          <w:rFonts w:ascii="宋体" w:hAnsi="宋体"/>
          <w:dstrike/>
          <w:color w:val="auto"/>
          <w:sz w:val="24"/>
          <w:szCs w:val="24"/>
          <w:highlight w:val="none"/>
        </w:rPr>
      </w:pPr>
      <w:r>
        <w:rPr>
          <w:rFonts w:ascii="宋体" w:hAnsi="宋体"/>
          <w:dstrike/>
          <w:color w:val="auto"/>
          <w:sz w:val="24"/>
          <w:szCs w:val="24"/>
          <w:highlight w:val="none"/>
        </w:rPr>
        <w:t>39.3</w:t>
      </w:r>
      <w:r>
        <w:rPr>
          <w:rFonts w:hint="eastAsia" w:ascii="宋体" w:hAnsi="宋体"/>
          <w:dstrike/>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dstrike/>
          <w:color w:val="auto"/>
          <w:sz w:val="24"/>
          <w:szCs w:val="24"/>
          <w:highlight w:val="none"/>
        </w:rPr>
      </w:pPr>
      <w:r>
        <w:rPr>
          <w:rFonts w:ascii="宋体" w:hAnsi="宋体"/>
          <w:dstrike/>
          <w:color w:val="auto"/>
          <w:sz w:val="24"/>
          <w:szCs w:val="24"/>
          <w:highlight w:val="none"/>
        </w:rPr>
        <w:t>39.4</w:t>
      </w:r>
      <w:r>
        <w:rPr>
          <w:rFonts w:hint="eastAsia" w:ascii="宋体" w:hAnsi="宋体"/>
          <w:dstrike/>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dstrike/>
          <w:color w:val="auto"/>
          <w:sz w:val="24"/>
          <w:szCs w:val="24"/>
          <w:highlight w:val="none"/>
        </w:rPr>
      </w:pPr>
      <w:r>
        <w:rPr>
          <w:rFonts w:hint="eastAsia" w:ascii="宋体" w:hAnsi="宋体"/>
          <w:dstrike/>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9"/>
        <w:spacing w:before="156" w:after="156"/>
        <w:ind w:firstLine="540" w:firstLineChars="200"/>
        <w:rPr>
          <w:color w:val="auto"/>
          <w:highlight w:val="none"/>
        </w:rPr>
      </w:pPr>
      <w:bookmarkStart w:id="24" w:name="_Toc80289072"/>
      <w:bookmarkStart w:id="25" w:name="_Toc2272558"/>
      <w:r>
        <w:rPr>
          <w:rFonts w:hint="eastAsia"/>
          <w:color w:val="auto"/>
          <w:highlight w:val="none"/>
        </w:rPr>
        <w:t>（二）开标评标办法程序和细则</w:t>
      </w:r>
      <w:bookmarkEnd w:id="24"/>
      <w:bookmarkEnd w:id="25"/>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注：以下八种评标办法所述企业综合诚信评价分数即投标截止当日广州市工程招标代理行业协会网站上公布的企业综合诚信评价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pPr>
        <w:pStyle w:val="9"/>
        <w:spacing w:before="156" w:after="156"/>
        <w:ind w:firstLine="482" w:firstLineChars="200"/>
        <w:rPr>
          <w:b/>
          <w:color w:val="auto"/>
          <w:highlight w:val="none"/>
        </w:rPr>
      </w:pPr>
      <w:bookmarkStart w:id="26" w:name="_Toc80289073"/>
      <w:r>
        <w:rPr>
          <w:rFonts w:hint="eastAsia"/>
          <w:b/>
          <w:color w:val="auto"/>
          <w:sz w:val="24"/>
          <w:szCs w:val="24"/>
          <w:highlight w:val="none"/>
        </w:rPr>
        <w:t>通过制评标办法</w:t>
      </w:r>
      <w:bookmarkEnd w:id="26"/>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w:t>
      </w:r>
      <w:r>
        <w:rPr>
          <w:rFonts w:hint="eastAsia" w:ascii="宋体" w:hAnsi="宋体"/>
          <w:color w:val="auto"/>
          <w:sz w:val="24"/>
          <w:szCs w:val="24"/>
          <w:highlight w:val="none"/>
        </w:rPr>
        <w:t>技术标（含资格审查文件）与经济标投标文件同时公开开标；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w:t>
      </w:r>
      <w:r>
        <w:rPr>
          <w:rFonts w:hint="eastAsia" w:ascii="宋体" w:hAnsi="宋体"/>
          <w:color w:val="auto"/>
          <w:sz w:val="24"/>
          <w:szCs w:val="24"/>
          <w:highlight w:val="none"/>
        </w:rPr>
        <w:t>由评标委员会对所有已公开开标的投标人进行资格审查；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w:t>
      </w:r>
      <w:r>
        <w:rPr>
          <w:rFonts w:hint="eastAsia" w:ascii="宋体" w:hAnsi="宋体"/>
          <w:color w:val="auto"/>
          <w:sz w:val="24"/>
          <w:szCs w:val="24"/>
          <w:highlight w:val="none"/>
        </w:rPr>
        <w:t>技术标投标文件有效性审查；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w:t>
      </w:r>
      <w:r>
        <w:rPr>
          <w:rFonts w:hint="eastAsia" w:ascii="宋体" w:hAnsi="宋体"/>
          <w:color w:val="auto"/>
          <w:sz w:val="24"/>
          <w:szCs w:val="24"/>
          <w:highlight w:val="none"/>
        </w:rPr>
        <w:t>经济标投标文件有效性审查；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w:t>
      </w:r>
      <w:r>
        <w:rPr>
          <w:rFonts w:hint="eastAsia" w:ascii="宋体" w:hAnsi="宋体"/>
          <w:color w:val="auto"/>
          <w:sz w:val="24"/>
          <w:szCs w:val="24"/>
          <w:highlight w:val="none"/>
          <w:u w:val="single"/>
        </w:rPr>
        <w:t>评标委员会按通过技术标及经济标有效性审查的合格投标人向招标人推荐进入定标阶段的合格中标候选人名单</w:t>
      </w:r>
      <w:r>
        <w:rPr>
          <w:rFonts w:hint="eastAsia" w:ascii="宋体" w:hAnsi="宋体"/>
          <w:color w:val="auto"/>
          <w:sz w:val="24"/>
          <w:highlight w:val="none"/>
          <w:u w:val="single"/>
        </w:rPr>
        <w:t>【不排序，按统一社会信用代码后4位（除效验码外）大小排位】</w:t>
      </w:r>
      <w:r>
        <w:rPr>
          <w:rFonts w:hint="eastAsia" w:ascii="宋体" w:hAnsi="宋体"/>
          <w:color w:val="auto"/>
          <w:sz w:val="24"/>
          <w:szCs w:val="24"/>
          <w:highlight w:val="none"/>
          <w:u w:val="single"/>
        </w:rPr>
        <w:t>，并递交资格审查报告及评标报告；</w:t>
      </w:r>
    </w:p>
    <w:p>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u w:val="single"/>
        </w:rPr>
        <w:t xml:space="preserve">40.6 </w:t>
      </w:r>
      <w:r>
        <w:rPr>
          <w:rFonts w:hint="eastAsia" w:ascii="宋体" w:hAnsi="宋体"/>
          <w:color w:val="auto"/>
          <w:sz w:val="24"/>
          <w:szCs w:val="24"/>
          <w:highlight w:val="none"/>
          <w:u w:val="single"/>
        </w:rPr>
        <w:t>定标委员会对评标委员会推荐的合格中标候选人进行投票，根据票数情况确定中标人。定标结束后，定标委员会向招标人递交定标报告</w:t>
      </w:r>
      <w:r>
        <w:rPr>
          <w:rFonts w:hint="eastAsia" w:ascii="宋体"/>
          <w:color w:val="auto"/>
          <w:sz w:val="24"/>
          <w:szCs w:val="24"/>
          <w:highlight w:val="none"/>
        </w:rPr>
        <w:t>。</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w:t>
      </w:r>
      <w:r>
        <w:rPr>
          <w:rFonts w:hint="eastAsia" w:ascii="宋体"/>
          <w:color w:val="auto"/>
          <w:sz w:val="24"/>
          <w:szCs w:val="24"/>
          <w:highlight w:val="none"/>
          <w:u w:val="single"/>
        </w:rPr>
        <w:t>或招标代理</w:t>
      </w:r>
      <w:r>
        <w:rPr>
          <w:rFonts w:hint="eastAsia" w:ascii="宋体"/>
          <w:color w:val="auto"/>
          <w:sz w:val="24"/>
          <w:szCs w:val="24"/>
          <w:highlight w:val="none"/>
        </w:rPr>
        <w:t>主持；</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hAnsi="宋体"/>
          <w:color w:val="auto"/>
          <w:sz w:val="24"/>
          <w:szCs w:val="24"/>
          <w:highlight w:val="none"/>
          <w:u w:val="single"/>
        </w:rPr>
        <w:t>广州</w:t>
      </w:r>
      <w:r>
        <w:rPr>
          <w:rFonts w:ascii="宋体" w:hAnsi="宋体"/>
          <w:color w:val="auto"/>
          <w:sz w:val="24"/>
          <w:szCs w:val="24"/>
          <w:highlight w:val="none"/>
          <w:u w:val="single"/>
        </w:rPr>
        <w:t>公共资源交易中心</w:t>
      </w:r>
      <w:r>
        <w:rPr>
          <w:rFonts w:hint="eastAsia" w:ascii="宋体"/>
          <w:color w:val="auto"/>
          <w:sz w:val="24"/>
          <w:szCs w:val="24"/>
          <w:highlight w:val="none"/>
        </w:rPr>
        <w:t xml:space="preserve">交易平台。有关投标文件提交的事项详见第一章投标须知。 </w:t>
      </w:r>
    </w:p>
    <w:p>
      <w:pPr>
        <w:snapToGrid w:val="0"/>
        <w:spacing w:line="360" w:lineRule="auto"/>
        <w:ind w:firstLine="480" w:firstLineChars="200"/>
        <w:rPr>
          <w:rFonts w:ascii="宋体"/>
          <w:color w:val="auto"/>
          <w:sz w:val="24"/>
          <w:szCs w:val="24"/>
          <w:highlight w:val="none"/>
        </w:rPr>
      </w:pPr>
      <w:r>
        <w:rPr>
          <w:rFonts w:hint="eastAsia" w:ascii="宋体" w:hAnsi="宋体"/>
          <w:dstrike/>
          <w:color w:val="auto"/>
          <w:sz w:val="24"/>
          <w:szCs w:val="24"/>
          <w:highlight w:val="none"/>
        </w:rPr>
        <w:t>41.2.2开标前，首先由招标人随机抽取确定该工程计算评标参考价的等分点值X。</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41.2.3开标时，投标人代表有权出席开标会，也可以自主决定不参加开标会，若投标人代表对开标过程提出异议，该投标人代表须同时出示本人身份证原件。</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一</w:t>
      </w:r>
      <w:r>
        <w:rPr>
          <w:rFonts w:hint="eastAsia" w:ascii="宋体"/>
          <w:color w:val="auto"/>
          <w:sz w:val="24"/>
          <w:szCs w:val="24"/>
          <w:highlight w:val="none"/>
        </w:rPr>
        <w:t>。</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pPr>
        <w:pStyle w:val="5"/>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pPr>
        <w:pStyle w:val="5"/>
        <w:tabs>
          <w:tab w:val="left" w:pos="7380"/>
        </w:tabs>
        <w:snapToGrid w:val="0"/>
        <w:spacing w:after="0" w:line="360" w:lineRule="auto"/>
        <w:rPr>
          <w:rFonts w:ascii="宋体" w:hAnsi="宋体"/>
          <w:color w:val="auto"/>
          <w:sz w:val="24"/>
          <w:szCs w:val="24"/>
          <w:highlight w:val="none"/>
          <w:u w:val="single"/>
        </w:rPr>
      </w:pPr>
      <w:r>
        <w:rPr>
          <w:rFonts w:hint="eastAsia" w:ascii="宋体" w:hAnsi="宋体"/>
          <w:color w:val="auto"/>
          <w:sz w:val="24"/>
          <w:szCs w:val="24"/>
          <w:highlight w:val="none"/>
          <w:u w:val="single"/>
        </w:rPr>
        <w:t>42.3定标委员会的组成：由招标人依法组建，负责定标环节。</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w:t>
      </w:r>
      <w:r>
        <w:rPr>
          <w:rFonts w:hint="eastAsia" w:ascii="宋体"/>
          <w:color w:val="auto"/>
          <w:sz w:val="24"/>
          <w:szCs w:val="24"/>
          <w:highlight w:val="none"/>
          <w:u w:val="single"/>
        </w:rPr>
        <w:t>资格审查不合格的投标文件不参加下一阶段的评审。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w:t>
      </w:r>
      <w:r>
        <w:rPr>
          <w:rFonts w:hint="eastAsia" w:ascii="宋体" w:hAnsi="宋体"/>
          <w:color w:val="auto"/>
          <w:sz w:val="24"/>
          <w:szCs w:val="24"/>
          <w:highlight w:val="none"/>
          <w:u w:val="single"/>
        </w:rPr>
        <w:t>技术标中有任一种列于本办法附表二《技术标有效性审查表》中情形的，其投标文件将被否决。被否决的投标人不参与下一阶段评审。如评标委员会的评审意见不一致时，以评标委员会过半数成员的意见作为评标委员会对该情形的认定结论。若通过技术标有效性审查的投标人不足3名，则本项目招标失败</w:t>
      </w:r>
      <w:r>
        <w:rPr>
          <w:rFonts w:hint="eastAsia" w:ascii="宋体"/>
          <w:color w:val="auto"/>
          <w:sz w:val="24"/>
          <w:szCs w:val="24"/>
          <w:highlight w:val="none"/>
        </w:rPr>
        <w:t>。</w:t>
      </w:r>
    </w:p>
    <w:p>
      <w:pPr>
        <w:pStyle w:val="5"/>
        <w:tabs>
          <w:tab w:val="left" w:pos="7380"/>
        </w:tabs>
        <w:snapToGrid w:val="0"/>
        <w:spacing w:after="0" w:line="360" w:lineRule="auto"/>
        <w:ind w:firstLine="480" w:firstLineChars="200"/>
        <w:rPr>
          <w:rFonts w:ascii="宋体"/>
          <w:dstrike/>
          <w:color w:val="auto"/>
          <w:sz w:val="24"/>
          <w:szCs w:val="24"/>
          <w:highlight w:val="none"/>
        </w:rPr>
      </w:pPr>
      <w:r>
        <w:rPr>
          <w:rFonts w:hint="eastAsia" w:ascii="宋体"/>
          <w:dstrike/>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5"/>
        <w:tabs>
          <w:tab w:val="left" w:pos="7380"/>
        </w:tabs>
        <w:snapToGrid w:val="0"/>
        <w:spacing w:after="0" w:line="360" w:lineRule="auto"/>
        <w:ind w:firstLine="480" w:firstLineChars="200"/>
        <w:rPr>
          <w:rFonts w:ascii="宋体"/>
          <w:dstrike/>
          <w:color w:val="auto"/>
          <w:sz w:val="24"/>
          <w:szCs w:val="24"/>
          <w:highlight w:val="none"/>
        </w:rPr>
      </w:pPr>
      <w:r>
        <w:rPr>
          <w:rFonts w:hint="eastAsia" w:ascii="宋体"/>
          <w:dstrike/>
          <w:color w:val="auto"/>
          <w:sz w:val="24"/>
          <w:szCs w:val="24"/>
          <w:highlight w:val="none"/>
        </w:rPr>
        <w:t>45．经济标评审和得分汇总</w:t>
      </w:r>
    </w:p>
    <w:p>
      <w:pPr>
        <w:pStyle w:val="5"/>
        <w:tabs>
          <w:tab w:val="left" w:pos="7380"/>
        </w:tabs>
        <w:snapToGrid w:val="0"/>
        <w:spacing w:after="0" w:line="360" w:lineRule="auto"/>
        <w:ind w:firstLine="480" w:firstLineChars="200"/>
        <w:rPr>
          <w:rFonts w:ascii="宋体" w:hAnsi="宋体"/>
          <w:dstrike/>
          <w:color w:val="auto"/>
          <w:sz w:val="24"/>
          <w:szCs w:val="24"/>
          <w:highlight w:val="none"/>
        </w:rPr>
      </w:pPr>
      <w:r>
        <w:rPr>
          <w:rFonts w:hint="eastAsia" w:ascii="宋体" w:hAnsi="宋体"/>
          <w:dstrike/>
          <w:color w:val="auto"/>
          <w:sz w:val="24"/>
          <w:szCs w:val="24"/>
          <w:highlight w:val="none"/>
        </w:rPr>
        <w:t>45.1若通过技术标有效性审查的投标人中有投标报价均大于等于最高投标限价*D%（D的取值范围为[94,100],由招标人自主确定）的（具体金额为：元），则本项目招标失败，由招标人依法重新招标。</w:t>
      </w:r>
    </w:p>
    <w:p>
      <w:pPr>
        <w:pStyle w:val="5"/>
        <w:tabs>
          <w:tab w:val="left" w:pos="7380"/>
        </w:tabs>
        <w:snapToGrid w:val="0"/>
        <w:spacing w:after="0" w:line="360" w:lineRule="auto"/>
        <w:ind w:firstLine="480" w:firstLineChars="200"/>
        <w:rPr>
          <w:rFonts w:ascii="宋体"/>
          <w:dstrike/>
          <w:color w:val="auto"/>
          <w:sz w:val="24"/>
          <w:szCs w:val="24"/>
          <w:highlight w:val="none"/>
        </w:rPr>
      </w:pPr>
      <w:r>
        <w:rPr>
          <w:rFonts w:hint="eastAsia" w:ascii="宋体" w:hAnsi="宋体"/>
          <w:dstrike/>
          <w:color w:val="auto"/>
          <w:sz w:val="24"/>
          <w:szCs w:val="24"/>
          <w:highlight w:val="none"/>
        </w:rPr>
        <w:t xml:space="preserve"> 45.2按方法计算评标参考价：</w:t>
      </w:r>
    </w:p>
    <w:p>
      <w:pPr>
        <w:widowControl/>
        <w:spacing w:line="360" w:lineRule="auto"/>
        <w:ind w:firstLine="482" w:firstLineChars="200"/>
        <w:rPr>
          <w:rFonts w:ascii="宋体" w:hAnsi="宋体"/>
          <w:b/>
          <w:bCs/>
          <w:dstrike/>
          <w:color w:val="auto"/>
          <w:kern w:val="0"/>
          <w:sz w:val="24"/>
          <w:szCs w:val="24"/>
          <w:highlight w:val="none"/>
        </w:rPr>
      </w:pPr>
      <w:r>
        <w:rPr>
          <w:rFonts w:hint="eastAsia" w:ascii="宋体" w:hAnsi="宋体" w:cs="仿宋"/>
          <w:b/>
          <w:bCs/>
          <w:dstrike/>
          <w:color w:val="auto"/>
          <w:kern w:val="0"/>
          <w:sz w:val="24"/>
          <w:szCs w:val="24"/>
          <w:highlight w:val="none"/>
        </w:rPr>
        <w:t>方法一：加权平均法</w:t>
      </w:r>
    </w:p>
    <w:p>
      <w:pPr>
        <w:spacing w:line="360" w:lineRule="auto"/>
        <w:ind w:firstLine="480" w:firstLineChars="200"/>
        <w:rPr>
          <w:rFonts w:ascii="宋体" w:hAnsi="宋体" w:cs="仿宋"/>
          <w:dstrike/>
          <w:color w:val="auto"/>
          <w:sz w:val="24"/>
          <w:szCs w:val="24"/>
          <w:highlight w:val="none"/>
        </w:rPr>
      </w:pPr>
      <w:r>
        <w:rPr>
          <w:rFonts w:hint="eastAsia" w:ascii="宋体" w:hAnsi="宋体" w:cs="仿宋"/>
          <w:dstrike/>
          <w:color w:val="auto"/>
          <w:sz w:val="24"/>
          <w:szCs w:val="24"/>
          <w:highlight w:val="none"/>
        </w:rPr>
        <w:t>技术标或技术标加诚信得分（具体由招标人自定）前</w:t>
      </w:r>
      <w:r>
        <w:rPr>
          <w:rFonts w:ascii="宋体" w:hAnsi="宋体" w:cs="仿宋"/>
          <w:dstrike/>
          <w:color w:val="auto"/>
          <w:sz w:val="24"/>
          <w:szCs w:val="24"/>
          <w:highlight w:val="none"/>
        </w:rPr>
        <w:t>N</w:t>
      </w:r>
      <w:r>
        <w:rPr>
          <w:rFonts w:hint="eastAsia" w:ascii="宋体" w:hAnsi="宋体" w:cs="仿宋"/>
          <w:dstrike/>
          <w:color w:val="auto"/>
          <w:sz w:val="24"/>
          <w:szCs w:val="24"/>
          <w:highlight w:val="none"/>
        </w:rPr>
        <w:t>名（N≥5，具体由招标人自定）的经济报价加权平均，计算评标参考价。公式如下：</w:t>
      </w:r>
    </w:p>
    <w:p>
      <w:pPr>
        <w:spacing w:line="360" w:lineRule="auto"/>
        <w:ind w:firstLine="480" w:firstLineChars="200"/>
        <w:rPr>
          <w:rFonts w:ascii="宋体" w:hAnsi="宋体" w:cs="仿宋"/>
          <w:dstrike/>
          <w:color w:val="auto"/>
          <w:sz w:val="24"/>
          <w:szCs w:val="24"/>
          <w:highlight w:val="none"/>
        </w:rPr>
      </w:pPr>
      <w:r>
        <w:rPr>
          <w:rFonts w:hint="eastAsia" w:ascii="宋体" w:hAnsi="宋体" w:cs="仿宋"/>
          <w:dstrike/>
          <w:color w:val="auto"/>
          <w:sz w:val="24"/>
          <w:szCs w:val="24"/>
          <w:highlight w:val="none"/>
        </w:rPr>
        <w:t>评标参考价</w:t>
      </w:r>
      <w:r>
        <w:rPr>
          <w:rFonts w:ascii="宋体" w:hAnsi="宋体" w:cs="仿宋"/>
          <w:dstrike/>
          <w:color w:val="auto"/>
          <w:sz w:val="24"/>
          <w:szCs w:val="24"/>
          <w:highlight w:val="none"/>
        </w:rPr>
        <w:t>=</w:t>
      </w:r>
      <w:r>
        <w:rPr>
          <w:rFonts w:hint="eastAsia" w:ascii="宋体" w:hAnsi="宋体" w:cs="仿宋"/>
          <w:dstrike/>
          <w:color w:val="auto"/>
          <w:sz w:val="24"/>
          <w:szCs w:val="24"/>
          <w:highlight w:val="none"/>
        </w:rPr>
        <w:t>Σ（投标人的投标报价</w:t>
      </w:r>
      <w:r>
        <w:rPr>
          <w:rFonts w:ascii="宋体" w:hAnsi="宋体" w:cs="仿宋"/>
          <w:dstrike/>
          <w:color w:val="auto"/>
          <w:sz w:val="24"/>
          <w:szCs w:val="24"/>
          <w:highlight w:val="none"/>
        </w:rPr>
        <w:t>*</w:t>
      </w:r>
      <w:r>
        <w:rPr>
          <w:rFonts w:hint="eastAsia" w:ascii="宋体" w:hAnsi="宋体" w:cs="仿宋"/>
          <w:dstrike/>
          <w:color w:val="auto"/>
          <w:sz w:val="24"/>
          <w:szCs w:val="24"/>
          <w:highlight w:val="none"/>
        </w:rPr>
        <w:t>报价权重）。</w:t>
      </w:r>
    </w:p>
    <w:p>
      <w:pPr>
        <w:spacing w:line="360" w:lineRule="auto"/>
        <w:ind w:firstLine="480" w:firstLineChars="200"/>
        <w:rPr>
          <w:rFonts w:ascii="宋体" w:hAnsi="宋体" w:cs="仿宋"/>
          <w:dstrike/>
          <w:color w:val="auto"/>
          <w:sz w:val="24"/>
          <w:szCs w:val="24"/>
          <w:highlight w:val="none"/>
        </w:rPr>
      </w:pPr>
      <w:r>
        <w:rPr>
          <w:rFonts w:hint="eastAsia" w:ascii="宋体" w:hAnsi="宋体" w:cs="仿宋"/>
          <w:dstrike/>
          <w:color w:val="auto"/>
          <w:sz w:val="24"/>
          <w:szCs w:val="24"/>
          <w:highlight w:val="none"/>
        </w:rPr>
        <w:t>其中：报价权重的计算方法为：将</w:t>
      </w:r>
      <w:r>
        <w:rPr>
          <w:rFonts w:ascii="宋体" w:hAnsi="宋体" w:cs="仿宋"/>
          <w:dstrike/>
          <w:color w:val="auto"/>
          <w:sz w:val="24"/>
          <w:szCs w:val="24"/>
          <w:highlight w:val="none"/>
        </w:rPr>
        <w:t>N</w:t>
      </w:r>
      <w:r>
        <w:rPr>
          <w:rFonts w:hint="eastAsia" w:ascii="宋体" w:hAnsi="宋体" w:cs="仿宋"/>
          <w:dstrike/>
          <w:color w:val="auto"/>
          <w:sz w:val="24"/>
          <w:szCs w:val="24"/>
          <w:highlight w:val="none"/>
        </w:rPr>
        <w:t>名投标人按技术分由高至低进行排序，第一名投标人的权重为（</w:t>
      </w:r>
      <w:r>
        <w:rPr>
          <w:rFonts w:ascii="宋体" w:hAnsi="宋体" w:cs="仿宋"/>
          <w:dstrike/>
          <w:color w:val="auto"/>
          <w:sz w:val="24"/>
          <w:szCs w:val="24"/>
          <w:highlight w:val="none"/>
        </w:rPr>
        <w:fldChar w:fldCharType="begin"/>
      </w:r>
      <w:r>
        <w:rPr>
          <w:rFonts w:ascii="宋体" w:hAnsi="宋体" w:cs="仿宋"/>
          <w:dstrike/>
          <w:color w:val="auto"/>
          <w:sz w:val="24"/>
          <w:szCs w:val="24"/>
          <w:highlight w:val="none"/>
        </w:rPr>
        <w:instrText xml:space="preserve"> QUOTE </w:instrText>
      </w:r>
      <w:r>
        <w:rPr>
          <w:rFonts w:ascii="宋体" w:hAnsi="宋体"/>
          <w:color w:val="auto"/>
          <w:sz w:val="24"/>
          <w:szCs w:val="24"/>
          <w:highlight w:val="none"/>
        </w:rPr>
        <w:drawing>
          <wp:inline distT="0" distB="0" distL="0" distR="0">
            <wp:extent cx="382905" cy="44640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宋体" w:hAnsi="宋体" w:cs="仿宋"/>
          <w:dstrike/>
          <w:color w:val="auto"/>
          <w:sz w:val="24"/>
          <w:szCs w:val="24"/>
          <w:highlight w:val="none"/>
        </w:rPr>
        <w:fldChar w:fldCharType="separate"/>
      </w:r>
      <w:r>
        <w:rPr>
          <w:rFonts w:ascii="宋体" w:hAnsi="宋体"/>
          <w:color w:val="auto"/>
          <w:sz w:val="24"/>
          <w:szCs w:val="24"/>
          <w:highlight w:val="none"/>
        </w:rPr>
        <w:drawing>
          <wp:inline distT="0" distB="0" distL="0" distR="0">
            <wp:extent cx="382905" cy="446405"/>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ascii="宋体" w:hAnsi="宋体" w:cs="仿宋"/>
          <w:dstrike/>
          <w:color w:val="auto"/>
          <w:sz w:val="24"/>
          <w:szCs w:val="24"/>
          <w:highlight w:val="none"/>
        </w:rPr>
        <w:fldChar w:fldCharType="end"/>
      </w:r>
      <w:r>
        <w:rPr>
          <w:rFonts w:hint="eastAsia" w:ascii="宋体" w:hAnsi="宋体" w:cs="仿宋"/>
          <w:dstrike/>
          <w:color w:val="auto"/>
          <w:sz w:val="24"/>
          <w:szCs w:val="24"/>
          <w:highlight w:val="none"/>
        </w:rPr>
        <w:t>），第二名投标人的权重为（</w:t>
      </w:r>
      <w:r>
        <w:rPr>
          <w:rFonts w:ascii="宋体" w:hAnsi="宋体" w:cs="仿宋"/>
          <w:dstrike/>
          <w:color w:val="auto"/>
          <w:sz w:val="24"/>
          <w:szCs w:val="24"/>
          <w:highlight w:val="none"/>
        </w:rPr>
        <w:fldChar w:fldCharType="begin"/>
      </w:r>
      <w:r>
        <w:rPr>
          <w:rFonts w:ascii="宋体" w:hAnsi="宋体" w:cs="仿宋"/>
          <w:dstrike/>
          <w:color w:val="auto"/>
          <w:sz w:val="24"/>
          <w:szCs w:val="24"/>
          <w:highlight w:val="none"/>
        </w:rPr>
        <w:instrText xml:space="preserve"> QUOTE </w:instrText>
      </w:r>
      <w:r>
        <w:rPr>
          <w:rFonts w:ascii="宋体" w:hAnsi="宋体"/>
          <w:color w:val="auto"/>
          <w:position w:val="-23"/>
          <w:sz w:val="24"/>
          <w:szCs w:val="24"/>
          <w:highlight w:val="none"/>
        </w:rPr>
        <w:drawing>
          <wp:inline distT="0" distB="0" distL="0" distR="0">
            <wp:extent cx="318770" cy="40386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宋体" w:hAnsi="宋体" w:cs="仿宋"/>
          <w:dstrike/>
          <w:color w:val="auto"/>
          <w:sz w:val="24"/>
          <w:szCs w:val="24"/>
          <w:highlight w:val="none"/>
        </w:rPr>
        <w:fldChar w:fldCharType="separate"/>
      </w:r>
      <w:r>
        <w:rPr>
          <w:rFonts w:ascii="宋体" w:hAnsi="宋体"/>
          <w:color w:val="auto"/>
          <w:position w:val="-23"/>
          <w:sz w:val="24"/>
          <w:szCs w:val="24"/>
          <w:highlight w:val="none"/>
        </w:rPr>
        <w:drawing>
          <wp:inline distT="0" distB="0" distL="0" distR="0">
            <wp:extent cx="318770" cy="403860"/>
            <wp:effectExtent l="0" t="0" r="508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宋体" w:hAnsi="宋体" w:cs="仿宋"/>
          <w:dstrike/>
          <w:color w:val="auto"/>
          <w:sz w:val="24"/>
          <w:szCs w:val="24"/>
          <w:highlight w:val="none"/>
        </w:rPr>
        <w:fldChar w:fldCharType="end"/>
      </w:r>
      <w:r>
        <w:rPr>
          <w:rFonts w:hint="eastAsia" w:ascii="宋体" w:hAnsi="宋体" w:cs="仿宋"/>
          <w:dstrike/>
          <w:color w:val="auto"/>
          <w:sz w:val="24"/>
          <w:szCs w:val="24"/>
          <w:highlight w:val="none"/>
        </w:rPr>
        <w:t>），以此类推，最后一名投标人的权重为（</w:t>
      </w:r>
      <w:r>
        <w:rPr>
          <w:rFonts w:ascii="宋体" w:hAnsi="宋体" w:cs="仿宋"/>
          <w:dstrike/>
          <w:color w:val="auto"/>
          <w:sz w:val="24"/>
          <w:szCs w:val="24"/>
          <w:highlight w:val="none"/>
        </w:rPr>
        <w:fldChar w:fldCharType="begin"/>
      </w:r>
      <w:r>
        <w:rPr>
          <w:rFonts w:ascii="宋体" w:hAnsi="宋体" w:cs="仿宋"/>
          <w:dstrike/>
          <w:color w:val="auto"/>
          <w:sz w:val="24"/>
          <w:szCs w:val="24"/>
          <w:highlight w:val="none"/>
        </w:rPr>
        <w:instrText xml:space="preserve"> QUOTE </w:instrText>
      </w:r>
      <w:r>
        <w:rPr>
          <w:rFonts w:ascii="宋体" w:hAnsi="宋体"/>
          <w:color w:val="auto"/>
          <w:position w:val="-23"/>
          <w:sz w:val="24"/>
          <w:szCs w:val="24"/>
          <w:highlight w:val="none"/>
        </w:rPr>
        <w:drawing>
          <wp:inline distT="0" distB="0" distL="0" distR="0">
            <wp:extent cx="318770" cy="403860"/>
            <wp:effectExtent l="0" t="0" r="508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宋体" w:hAnsi="宋体" w:cs="仿宋"/>
          <w:dstrike/>
          <w:color w:val="auto"/>
          <w:sz w:val="24"/>
          <w:szCs w:val="24"/>
          <w:highlight w:val="none"/>
        </w:rPr>
        <w:fldChar w:fldCharType="separate"/>
      </w:r>
      <w:r>
        <w:rPr>
          <w:rFonts w:ascii="宋体" w:hAnsi="宋体"/>
          <w:color w:val="auto"/>
          <w:position w:val="-23"/>
          <w:sz w:val="24"/>
          <w:szCs w:val="24"/>
          <w:highlight w:val="none"/>
        </w:rPr>
        <w:drawing>
          <wp:inline distT="0" distB="0" distL="0" distR="0">
            <wp:extent cx="318770" cy="403860"/>
            <wp:effectExtent l="0" t="0" r="508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ascii="宋体" w:hAnsi="宋体" w:cs="仿宋"/>
          <w:dstrike/>
          <w:color w:val="auto"/>
          <w:sz w:val="24"/>
          <w:szCs w:val="24"/>
          <w:highlight w:val="none"/>
        </w:rPr>
        <w:fldChar w:fldCharType="end"/>
      </w:r>
      <w:r>
        <w:rPr>
          <w:rFonts w:hint="eastAsia" w:ascii="宋体" w:hAnsi="宋体" w:cs="仿宋"/>
          <w:dstrike/>
          <w:color w:val="auto"/>
          <w:sz w:val="24"/>
          <w:szCs w:val="24"/>
          <w:highlight w:val="none"/>
        </w:rPr>
        <w:t>）。</w:t>
      </w:r>
    </w:p>
    <w:p>
      <w:pPr>
        <w:widowControl/>
        <w:spacing w:line="360" w:lineRule="auto"/>
        <w:ind w:firstLine="482" w:firstLineChars="200"/>
        <w:rPr>
          <w:rFonts w:ascii="宋体" w:hAnsi="宋体"/>
          <w:b/>
          <w:bCs/>
          <w:dstrike/>
          <w:color w:val="auto"/>
          <w:kern w:val="0"/>
          <w:sz w:val="24"/>
          <w:szCs w:val="24"/>
          <w:highlight w:val="none"/>
        </w:rPr>
      </w:pPr>
      <w:r>
        <w:rPr>
          <w:rFonts w:hint="eastAsia" w:ascii="宋体" w:hAnsi="宋体" w:cs="仿宋"/>
          <w:b/>
          <w:bCs/>
          <w:dstrike/>
          <w:color w:val="auto"/>
          <w:kern w:val="0"/>
          <w:sz w:val="24"/>
          <w:szCs w:val="24"/>
          <w:highlight w:val="none"/>
        </w:rPr>
        <w:t>方法二：区间抽取法</w:t>
      </w:r>
    </w:p>
    <w:p>
      <w:pPr>
        <w:widowControl/>
        <w:snapToGrid w:val="0"/>
        <w:spacing w:line="360" w:lineRule="auto"/>
        <w:ind w:firstLine="480" w:firstLineChars="200"/>
        <w:rPr>
          <w:rFonts w:ascii="宋体" w:hAnsi="宋体"/>
          <w:dstrike/>
          <w:color w:val="auto"/>
          <w:kern w:val="0"/>
          <w:sz w:val="24"/>
          <w:szCs w:val="24"/>
          <w:highlight w:val="none"/>
        </w:rPr>
      </w:pPr>
      <w:r>
        <w:rPr>
          <w:rFonts w:hint="eastAsia" w:ascii="宋体" w:hAnsi="宋体" w:cs="仿宋"/>
          <w:dstrike/>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dstrike/>
          <w:color w:val="auto"/>
          <w:kern w:val="0"/>
          <w:sz w:val="24"/>
          <w:szCs w:val="24"/>
          <w:highlight w:val="none"/>
          <w:vertAlign w:val="subscript"/>
        </w:rPr>
      </w:pPr>
      <w:r>
        <w:rPr>
          <w:rFonts w:hint="eastAsia" w:ascii="宋体" w:hAnsi="宋体" w:cs="仿宋"/>
          <w:dstrike/>
          <w:color w:val="auto"/>
          <w:kern w:val="0"/>
          <w:sz w:val="24"/>
          <w:szCs w:val="24"/>
          <w:highlight w:val="none"/>
        </w:rPr>
        <w:t>评标参考价</w:t>
      </w:r>
      <w:r>
        <w:rPr>
          <w:rFonts w:ascii="宋体" w:hAnsi="宋体" w:cs="仿宋"/>
          <w:dstrike/>
          <w:color w:val="auto"/>
          <w:kern w:val="0"/>
          <w:sz w:val="24"/>
          <w:szCs w:val="24"/>
          <w:highlight w:val="none"/>
        </w:rPr>
        <w:t>=</w:t>
      </w:r>
      <w:r>
        <w:rPr>
          <w:rFonts w:hint="eastAsia" w:ascii="宋体" w:hAnsi="宋体" w:cs="仿宋"/>
          <w:dstrike/>
          <w:color w:val="auto"/>
          <w:kern w:val="0"/>
          <w:sz w:val="24"/>
          <w:szCs w:val="24"/>
          <w:highlight w:val="none"/>
        </w:rPr>
        <w:t>（</w:t>
      </w:r>
      <w:r>
        <w:rPr>
          <w:rFonts w:ascii="宋体" w:hAnsi="宋体" w:cs="仿宋"/>
          <w:dstrike/>
          <w:color w:val="auto"/>
          <w:kern w:val="0"/>
          <w:sz w:val="24"/>
          <w:szCs w:val="24"/>
          <w:highlight w:val="none"/>
        </w:rPr>
        <w:t>Q</w:t>
      </w:r>
      <w:r>
        <w:rPr>
          <w:rFonts w:hint="eastAsia" w:ascii="宋体" w:hAnsi="宋体" w:cs="仿宋"/>
          <w:dstrike/>
          <w:color w:val="auto"/>
          <w:kern w:val="0"/>
          <w:sz w:val="24"/>
          <w:szCs w:val="24"/>
          <w:highlight w:val="none"/>
          <w:vertAlign w:val="subscript"/>
        </w:rPr>
        <w:t>高</w:t>
      </w:r>
      <w:r>
        <w:rPr>
          <w:rFonts w:ascii="宋体" w:hAnsi="宋体" w:cs="仿宋"/>
          <w:dstrike/>
          <w:color w:val="auto"/>
          <w:kern w:val="0"/>
          <w:sz w:val="24"/>
          <w:szCs w:val="24"/>
          <w:highlight w:val="none"/>
        </w:rPr>
        <w:t>-Q</w:t>
      </w:r>
      <w:r>
        <w:rPr>
          <w:rFonts w:hint="eastAsia" w:ascii="宋体" w:hAnsi="宋体" w:cs="仿宋"/>
          <w:dstrike/>
          <w:color w:val="auto"/>
          <w:kern w:val="0"/>
          <w:sz w:val="24"/>
          <w:szCs w:val="24"/>
          <w:highlight w:val="none"/>
          <w:vertAlign w:val="subscript"/>
        </w:rPr>
        <w:t>低</w:t>
      </w:r>
      <w:r>
        <w:rPr>
          <w:rFonts w:hint="eastAsia" w:ascii="宋体" w:hAnsi="宋体" w:cs="仿宋"/>
          <w:dstrike/>
          <w:color w:val="auto"/>
          <w:kern w:val="0"/>
          <w:sz w:val="24"/>
          <w:szCs w:val="24"/>
          <w:highlight w:val="none"/>
        </w:rPr>
        <w:t>）</w:t>
      </w:r>
      <w:r>
        <w:rPr>
          <w:rFonts w:ascii="宋体" w:hAnsi="宋体" w:cs="仿宋"/>
          <w:dstrike/>
          <w:color w:val="auto"/>
          <w:kern w:val="0"/>
          <w:sz w:val="24"/>
          <w:szCs w:val="24"/>
          <w:highlight w:val="none"/>
        </w:rPr>
        <w:t>/100*</w:t>
      </w:r>
      <w:r>
        <w:rPr>
          <w:rFonts w:hint="eastAsia" w:ascii="宋体" w:hAnsi="宋体" w:cs="仿宋"/>
          <w:dstrike/>
          <w:color w:val="auto"/>
          <w:kern w:val="0"/>
          <w:sz w:val="24"/>
          <w:szCs w:val="24"/>
          <w:highlight w:val="none"/>
        </w:rPr>
        <w:t>Ｘ</w:t>
      </w:r>
      <w:r>
        <w:rPr>
          <w:rFonts w:ascii="宋体" w:hAnsi="宋体" w:cs="仿宋"/>
          <w:dstrike/>
          <w:color w:val="auto"/>
          <w:kern w:val="0"/>
          <w:sz w:val="24"/>
          <w:szCs w:val="24"/>
          <w:highlight w:val="none"/>
        </w:rPr>
        <w:t>+Q</w:t>
      </w:r>
      <w:r>
        <w:rPr>
          <w:rFonts w:hint="eastAsia" w:ascii="宋体" w:hAnsi="宋体" w:cs="仿宋"/>
          <w:dstrike/>
          <w:color w:val="auto"/>
          <w:kern w:val="0"/>
          <w:sz w:val="24"/>
          <w:szCs w:val="24"/>
          <w:highlight w:val="none"/>
          <w:vertAlign w:val="subscript"/>
        </w:rPr>
        <w:t>低</w:t>
      </w:r>
    </w:p>
    <w:p>
      <w:pPr>
        <w:widowControl/>
        <w:snapToGrid w:val="0"/>
        <w:spacing w:line="360" w:lineRule="auto"/>
        <w:ind w:firstLine="480" w:firstLineChars="200"/>
        <w:rPr>
          <w:rFonts w:ascii="宋体" w:hAnsi="宋体"/>
          <w:dstrike/>
          <w:color w:val="auto"/>
          <w:sz w:val="24"/>
          <w:szCs w:val="24"/>
          <w:highlight w:val="none"/>
        </w:rPr>
      </w:pPr>
      <w:r>
        <w:rPr>
          <w:rFonts w:ascii="宋体" w:hAnsi="宋体" w:cs="仿宋"/>
          <w:dstrike/>
          <w:color w:val="auto"/>
          <w:sz w:val="24"/>
          <w:szCs w:val="24"/>
          <w:highlight w:val="none"/>
        </w:rPr>
        <w:t>Q</w:t>
      </w:r>
      <w:r>
        <w:rPr>
          <w:rFonts w:hint="eastAsia" w:ascii="宋体" w:hAnsi="宋体" w:cs="仿宋"/>
          <w:dstrike/>
          <w:color w:val="auto"/>
          <w:sz w:val="24"/>
          <w:szCs w:val="24"/>
          <w:highlight w:val="none"/>
          <w:vertAlign w:val="subscript"/>
        </w:rPr>
        <w:t>低</w:t>
      </w:r>
      <w:r>
        <w:rPr>
          <w:rFonts w:hint="eastAsia" w:ascii="宋体" w:hAnsi="宋体" w:cs="仿宋"/>
          <w:dstrike/>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ascii="宋体" w:hAnsi="宋体" w:cs="仿宋"/>
          <w:dstrike/>
          <w:color w:val="auto"/>
          <w:sz w:val="24"/>
          <w:szCs w:val="24"/>
          <w:highlight w:val="none"/>
        </w:rPr>
      </w:pPr>
      <w:r>
        <w:rPr>
          <w:rFonts w:ascii="宋体" w:hAnsi="宋体" w:cs="仿宋"/>
          <w:dstrike/>
          <w:color w:val="auto"/>
          <w:kern w:val="0"/>
          <w:sz w:val="24"/>
          <w:szCs w:val="24"/>
          <w:highlight w:val="none"/>
        </w:rPr>
        <w:t>Q</w:t>
      </w:r>
      <w:r>
        <w:rPr>
          <w:rFonts w:hint="eastAsia" w:ascii="宋体" w:hAnsi="宋体" w:cs="仿宋"/>
          <w:dstrike/>
          <w:color w:val="auto"/>
          <w:kern w:val="0"/>
          <w:sz w:val="24"/>
          <w:szCs w:val="24"/>
          <w:highlight w:val="none"/>
          <w:vertAlign w:val="subscript"/>
        </w:rPr>
        <w:t>高</w:t>
      </w:r>
      <w:r>
        <w:rPr>
          <w:rFonts w:hint="eastAsia" w:ascii="宋体" w:hAnsi="宋体" w:cs="仿宋"/>
          <w:dstrike/>
          <w:color w:val="auto"/>
          <w:sz w:val="24"/>
          <w:szCs w:val="24"/>
          <w:highlight w:val="none"/>
        </w:rPr>
        <w:t>：为（最高投标限价</w:t>
      </w:r>
      <w:r>
        <w:rPr>
          <w:rFonts w:ascii="宋体" w:hAnsi="宋体" w:cs="仿宋"/>
          <w:dstrike/>
          <w:color w:val="auto"/>
          <w:sz w:val="24"/>
          <w:szCs w:val="24"/>
          <w:highlight w:val="none"/>
        </w:rPr>
        <w:t>*D%</w:t>
      </w:r>
      <w:r>
        <w:rPr>
          <w:rFonts w:hint="eastAsia" w:ascii="宋体" w:hAnsi="宋体" w:cs="仿宋"/>
          <w:dstrike/>
          <w:color w:val="auto"/>
          <w:sz w:val="24"/>
          <w:szCs w:val="24"/>
          <w:highlight w:val="none"/>
        </w:rPr>
        <w:t>）（</w:t>
      </w:r>
      <w:r>
        <w:rPr>
          <w:rFonts w:ascii="宋体" w:hAnsi="宋体" w:cs="仿宋"/>
          <w:dstrike/>
          <w:color w:val="auto"/>
          <w:sz w:val="24"/>
          <w:szCs w:val="24"/>
          <w:highlight w:val="none"/>
        </w:rPr>
        <w:t>D</w:t>
      </w:r>
      <w:r>
        <w:rPr>
          <w:rFonts w:hint="eastAsia" w:ascii="宋体" w:hAnsi="宋体" w:cs="仿宋"/>
          <w:dstrike/>
          <w:color w:val="auto"/>
          <w:sz w:val="24"/>
          <w:szCs w:val="24"/>
          <w:highlight w:val="none"/>
        </w:rPr>
        <w:t>的取值范围为</w:t>
      </w:r>
      <w:r>
        <w:rPr>
          <w:rFonts w:ascii="宋体" w:hAnsi="宋体" w:cs="仿宋"/>
          <w:dstrike/>
          <w:color w:val="auto"/>
          <w:sz w:val="24"/>
          <w:szCs w:val="24"/>
          <w:highlight w:val="none"/>
        </w:rPr>
        <w:t>[94,100],</w:t>
      </w:r>
      <w:r>
        <w:rPr>
          <w:rFonts w:hint="eastAsia" w:ascii="宋体" w:hAnsi="宋体" w:cs="仿宋"/>
          <w:dstrike/>
          <w:color w:val="auto"/>
          <w:sz w:val="24"/>
          <w:szCs w:val="24"/>
          <w:highlight w:val="none"/>
        </w:rPr>
        <w:t>由招标人自定）</w:t>
      </w:r>
    </w:p>
    <w:p>
      <w:pPr>
        <w:spacing w:line="360" w:lineRule="auto"/>
        <w:ind w:firstLine="480" w:firstLineChars="200"/>
        <w:rPr>
          <w:rFonts w:ascii="宋体" w:hAnsi="宋体"/>
          <w:dstrike/>
          <w:color w:val="auto"/>
          <w:sz w:val="24"/>
          <w:szCs w:val="24"/>
          <w:highlight w:val="none"/>
        </w:rPr>
      </w:pPr>
      <w:r>
        <w:rPr>
          <w:rFonts w:ascii="宋体" w:hAnsi="宋体" w:cs="仿宋"/>
          <w:dstrike/>
          <w:color w:val="auto"/>
          <w:sz w:val="24"/>
          <w:szCs w:val="24"/>
          <w:highlight w:val="none"/>
        </w:rPr>
        <w:t>X:</w:t>
      </w:r>
      <w:r>
        <w:rPr>
          <w:rFonts w:hint="eastAsia" w:ascii="宋体" w:hAnsi="宋体" w:cs="仿宋"/>
          <w:dstrike/>
          <w:color w:val="auto"/>
          <w:sz w:val="24"/>
          <w:szCs w:val="24"/>
          <w:highlight w:val="none"/>
        </w:rPr>
        <w:t>为等分点值，从</w:t>
      </w:r>
      <w:r>
        <w:rPr>
          <w:rFonts w:ascii="宋体" w:hAnsi="宋体" w:cs="仿宋"/>
          <w:dstrike/>
          <w:color w:val="auto"/>
          <w:sz w:val="24"/>
          <w:szCs w:val="24"/>
          <w:highlight w:val="none"/>
        </w:rPr>
        <w:t>[0,100]</w:t>
      </w:r>
      <w:r>
        <w:rPr>
          <w:rFonts w:hint="eastAsia" w:ascii="宋体" w:hAnsi="宋体" w:cs="仿宋"/>
          <w:dstrike/>
          <w:color w:val="auto"/>
          <w:sz w:val="24"/>
          <w:szCs w:val="24"/>
          <w:highlight w:val="none"/>
        </w:rPr>
        <w:t>整数中随机抽取</w:t>
      </w:r>
    </w:p>
    <w:p>
      <w:pPr>
        <w:spacing w:line="360" w:lineRule="auto"/>
        <w:ind w:firstLine="480" w:firstLineChars="200"/>
        <w:rPr>
          <w:rFonts w:ascii="宋体" w:hAnsi="宋体"/>
          <w:dstrike/>
          <w:color w:val="auto"/>
          <w:sz w:val="24"/>
          <w:szCs w:val="24"/>
          <w:highlight w:val="none"/>
        </w:rPr>
      </w:pPr>
      <w:r>
        <w:rPr>
          <w:rFonts w:hint="eastAsia" w:ascii="宋体" w:hAnsi="宋体" w:cs="宋体"/>
          <w:dstrike/>
          <w:color w:val="auto"/>
          <w:kern w:val="0"/>
          <w:sz w:val="24"/>
          <w:szCs w:val="24"/>
          <w:highlight w:val="none"/>
        </w:rPr>
        <w:t>45.3</w:t>
      </w:r>
      <w:r>
        <w:rPr>
          <w:rFonts w:hint="eastAsia" w:ascii="宋体" w:hAnsi="宋体"/>
          <w:dstrike/>
          <w:color w:val="auto"/>
          <w:sz w:val="24"/>
          <w:szCs w:val="24"/>
          <w:highlight w:val="none"/>
        </w:rPr>
        <w:t>当标价等于评标参考价时得</w:t>
      </w:r>
      <w:r>
        <w:rPr>
          <w:rFonts w:ascii="宋体" w:hAnsi="宋体"/>
          <w:dstrike/>
          <w:color w:val="auto"/>
          <w:sz w:val="24"/>
          <w:szCs w:val="24"/>
          <w:highlight w:val="none"/>
        </w:rPr>
        <w:t>100</w:t>
      </w:r>
      <w:r>
        <w:rPr>
          <w:rFonts w:hint="eastAsia" w:ascii="宋体" w:hAnsi="宋体"/>
          <w:dstrike/>
          <w:color w:val="auto"/>
          <w:sz w:val="24"/>
          <w:szCs w:val="24"/>
          <w:highlight w:val="none"/>
        </w:rPr>
        <w:t>分，标价每高于评标参考价</w:t>
      </w:r>
      <w:r>
        <w:rPr>
          <w:rFonts w:ascii="宋体" w:hAnsi="宋体"/>
          <w:dstrike/>
          <w:color w:val="auto"/>
          <w:sz w:val="24"/>
          <w:szCs w:val="24"/>
          <w:highlight w:val="none"/>
        </w:rPr>
        <w:t>1%</w:t>
      </w:r>
      <w:r>
        <w:rPr>
          <w:rFonts w:hint="eastAsia" w:ascii="宋体" w:hAnsi="宋体"/>
          <w:dstrike/>
          <w:color w:val="auto"/>
          <w:sz w:val="24"/>
          <w:szCs w:val="24"/>
          <w:highlight w:val="none"/>
        </w:rPr>
        <w:t>，扣</w:t>
      </w:r>
      <w:r>
        <w:rPr>
          <w:rFonts w:ascii="宋体" w:hAnsi="宋体"/>
          <w:dstrike/>
          <w:color w:val="auto"/>
          <w:sz w:val="24"/>
          <w:szCs w:val="24"/>
          <w:highlight w:val="none"/>
        </w:rPr>
        <w:t>1.5</w:t>
      </w:r>
      <w:r>
        <w:rPr>
          <w:rFonts w:hint="eastAsia" w:ascii="宋体" w:hAnsi="宋体"/>
          <w:dstrike/>
          <w:color w:val="auto"/>
          <w:sz w:val="24"/>
          <w:szCs w:val="24"/>
          <w:highlight w:val="none"/>
        </w:rPr>
        <w:t>分，每低于评标参考价</w:t>
      </w:r>
      <w:r>
        <w:rPr>
          <w:rFonts w:ascii="宋体" w:hAnsi="宋体"/>
          <w:dstrike/>
          <w:color w:val="auto"/>
          <w:sz w:val="24"/>
          <w:szCs w:val="24"/>
          <w:highlight w:val="none"/>
        </w:rPr>
        <w:t>1%</w:t>
      </w:r>
      <w:r>
        <w:rPr>
          <w:rFonts w:hint="eastAsia" w:ascii="宋体" w:hAnsi="宋体"/>
          <w:dstrike/>
          <w:color w:val="auto"/>
          <w:sz w:val="24"/>
          <w:szCs w:val="24"/>
          <w:highlight w:val="none"/>
        </w:rPr>
        <w:t>，扣</w:t>
      </w:r>
      <w:r>
        <w:rPr>
          <w:rFonts w:ascii="宋体" w:hAnsi="宋体"/>
          <w:dstrike/>
          <w:color w:val="auto"/>
          <w:sz w:val="24"/>
          <w:szCs w:val="24"/>
          <w:highlight w:val="none"/>
        </w:rPr>
        <w:t>1</w:t>
      </w:r>
      <w:r>
        <w:rPr>
          <w:rFonts w:hint="eastAsia" w:ascii="宋体" w:hAnsi="宋体"/>
          <w:dstrike/>
          <w:color w:val="auto"/>
          <w:sz w:val="24"/>
          <w:szCs w:val="24"/>
          <w:highlight w:val="none"/>
        </w:rPr>
        <w:t>分，扣至</w:t>
      </w:r>
      <w:r>
        <w:rPr>
          <w:rFonts w:ascii="宋体" w:hAnsi="宋体"/>
          <w:dstrike/>
          <w:color w:val="auto"/>
          <w:sz w:val="24"/>
          <w:szCs w:val="24"/>
          <w:highlight w:val="none"/>
        </w:rPr>
        <w:t>0</w:t>
      </w:r>
      <w:r>
        <w:rPr>
          <w:rFonts w:hint="eastAsia" w:ascii="宋体" w:hAnsi="宋体"/>
          <w:dstrike/>
          <w:color w:val="auto"/>
          <w:sz w:val="24"/>
          <w:szCs w:val="24"/>
          <w:highlight w:val="none"/>
        </w:rPr>
        <w:t>分为止，得出经济分，精确到小数点后两位。</w:t>
      </w:r>
    </w:p>
    <w:p>
      <w:pPr>
        <w:pStyle w:val="5"/>
        <w:tabs>
          <w:tab w:val="left" w:pos="7380"/>
        </w:tabs>
        <w:snapToGrid w:val="0"/>
        <w:spacing w:after="0" w:line="360" w:lineRule="auto"/>
        <w:ind w:firstLine="480" w:firstLineChars="200"/>
        <w:rPr>
          <w:rFonts w:ascii="宋体"/>
          <w:dstrike/>
          <w:color w:val="auto"/>
          <w:sz w:val="24"/>
          <w:szCs w:val="24"/>
          <w:highlight w:val="none"/>
        </w:rPr>
      </w:pPr>
      <w:r>
        <w:rPr>
          <w:rFonts w:hint="eastAsia" w:ascii="宋体" w:hAnsi="宋体"/>
          <w:dstrike/>
          <w:color w:val="auto"/>
          <w:sz w:val="24"/>
          <w:szCs w:val="24"/>
          <w:highlight w:val="none"/>
        </w:rPr>
        <w:t>45.4</w:t>
      </w:r>
      <w:r>
        <w:rPr>
          <w:rFonts w:hint="eastAsia" w:ascii="宋体"/>
          <w:dstrike/>
          <w:color w:val="auto"/>
          <w:sz w:val="24"/>
          <w:szCs w:val="24"/>
          <w:highlight w:val="none"/>
        </w:rPr>
        <w:t>计算通过技术标有效性审查的投标人总得分。投标人总得分=（技术得分×技术得分权重</w:t>
      </w:r>
      <w:r>
        <w:rPr>
          <w:rFonts w:hint="eastAsia" w:ascii="宋体" w:cs="宋体"/>
          <w:dstrike/>
          <w:color w:val="auto"/>
          <w:sz w:val="24"/>
          <w:szCs w:val="24"/>
          <w:highlight w:val="none"/>
        </w:rPr>
        <w:t>＋</w:t>
      </w:r>
      <w:r>
        <w:rPr>
          <w:rFonts w:hint="eastAsia" w:ascii="宋体"/>
          <w:dstrike/>
          <w:color w:val="auto"/>
          <w:sz w:val="24"/>
          <w:szCs w:val="24"/>
          <w:highlight w:val="none"/>
        </w:rPr>
        <w:t>经济得分×经济得分权重）×（1-综合诚信评价分数权重）</w:t>
      </w:r>
      <w:r>
        <w:rPr>
          <w:rFonts w:hint="eastAsia" w:ascii="宋体" w:cs="宋体"/>
          <w:dstrike/>
          <w:color w:val="auto"/>
          <w:sz w:val="24"/>
          <w:szCs w:val="24"/>
          <w:highlight w:val="none"/>
        </w:rPr>
        <w:t>＋</w:t>
      </w:r>
      <w:r>
        <w:rPr>
          <w:rFonts w:hint="eastAsia" w:ascii="宋体"/>
          <w:dstrike/>
          <w:color w:val="auto"/>
          <w:sz w:val="24"/>
          <w:szCs w:val="24"/>
          <w:highlight w:val="none"/>
        </w:rPr>
        <w:t>综合诚信评价排名得分×综合诚信评价分数权重）。技术、经济得分权重按投标须知前附表的规定执行。总得分四舍五入保留两位小数。</w:t>
      </w:r>
    </w:p>
    <w:p>
      <w:pPr>
        <w:pStyle w:val="5"/>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46.经济标的有效性审查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46.1</w:t>
      </w:r>
      <w:r>
        <w:rPr>
          <w:rFonts w:hint="eastAsia" w:ascii="宋体" w:hAnsi="宋体"/>
          <w:color w:val="auto"/>
          <w:sz w:val="24"/>
          <w:szCs w:val="24"/>
          <w:highlight w:val="none"/>
          <w:u w:val="single"/>
        </w:rPr>
        <w:t>对通过技术标有效性审查投标人的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592" w:firstLineChars="247"/>
        <w:rPr>
          <w:rFonts w:ascii="宋体" w:hAnsi="宋体"/>
          <w:b/>
          <w:color w:val="auto"/>
          <w:sz w:val="24"/>
          <w:szCs w:val="24"/>
          <w:highlight w:val="none"/>
          <w:u w:val="single"/>
        </w:rPr>
      </w:pPr>
      <w:r>
        <w:rPr>
          <w:rFonts w:hint="eastAsia" w:ascii="宋体" w:hAnsi="宋体"/>
          <w:color w:val="auto"/>
          <w:sz w:val="24"/>
          <w:szCs w:val="24"/>
          <w:highlight w:val="none"/>
          <w:u w:val="single"/>
        </w:rPr>
        <w:t>47.评标委员会按只有通过有效性审查的投标人的投标文件方可进入下一阶段有效性审查的原则，根据有效性审查结果，取消被否决投标的投标人进入定标阶段的合格中标候选人资格，其余通过全部有效性审查的投标人均可进入定标阶段。</w:t>
      </w:r>
    </w:p>
    <w:p>
      <w:pPr>
        <w:spacing w:line="360" w:lineRule="auto"/>
        <w:ind w:firstLine="592" w:firstLineChars="247"/>
        <w:rPr>
          <w:rFonts w:ascii="宋体" w:hAnsi="宋体"/>
          <w:color w:val="auto"/>
          <w:sz w:val="24"/>
          <w:szCs w:val="24"/>
          <w:highlight w:val="none"/>
          <w:u w:val="single"/>
        </w:rPr>
      </w:pPr>
      <w:r>
        <w:rPr>
          <w:rFonts w:hint="eastAsia" w:ascii="宋体" w:hAnsi="宋体"/>
          <w:color w:val="auto"/>
          <w:sz w:val="24"/>
          <w:szCs w:val="24"/>
          <w:highlight w:val="none"/>
          <w:u w:val="single"/>
        </w:rPr>
        <w:t>48.评标委员会应在通过投标文件经济标有效性审查的投标人中，确定合格中标候选人进入定标阶段</w:t>
      </w:r>
      <w:r>
        <w:rPr>
          <w:rFonts w:hint="eastAsia" w:ascii="宋体" w:hAnsi="宋体"/>
          <w:color w:val="auto"/>
          <w:sz w:val="24"/>
          <w:highlight w:val="none"/>
          <w:u w:val="single"/>
        </w:rPr>
        <w:t>【不排序，按统一社会信用代码后4位（除效验码外）大小排位】</w:t>
      </w:r>
      <w:r>
        <w:rPr>
          <w:rFonts w:hint="eastAsia" w:ascii="宋体"/>
          <w:color w:val="auto"/>
          <w:sz w:val="24"/>
          <w:szCs w:val="24"/>
          <w:highlight w:val="none"/>
          <w:u w:val="single"/>
        </w:rPr>
        <w:t>,</w:t>
      </w:r>
      <w:r>
        <w:rPr>
          <w:rFonts w:hint="eastAsia" w:ascii="宋体" w:hAnsi="宋体"/>
          <w:color w:val="auto"/>
          <w:sz w:val="24"/>
          <w:szCs w:val="24"/>
          <w:highlight w:val="none"/>
          <w:u w:val="single"/>
        </w:rPr>
        <w:t>并编制评标报告。</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50、定标前期准备工作</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50.1定标前，招标人将对合格的中标候选人进行定标前的考察，考察内容包括但不限于：</w:t>
      </w:r>
    </w:p>
    <w:p>
      <w:pPr>
        <w:spacing w:line="360" w:lineRule="auto"/>
        <w:ind w:firstLine="480" w:firstLineChars="200"/>
        <w:rPr>
          <w:rFonts w:ascii="宋体" w:hAnsi="宋体"/>
          <w:bCs/>
          <w:color w:val="auto"/>
          <w:sz w:val="24"/>
          <w:szCs w:val="24"/>
          <w:highlight w:val="none"/>
          <w:u w:val="single"/>
        </w:rPr>
      </w:pPr>
      <w:r>
        <w:rPr>
          <w:rFonts w:hint="eastAsia" w:ascii="宋体" w:hAnsi="宋体"/>
          <w:bCs/>
          <w:color w:val="auto"/>
          <w:sz w:val="24"/>
          <w:szCs w:val="24"/>
          <w:highlight w:val="none"/>
          <w:u w:val="single"/>
        </w:rPr>
        <w:t>50.1.1企业组织架构、企业规模及企业资信情况；</w:t>
      </w:r>
    </w:p>
    <w:p>
      <w:pPr>
        <w:spacing w:line="360" w:lineRule="auto"/>
        <w:ind w:firstLine="480" w:firstLineChars="200"/>
        <w:rPr>
          <w:rFonts w:ascii="宋体" w:hAnsi="宋体"/>
          <w:bCs/>
          <w:color w:val="auto"/>
          <w:sz w:val="24"/>
          <w:szCs w:val="24"/>
          <w:highlight w:val="none"/>
          <w:u w:val="single"/>
        </w:rPr>
      </w:pPr>
      <w:r>
        <w:rPr>
          <w:rFonts w:hint="eastAsia" w:ascii="宋体" w:hAnsi="宋体"/>
          <w:bCs/>
          <w:color w:val="auto"/>
          <w:sz w:val="24"/>
          <w:szCs w:val="24"/>
          <w:highlight w:val="none"/>
          <w:u w:val="single"/>
        </w:rPr>
        <w:t>50.1.2企业经验及综合实力（如类似业绩、获奖）</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50.1.3项目管理团队组成人员能力等。</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50.2本项目实施时要求项目经理（即项目负责人）驻场，驻场人员必须与投</w:t>
      </w:r>
      <w:r>
        <w:rPr>
          <w:rFonts w:ascii="宋体" w:hAnsi="宋体"/>
          <w:color w:val="auto"/>
          <w:sz w:val="24"/>
          <w:szCs w:val="24"/>
          <w:highlight w:val="none"/>
          <w:u w:val="single"/>
        </w:rPr>
        <w:t>标文件及</w:t>
      </w:r>
      <w:r>
        <w:rPr>
          <w:rFonts w:hint="eastAsia" w:ascii="宋体" w:hAnsi="宋体"/>
          <w:strike/>
          <w:color w:val="auto"/>
          <w:sz w:val="24"/>
          <w:szCs w:val="24"/>
          <w:highlight w:val="none"/>
          <w:u w:val="single"/>
        </w:rPr>
        <w:t>述标时</w:t>
      </w:r>
      <w:r>
        <w:rPr>
          <w:rFonts w:hint="eastAsia" w:ascii="宋体" w:hAnsi="宋体"/>
          <w:color w:val="auto"/>
          <w:sz w:val="24"/>
          <w:szCs w:val="24"/>
          <w:highlight w:val="none"/>
          <w:u w:val="single"/>
        </w:rPr>
        <w:t>一致。</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50.3项目负责人、项目技术负责人必须参与述标及答辩，具体要求如下：</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50.3.1项目管理团队述标</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项目负责人、项目技术负责人参加述标；述标总时间不超</w:t>
      </w:r>
      <w:r>
        <w:rPr>
          <w:rFonts w:ascii="宋体" w:hAnsi="宋体"/>
          <w:strike/>
          <w:color w:val="auto"/>
          <w:sz w:val="24"/>
          <w:szCs w:val="24"/>
          <w:highlight w:val="none"/>
          <w:u w:val="single"/>
        </w:rPr>
        <w:t>过10</w:t>
      </w:r>
      <w:r>
        <w:rPr>
          <w:rFonts w:hint="eastAsia" w:ascii="宋体" w:hAnsi="宋体"/>
          <w:strike/>
          <w:color w:val="auto"/>
          <w:sz w:val="24"/>
          <w:szCs w:val="24"/>
          <w:highlight w:val="none"/>
          <w:u w:val="single"/>
        </w:rPr>
        <w:t>分钟。</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（1）项目负责人相关工程经验；</w:t>
      </w:r>
    </w:p>
    <w:p>
      <w:pPr>
        <w:spacing w:line="360" w:lineRule="auto"/>
        <w:ind w:firstLine="480" w:firstLineChars="200"/>
        <w:rPr>
          <w:rFonts w:ascii="宋体" w:hAnsi="宋体"/>
          <w:bCs/>
          <w:strike/>
          <w:color w:val="auto"/>
          <w:sz w:val="24"/>
          <w:szCs w:val="24"/>
          <w:highlight w:val="none"/>
          <w:u w:val="single"/>
        </w:rPr>
      </w:pPr>
      <w:r>
        <w:rPr>
          <w:rFonts w:hint="eastAsia" w:ascii="宋体" w:hAnsi="宋体"/>
          <w:strike/>
          <w:color w:val="auto"/>
          <w:sz w:val="24"/>
          <w:szCs w:val="24"/>
          <w:highlight w:val="none"/>
          <w:u w:val="single"/>
        </w:rPr>
        <w:t>（2）</w:t>
      </w:r>
      <w:r>
        <w:rPr>
          <w:rFonts w:ascii="宋体" w:hAnsi="宋体"/>
          <w:strike/>
          <w:color w:val="auto"/>
          <w:sz w:val="24"/>
          <w:szCs w:val="24"/>
          <w:highlight w:val="none"/>
          <w:u w:val="single"/>
        </w:rPr>
        <w:t>述标</w:t>
      </w:r>
      <w:r>
        <w:rPr>
          <w:rFonts w:hint="eastAsia" w:ascii="宋体" w:hAnsi="宋体"/>
          <w:strike/>
          <w:color w:val="auto"/>
          <w:sz w:val="24"/>
          <w:szCs w:val="24"/>
          <w:highlight w:val="none"/>
          <w:u w:val="single"/>
        </w:rPr>
        <w:t>要点；</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本工程专篇：本工程中施工的重点难点；</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现场协调专篇：</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1）针对本项目特点详细描述本项目内部协调相关主要重点难点。</w:t>
      </w:r>
    </w:p>
    <w:p>
      <w:pPr>
        <w:spacing w:line="360" w:lineRule="auto"/>
        <w:ind w:firstLine="480" w:firstLineChars="200"/>
        <w:rPr>
          <w:rFonts w:ascii="宋体" w:hAnsi="宋体"/>
          <w:strike/>
          <w:color w:val="auto"/>
          <w:sz w:val="24"/>
          <w:szCs w:val="24"/>
          <w:highlight w:val="none"/>
          <w:u w:val="single"/>
        </w:rPr>
      </w:pPr>
      <w:r>
        <w:rPr>
          <w:rFonts w:ascii="宋体" w:hAnsi="宋体"/>
          <w:strike/>
          <w:color w:val="auto"/>
          <w:sz w:val="24"/>
          <w:szCs w:val="24"/>
          <w:highlight w:val="none"/>
          <w:u w:val="single"/>
        </w:rPr>
        <w:t>2</w:t>
      </w:r>
      <w:r>
        <w:rPr>
          <w:rFonts w:hint="eastAsia" w:ascii="宋体" w:hAnsi="宋体"/>
          <w:strike/>
          <w:color w:val="auto"/>
          <w:sz w:val="24"/>
          <w:szCs w:val="24"/>
          <w:highlight w:val="none"/>
          <w:u w:val="single"/>
        </w:rPr>
        <w:t>）针对本项目特点详细描述本项目外部协调相关主要重点难点。</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50.3.2项目管理团队答辩</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项目负责人、项目技术负责人参加答辩，答辩总时间不多于</w:t>
      </w:r>
      <w:r>
        <w:rPr>
          <w:rFonts w:ascii="宋体" w:hAnsi="宋体"/>
          <w:strike/>
          <w:color w:val="auto"/>
          <w:sz w:val="24"/>
          <w:szCs w:val="24"/>
          <w:highlight w:val="none"/>
          <w:u w:val="single"/>
        </w:rPr>
        <w:t>5</w:t>
      </w:r>
      <w:r>
        <w:rPr>
          <w:rFonts w:hint="eastAsia" w:ascii="宋体" w:hAnsi="宋体"/>
          <w:strike/>
          <w:color w:val="auto"/>
          <w:sz w:val="24"/>
          <w:szCs w:val="24"/>
          <w:highlight w:val="none"/>
          <w:u w:val="single"/>
        </w:rPr>
        <w:t>分钟；</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答辩要求：答辩共计3～5个问题，问题由招标人在答辩前确定并提供。</w:t>
      </w:r>
    </w:p>
    <w:p>
      <w:pPr>
        <w:spacing w:line="360" w:lineRule="auto"/>
        <w:ind w:firstLine="480" w:firstLineChars="200"/>
        <w:rPr>
          <w:rFonts w:ascii="宋体" w:hAnsi="宋体"/>
          <w:b/>
          <w:strike/>
          <w:color w:val="auto"/>
          <w:sz w:val="24"/>
          <w:szCs w:val="24"/>
          <w:highlight w:val="none"/>
          <w:u w:val="single"/>
        </w:rPr>
      </w:pPr>
      <w:r>
        <w:rPr>
          <w:rFonts w:hint="eastAsia" w:ascii="宋体" w:hAnsi="宋体"/>
          <w:strike/>
          <w:color w:val="auto"/>
          <w:sz w:val="24"/>
          <w:szCs w:val="24"/>
          <w:highlight w:val="none"/>
          <w:u w:val="single"/>
        </w:rPr>
        <w:t>50.3.3述标、答辩人员如有缺席或与投标文件不符合</w:t>
      </w:r>
      <w:r>
        <w:rPr>
          <w:rFonts w:ascii="宋体" w:hAnsi="宋体"/>
          <w:strike/>
          <w:color w:val="auto"/>
          <w:sz w:val="24"/>
          <w:szCs w:val="24"/>
          <w:highlight w:val="none"/>
          <w:u w:val="single"/>
        </w:rPr>
        <w:t>，</w:t>
      </w:r>
      <w:r>
        <w:rPr>
          <w:rFonts w:hint="eastAsia" w:ascii="宋体" w:hAnsi="宋体"/>
          <w:strike/>
          <w:color w:val="auto"/>
          <w:sz w:val="24"/>
          <w:szCs w:val="24"/>
          <w:highlight w:val="none"/>
          <w:u w:val="single"/>
        </w:rPr>
        <w:t>将影响考察结果；</w:t>
      </w:r>
    </w:p>
    <w:p>
      <w:pPr>
        <w:spacing w:line="360" w:lineRule="auto"/>
        <w:ind w:firstLine="480" w:firstLineChars="200"/>
        <w:rPr>
          <w:rFonts w:ascii="宋体" w:hAnsi="宋体"/>
          <w:strike/>
          <w:color w:val="auto"/>
          <w:sz w:val="24"/>
          <w:szCs w:val="24"/>
          <w:highlight w:val="none"/>
          <w:u w:val="single"/>
        </w:rPr>
      </w:pPr>
      <w:r>
        <w:rPr>
          <w:rFonts w:hint="eastAsia" w:ascii="宋体" w:hAnsi="宋体"/>
          <w:strike/>
          <w:color w:val="auto"/>
          <w:sz w:val="24"/>
          <w:szCs w:val="24"/>
          <w:highlight w:val="none"/>
          <w:u w:val="single"/>
        </w:rPr>
        <w:t>50.3.4</w:t>
      </w:r>
      <w:r>
        <w:rPr>
          <w:rFonts w:ascii="宋体" w:hAnsi="宋体"/>
          <w:strike/>
          <w:color w:val="auto"/>
          <w:sz w:val="24"/>
          <w:szCs w:val="24"/>
          <w:highlight w:val="none"/>
          <w:u w:val="single"/>
        </w:rPr>
        <w:t>具体述标</w:t>
      </w:r>
      <w:r>
        <w:rPr>
          <w:rFonts w:hint="eastAsia" w:ascii="宋体" w:hAnsi="宋体"/>
          <w:strike/>
          <w:color w:val="auto"/>
          <w:sz w:val="24"/>
          <w:szCs w:val="24"/>
          <w:highlight w:val="none"/>
          <w:u w:val="single"/>
        </w:rPr>
        <w:t>时间、</w:t>
      </w:r>
      <w:r>
        <w:rPr>
          <w:rFonts w:ascii="宋体" w:hAnsi="宋体"/>
          <w:strike/>
          <w:color w:val="auto"/>
          <w:sz w:val="24"/>
          <w:szCs w:val="24"/>
          <w:highlight w:val="none"/>
          <w:u w:val="single"/>
        </w:rPr>
        <w:t>答辩时间</w:t>
      </w:r>
      <w:r>
        <w:rPr>
          <w:rFonts w:hint="eastAsia" w:ascii="宋体" w:hAnsi="宋体"/>
          <w:strike/>
          <w:color w:val="auto"/>
          <w:sz w:val="24"/>
          <w:szCs w:val="24"/>
          <w:highlight w:val="none"/>
          <w:u w:val="single"/>
        </w:rPr>
        <w:t>及地点</w:t>
      </w:r>
      <w:r>
        <w:rPr>
          <w:rFonts w:ascii="宋体" w:hAnsi="宋体"/>
          <w:strike/>
          <w:color w:val="auto"/>
          <w:sz w:val="24"/>
          <w:szCs w:val="24"/>
          <w:highlight w:val="none"/>
          <w:u w:val="single"/>
        </w:rPr>
        <w:t>以招标人</w:t>
      </w:r>
      <w:r>
        <w:rPr>
          <w:rFonts w:hint="eastAsia" w:ascii="宋体" w:hAnsi="宋体"/>
          <w:strike/>
          <w:color w:val="auto"/>
          <w:sz w:val="24"/>
          <w:szCs w:val="24"/>
          <w:highlight w:val="none"/>
          <w:u w:val="single"/>
        </w:rPr>
        <w:t>在</w:t>
      </w:r>
      <w:r>
        <w:rPr>
          <w:rFonts w:ascii="宋体" w:hAnsi="宋体"/>
          <w:strike/>
          <w:color w:val="auto"/>
          <w:sz w:val="24"/>
          <w:szCs w:val="24"/>
          <w:highlight w:val="none"/>
          <w:u w:val="single"/>
        </w:rPr>
        <w:t>中标</w:t>
      </w:r>
      <w:r>
        <w:rPr>
          <w:rFonts w:hint="eastAsia" w:ascii="宋体" w:hAnsi="宋体"/>
          <w:strike/>
          <w:color w:val="auto"/>
          <w:sz w:val="24"/>
          <w:szCs w:val="24"/>
          <w:highlight w:val="none"/>
          <w:u w:val="single"/>
        </w:rPr>
        <w:t>侯选</w:t>
      </w:r>
      <w:r>
        <w:rPr>
          <w:rFonts w:ascii="宋体" w:hAnsi="宋体"/>
          <w:strike/>
          <w:color w:val="auto"/>
          <w:sz w:val="24"/>
          <w:szCs w:val="24"/>
          <w:highlight w:val="none"/>
          <w:u w:val="single"/>
        </w:rPr>
        <w:t>人公示结束后、定标前</w:t>
      </w:r>
      <w:r>
        <w:rPr>
          <w:rFonts w:hint="eastAsia" w:ascii="宋体" w:hAnsi="宋体"/>
          <w:strike/>
          <w:color w:val="auto"/>
          <w:sz w:val="24"/>
          <w:szCs w:val="24"/>
          <w:highlight w:val="none"/>
          <w:u w:val="single"/>
        </w:rPr>
        <w:t>的</w:t>
      </w:r>
      <w:r>
        <w:rPr>
          <w:rFonts w:ascii="宋体" w:hAnsi="宋体"/>
          <w:strike/>
          <w:color w:val="auto"/>
          <w:sz w:val="24"/>
          <w:szCs w:val="24"/>
          <w:highlight w:val="none"/>
          <w:u w:val="single"/>
        </w:rPr>
        <w:t>考察通知为准</w:t>
      </w:r>
      <w:r>
        <w:rPr>
          <w:rFonts w:hint="eastAsia" w:ascii="宋体" w:hAnsi="宋体"/>
          <w:strike/>
          <w:color w:val="auto"/>
          <w:sz w:val="24"/>
          <w:szCs w:val="24"/>
          <w:highlight w:val="none"/>
          <w:u w:val="single"/>
        </w:rPr>
        <w:t>。</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50.4定标前期准备工作会议期间，招标人有权要求投标人对定标辅助文件中含义不明确、对同类问题表述不一致或者有明显文字和计算错误的内容作必要的澄清、说明或补正。澄清、说明或补正须在投标人收到招标人发出的澄清通知后半小时内，以书面形式（加盖投标人公章）答复并扫描发送招标人（书面原件须在两日内送达招标人）。澄清、说明或补正不得超出招标人要求投标人澄清的范围，并构成定标辅助文件的组成部分。招标人对投标人提交的澄清、说明或补正有疑问的，可以要求投标人进一步澄清、说明或补正，直至满足定标前期准备工作会议的要求。招标人不接受投标人主动提出的澄清、说明或补正。</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50.4.1投标报价算术复核</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50.4.1.1招标人有权对各合格的中标候选人的投标报价进行算术复核，指出其过高或过低的投标价格及其他算术计算错误，并要求投标人进行澄清或承诺。</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50.4.1.2投标人投标清单中消防水及喷淋管材、镀锌通风风管的清单项目单价，有一项或多项单价偏离市场价过大时，则招标人有权对该投标人的考察做出不利评审判断。</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50.5定标前期准备工作会议出具的考察报告作为定标委员会在定标时的参考材料。</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51.定标</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中标候选人公示结束后，招标人按以下规定组建定标委员会，在评标委员会推荐的合格中标候选人中确定中标人：</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（1）定标由招标人依法组建的定标委员会负责，成员数量为5人或以上单数，定标委员会成员不得参与定标前期准备工作。</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（2）招标人应当组建监督小组对定标过程进行见证监督。</w:t>
      </w:r>
    </w:p>
    <w:p>
      <w:pPr>
        <w:spacing w:line="360" w:lineRule="auto"/>
        <w:ind w:firstLine="480" w:firstLineChars="200"/>
        <w:rPr>
          <w:rFonts w:ascii="宋体" w:hAnsi="宋体"/>
          <w:bCs/>
          <w:color w:val="auto"/>
          <w:sz w:val="24"/>
          <w:szCs w:val="24"/>
          <w:highlight w:val="none"/>
          <w:u w:val="single"/>
        </w:rPr>
      </w:pPr>
      <w:r>
        <w:rPr>
          <w:rFonts w:hint="eastAsia" w:ascii="宋体" w:hAnsi="宋体"/>
          <w:bCs/>
          <w:color w:val="auto"/>
          <w:sz w:val="24"/>
          <w:szCs w:val="24"/>
          <w:highlight w:val="none"/>
          <w:u w:val="single"/>
        </w:rPr>
        <w:t>51.1 定标时间和地点</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招标人在合格的中标候选人公示结束后10个工作日内在广州公共资源交易中心举行定标会议，招标人按规定程序在投标人须知的时间和地点完成定标工作。</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 定标规则</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本项目采用</w:t>
      </w:r>
      <w:r>
        <w:rPr>
          <w:rFonts w:hint="eastAsia" w:ascii="宋体" w:hAnsi="宋体"/>
          <w:color w:val="auto"/>
          <w:sz w:val="24"/>
          <w:szCs w:val="24"/>
          <w:highlight w:val="none"/>
          <w:u w:val="single"/>
        </w:rPr>
        <w:t>“记名投票+撰写评语”</w:t>
      </w:r>
      <w:r>
        <w:rPr>
          <w:rFonts w:hint="eastAsia" w:ascii="宋体" w:hAnsi="宋体"/>
          <w:color w:val="auto"/>
          <w:sz w:val="24"/>
          <w:szCs w:val="24"/>
          <w:highlight w:val="none"/>
        </w:rPr>
        <w:t>定标方法,定标方法如下：</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51.2.1 定标程序</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51.2.1.1定标工作开始后，发放选票，由定标委员会参考定标因素进行记名投票，定标委员会应推荐一人为定标委员会组长，主持当次定标会议。</w:t>
      </w:r>
    </w:p>
    <w:p>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51.2.1.2定标辅助资料为评标阶段的评标报告、投标人提交的投标文件与定标辅助文件。</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51.2.1.3定标委员会根据定标辅助资料，在同等条件下，定标因素的相对标准按以下几个方面进行：</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（1）投标人的企业规模及综合实力；</w:t>
      </w:r>
    </w:p>
    <w:p>
      <w:pPr>
        <w:spacing w:line="44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（2）投标人拟派项目管理团队成员情况；</w:t>
      </w:r>
    </w:p>
    <w:p>
      <w:pPr>
        <w:spacing w:line="44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（3）施工方案；</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（4）投标价格；</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（5）其他招标人认为需考察的因素。</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51.2.1.4投票规则：定标委员会根据定标因素对各合格的中标</w:t>
      </w:r>
      <w:r>
        <w:rPr>
          <w:rFonts w:ascii="宋体" w:hAnsi="宋体"/>
          <w:color w:val="auto"/>
          <w:sz w:val="24"/>
          <w:szCs w:val="24"/>
          <w:highlight w:val="none"/>
          <w:u w:val="single"/>
        </w:rPr>
        <w:t>侯选人</w:t>
      </w:r>
      <w:r>
        <w:rPr>
          <w:rFonts w:hint="eastAsia" w:ascii="宋体" w:hAnsi="宋体"/>
          <w:color w:val="auto"/>
          <w:sz w:val="24"/>
          <w:szCs w:val="24"/>
          <w:highlight w:val="none"/>
          <w:u w:val="single"/>
        </w:rPr>
        <w:t>进行综合比较后，进行一次性票决，每位定标委员会成员只有1票表决权（即只能对其中一家合格的中</w:t>
      </w:r>
      <w:r>
        <w:rPr>
          <w:rFonts w:ascii="宋体" w:hAnsi="宋体"/>
          <w:color w:val="auto"/>
          <w:sz w:val="24"/>
          <w:szCs w:val="24"/>
          <w:highlight w:val="none"/>
          <w:u w:val="single"/>
        </w:rPr>
        <w:t>标侯选</w:t>
      </w:r>
      <w:r>
        <w:rPr>
          <w:rFonts w:hint="eastAsia" w:ascii="宋体" w:hAnsi="宋体"/>
          <w:color w:val="auto"/>
          <w:sz w:val="24"/>
          <w:szCs w:val="24"/>
          <w:highlight w:val="none"/>
          <w:u w:val="single"/>
        </w:rPr>
        <w:t>人投票），得票数最多者为中标人；若出现票数相同且无法决出中标人时，票数相同的再进行一次性票决；若再次票决出现票数相同且无法决出中标人时，以投标报价低者为中标人；如仍存在相同情况，则对具有相同情况的投标人，由定标委员会采用随机抽取方式确定中标人。</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51.2.1.5定标委员会中的各定标委员应独立投票，可以弃权，当弃权票数达到定标委员会人数50%或以上时，本次定标会无效，招标人重新组建定标委员会或重新招标。</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51.2.2定标委员会根据选票情况确定中标人。</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51.2.3编写定标报告，定标委员会全体确认后签署定标报告。</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51.2.4招标人（招标代理）与中标人签订合同或办理施工许可前，如发现中标人委派的项目负责人、</w:t>
      </w:r>
      <w:r>
        <w:rPr>
          <w:rFonts w:ascii="宋体" w:hAnsi="宋体"/>
          <w:color w:val="auto"/>
          <w:sz w:val="24"/>
          <w:szCs w:val="24"/>
          <w:highlight w:val="none"/>
          <w:u w:val="single"/>
        </w:rPr>
        <w:t>安全员</w:t>
      </w:r>
      <w:r>
        <w:rPr>
          <w:rFonts w:hint="eastAsia" w:ascii="宋体" w:hAnsi="宋体"/>
          <w:color w:val="auto"/>
          <w:sz w:val="24"/>
          <w:szCs w:val="24"/>
          <w:highlight w:val="none"/>
          <w:u w:val="single"/>
        </w:rPr>
        <w:t>已在其他在建项目中任职、不符合任职数量，则招标人有权取消其中标人资格或解除合同，从其他合格的中标候选人中采用原定标办法，由原定标委员会确定中标人，招标人也可以重新招标。</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51.2.5因质疑或投诉生效，需要重新评标或定标的，评标、定标信息（含业绩、奖项等）仍以投标截止时投标人的信息为准。因特殊原因需要延长投标有效期，投标人拒绝延长投标有效期的，仍参与评标、定标，但不被推荐为中标候选人。</w:t>
      </w:r>
    </w:p>
    <w:p>
      <w:pPr>
        <w:spacing w:line="360" w:lineRule="auto"/>
        <w:rPr>
          <w:rFonts w:ascii="宋体" w:hAnsi="宋体"/>
          <w:color w:val="auto"/>
          <w:sz w:val="24"/>
          <w:szCs w:val="24"/>
          <w:highlight w:val="none"/>
        </w:rPr>
      </w:pPr>
      <w:r>
        <w:rPr>
          <w:rFonts w:ascii="宋体" w:hAnsi="宋体"/>
          <w:color w:val="auto"/>
          <w:sz w:val="24"/>
          <w:szCs w:val="24"/>
          <w:highlight w:val="none"/>
        </w:rPr>
        <w:br w:type="page"/>
      </w:r>
    </w:p>
    <w:p>
      <w:pPr>
        <w:widowControl/>
        <w:snapToGrid w:val="0"/>
        <w:spacing w:line="360" w:lineRule="auto"/>
        <w:ind w:right="102"/>
        <w:jc w:val="left"/>
        <w:rPr>
          <w:rFonts w:ascii="宋体" w:hAnsi="宋体"/>
          <w:color w:val="auto"/>
          <w:szCs w:val="21"/>
          <w:highlight w:val="none"/>
        </w:rPr>
      </w:pPr>
      <w:r>
        <w:rPr>
          <w:rFonts w:hint="eastAsia" w:ascii="宋体" w:hAnsi="宋体"/>
          <w:color w:val="auto"/>
          <w:szCs w:val="21"/>
          <w:highlight w:val="none"/>
        </w:rPr>
        <w:t>附表一：</w:t>
      </w:r>
    </w:p>
    <w:p>
      <w:pPr>
        <w:jc w:val="center"/>
        <w:rPr>
          <w:rFonts w:ascii="宋体" w:hAnsi="宋体"/>
          <w:b/>
          <w:color w:val="auto"/>
          <w:sz w:val="32"/>
          <w:szCs w:val="32"/>
          <w:highlight w:val="none"/>
        </w:rPr>
      </w:pPr>
      <w:r>
        <w:rPr>
          <w:rFonts w:hint="eastAsia" w:ascii="宋体" w:hAnsi="宋体"/>
          <w:b/>
          <w:color w:val="auto"/>
          <w:sz w:val="32"/>
          <w:szCs w:val="32"/>
          <w:highlight w:val="none"/>
        </w:rPr>
        <w:t>资格审查表</w:t>
      </w:r>
    </w:p>
    <w:p>
      <w:pPr>
        <w:spacing w:line="480" w:lineRule="auto"/>
        <w:rPr>
          <w:rFonts w:ascii="宋体" w:hAnsi="宋体"/>
          <w:color w:val="auto"/>
          <w:sz w:val="24"/>
          <w:szCs w:val="24"/>
          <w:highlight w:val="none"/>
        </w:rPr>
      </w:pPr>
      <w:r>
        <w:rPr>
          <w:rFonts w:hint="eastAsia" w:ascii="宋体" w:hAnsi="宋体"/>
          <w:color w:val="auto"/>
          <w:sz w:val="24"/>
          <w:szCs w:val="24"/>
          <w:highlight w:val="none"/>
        </w:rPr>
        <w:t>工程名称：                                               投标人名称：</w:t>
      </w:r>
    </w:p>
    <w:tbl>
      <w:tblPr>
        <w:tblStyle w:val="40"/>
        <w:tblW w:w="10201"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536"/>
        <w:gridCol w:w="425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b/>
                <w:bCs/>
                <w:color w:val="auto"/>
                <w:highlight w:val="none"/>
              </w:rPr>
            </w:pPr>
            <w:r>
              <w:rPr>
                <w:rFonts w:hint="eastAsia" w:ascii="宋体" w:hAnsi="宋体"/>
                <w:b/>
                <w:bCs/>
                <w:color w:val="auto"/>
                <w:highlight w:val="none"/>
              </w:rPr>
              <w:t>序号</w:t>
            </w:r>
          </w:p>
        </w:tc>
        <w:tc>
          <w:tcPr>
            <w:tcW w:w="4536" w:type="dxa"/>
            <w:tcBorders>
              <w:top w:val="single" w:color="auto" w:sz="4" w:space="0"/>
              <w:left w:val="nil"/>
              <w:bottom w:val="single" w:color="auto" w:sz="4" w:space="0"/>
              <w:right w:val="single" w:color="auto" w:sz="4" w:space="0"/>
            </w:tcBorders>
            <w:vAlign w:val="center"/>
          </w:tcPr>
          <w:p>
            <w:pPr>
              <w:spacing w:before="120" w:after="60"/>
              <w:jc w:val="center"/>
              <w:rPr>
                <w:rFonts w:ascii="宋体"/>
                <w:b/>
                <w:bCs/>
                <w:color w:val="auto"/>
                <w:highlight w:val="none"/>
              </w:rPr>
            </w:pPr>
            <w:r>
              <w:rPr>
                <w:rFonts w:hint="eastAsia" w:ascii="宋体" w:hAnsi="宋体"/>
                <w:b/>
                <w:bCs/>
                <w:color w:val="auto"/>
                <w:highlight w:val="none"/>
              </w:rPr>
              <w:t>审查项目</w:t>
            </w:r>
          </w:p>
        </w:tc>
        <w:tc>
          <w:tcPr>
            <w:tcW w:w="4253" w:type="dxa"/>
            <w:tcBorders>
              <w:top w:val="single" w:color="auto" w:sz="4" w:space="0"/>
              <w:left w:val="nil"/>
              <w:bottom w:val="single" w:color="auto" w:sz="4" w:space="0"/>
              <w:right w:val="single" w:color="auto" w:sz="4" w:space="0"/>
            </w:tcBorders>
            <w:vAlign w:val="center"/>
          </w:tcPr>
          <w:p>
            <w:pPr>
              <w:spacing w:before="120" w:after="60"/>
              <w:jc w:val="center"/>
              <w:rPr>
                <w:rFonts w:ascii="宋体"/>
                <w:b/>
                <w:bCs/>
                <w:color w:val="auto"/>
                <w:highlight w:val="none"/>
              </w:rPr>
            </w:pPr>
            <w:r>
              <w:rPr>
                <w:rFonts w:hint="eastAsia" w:ascii="宋体" w:hAnsi="宋体"/>
                <w:b/>
                <w:bCs/>
                <w:color w:val="auto"/>
                <w:highlight w:val="none"/>
              </w:rPr>
              <w:t>须审查的资料</w:t>
            </w:r>
          </w:p>
        </w:tc>
        <w:tc>
          <w:tcPr>
            <w:tcW w:w="708" w:type="dxa"/>
            <w:tcBorders>
              <w:top w:val="single" w:color="auto" w:sz="4" w:space="0"/>
              <w:left w:val="nil"/>
              <w:bottom w:val="single" w:color="auto" w:sz="4" w:space="0"/>
              <w:right w:val="single" w:color="auto" w:sz="4" w:space="0"/>
            </w:tcBorders>
            <w:vAlign w:val="center"/>
          </w:tcPr>
          <w:p>
            <w:pPr>
              <w:spacing w:before="120" w:after="60"/>
              <w:jc w:val="center"/>
              <w:rPr>
                <w:rFonts w:ascii="宋体"/>
                <w:b/>
                <w:bCs/>
                <w:color w:val="auto"/>
                <w:highlight w:val="none"/>
              </w:rPr>
            </w:pPr>
            <w:r>
              <w:rPr>
                <w:rFonts w:hint="eastAsia" w:ascii="宋体" w:hAnsi="宋体"/>
                <w:b/>
                <w:bCs/>
                <w:color w:val="auto"/>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1</w:t>
            </w:r>
          </w:p>
        </w:tc>
        <w:tc>
          <w:tcPr>
            <w:tcW w:w="4536"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投标人参加投标的意思表达清楚，投标人代表被授权有效</w:t>
            </w:r>
          </w:p>
        </w:tc>
        <w:tc>
          <w:tcPr>
            <w:tcW w:w="4253"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投标申请人声明、法定代表人证明书；委托投标的还应提供法人授权委托证明书</w:t>
            </w:r>
          </w:p>
        </w:tc>
        <w:tc>
          <w:tcPr>
            <w:tcW w:w="708"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2</w:t>
            </w:r>
          </w:p>
        </w:tc>
        <w:tc>
          <w:tcPr>
            <w:tcW w:w="4536"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投标人具有独立法人资格，按国家法律经营</w:t>
            </w:r>
          </w:p>
        </w:tc>
        <w:tc>
          <w:tcPr>
            <w:tcW w:w="4253"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营业执照</w:t>
            </w:r>
          </w:p>
        </w:tc>
        <w:tc>
          <w:tcPr>
            <w:tcW w:w="708"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3</w:t>
            </w:r>
          </w:p>
        </w:tc>
        <w:tc>
          <w:tcPr>
            <w:tcW w:w="4536"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投标人持有建设行政主管部门颁发的企业资质证书及安全生产许可证</w:t>
            </w:r>
          </w:p>
        </w:tc>
        <w:tc>
          <w:tcPr>
            <w:tcW w:w="4253"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资质证书及安全生产许可证</w:t>
            </w:r>
          </w:p>
        </w:tc>
        <w:tc>
          <w:tcPr>
            <w:tcW w:w="708"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4</w:t>
            </w:r>
          </w:p>
        </w:tc>
        <w:tc>
          <w:tcPr>
            <w:tcW w:w="4536"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投标人拟担任本工程项目负责人符合公告要求</w:t>
            </w:r>
          </w:p>
        </w:tc>
        <w:tc>
          <w:tcPr>
            <w:tcW w:w="4253"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s="宋体"/>
                <w:color w:val="auto"/>
                <w:kern w:val="0"/>
                <w:highlight w:val="none"/>
              </w:rPr>
              <w:t>一级建造师证书电子注册证书</w:t>
            </w:r>
          </w:p>
        </w:tc>
        <w:tc>
          <w:tcPr>
            <w:tcW w:w="708"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5</w:t>
            </w:r>
          </w:p>
        </w:tc>
        <w:tc>
          <w:tcPr>
            <w:tcW w:w="4536"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持有项目负责人安全培训考核合格证（B类）或能够提供广东省建筑施工企业管理人员安全生产考核信息系统安全生产管理人员证书信息的网页截图</w:t>
            </w:r>
          </w:p>
        </w:tc>
        <w:tc>
          <w:tcPr>
            <w:tcW w:w="4253"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项目负责人安全培训考核合格证（B证）（在广东省建筑施工企业管理人员安全生产考核信息系统安全生产管理人员证书信息的网页截图）</w:t>
            </w:r>
          </w:p>
        </w:tc>
        <w:tc>
          <w:tcPr>
            <w:tcW w:w="708"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6</w:t>
            </w:r>
          </w:p>
        </w:tc>
        <w:tc>
          <w:tcPr>
            <w:tcW w:w="4536"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投标人拟担任本工程技术负责人符合公告要求</w:t>
            </w:r>
          </w:p>
        </w:tc>
        <w:tc>
          <w:tcPr>
            <w:tcW w:w="4253"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拟委托技术负责人的相关证书、资料</w:t>
            </w:r>
          </w:p>
        </w:tc>
        <w:tc>
          <w:tcPr>
            <w:tcW w:w="708"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7</w:t>
            </w:r>
          </w:p>
        </w:tc>
        <w:tc>
          <w:tcPr>
            <w:tcW w:w="4536"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专职安全员须具有安全生产考核合格证（C证）或能够提供广东省建筑施工企业管理人员安全生产考核信息系统安全生产管理人员证书信息的网页截图</w:t>
            </w:r>
          </w:p>
        </w:tc>
        <w:tc>
          <w:tcPr>
            <w:tcW w:w="4253"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专职安全员的安全生产考核合格证（C证）（广东省建筑施工企业管理人员安全生产考核信息系统安全生产管理人员证书信息的网页截图）</w:t>
            </w:r>
          </w:p>
        </w:tc>
        <w:tc>
          <w:tcPr>
            <w:tcW w:w="708"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8</w:t>
            </w:r>
          </w:p>
        </w:tc>
        <w:tc>
          <w:tcPr>
            <w:tcW w:w="4536"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投标人提供的《投标申请人声明》符合公告要求</w:t>
            </w:r>
          </w:p>
        </w:tc>
        <w:tc>
          <w:tcPr>
            <w:tcW w:w="4253"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投标申请人声明</w:t>
            </w:r>
          </w:p>
        </w:tc>
        <w:tc>
          <w:tcPr>
            <w:tcW w:w="708"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9</w:t>
            </w:r>
          </w:p>
        </w:tc>
        <w:tc>
          <w:tcPr>
            <w:tcW w:w="4536" w:type="dxa"/>
            <w:tcBorders>
              <w:top w:val="single" w:color="auto" w:sz="4" w:space="0"/>
              <w:left w:val="nil"/>
              <w:bottom w:val="single" w:color="auto" w:sz="4" w:space="0"/>
              <w:right w:val="single" w:color="auto" w:sz="4" w:space="0"/>
            </w:tcBorders>
            <w:vAlign w:val="center"/>
          </w:tcPr>
          <w:p>
            <w:pPr>
              <w:spacing w:before="120" w:after="60"/>
              <w:jc w:val="center"/>
              <w:rPr>
                <w:rFonts w:ascii="宋体" w:hAnsi="宋体"/>
                <w:color w:val="auto"/>
                <w:highlight w:val="none"/>
              </w:rPr>
            </w:pPr>
            <w:r>
              <w:rPr>
                <w:rFonts w:hint="eastAsia" w:ascii="宋体" w:hAnsi="宋体"/>
                <w:color w:val="auto"/>
                <w:highlight w:val="none"/>
              </w:rPr>
              <w:t>投标申请人声明中签字的项目负责人和技术负责人与本项目拟派的项目负责人和技术负责人一致</w:t>
            </w:r>
          </w:p>
        </w:tc>
        <w:tc>
          <w:tcPr>
            <w:tcW w:w="4253" w:type="dxa"/>
            <w:tcBorders>
              <w:top w:val="single" w:color="auto" w:sz="4" w:space="0"/>
              <w:left w:val="nil"/>
              <w:bottom w:val="single" w:color="auto" w:sz="4" w:space="0"/>
              <w:right w:val="single" w:color="auto" w:sz="4" w:space="0"/>
            </w:tcBorders>
            <w:vAlign w:val="center"/>
          </w:tcPr>
          <w:p>
            <w:pPr>
              <w:spacing w:before="120" w:after="60"/>
              <w:jc w:val="center"/>
              <w:rPr>
                <w:rFonts w:ascii="宋体" w:hAnsi="宋体"/>
                <w:color w:val="auto"/>
                <w:highlight w:val="none"/>
              </w:rPr>
            </w:pPr>
            <w:r>
              <w:rPr>
                <w:rFonts w:hint="eastAsia" w:ascii="宋体" w:hAnsi="宋体"/>
                <w:color w:val="auto"/>
                <w:highlight w:val="none"/>
              </w:rPr>
              <w:t>网上投标时选择拟投标的项目负责人、资格审查文件中拟委派的技术负责人及投标申请人声明</w:t>
            </w:r>
          </w:p>
        </w:tc>
        <w:tc>
          <w:tcPr>
            <w:tcW w:w="708"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highlight w:val="none"/>
              </w:rPr>
            </w:pPr>
            <w:r>
              <w:rPr>
                <w:rFonts w:hint="eastAsia" w:ascii="宋体" w:hAnsi="宋体"/>
                <w:color w:val="auto"/>
                <w:highlight w:val="none"/>
              </w:rPr>
              <w:t>10</w:t>
            </w:r>
          </w:p>
        </w:tc>
        <w:tc>
          <w:tcPr>
            <w:tcW w:w="4536" w:type="dxa"/>
            <w:tcBorders>
              <w:top w:val="single" w:color="auto" w:sz="4" w:space="0"/>
              <w:left w:val="nil"/>
              <w:bottom w:val="single" w:color="auto" w:sz="4" w:space="0"/>
              <w:right w:val="single" w:color="auto" w:sz="4" w:space="0"/>
            </w:tcBorders>
            <w:vAlign w:val="center"/>
          </w:tcPr>
          <w:p>
            <w:pPr>
              <w:spacing w:before="120" w:after="60"/>
              <w:jc w:val="center"/>
              <w:rPr>
                <w:rFonts w:ascii="宋体" w:hAnsi="宋体"/>
                <w:color w:val="auto"/>
                <w:highlight w:val="none"/>
              </w:rPr>
            </w:pPr>
            <w:r>
              <w:rPr>
                <w:rFonts w:hint="eastAsia" w:ascii="宋体" w:hAnsi="宋体"/>
                <w:color w:val="auto"/>
                <w:highlight w:val="none"/>
              </w:rPr>
              <w:t>关于联合体投标</w:t>
            </w:r>
          </w:p>
        </w:tc>
        <w:tc>
          <w:tcPr>
            <w:tcW w:w="4253" w:type="dxa"/>
            <w:tcBorders>
              <w:top w:val="single" w:color="auto" w:sz="4" w:space="0"/>
              <w:left w:val="nil"/>
              <w:bottom w:val="single" w:color="auto" w:sz="4" w:space="0"/>
              <w:right w:val="single" w:color="auto" w:sz="4" w:space="0"/>
            </w:tcBorders>
            <w:vAlign w:val="center"/>
          </w:tcPr>
          <w:p>
            <w:pPr>
              <w:spacing w:before="120" w:after="60"/>
              <w:jc w:val="center"/>
              <w:rPr>
                <w:rFonts w:ascii="宋体" w:hAnsi="宋体"/>
                <w:color w:val="auto"/>
                <w:highlight w:val="none"/>
              </w:rPr>
            </w:pPr>
            <w:r>
              <w:rPr>
                <w:rFonts w:hint="eastAsia" w:ascii="宋体" w:hAnsi="宋体"/>
                <w:color w:val="auto"/>
                <w:highlight w:val="none"/>
              </w:rPr>
              <w:t>本项目不接受联合体投标</w:t>
            </w:r>
          </w:p>
        </w:tc>
        <w:tc>
          <w:tcPr>
            <w:tcW w:w="708"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11</w:t>
            </w:r>
          </w:p>
        </w:tc>
        <w:tc>
          <w:tcPr>
            <w:tcW w:w="4536"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color w:val="auto"/>
                <w:highlight w:val="none"/>
              </w:rPr>
              <w:t>资格审查前，投标人申请人在投标登记前必须在广州公共资源交易中心已办理企业信息登记及拟担任本工程项目负责人和安全员须是本单位在企业库中的在册人员。</w:t>
            </w:r>
          </w:p>
        </w:tc>
        <w:tc>
          <w:tcPr>
            <w:tcW w:w="4253"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color w:val="auto"/>
                <w:highlight w:val="none"/>
              </w:rPr>
              <w:t>投标人申请人在投标登记前必须在广州公共资源交易中心已办理企业信息登记及拟担任本工程项目负责人和安全员须是本单位在企业库中的在册人员</w:t>
            </w:r>
          </w:p>
        </w:tc>
        <w:tc>
          <w:tcPr>
            <w:tcW w:w="708"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12</w:t>
            </w:r>
          </w:p>
        </w:tc>
        <w:tc>
          <w:tcPr>
            <w:tcW w:w="4536"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投标人未出现以下情形：与其它投标人的单位负责人为同一人或者存在控股、管理关系的（按投标人提供的《投标申请人声明》第七条内容进行评审）</w:t>
            </w:r>
          </w:p>
        </w:tc>
        <w:tc>
          <w:tcPr>
            <w:tcW w:w="4253"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r>
              <w:rPr>
                <w:rFonts w:hint="eastAsia" w:ascii="宋体" w:hAnsi="宋体"/>
                <w:color w:val="auto"/>
                <w:highlight w:val="none"/>
              </w:rPr>
              <w:t>投标申请人声明</w:t>
            </w:r>
          </w:p>
        </w:tc>
        <w:tc>
          <w:tcPr>
            <w:tcW w:w="708"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highlight w:val="none"/>
              </w:rPr>
            </w:pPr>
            <w:r>
              <w:rPr>
                <w:rFonts w:hint="eastAsia" w:ascii="宋体" w:hAnsi="宋体"/>
                <w:color w:val="auto"/>
                <w:highlight w:val="none"/>
              </w:rPr>
              <w:t>13</w:t>
            </w:r>
          </w:p>
        </w:tc>
        <w:tc>
          <w:tcPr>
            <w:tcW w:w="4536" w:type="dxa"/>
            <w:tcBorders>
              <w:top w:val="single" w:color="auto" w:sz="4" w:space="0"/>
              <w:left w:val="nil"/>
              <w:bottom w:val="single" w:color="auto" w:sz="4" w:space="0"/>
              <w:right w:val="single" w:color="auto" w:sz="4" w:space="0"/>
            </w:tcBorders>
            <w:vAlign w:val="center"/>
          </w:tcPr>
          <w:p>
            <w:pPr>
              <w:spacing w:before="120" w:after="60"/>
              <w:jc w:val="center"/>
              <w:rPr>
                <w:rFonts w:ascii="宋体" w:hAnsi="宋体"/>
                <w:color w:val="auto"/>
                <w:highlight w:val="none"/>
              </w:rPr>
            </w:pPr>
            <w:r>
              <w:rPr>
                <w:rFonts w:hint="eastAsia" w:ascii="宋体" w:hAnsi="宋体"/>
                <w:color w:val="auto"/>
                <w:highlight w:val="none"/>
              </w:rPr>
              <w:t>未被纳入失信联合惩戒名单的</w:t>
            </w:r>
          </w:p>
        </w:tc>
        <w:tc>
          <w:tcPr>
            <w:tcW w:w="4253" w:type="dxa"/>
            <w:tcBorders>
              <w:top w:val="single" w:color="auto" w:sz="4" w:space="0"/>
              <w:left w:val="nil"/>
              <w:bottom w:val="single" w:color="auto" w:sz="4" w:space="0"/>
              <w:right w:val="single" w:color="auto" w:sz="4" w:space="0"/>
            </w:tcBorders>
            <w:vAlign w:val="center"/>
          </w:tcPr>
          <w:p>
            <w:pPr>
              <w:spacing w:before="120" w:after="60"/>
              <w:jc w:val="center"/>
              <w:rPr>
                <w:rFonts w:ascii="宋体" w:hAnsi="宋体"/>
                <w:color w:val="auto"/>
                <w:highlight w:val="none"/>
              </w:rPr>
            </w:pPr>
            <w:r>
              <w:rPr>
                <w:rFonts w:hint="eastAsia" w:ascii="宋体" w:hAnsi="宋体"/>
                <w:color w:val="auto"/>
                <w:highlight w:val="none"/>
              </w:rPr>
              <w:t>投标人无需提供资料，按交易系统比对的结果进行评审</w:t>
            </w:r>
          </w:p>
        </w:tc>
        <w:tc>
          <w:tcPr>
            <w:tcW w:w="708" w:type="dxa"/>
            <w:tcBorders>
              <w:top w:val="single" w:color="auto" w:sz="4" w:space="0"/>
              <w:left w:val="nil"/>
              <w:bottom w:val="single" w:color="auto" w:sz="4" w:space="0"/>
              <w:right w:val="single" w:color="auto" w:sz="4" w:space="0"/>
            </w:tcBorders>
            <w:vAlign w:val="center"/>
          </w:tcPr>
          <w:p>
            <w:pPr>
              <w:spacing w:before="120" w:after="60"/>
              <w:jc w:val="center"/>
              <w:rPr>
                <w:rFonts w:ascii="宋体"/>
                <w:color w:val="auto"/>
                <w:highlight w:val="none"/>
              </w:rPr>
            </w:pPr>
          </w:p>
        </w:tc>
      </w:tr>
    </w:tbl>
    <w:p>
      <w:pPr>
        <w:spacing w:line="480" w:lineRule="auto"/>
        <w:ind w:firstLine="470" w:firstLineChars="224"/>
        <w:rPr>
          <w:rFonts w:ascii="宋体" w:hAnsi="宋体"/>
          <w:color w:val="auto"/>
          <w:szCs w:val="21"/>
          <w:highlight w:val="none"/>
        </w:rPr>
      </w:pPr>
    </w:p>
    <w:p>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备注：</w:t>
      </w:r>
    </w:p>
    <w:p>
      <w:pPr>
        <w:spacing w:line="480" w:lineRule="auto"/>
        <w:ind w:firstLine="470" w:firstLineChars="224"/>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、每一项目符合的打“○”，不符合的打“×”；</w:t>
      </w:r>
    </w:p>
    <w:p>
      <w:pPr>
        <w:spacing w:line="480" w:lineRule="auto"/>
        <w:ind w:firstLine="470" w:firstLineChars="224"/>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、若评委意见不一致时，则按少数服从多数的原则，作出评审结论。汇总后，出现一个“×”的结论为“不通过”。</w:t>
      </w:r>
    </w:p>
    <w:p>
      <w:pPr>
        <w:rPr>
          <w:rFonts w:ascii="宋体" w:hAnsi="宋体"/>
          <w:color w:val="auto"/>
          <w:highlight w:val="none"/>
        </w:rPr>
        <w:sectPr>
          <w:footerReference r:id="rId6" w:type="first"/>
          <w:footerReference r:id="rId4" w:type="default"/>
          <w:headerReference r:id="rId3" w:type="even"/>
          <w:footerReference r:id="rId5" w:type="even"/>
          <w:endnotePr>
            <w:numFmt w:val="decimal"/>
          </w:endnotePr>
          <w:pgSz w:w="11906" w:h="16838"/>
          <w:pgMar w:top="1134" w:right="1418" w:bottom="993" w:left="1418" w:header="851" w:footer="519" w:gutter="0"/>
          <w:pgNumType w:start="0"/>
          <w:cols w:space="720" w:num="1"/>
          <w:titlePg/>
          <w:docGrid w:type="lines" w:linePitch="312" w:charSpace="0"/>
        </w:sectPr>
      </w:pPr>
    </w:p>
    <w:p>
      <w:pPr>
        <w:rPr>
          <w:rFonts w:ascii="宋体" w:hAnsi="宋体"/>
          <w:color w:val="auto"/>
          <w:szCs w:val="21"/>
          <w:highlight w:val="none"/>
        </w:rPr>
      </w:pPr>
      <w:r>
        <w:rPr>
          <w:rFonts w:hint="eastAsia" w:ascii="宋体" w:hAnsi="宋体"/>
          <w:color w:val="auto"/>
          <w:szCs w:val="21"/>
          <w:highlight w:val="none"/>
        </w:rPr>
        <w:t>附表二</w:t>
      </w:r>
    </w:p>
    <w:p>
      <w:pPr>
        <w:jc w:val="center"/>
        <w:rPr>
          <w:b/>
          <w:bCs/>
          <w:color w:val="auto"/>
          <w:sz w:val="36"/>
          <w:szCs w:val="36"/>
          <w:highlight w:val="none"/>
        </w:rPr>
      </w:pPr>
      <w:r>
        <w:rPr>
          <w:rFonts w:hint="eastAsia" w:ascii="宋体" w:hAnsi="宋体"/>
          <w:b/>
          <w:bCs/>
          <w:color w:val="auto"/>
          <w:sz w:val="36"/>
          <w:szCs w:val="36"/>
          <w:highlight w:val="none"/>
        </w:rPr>
        <w:t>技术标有效性审查表</w:t>
      </w:r>
    </w:p>
    <w:p>
      <w:pPr>
        <w:rPr>
          <w:rFonts w:ascii="宋体" w:hAnsi="宋体"/>
          <w:color w:val="auto"/>
          <w:highlight w:val="none"/>
        </w:rPr>
      </w:pPr>
      <w:r>
        <w:rPr>
          <w:rFonts w:hint="eastAsia" w:ascii="宋体" w:hAnsi="宋体"/>
          <w:color w:val="auto"/>
          <w:highlight w:val="none"/>
        </w:rPr>
        <w:t>工程名称：</w:t>
      </w:r>
    </w:p>
    <w:tbl>
      <w:tblPr>
        <w:tblStyle w:val="40"/>
        <w:tblW w:w="14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4975"/>
        <w:gridCol w:w="1275"/>
        <w:gridCol w:w="1380"/>
        <w:gridCol w:w="1630"/>
        <w:gridCol w:w="1630"/>
        <w:gridCol w:w="16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序号</w:t>
            </w:r>
          </w:p>
        </w:tc>
        <w:tc>
          <w:tcPr>
            <w:tcW w:w="4975" w:type="dxa"/>
            <w:tcBorders>
              <w:top w:val="single" w:color="auto" w:sz="4" w:space="0"/>
              <w:left w:val="nil"/>
              <w:bottom w:val="single" w:color="auto" w:sz="4" w:space="0"/>
              <w:right w:val="single" w:color="auto" w:sz="4" w:space="0"/>
            </w:tcBorders>
          </w:tcPr>
          <w:p>
            <w:pPr>
              <w:ind w:firstLine="3990" w:firstLineChars="1900"/>
              <w:rPr>
                <w:rFonts w:ascii="宋体" w:hAnsi="宋体"/>
                <w:color w:val="auto"/>
                <w:highlight w:val="none"/>
              </w:rPr>
            </w:pPr>
            <w:r>
              <w:rPr>
                <w:rFonts w:hint="eastAsia" w:ascii="宋体" w:hAnsi="宋体"/>
                <w:color w:val="auto"/>
                <w:highlight w:val="none"/>
              </w:rPr>
              <w:t>投标人</w:t>
            </w:r>
          </w:p>
          <w:p>
            <w:pPr>
              <w:rPr>
                <w:rFonts w:ascii="宋体" w:hAnsi="宋体"/>
                <w:color w:val="auto"/>
                <w:highlight w:val="none"/>
              </w:rPr>
            </w:pPr>
            <w:r>
              <w:rPr>
                <w:rFonts w:hint="eastAsia" w:ascii="宋体" w:hAnsi="宋体"/>
                <w:color w:val="auto"/>
                <w:highlight w:val="none"/>
              </w:rPr>
              <w:t>评审内容</w:t>
            </w:r>
          </w:p>
        </w:tc>
        <w:tc>
          <w:tcPr>
            <w:tcW w:w="1275"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38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1</w:t>
            </w:r>
          </w:p>
        </w:tc>
        <w:tc>
          <w:tcPr>
            <w:tcW w:w="4975" w:type="dxa"/>
            <w:tcBorders>
              <w:top w:val="single" w:color="auto" w:sz="4" w:space="0"/>
              <w:left w:val="nil"/>
              <w:bottom w:val="single" w:color="auto" w:sz="4" w:space="0"/>
              <w:right w:val="single" w:color="auto" w:sz="4" w:space="0"/>
            </w:tcBorders>
          </w:tcPr>
          <w:p>
            <w:pPr>
              <w:rPr>
                <w:rFonts w:ascii="宋体" w:hAnsi="宋体"/>
                <w:color w:val="auto"/>
                <w:highlight w:val="none"/>
              </w:rPr>
            </w:pPr>
            <w:r>
              <w:rPr>
                <w:rFonts w:hint="eastAsia" w:ascii="宋体" w:hAnsi="宋体"/>
                <w:color w:val="auto"/>
                <w:highlight w:val="none"/>
              </w:rPr>
              <w:t>不能满足完成投标项目工期的；</w:t>
            </w:r>
          </w:p>
        </w:tc>
        <w:tc>
          <w:tcPr>
            <w:tcW w:w="1275"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38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2</w:t>
            </w:r>
          </w:p>
        </w:tc>
        <w:tc>
          <w:tcPr>
            <w:tcW w:w="4975" w:type="dxa"/>
            <w:tcBorders>
              <w:top w:val="single" w:color="auto" w:sz="4" w:space="0"/>
              <w:left w:val="nil"/>
              <w:bottom w:val="single" w:color="auto" w:sz="4" w:space="0"/>
              <w:right w:val="single" w:color="auto" w:sz="4" w:space="0"/>
            </w:tcBorders>
          </w:tcPr>
          <w:p>
            <w:pPr>
              <w:rPr>
                <w:rFonts w:ascii="宋体" w:hAnsi="宋体"/>
                <w:color w:val="auto"/>
                <w:highlight w:val="none"/>
              </w:rPr>
            </w:pPr>
            <w:r>
              <w:rPr>
                <w:rFonts w:hint="eastAsia" w:ascii="宋体" w:hAnsi="宋体"/>
                <w:color w:val="auto"/>
                <w:highlight w:val="none"/>
              </w:rPr>
              <w:t>不符合招标文件及有关技术规格、质量要求、检验标准和方法的；</w:t>
            </w:r>
          </w:p>
        </w:tc>
        <w:tc>
          <w:tcPr>
            <w:tcW w:w="1275"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38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3</w:t>
            </w:r>
          </w:p>
        </w:tc>
        <w:tc>
          <w:tcPr>
            <w:tcW w:w="4975" w:type="dxa"/>
            <w:tcBorders>
              <w:top w:val="single" w:color="auto" w:sz="4" w:space="0"/>
              <w:left w:val="nil"/>
              <w:bottom w:val="single" w:color="auto" w:sz="4" w:space="0"/>
              <w:right w:val="single" w:color="auto" w:sz="4" w:space="0"/>
            </w:tcBorders>
          </w:tcPr>
          <w:p>
            <w:pPr>
              <w:rPr>
                <w:rFonts w:ascii="宋体" w:hAnsi="宋体"/>
                <w:color w:val="auto"/>
                <w:highlight w:val="none"/>
              </w:rPr>
            </w:pPr>
            <w:r>
              <w:rPr>
                <w:rFonts w:hint="eastAsia" w:ascii="宋体" w:hAnsi="宋体"/>
                <w:color w:val="auto"/>
                <w:highlight w:val="none"/>
              </w:rPr>
              <w:t>投标文件中没有有效的法定代表人证明书，或由委托代理人签署的投标文件中没有法定代表人授权书；</w:t>
            </w:r>
          </w:p>
        </w:tc>
        <w:tc>
          <w:tcPr>
            <w:tcW w:w="1275"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38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4</w:t>
            </w:r>
          </w:p>
        </w:tc>
        <w:tc>
          <w:tcPr>
            <w:tcW w:w="4975" w:type="dxa"/>
            <w:tcBorders>
              <w:top w:val="single" w:color="auto" w:sz="4" w:space="0"/>
              <w:left w:val="nil"/>
              <w:bottom w:val="single" w:color="auto" w:sz="4" w:space="0"/>
              <w:right w:val="single" w:color="auto" w:sz="4" w:space="0"/>
            </w:tcBorders>
          </w:tcPr>
          <w:p>
            <w:pPr>
              <w:rPr>
                <w:rFonts w:ascii="宋体" w:hAnsi="宋体"/>
                <w:color w:val="auto"/>
                <w:highlight w:val="none"/>
              </w:rPr>
            </w:pPr>
            <w:r>
              <w:rPr>
                <w:rFonts w:hint="eastAsia" w:ascii="宋体" w:hAnsi="宋体"/>
                <w:color w:val="auto"/>
                <w:highlight w:val="none"/>
              </w:rPr>
              <w:t>投标文件未按技术标投标文件规定的格式二、七、九填写，或主要内容不全，或关键字迹模糊、无法辨认的；</w:t>
            </w:r>
          </w:p>
        </w:tc>
        <w:tc>
          <w:tcPr>
            <w:tcW w:w="1275"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38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5</w:t>
            </w:r>
          </w:p>
        </w:tc>
        <w:tc>
          <w:tcPr>
            <w:tcW w:w="4975" w:type="dxa"/>
            <w:tcBorders>
              <w:top w:val="single" w:color="auto" w:sz="4" w:space="0"/>
              <w:left w:val="nil"/>
              <w:bottom w:val="single" w:color="auto" w:sz="4" w:space="0"/>
              <w:right w:val="single" w:color="auto" w:sz="4" w:space="0"/>
            </w:tcBorders>
          </w:tcPr>
          <w:p>
            <w:pPr>
              <w:rPr>
                <w:rFonts w:ascii="宋体" w:hAnsi="宋体"/>
                <w:color w:val="auto"/>
                <w:highlight w:val="none"/>
              </w:rPr>
            </w:pPr>
            <w:r>
              <w:rPr>
                <w:rFonts w:hint="eastAsia" w:ascii="宋体" w:hAnsi="宋体"/>
                <w:color w:val="auto"/>
                <w:highlight w:val="none"/>
              </w:rPr>
              <w:t>投标人之间存在《广东省实施&lt;中华人民共和国招标投标法&gt;》第十六条所禁止的情形的；</w:t>
            </w:r>
          </w:p>
        </w:tc>
        <w:tc>
          <w:tcPr>
            <w:tcW w:w="1275"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38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6</w:t>
            </w:r>
          </w:p>
        </w:tc>
        <w:tc>
          <w:tcPr>
            <w:tcW w:w="4975" w:type="dxa"/>
            <w:tcBorders>
              <w:top w:val="single" w:color="auto" w:sz="4" w:space="0"/>
              <w:left w:val="nil"/>
              <w:bottom w:val="single" w:color="auto" w:sz="4" w:space="0"/>
              <w:right w:val="single" w:color="auto" w:sz="4" w:space="0"/>
            </w:tcBorders>
          </w:tcPr>
          <w:p>
            <w:pPr>
              <w:rPr>
                <w:rFonts w:ascii="宋体" w:hAnsi="宋体"/>
                <w:color w:val="auto"/>
                <w:highlight w:val="none"/>
              </w:rPr>
            </w:pPr>
            <w:r>
              <w:rPr>
                <w:rFonts w:hint="eastAsia" w:ascii="宋体" w:hAnsi="宋体"/>
                <w:color w:val="auto"/>
                <w:highlight w:val="none"/>
              </w:rPr>
              <w:t>无《参与编制技术标投标文件人员名单》的；</w:t>
            </w:r>
          </w:p>
        </w:tc>
        <w:tc>
          <w:tcPr>
            <w:tcW w:w="1275"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38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7</w:t>
            </w:r>
          </w:p>
        </w:tc>
        <w:tc>
          <w:tcPr>
            <w:tcW w:w="4975" w:type="dxa"/>
            <w:tcBorders>
              <w:top w:val="single" w:color="auto" w:sz="4" w:space="0"/>
              <w:left w:val="nil"/>
              <w:bottom w:val="single" w:color="auto" w:sz="4" w:space="0"/>
              <w:right w:val="single" w:color="auto" w:sz="4" w:space="0"/>
            </w:tcBorders>
          </w:tcPr>
          <w:p>
            <w:pPr>
              <w:rPr>
                <w:rFonts w:ascii="宋体" w:hAnsi="宋体"/>
                <w:color w:val="auto"/>
                <w:highlight w:val="none"/>
              </w:rPr>
            </w:pPr>
            <w:r>
              <w:rPr>
                <w:rFonts w:hint="eastAsia" w:ascii="宋体" w:hAnsi="宋体"/>
                <w:color w:val="auto"/>
                <w:highlight w:val="none"/>
              </w:rPr>
              <w:t>投标人未按要求提交投标保证金的；</w:t>
            </w:r>
          </w:p>
        </w:tc>
        <w:tc>
          <w:tcPr>
            <w:tcW w:w="1275"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38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8</w:t>
            </w:r>
          </w:p>
        </w:tc>
        <w:tc>
          <w:tcPr>
            <w:tcW w:w="4975" w:type="dxa"/>
            <w:tcBorders>
              <w:top w:val="single" w:color="auto" w:sz="4" w:space="0"/>
              <w:left w:val="nil"/>
              <w:bottom w:val="single" w:color="auto" w:sz="4" w:space="0"/>
              <w:right w:val="single" w:color="auto" w:sz="4" w:space="0"/>
            </w:tcBorders>
          </w:tcPr>
          <w:p>
            <w:pPr>
              <w:rPr>
                <w:rFonts w:ascii="宋体" w:hAnsi="宋体"/>
                <w:color w:val="auto"/>
                <w:highlight w:val="none"/>
              </w:rPr>
            </w:pPr>
            <w:r>
              <w:rPr>
                <w:rFonts w:hint="eastAsia" w:ascii="宋体" w:hAnsi="宋体"/>
                <w:color w:val="auto"/>
                <w:highlight w:val="none"/>
              </w:rPr>
              <w:t>投标人与其他投标人加密打包投标文件电脑机器特征码一致的(以广州公共资源交易中心交易平台评标系统的检索信息为准)；</w:t>
            </w:r>
          </w:p>
        </w:tc>
        <w:tc>
          <w:tcPr>
            <w:tcW w:w="1275"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38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c>
          <w:tcPr>
            <w:tcW w:w="1630" w:type="dxa"/>
            <w:tcBorders>
              <w:top w:val="single" w:color="auto" w:sz="4" w:space="0"/>
              <w:left w:val="nil"/>
              <w:bottom w:val="single" w:color="auto" w:sz="4" w:space="0"/>
              <w:right w:val="single" w:color="auto" w:sz="4" w:space="0"/>
            </w:tcBorders>
          </w:tcPr>
          <w:p>
            <w:pPr>
              <w:rPr>
                <w:rFonts w:ascii="宋体"/>
                <w:color w:val="auto"/>
                <w:highlight w:val="none"/>
              </w:rPr>
            </w:pPr>
          </w:p>
        </w:tc>
      </w:tr>
    </w:tbl>
    <w:p>
      <w:pPr>
        <w:rPr>
          <w:rFonts w:ascii="宋体"/>
          <w:color w:val="auto"/>
          <w:highlight w:val="none"/>
        </w:rPr>
      </w:pPr>
      <w:r>
        <w:rPr>
          <w:rFonts w:hint="eastAsia" w:ascii="宋体" w:hAnsi="宋体"/>
          <w:color w:val="auto"/>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color w:val="auto"/>
          <w:highlight w:val="none"/>
        </w:rPr>
      </w:pPr>
      <w:r>
        <w:rPr>
          <w:rFonts w:hint="eastAsia" w:ascii="宋体" w:hAnsi="宋体"/>
          <w:color w:val="auto"/>
          <w:highlight w:val="none"/>
        </w:rPr>
        <w:t xml:space="preserve">    2</w:t>
      </w:r>
      <w:r>
        <w:rPr>
          <w:rFonts w:hint="eastAsia" w:ascii="宋体"/>
          <w:color w:val="auto"/>
          <w:highlight w:val="none"/>
        </w:rPr>
        <w:t>.</w:t>
      </w:r>
      <w:r>
        <w:rPr>
          <w:rFonts w:hint="eastAsia" w:ascii="宋体" w:hAnsi="宋体"/>
          <w:color w:val="auto"/>
          <w:highlight w:val="none"/>
        </w:rPr>
        <w:t>若出现评标委员会否决投标的，应在评标报告中载明否决投标的具体情形、原因。</w:t>
      </w:r>
    </w:p>
    <w:p>
      <w:pPr>
        <w:rPr>
          <w:rFonts w:ascii="宋体"/>
          <w:color w:val="auto"/>
          <w:highlight w:val="none"/>
        </w:rPr>
      </w:pPr>
      <w:r>
        <w:rPr>
          <w:rFonts w:hint="eastAsia" w:ascii="宋体" w:hAnsi="宋体"/>
          <w:color w:val="auto"/>
          <w:highlight w:val="none"/>
        </w:rPr>
        <w:t xml:space="preserve">    3</w:t>
      </w:r>
      <w:r>
        <w:rPr>
          <w:rFonts w:hint="eastAsia" w:ascii="宋体"/>
          <w:color w:val="auto"/>
          <w:highlight w:val="none"/>
        </w:rPr>
        <w:t>.</w:t>
      </w:r>
      <w:r>
        <w:rPr>
          <w:rFonts w:hint="eastAsia" w:ascii="宋体" w:hAnsi="宋体"/>
          <w:color w:val="auto"/>
          <w:highlight w:val="none"/>
        </w:rPr>
        <w:t>凡出现以上任何一项情形，结论均为无效，否则就为有效。</w:t>
      </w:r>
    </w:p>
    <w:p>
      <w:pPr>
        <w:ind w:firstLine="420" w:firstLineChars="200"/>
        <w:rPr>
          <w:rFonts w:ascii="宋体"/>
          <w:color w:val="auto"/>
          <w:highlight w:val="none"/>
        </w:rPr>
      </w:pPr>
      <w:r>
        <w:rPr>
          <w:rFonts w:hint="eastAsia" w:ascii="宋体" w:hAnsi="宋体"/>
          <w:color w:val="auto"/>
          <w:highlight w:val="none"/>
        </w:rPr>
        <w:t>4</w:t>
      </w:r>
      <w:r>
        <w:rPr>
          <w:rFonts w:hint="eastAsia" w:ascii="宋体"/>
          <w:color w:val="auto"/>
          <w:highlight w:val="none"/>
        </w:rPr>
        <w:t>.</w:t>
      </w:r>
      <w:r>
        <w:rPr>
          <w:rFonts w:hint="eastAsia" w:ascii="宋体" w:hAnsi="宋体"/>
          <w:color w:val="auto"/>
          <w:highlight w:val="none"/>
        </w:rPr>
        <w:t>如对本表中某种情形的评审意见不一致时，以评标委员会过半数成员的意见作为评标委员会对该情形的认定结论。</w:t>
      </w:r>
    </w:p>
    <w:p>
      <w:pPr>
        <w:rPr>
          <w:rFonts w:ascii="宋体"/>
          <w:color w:val="auto"/>
          <w:highlight w:val="none"/>
        </w:rPr>
      </w:pPr>
      <w:r>
        <w:rPr>
          <w:rFonts w:hint="eastAsia" w:ascii="宋体" w:hAnsi="宋体"/>
          <w:color w:val="auto"/>
          <w:highlight w:val="none"/>
        </w:rPr>
        <w:t>评委签名：</w:t>
      </w:r>
    </w:p>
    <w:p>
      <w:pPr>
        <w:rPr>
          <w:rFonts w:ascii="宋体" w:hAnsi="宋体"/>
          <w:color w:val="auto"/>
          <w:szCs w:val="21"/>
          <w:highlight w:val="none"/>
        </w:rPr>
      </w:pPr>
      <w:r>
        <w:rPr>
          <w:rFonts w:ascii="宋体" w:hAnsi="宋体"/>
          <w:color w:val="auto"/>
          <w:highlight w:val="none"/>
        </w:rPr>
        <w:br w:type="page"/>
      </w:r>
      <w:r>
        <w:rPr>
          <w:rFonts w:hint="eastAsia" w:ascii="宋体" w:hAnsi="宋体"/>
          <w:color w:val="auto"/>
          <w:szCs w:val="21"/>
          <w:highlight w:val="none"/>
        </w:rPr>
        <w:t>附表三</w:t>
      </w:r>
    </w:p>
    <w:p>
      <w:pPr>
        <w:jc w:val="center"/>
        <w:rPr>
          <w:rFonts w:ascii="宋体" w:hAnsi="宋体"/>
          <w:b/>
          <w:color w:val="auto"/>
          <w:sz w:val="36"/>
          <w:szCs w:val="36"/>
          <w:highlight w:val="none"/>
        </w:rPr>
      </w:pPr>
      <w:r>
        <w:rPr>
          <w:rFonts w:hint="eastAsia" w:ascii="宋体" w:hAnsi="宋体"/>
          <w:b/>
          <w:color w:val="auto"/>
          <w:sz w:val="36"/>
          <w:szCs w:val="36"/>
          <w:highlight w:val="none"/>
        </w:rPr>
        <w:t>经济标有效性审查表</w:t>
      </w:r>
    </w:p>
    <w:p>
      <w:pPr>
        <w:rPr>
          <w:rFonts w:ascii="宋体" w:hAnsi="宋体"/>
          <w:color w:val="auto"/>
          <w:szCs w:val="21"/>
          <w:highlight w:val="none"/>
        </w:rPr>
      </w:pPr>
      <w:r>
        <w:rPr>
          <w:rFonts w:hint="eastAsia" w:ascii="宋体" w:hAnsi="宋体"/>
          <w:color w:val="auto"/>
          <w:szCs w:val="21"/>
          <w:highlight w:val="none"/>
        </w:rPr>
        <w:t>工程名称：</w:t>
      </w:r>
    </w:p>
    <w:tbl>
      <w:tblPr>
        <w:tblStyle w:val="40"/>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olor w:val="auto"/>
                <w:szCs w:val="21"/>
                <w:highlight w:val="none"/>
              </w:rPr>
            </w:pPr>
            <w:r>
              <w:rPr>
                <w:rFonts w:hint="eastAsia" w:ascii="宋体" w:hAnsi="宋体"/>
                <w:color w:val="auto"/>
                <w:szCs w:val="21"/>
                <w:highlight w:val="none"/>
              </w:rPr>
              <w:t>投标人</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4</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算术复核后的投标报价与原投标报价相比存在</w:t>
            </w:r>
            <w:r>
              <w:rPr>
                <w:rFonts w:ascii="宋体" w:hAnsi="宋体"/>
                <w:color w:val="auto"/>
                <w:szCs w:val="21"/>
                <w:highlight w:val="none"/>
              </w:rPr>
              <w:t>1%</w:t>
            </w:r>
            <w:r>
              <w:rPr>
                <w:rFonts w:hint="eastAsia" w:ascii="宋体" w:hAnsi="宋体"/>
                <w:color w:val="auto"/>
                <w:szCs w:val="21"/>
                <w:highlight w:val="none"/>
              </w:rPr>
              <w:t>或以上误差的；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投标文件未按经济标投标文件规定的格式四、五填写，或主要内容不全，或关键字迹模糊、无法辨认的；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610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投标人之间存在《广东省实施&lt;中华人民共和国招标投标法&gt;办法》第十六条所禁止的情形的；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610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610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ind w:firstLine="458"/>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w:t>
      </w:r>
    </w:p>
    <w:p>
      <w:pPr>
        <w:ind w:firstLine="458"/>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凡出现以上任何一项情形，结论均为无效，否则就为有效。</w:t>
      </w:r>
    </w:p>
    <w:p>
      <w:pPr>
        <w:ind w:firstLine="458"/>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pPr>
        <w:pStyle w:val="5"/>
        <w:ind w:firstLine="458"/>
        <w:rPr>
          <w:rFonts w:ascii="宋体" w:hAnsi="宋体"/>
          <w:color w:val="auto"/>
          <w:szCs w:val="21"/>
          <w:highlight w:val="none"/>
        </w:rPr>
        <w:sectPr>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olor w:val="auto"/>
          <w:szCs w:val="21"/>
          <w:highlight w:val="none"/>
        </w:rPr>
        <w:t>评委签名：</w:t>
      </w:r>
    </w:p>
    <w:p>
      <w:pPr>
        <w:rPr>
          <w:b/>
          <w:bCs/>
          <w:color w:val="auto"/>
          <w:highlight w:val="none"/>
        </w:rPr>
      </w:pPr>
      <w:r>
        <w:rPr>
          <w:rFonts w:hint="eastAsia" w:ascii="宋体" w:hAnsi="宋体"/>
          <w:color w:val="auto"/>
          <w:highlight w:val="none"/>
        </w:rPr>
        <w:t>附表四</w:t>
      </w:r>
    </w:p>
    <w:p>
      <w:pPr>
        <w:jc w:val="center"/>
        <w:rPr>
          <w:b/>
          <w:bCs/>
          <w:color w:val="auto"/>
          <w:sz w:val="36"/>
          <w:szCs w:val="36"/>
          <w:highlight w:val="none"/>
        </w:rPr>
      </w:pPr>
      <w:r>
        <w:rPr>
          <w:rFonts w:hint="eastAsia" w:ascii="宋体" w:hAnsi="宋体"/>
          <w:b/>
          <w:bCs/>
          <w:color w:val="auto"/>
          <w:sz w:val="36"/>
          <w:szCs w:val="36"/>
          <w:highlight w:val="none"/>
        </w:rPr>
        <w:t>算术复核表</w:t>
      </w:r>
    </w:p>
    <w:p>
      <w:pPr>
        <w:rPr>
          <w:rFonts w:ascii="宋体"/>
          <w:color w:val="auto"/>
          <w:kern w:val="0"/>
          <w:highlight w:val="none"/>
        </w:rPr>
      </w:pPr>
      <w:r>
        <w:rPr>
          <w:rFonts w:hint="eastAsia" w:ascii="宋体" w:hAnsi="宋体"/>
          <w:color w:val="auto"/>
          <w:kern w:val="0"/>
          <w:highlight w:val="none"/>
        </w:rPr>
        <w:t>工程名称：投标人:                                                  单位：元</w:t>
      </w:r>
    </w:p>
    <w:tbl>
      <w:tblPr>
        <w:tblStyle w:val="40"/>
        <w:tblW w:w="0" w:type="auto"/>
        <w:tblInd w:w="108"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修正前投标</w:t>
            </w:r>
          </w:p>
          <w:p>
            <w:pPr>
              <w:rPr>
                <w:rFonts w:ascii="宋体"/>
                <w:color w:val="auto"/>
                <w:kern w:val="0"/>
                <w:highlight w:val="none"/>
              </w:rPr>
            </w:pPr>
            <w:r>
              <w:rPr>
                <w:rFonts w:hint="eastAsia" w:ascii="宋体" w:hAnsi="宋体"/>
                <w:color w:val="auto"/>
                <w:kern w:val="0"/>
                <w:highlight w:val="none"/>
              </w:rPr>
              <w:t>报价A</w:t>
            </w:r>
          </w:p>
        </w:tc>
        <w:tc>
          <w:tcPr>
            <w:tcW w:w="1575" w:type="dxa"/>
            <w:tcBorders>
              <w:top w:val="single" w:color="auto" w:sz="4" w:space="0"/>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修正后投标</w:t>
            </w:r>
          </w:p>
          <w:p>
            <w:pPr>
              <w:rPr>
                <w:rFonts w:ascii="宋体"/>
                <w:color w:val="auto"/>
                <w:kern w:val="0"/>
                <w:highlight w:val="none"/>
              </w:rPr>
            </w:pPr>
            <w:r>
              <w:rPr>
                <w:rFonts w:hint="eastAsia" w:ascii="宋体" w:hAnsi="宋体"/>
                <w:color w:val="auto"/>
                <w:kern w:val="0"/>
                <w:highlight w:val="none"/>
              </w:rPr>
              <w:t>报价B</w:t>
            </w:r>
          </w:p>
        </w:tc>
        <w:tc>
          <w:tcPr>
            <w:tcW w:w="1575" w:type="dxa"/>
            <w:tcBorders>
              <w:top w:val="single" w:color="auto" w:sz="4" w:space="0"/>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修正率</w:t>
            </w:r>
            <w:r>
              <w:rPr>
                <w:rFonts w:hint="eastAsia" w:ascii="宋体"/>
                <w:color w:val="auto"/>
                <w:kern w:val="0"/>
                <w:highlight w:val="none"/>
              </w:rPr>
              <w:br w:type="textWrapping"/>
            </w:r>
            <w:r>
              <w:rPr>
                <w:rFonts w:hint="eastAsia" w:ascii="宋体" w:hAnsi="宋体"/>
                <w:color w:val="auto"/>
                <w:kern w:val="0"/>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1</w:t>
            </w:r>
          </w:p>
        </w:tc>
        <w:tc>
          <w:tcPr>
            <w:tcW w:w="4488"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[单位工程1]</w:t>
            </w:r>
          </w:p>
        </w:tc>
        <w:tc>
          <w:tcPr>
            <w:tcW w:w="1602"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470"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color w:val="auto"/>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2</w:t>
            </w:r>
          </w:p>
        </w:tc>
        <w:tc>
          <w:tcPr>
            <w:tcW w:w="4488"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[单位工程2]</w:t>
            </w:r>
          </w:p>
        </w:tc>
        <w:tc>
          <w:tcPr>
            <w:tcW w:w="1602"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470"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color w:val="auto"/>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w:t>
            </w:r>
          </w:p>
        </w:tc>
        <w:tc>
          <w:tcPr>
            <w:tcW w:w="4488"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w:t>
            </w:r>
          </w:p>
        </w:tc>
        <w:tc>
          <w:tcPr>
            <w:tcW w:w="1602"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470"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color w:val="auto"/>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w:t>
            </w:r>
          </w:p>
        </w:tc>
        <w:tc>
          <w:tcPr>
            <w:tcW w:w="4488"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w:t>
            </w:r>
          </w:p>
        </w:tc>
        <w:tc>
          <w:tcPr>
            <w:tcW w:w="1602"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470"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color w:val="auto"/>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w:t>
            </w:r>
          </w:p>
        </w:tc>
        <w:tc>
          <w:tcPr>
            <w:tcW w:w="4488"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w:t>
            </w:r>
          </w:p>
        </w:tc>
        <w:tc>
          <w:tcPr>
            <w:tcW w:w="1602"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470"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color w:val="auto"/>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n</w:t>
            </w:r>
          </w:p>
        </w:tc>
        <w:tc>
          <w:tcPr>
            <w:tcW w:w="4488"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[单位工程n]</w:t>
            </w:r>
          </w:p>
        </w:tc>
        <w:tc>
          <w:tcPr>
            <w:tcW w:w="1602"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470"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color w:val="auto"/>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w:t>
            </w:r>
          </w:p>
        </w:tc>
        <w:tc>
          <w:tcPr>
            <w:tcW w:w="4488"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1470" w:type="dxa"/>
            <w:tcBorders>
              <w:top w:val="nil"/>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color w:val="auto"/>
                <w:kern w:val="0"/>
                <w:highlight w:val="none"/>
              </w:rPr>
            </w:pPr>
            <w:r>
              <w:rPr>
                <w:rFonts w:hint="eastAsia" w:ascii="宋体" w:hAnsi="宋体"/>
                <w:color w:val="auto"/>
                <w:kern w:val="0"/>
                <w:highlight w:val="none"/>
              </w:rPr>
              <w:t>∑A=A</w:t>
            </w:r>
            <w:r>
              <w:rPr>
                <w:rFonts w:hint="eastAsia" w:ascii="宋体" w:hAnsi="宋体"/>
                <w:color w:val="auto"/>
                <w:kern w:val="0"/>
                <w:highlight w:val="none"/>
                <w:vertAlign w:val="subscript"/>
              </w:rPr>
              <w:t>1</w:t>
            </w:r>
            <w:r>
              <w:rPr>
                <w:rFonts w:hint="eastAsia" w:ascii="宋体" w:hAnsi="宋体"/>
                <w:color w:val="auto"/>
                <w:kern w:val="0"/>
                <w:highlight w:val="none"/>
              </w:rPr>
              <w:t>+A</w:t>
            </w:r>
            <w:r>
              <w:rPr>
                <w:rFonts w:hint="eastAsia" w:ascii="宋体" w:hAnsi="宋体"/>
                <w:color w:val="auto"/>
                <w:kern w:val="0"/>
                <w:highlight w:val="none"/>
                <w:vertAlign w:val="subscript"/>
              </w:rPr>
              <w:t>2</w:t>
            </w:r>
            <w:r>
              <w:rPr>
                <w:rFonts w:hint="eastAsia" w:ascii="宋体" w:hAnsi="宋体"/>
                <w:color w:val="auto"/>
                <w:kern w:val="0"/>
                <w:highlight w:val="none"/>
              </w:rPr>
              <w:t>+…An；∑B=B</w:t>
            </w:r>
            <w:r>
              <w:rPr>
                <w:rFonts w:hint="eastAsia" w:ascii="宋体" w:hAnsi="宋体"/>
                <w:color w:val="auto"/>
                <w:kern w:val="0"/>
                <w:highlight w:val="none"/>
                <w:vertAlign w:val="subscript"/>
              </w:rPr>
              <w:t>1</w:t>
            </w:r>
            <w:r>
              <w:rPr>
                <w:rFonts w:hint="eastAsia" w:ascii="宋体" w:hAnsi="宋体"/>
                <w:color w:val="auto"/>
                <w:kern w:val="0"/>
                <w:highlight w:val="none"/>
              </w:rPr>
              <w:t>+B</w:t>
            </w:r>
            <w:r>
              <w:rPr>
                <w:rFonts w:hint="eastAsia" w:ascii="宋体" w:hAnsi="宋体"/>
                <w:color w:val="auto"/>
                <w:kern w:val="0"/>
                <w:highlight w:val="none"/>
                <w:vertAlign w:val="subscript"/>
              </w:rPr>
              <w:t>2</w:t>
            </w:r>
            <w:r>
              <w:rPr>
                <w:rFonts w:hint="eastAsia" w:ascii="宋体" w:hAnsi="宋体"/>
                <w:color w:val="auto"/>
                <w:kern w:val="0"/>
                <w:highlight w:val="none"/>
              </w:rPr>
              <w:t>+…Bn</w:t>
            </w:r>
          </w:p>
        </w:tc>
      </w:tr>
    </w:tbl>
    <w:p>
      <w:pPr>
        <w:rPr>
          <w:rFonts w:cs="宋体"/>
          <w:color w:val="auto"/>
          <w:kern w:val="0"/>
          <w:highlight w:val="none"/>
        </w:rPr>
      </w:pPr>
      <w:r>
        <w:rPr>
          <w:rFonts w:hint="eastAsia" w:ascii="宋体" w:hAnsi="宋体"/>
          <w:color w:val="auto"/>
          <w:kern w:val="0"/>
          <w:highlight w:val="none"/>
        </w:rPr>
        <w:t>修正原则：</w:t>
      </w:r>
      <w:r>
        <w:rPr>
          <w:rFonts w:hint="eastAsia" w:ascii="宋体" w:hAnsi="宋体"/>
          <w:color w:val="auto"/>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highlight w:val="none"/>
        </w:rPr>
        <w:tab/>
      </w:r>
    </w:p>
    <w:p>
      <w:pPr>
        <w:rPr>
          <w:color w:val="auto"/>
          <w:kern w:val="0"/>
          <w:highlight w:val="none"/>
        </w:rPr>
      </w:pPr>
      <w:r>
        <w:rPr>
          <w:rFonts w:hint="eastAsia" w:ascii="宋体" w:hAnsi="宋体"/>
          <w:color w:val="auto"/>
          <w:kern w:val="0"/>
          <w:highlight w:val="none"/>
        </w:rPr>
        <w:t>评委签名：</w:t>
      </w:r>
      <w:r>
        <w:rPr>
          <w:color w:val="auto"/>
          <w:kern w:val="0"/>
          <w:highlight w:val="none"/>
        </w:rPr>
        <w:tab/>
      </w:r>
      <w:r>
        <w:rPr>
          <w:color w:val="auto"/>
          <w:kern w:val="0"/>
          <w:highlight w:val="none"/>
        </w:rPr>
        <w:tab/>
      </w:r>
      <w:r>
        <w:rPr>
          <w:color w:val="auto"/>
          <w:kern w:val="0"/>
          <w:highlight w:val="none"/>
        </w:rPr>
        <w:tab/>
      </w:r>
      <w:r>
        <w:rPr>
          <w:color w:val="auto"/>
          <w:kern w:val="0"/>
          <w:highlight w:val="none"/>
        </w:rPr>
        <w:tab/>
      </w:r>
      <w:r>
        <w:rPr>
          <w:color w:val="auto"/>
          <w:kern w:val="0"/>
          <w:highlight w:val="none"/>
        </w:rPr>
        <w:tab/>
      </w:r>
      <w:r>
        <w:rPr>
          <w:rFonts w:hint="eastAsia" w:ascii="宋体" w:hAnsi="宋体"/>
          <w:color w:val="auto"/>
          <w:kern w:val="0"/>
          <w:highlight w:val="none"/>
        </w:rPr>
        <w:t>日期：</w:t>
      </w:r>
    </w:p>
    <w:p>
      <w:pPr>
        <w:rPr>
          <w:color w:val="auto"/>
          <w:highlight w:val="none"/>
        </w:rPr>
      </w:pPr>
    </w:p>
    <w:p>
      <w:pPr>
        <w:jc w:val="center"/>
        <w:rPr>
          <w:b/>
          <w:bCs/>
          <w:color w:val="auto"/>
          <w:sz w:val="36"/>
          <w:szCs w:val="36"/>
          <w:highlight w:val="none"/>
        </w:rPr>
      </w:pPr>
      <w:r>
        <w:rPr>
          <w:color w:val="auto"/>
          <w:highlight w:val="none"/>
        </w:rPr>
        <w:br w:type="page"/>
      </w:r>
      <w:r>
        <w:rPr>
          <w:rFonts w:hint="eastAsia" w:ascii="宋体" w:hAnsi="宋体"/>
          <w:b/>
          <w:bCs/>
          <w:color w:val="auto"/>
          <w:sz w:val="36"/>
          <w:szCs w:val="36"/>
          <w:highlight w:val="none"/>
        </w:rPr>
        <w:t>算术复核表</w:t>
      </w:r>
    </w:p>
    <w:p>
      <w:pPr>
        <w:rPr>
          <w:color w:val="auto"/>
          <w:highlight w:val="none"/>
        </w:rPr>
      </w:pPr>
      <w:r>
        <w:rPr>
          <w:rFonts w:hint="eastAsia" w:ascii="宋体" w:hAnsi="宋体"/>
          <w:color w:val="auto"/>
          <w:highlight w:val="none"/>
        </w:rPr>
        <w:t>工程名称：</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b/>
                <w:bCs/>
                <w:color w:val="auto"/>
                <w:sz w:val="28"/>
                <w:szCs w:val="28"/>
                <w:highlight w:val="none"/>
              </w:rPr>
            </w:pPr>
            <w:r>
              <w:rPr>
                <w:rFonts w:hint="eastAsia"/>
                <w:b/>
                <w:bCs/>
                <w:color w:val="auto"/>
                <w:sz w:val="28"/>
                <w:szCs w:val="28"/>
                <w:highlight w:val="none"/>
              </w:rPr>
              <w:t>编号</w:t>
            </w:r>
          </w:p>
        </w:tc>
        <w:tc>
          <w:tcPr>
            <w:tcW w:w="4297" w:type="dxa"/>
            <w:tcBorders>
              <w:top w:val="single" w:color="auto" w:sz="4" w:space="0"/>
              <w:left w:val="nil"/>
              <w:bottom w:val="single" w:color="auto" w:sz="4" w:space="0"/>
              <w:right w:val="single" w:color="auto" w:sz="4" w:space="0"/>
            </w:tcBorders>
          </w:tcPr>
          <w:p>
            <w:pPr>
              <w:rPr>
                <w:b/>
                <w:bCs/>
                <w:color w:val="auto"/>
                <w:sz w:val="28"/>
                <w:szCs w:val="28"/>
                <w:highlight w:val="none"/>
              </w:rPr>
            </w:pPr>
            <w:r>
              <w:rPr>
                <w:rFonts w:hint="eastAsia"/>
                <w:b/>
                <w:bCs/>
                <w:color w:val="auto"/>
                <w:sz w:val="28"/>
                <w:szCs w:val="28"/>
                <w:highlight w:val="none"/>
              </w:rPr>
              <w:t>投标人名称</w:t>
            </w:r>
          </w:p>
        </w:tc>
        <w:tc>
          <w:tcPr>
            <w:tcW w:w="2330" w:type="dxa"/>
            <w:tcBorders>
              <w:top w:val="single" w:color="auto" w:sz="4" w:space="0"/>
              <w:left w:val="nil"/>
              <w:bottom w:val="single" w:color="auto" w:sz="4" w:space="0"/>
              <w:right w:val="single" w:color="auto" w:sz="4" w:space="0"/>
            </w:tcBorders>
          </w:tcPr>
          <w:p>
            <w:pPr>
              <w:rPr>
                <w:b/>
                <w:bCs/>
                <w:color w:val="auto"/>
                <w:sz w:val="28"/>
                <w:szCs w:val="28"/>
                <w:highlight w:val="none"/>
              </w:rPr>
            </w:pPr>
            <w:r>
              <w:rPr>
                <w:rFonts w:hint="eastAsia"/>
                <w:b/>
                <w:bCs/>
                <w:color w:val="auto"/>
                <w:sz w:val="28"/>
                <w:szCs w:val="28"/>
                <w:highlight w:val="none"/>
              </w:rPr>
              <w:t>原投标报价（</w:t>
            </w:r>
            <w:r>
              <w:rPr>
                <w:b/>
                <w:bCs/>
                <w:color w:val="auto"/>
                <w:sz w:val="28"/>
                <w:szCs w:val="28"/>
                <w:highlight w:val="none"/>
              </w:rPr>
              <w:t>A</w:t>
            </w:r>
            <w:r>
              <w:rPr>
                <w:rFonts w:hint="eastAsia"/>
                <w:b/>
                <w:bCs/>
                <w:color w:val="auto"/>
                <w:sz w:val="28"/>
                <w:szCs w:val="28"/>
                <w:highlight w:val="none"/>
              </w:rPr>
              <w:t>）</w:t>
            </w:r>
          </w:p>
        </w:tc>
        <w:tc>
          <w:tcPr>
            <w:tcW w:w="3101" w:type="dxa"/>
            <w:tcBorders>
              <w:top w:val="single" w:color="auto" w:sz="4" w:space="0"/>
              <w:left w:val="nil"/>
              <w:bottom w:val="single" w:color="auto" w:sz="4" w:space="0"/>
              <w:right w:val="single" w:color="auto" w:sz="4" w:space="0"/>
            </w:tcBorders>
          </w:tcPr>
          <w:p>
            <w:pPr>
              <w:rPr>
                <w:b/>
                <w:bCs/>
                <w:color w:val="auto"/>
                <w:sz w:val="28"/>
                <w:szCs w:val="28"/>
                <w:highlight w:val="none"/>
              </w:rPr>
            </w:pPr>
            <w:r>
              <w:rPr>
                <w:rFonts w:hint="eastAsia"/>
                <w:b/>
                <w:bCs/>
                <w:color w:val="auto"/>
                <w:sz w:val="28"/>
                <w:szCs w:val="28"/>
                <w:highlight w:val="none"/>
              </w:rPr>
              <w:t>算数复核后投标报价（</w:t>
            </w:r>
            <w:r>
              <w:rPr>
                <w:b/>
                <w:bCs/>
                <w:color w:val="auto"/>
                <w:sz w:val="28"/>
                <w:szCs w:val="28"/>
                <w:highlight w:val="none"/>
              </w:rPr>
              <w:t>B</w:t>
            </w:r>
            <w:r>
              <w:rPr>
                <w:rFonts w:hint="eastAsia"/>
                <w:b/>
                <w:bCs/>
                <w:color w:val="auto"/>
                <w:sz w:val="28"/>
                <w:szCs w:val="28"/>
                <w:highlight w:val="none"/>
              </w:rPr>
              <w:t>）</w:t>
            </w:r>
          </w:p>
        </w:tc>
        <w:tc>
          <w:tcPr>
            <w:tcW w:w="3423" w:type="dxa"/>
            <w:tcBorders>
              <w:top w:val="single" w:color="auto" w:sz="4" w:space="0"/>
              <w:left w:val="nil"/>
              <w:bottom w:val="single" w:color="auto" w:sz="4" w:space="0"/>
              <w:right w:val="single" w:color="auto" w:sz="4" w:space="0"/>
            </w:tcBorders>
          </w:tcPr>
          <w:p>
            <w:pPr>
              <w:rPr>
                <w:b/>
                <w:bCs/>
                <w:color w:val="auto"/>
                <w:sz w:val="28"/>
                <w:szCs w:val="28"/>
                <w:highlight w:val="none"/>
              </w:rPr>
            </w:pPr>
            <w:r>
              <w:rPr>
                <w:rFonts w:hint="eastAsia"/>
                <w:b/>
                <w:bCs/>
                <w:color w:val="auto"/>
                <w:sz w:val="28"/>
                <w:szCs w:val="28"/>
                <w:highlight w:val="none"/>
              </w:rPr>
              <w:t>误差率（</w:t>
            </w:r>
            <w:r>
              <w:rPr>
                <w:b/>
                <w:bCs/>
                <w:color w:val="auto"/>
                <w:sz w:val="28"/>
                <w:szCs w:val="28"/>
                <w:highlight w:val="none"/>
              </w:rPr>
              <w:t>r=|A-B|/A*100%</w:t>
            </w:r>
            <w:r>
              <w:rPr>
                <w:rFonts w:hint="eastAsia"/>
                <w:b/>
                <w:bCs/>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nil"/>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nil"/>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nil"/>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nil"/>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nil"/>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nil"/>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nil"/>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nil"/>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nil"/>
              <w:bottom w:val="single" w:color="auto" w:sz="4" w:space="0"/>
              <w:right w:val="single" w:color="auto" w:sz="4" w:space="0"/>
            </w:tcBorders>
          </w:tcPr>
          <w:p>
            <w:pPr>
              <w:rPr>
                <w:color w:val="auto"/>
                <w:sz w:val="36"/>
                <w:szCs w:val="36"/>
                <w:highlight w:val="none"/>
              </w:rPr>
            </w:pPr>
          </w:p>
        </w:tc>
      </w:tr>
    </w:tbl>
    <w:p>
      <w:pPr>
        <w:spacing w:line="360" w:lineRule="auto"/>
        <w:rPr>
          <w:rFonts w:ascii="宋体" w:hAnsi="宋体"/>
          <w:color w:val="auto"/>
          <w:szCs w:val="21"/>
          <w:highlight w:val="none"/>
        </w:rPr>
        <w:sectPr>
          <w:headerReference r:id="rId9" w:type="first"/>
          <w:footerReference r:id="rId12" w:type="first"/>
          <w:headerReference r:id="rId7" w:type="default"/>
          <w:footerReference r:id="rId10" w:type="default"/>
          <w:headerReference r:id="rId8" w:type="even"/>
          <w:footerReference r:id="rId11" w:type="even"/>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olor w:val="auto"/>
          <w:highlight w:val="none"/>
        </w:rPr>
        <w:t>评委签名：</w:t>
      </w:r>
    </w:p>
    <w:p>
      <w:pPr>
        <w:widowControl/>
        <w:jc w:val="left"/>
        <w:rPr>
          <w:rFonts w:ascii="仿宋" w:hAnsi="仿宋" w:eastAsia="仿宋"/>
          <w:b/>
          <w:bCs/>
          <w:color w:val="auto"/>
          <w:szCs w:val="21"/>
          <w:highlight w:val="none"/>
        </w:rPr>
      </w:pPr>
      <w:r>
        <w:rPr>
          <w:rFonts w:hint="eastAsia" w:ascii="仿宋" w:hAnsi="仿宋" w:eastAsia="仿宋"/>
          <w:b/>
          <w:bCs/>
          <w:color w:val="auto"/>
          <w:szCs w:val="21"/>
          <w:highlight w:val="none"/>
        </w:rPr>
        <w:t>附表五、</w:t>
      </w:r>
    </w:p>
    <w:p>
      <w:pPr>
        <w:widowControl/>
        <w:spacing w:line="360" w:lineRule="auto"/>
        <w:ind w:left="846"/>
        <w:jc w:val="center"/>
        <w:rPr>
          <w:rFonts w:ascii="仿宋" w:hAnsi="仿宋" w:eastAsia="仿宋"/>
          <w:b/>
          <w:color w:val="auto"/>
          <w:kern w:val="0"/>
          <w:sz w:val="28"/>
          <w:highlight w:val="none"/>
        </w:rPr>
      </w:pPr>
      <w:r>
        <w:rPr>
          <w:rFonts w:hint="eastAsia" w:ascii="仿宋" w:hAnsi="仿宋" w:eastAsia="仿宋"/>
          <w:b/>
          <w:color w:val="auto"/>
          <w:kern w:val="0"/>
          <w:sz w:val="28"/>
          <w:highlight w:val="none"/>
        </w:rPr>
        <w:t>定性评审表</w:t>
      </w:r>
    </w:p>
    <w:p>
      <w:pPr>
        <w:rPr>
          <w:rFonts w:ascii="宋体" w:hAnsi="宋体"/>
          <w:color w:val="auto"/>
          <w:highlight w:val="none"/>
        </w:rPr>
      </w:pPr>
      <w:r>
        <w:rPr>
          <w:rFonts w:hint="eastAsia" w:ascii="宋体" w:hAnsi="宋体"/>
          <w:color w:val="auto"/>
          <w:highlight w:val="none"/>
        </w:rPr>
        <w:t>招标工程名称：                                                 投标人：</w:t>
      </w:r>
    </w:p>
    <w:tbl>
      <w:tblPr>
        <w:tblStyle w:val="40"/>
        <w:tblpPr w:leftFromText="180" w:rightFromText="180" w:vertAnchor="text" w:horzAnchor="margin" w:tblpXSpec="center" w:tblpY="43"/>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820"/>
        <w:gridCol w:w="822"/>
        <w:gridCol w:w="6338"/>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31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88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评审项目</w:t>
            </w:r>
          </w:p>
        </w:tc>
        <w:tc>
          <w:tcPr>
            <w:tcW w:w="34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评审子项</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1" w:hRule="atLeast"/>
        </w:trPr>
        <w:tc>
          <w:tcPr>
            <w:tcW w:w="31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883" w:type="pct"/>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仿宋" w:hAnsi="仿宋" w:eastAsia="仿宋"/>
                <w:color w:val="auto"/>
                <w:szCs w:val="21"/>
                <w:highlight w:val="none"/>
              </w:rPr>
            </w:pPr>
            <w:r>
              <w:rPr>
                <w:rFonts w:ascii="仿宋" w:hAnsi="仿宋" w:eastAsia="仿宋" w:cs="宋体"/>
                <w:color w:val="auto"/>
                <w:szCs w:val="21"/>
                <w:highlight w:val="none"/>
              </w:rPr>
              <w:t>工程</w:t>
            </w:r>
            <w:r>
              <w:rPr>
                <w:rFonts w:hint="eastAsia" w:ascii="仿宋" w:hAnsi="仿宋" w:eastAsia="仿宋" w:cs="MingLiU"/>
                <w:color w:val="auto"/>
                <w:szCs w:val="21"/>
                <w:highlight w:val="none"/>
              </w:rPr>
              <w:t>业绩</w:t>
            </w:r>
            <w:r>
              <w:rPr>
                <w:rFonts w:hint="eastAsia" w:ascii="仿宋" w:hAnsi="仿宋" w:eastAsia="仿宋" w:cs="MS Gothic"/>
                <w:color w:val="auto"/>
                <w:szCs w:val="21"/>
                <w:highlight w:val="none"/>
              </w:rPr>
              <w:t>：提供近五年（自20</w:t>
            </w:r>
            <w:r>
              <w:rPr>
                <w:rFonts w:ascii="仿宋" w:hAnsi="仿宋" w:eastAsia="仿宋" w:cs="MS Gothic"/>
                <w:color w:val="auto"/>
                <w:szCs w:val="21"/>
                <w:highlight w:val="none"/>
              </w:rPr>
              <w:t>1</w:t>
            </w:r>
            <w:r>
              <w:rPr>
                <w:rFonts w:hint="eastAsia" w:ascii="仿宋" w:hAnsi="仿宋" w:eastAsia="仿宋" w:cs="MS Gothic"/>
                <w:color w:val="auto"/>
                <w:szCs w:val="21"/>
                <w:highlight w:val="none"/>
                <w:lang w:val="en-US" w:eastAsia="zh-CN"/>
              </w:rPr>
              <w:t>7</w:t>
            </w:r>
            <w:r>
              <w:rPr>
                <w:rFonts w:hint="eastAsia" w:ascii="仿宋" w:hAnsi="仿宋" w:eastAsia="仿宋" w:cs="MS Gothic"/>
                <w:color w:val="auto"/>
                <w:szCs w:val="21"/>
                <w:highlight w:val="none"/>
              </w:rPr>
              <w:t>年</w:t>
            </w:r>
            <w:r>
              <w:rPr>
                <w:rFonts w:ascii="仿宋" w:hAnsi="仿宋" w:eastAsia="仿宋" w:cs="MS Gothic"/>
                <w:color w:val="auto"/>
                <w:szCs w:val="21"/>
                <w:highlight w:val="none"/>
              </w:rPr>
              <w:t>1</w:t>
            </w:r>
            <w:r>
              <w:rPr>
                <w:rFonts w:hint="eastAsia" w:ascii="仿宋" w:hAnsi="仿宋" w:eastAsia="仿宋" w:cs="MS Gothic"/>
                <w:color w:val="auto"/>
                <w:szCs w:val="21"/>
                <w:highlight w:val="none"/>
              </w:rPr>
              <w:t>月1日至今）投</w:t>
            </w:r>
            <w:r>
              <w:rPr>
                <w:rFonts w:hint="eastAsia" w:ascii="仿宋" w:hAnsi="仿宋" w:eastAsia="仿宋" w:cs="MingLiU"/>
                <w:color w:val="auto"/>
                <w:szCs w:val="21"/>
                <w:highlight w:val="none"/>
              </w:rPr>
              <w:t>标</w:t>
            </w:r>
            <w:r>
              <w:rPr>
                <w:rFonts w:hint="eastAsia" w:ascii="仿宋" w:hAnsi="仿宋" w:eastAsia="仿宋" w:cs="MS Gothic"/>
                <w:color w:val="auto"/>
                <w:szCs w:val="21"/>
                <w:highlight w:val="none"/>
              </w:rPr>
              <w:t>人的</w:t>
            </w:r>
            <w:r>
              <w:rPr>
                <w:rFonts w:hint="eastAsia" w:ascii="仿宋" w:hAnsi="仿宋" w:eastAsia="仿宋" w:cs="MingLiU"/>
                <w:color w:val="auto"/>
                <w:szCs w:val="21"/>
                <w:highlight w:val="none"/>
              </w:rPr>
              <w:t>类</w:t>
            </w:r>
            <w:r>
              <w:rPr>
                <w:rFonts w:hint="eastAsia" w:ascii="仿宋" w:hAnsi="仿宋" w:eastAsia="仿宋" w:cs="MS Gothic"/>
                <w:color w:val="auto"/>
                <w:szCs w:val="21"/>
                <w:highlight w:val="none"/>
              </w:rPr>
              <w:t>似</w:t>
            </w:r>
            <w:r>
              <w:rPr>
                <w:rFonts w:hint="eastAsia" w:ascii="仿宋" w:hAnsi="仿宋" w:eastAsia="仿宋" w:cs="宋体"/>
                <w:color w:val="auto"/>
                <w:szCs w:val="21"/>
                <w:highlight w:val="none"/>
              </w:rPr>
              <w:t>项目</w:t>
            </w:r>
          </w:p>
        </w:tc>
        <w:tc>
          <w:tcPr>
            <w:tcW w:w="3408"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仿宋" w:hAnsi="仿宋" w:eastAsia="仿宋"/>
                <w:color w:val="auto"/>
                <w:szCs w:val="21"/>
                <w:highlight w:val="none"/>
              </w:rPr>
            </w:pPr>
            <w:r>
              <w:rPr>
                <w:rFonts w:ascii="仿宋" w:hAnsi="仿宋" w:eastAsia="仿宋"/>
                <w:color w:val="auto"/>
                <w:szCs w:val="21"/>
                <w:highlight w:val="none"/>
              </w:rPr>
              <w:t>类似业绩：</w:t>
            </w:r>
            <w:r>
              <w:rPr>
                <w:rFonts w:hint="default" w:ascii="仿宋" w:hAnsi="仿宋" w:eastAsia="仿宋"/>
                <w:color w:val="auto"/>
                <w:szCs w:val="21"/>
                <w:highlight w:val="yellow"/>
              </w:rPr>
              <w:t>是指单项合同具备具有1项1台已投运的120MW以上燃气机</w:t>
            </w:r>
            <w:r>
              <w:rPr>
                <w:rFonts w:hint="default" w:ascii="仿宋" w:hAnsi="仿宋" w:eastAsia="仿宋"/>
                <w:color w:val="auto"/>
                <w:szCs w:val="21"/>
                <w:highlight w:val="yellow"/>
                <w:lang w:eastAsia="zh-CN"/>
              </w:rPr>
              <w:t>组工程</w:t>
            </w:r>
            <w:r>
              <w:rPr>
                <w:rFonts w:hint="default" w:ascii="仿宋" w:hAnsi="仿宋" w:eastAsia="仿宋"/>
                <w:color w:val="auto"/>
                <w:szCs w:val="21"/>
                <w:highlight w:val="yellow"/>
              </w:rPr>
              <w:t>。</w:t>
            </w:r>
            <w:r>
              <w:rPr>
                <w:rFonts w:hint="default" w:ascii="仿宋" w:hAnsi="仿宋" w:eastAsia="仿宋"/>
                <w:color w:val="auto"/>
                <w:szCs w:val="21"/>
                <w:highlight w:val="none"/>
              </w:rPr>
              <w:t>类似业绩需提供（1）中标通知书或施工合同、（2）竣工验收证明或移交生产证书，时间以竣工验收证明或移交生产证书证明文件为准，技术指标以施工合同或竣工验收证明为准，如前述资料不能反映技术规模的，需另行提供施工图纸（注：提供的施工图纸能应体现建筑高度、项目名称）。</w:t>
            </w:r>
          </w:p>
        </w:tc>
        <w:tc>
          <w:tcPr>
            <w:tcW w:w="3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31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2</w:t>
            </w:r>
          </w:p>
        </w:tc>
        <w:tc>
          <w:tcPr>
            <w:tcW w:w="883" w:type="pct"/>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仿宋" w:hAnsi="仿宋" w:eastAsia="仿宋" w:cs="宋体"/>
                <w:color w:val="auto"/>
                <w:szCs w:val="21"/>
                <w:highlight w:val="none"/>
              </w:rPr>
            </w:pPr>
            <w:r>
              <w:rPr>
                <w:rFonts w:hint="eastAsia" w:ascii="仿宋" w:hAnsi="仿宋" w:eastAsia="仿宋" w:cs="宋体"/>
                <w:color w:val="auto"/>
                <w:szCs w:val="21"/>
                <w:highlight w:val="none"/>
              </w:rPr>
              <w:t>资信部分</w:t>
            </w:r>
          </w:p>
        </w:tc>
        <w:tc>
          <w:tcPr>
            <w:tcW w:w="3408"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仿宋" w:hAnsi="仿宋" w:eastAsia="仿宋"/>
                <w:color w:val="auto"/>
                <w:szCs w:val="21"/>
                <w:highlight w:val="none"/>
              </w:rPr>
            </w:pPr>
            <w:r>
              <w:rPr>
                <w:rFonts w:hint="eastAsia" w:ascii="仿宋" w:hAnsi="仿宋" w:eastAsia="仿宋"/>
                <w:color w:val="auto"/>
                <w:szCs w:val="21"/>
                <w:highlight w:val="none"/>
              </w:rPr>
              <w:t>是否具有电力工程壹级资质。</w:t>
            </w:r>
          </w:p>
        </w:tc>
        <w:tc>
          <w:tcPr>
            <w:tcW w:w="3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5" w:hRule="atLeast"/>
        </w:trPr>
        <w:tc>
          <w:tcPr>
            <w:tcW w:w="319" w:type="pct"/>
            <w:vMerge w:val="restart"/>
            <w:tcBorders>
              <w:top w:val="single" w:color="auto" w:sz="4" w:space="0"/>
              <w:left w:val="single" w:color="auto" w:sz="4" w:space="0"/>
              <w:right w:val="single" w:color="auto" w:sz="4" w:space="0"/>
            </w:tcBorders>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3</w:t>
            </w:r>
          </w:p>
        </w:tc>
        <w:tc>
          <w:tcPr>
            <w:tcW w:w="441" w:type="pct"/>
            <w:vMerge w:val="restart"/>
            <w:tcBorders>
              <w:top w:val="single" w:color="auto" w:sz="4" w:space="0"/>
              <w:left w:val="single" w:color="auto" w:sz="4" w:space="0"/>
              <w:right w:val="single" w:color="auto" w:sz="4" w:space="0"/>
            </w:tcBorders>
            <w:vAlign w:val="center"/>
          </w:tcPr>
          <w:p>
            <w:pPr>
              <w:spacing w:before="156" w:beforeLines="50" w:after="156" w:afterLines="50"/>
              <w:rPr>
                <w:rFonts w:ascii="仿宋" w:hAnsi="仿宋" w:eastAsia="仿宋"/>
                <w:color w:val="auto"/>
                <w:szCs w:val="21"/>
                <w:highlight w:val="none"/>
              </w:rPr>
            </w:pPr>
            <w:r>
              <w:rPr>
                <w:rFonts w:hint="eastAsia" w:ascii="仿宋" w:hAnsi="仿宋" w:eastAsia="仿宋" w:cs="MingLiU"/>
                <w:color w:val="auto"/>
                <w:szCs w:val="21"/>
                <w:highlight w:val="none"/>
              </w:rPr>
              <w:t>投入人员</w:t>
            </w:r>
          </w:p>
        </w:tc>
        <w:tc>
          <w:tcPr>
            <w:tcW w:w="442"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仿宋" w:hAnsi="仿宋" w:eastAsia="仿宋"/>
                <w:color w:val="auto"/>
                <w:szCs w:val="21"/>
                <w:highlight w:val="none"/>
              </w:rPr>
            </w:pPr>
            <w:r>
              <w:rPr>
                <w:rFonts w:hint="eastAsia" w:ascii="仿宋" w:hAnsi="仿宋" w:eastAsia="仿宋"/>
                <w:color w:val="auto"/>
                <w:szCs w:val="21"/>
                <w:highlight w:val="none"/>
              </w:rPr>
              <w:t>项目负责人</w:t>
            </w:r>
          </w:p>
        </w:tc>
        <w:tc>
          <w:tcPr>
            <w:tcW w:w="3408" w:type="pct"/>
            <w:tcBorders>
              <w:top w:val="single" w:color="auto" w:sz="4" w:space="0"/>
              <w:left w:val="single" w:color="auto" w:sz="4" w:space="0"/>
              <w:bottom w:val="single" w:color="auto" w:sz="4" w:space="0"/>
              <w:right w:val="single" w:color="auto" w:sz="4" w:space="0"/>
            </w:tcBorders>
            <w:vAlign w:val="center"/>
          </w:tcPr>
          <w:p>
            <w:pPr>
              <w:pStyle w:val="116"/>
              <w:numPr>
                <w:ilvl w:val="0"/>
                <w:numId w:val="2"/>
              </w:numPr>
              <w:spacing w:before="156" w:beforeLines="50" w:after="156" w:afterLines="50"/>
              <w:ind w:firstLineChars="0"/>
              <w:rPr>
                <w:rFonts w:ascii="仿宋" w:hAnsi="仿宋" w:eastAsia="仿宋"/>
                <w:color w:val="auto"/>
                <w:szCs w:val="21"/>
                <w:highlight w:val="none"/>
              </w:rPr>
            </w:pPr>
            <w:r>
              <w:rPr>
                <w:rFonts w:hint="eastAsia" w:ascii="仿宋" w:hAnsi="仿宋" w:eastAsia="仿宋"/>
                <w:color w:val="auto"/>
                <w:szCs w:val="21"/>
                <w:highlight w:val="none"/>
              </w:rPr>
              <w:t>是否具有电力工程类高级工程师职称。</w:t>
            </w:r>
          </w:p>
          <w:p>
            <w:pPr>
              <w:pStyle w:val="116"/>
              <w:numPr>
                <w:ilvl w:val="0"/>
                <w:numId w:val="2"/>
              </w:numPr>
              <w:spacing w:before="156" w:beforeLines="50" w:after="156" w:afterLines="50"/>
              <w:ind w:firstLineChars="0"/>
              <w:rPr>
                <w:rFonts w:ascii="仿宋" w:hAnsi="仿宋" w:eastAsia="仿宋"/>
                <w:color w:val="auto"/>
                <w:szCs w:val="21"/>
                <w:highlight w:val="none"/>
              </w:rPr>
            </w:pPr>
            <w:r>
              <w:rPr>
                <w:rFonts w:ascii="仿宋" w:hAnsi="仿宋" w:eastAsia="仿宋"/>
                <w:color w:val="auto"/>
                <w:szCs w:val="21"/>
                <w:highlight w:val="none"/>
              </w:rPr>
              <w:t>提供项目</w:t>
            </w:r>
            <w:r>
              <w:rPr>
                <w:rFonts w:hint="eastAsia" w:ascii="仿宋" w:hAnsi="仿宋" w:eastAsia="仿宋"/>
                <w:color w:val="auto"/>
                <w:szCs w:val="21"/>
                <w:highlight w:val="none"/>
              </w:rPr>
              <w:t>负责</w:t>
            </w:r>
            <w:r>
              <w:rPr>
                <w:rFonts w:ascii="仿宋" w:hAnsi="仿宋" w:eastAsia="仿宋"/>
                <w:color w:val="auto"/>
                <w:szCs w:val="21"/>
                <w:highlight w:val="none"/>
              </w:rPr>
              <w:t>人相应的工程业绩文件。</w:t>
            </w:r>
          </w:p>
          <w:p>
            <w:pPr>
              <w:pStyle w:val="116"/>
              <w:numPr>
                <w:ilvl w:val="0"/>
                <w:numId w:val="2"/>
              </w:numPr>
              <w:spacing w:before="156" w:beforeLines="50" w:after="156" w:afterLines="50"/>
              <w:ind w:firstLineChars="0"/>
              <w:rPr>
                <w:rFonts w:ascii="仿宋" w:hAnsi="仿宋" w:eastAsia="仿宋"/>
                <w:color w:val="auto"/>
                <w:szCs w:val="21"/>
                <w:highlight w:val="none"/>
              </w:rPr>
            </w:pPr>
            <w:r>
              <w:rPr>
                <w:rFonts w:hint="eastAsia" w:ascii="仿宋" w:hAnsi="仿宋" w:eastAsia="仿宋"/>
                <w:color w:val="auto"/>
                <w:szCs w:val="21"/>
                <w:highlight w:val="none"/>
              </w:rPr>
              <w:t>是否具有1</w:t>
            </w:r>
            <w:r>
              <w:rPr>
                <w:rFonts w:ascii="仿宋" w:hAnsi="仿宋" w:eastAsia="仿宋"/>
                <w:color w:val="auto"/>
                <w:szCs w:val="21"/>
                <w:highlight w:val="none"/>
              </w:rPr>
              <w:t>0年</w:t>
            </w:r>
            <w:r>
              <w:rPr>
                <w:rFonts w:hint="eastAsia" w:ascii="仿宋" w:hAnsi="仿宋" w:eastAsia="仿宋"/>
                <w:color w:val="auto"/>
                <w:szCs w:val="21"/>
                <w:highlight w:val="none"/>
              </w:rPr>
              <w:t>或</w:t>
            </w:r>
            <w:r>
              <w:rPr>
                <w:rFonts w:ascii="仿宋" w:hAnsi="仿宋" w:eastAsia="仿宋"/>
                <w:color w:val="auto"/>
                <w:szCs w:val="21"/>
                <w:highlight w:val="none"/>
              </w:rPr>
              <w:t>以上工作经验</w:t>
            </w:r>
            <w:r>
              <w:rPr>
                <w:rFonts w:hint="eastAsia" w:ascii="仿宋" w:hAnsi="仿宋" w:eastAsia="仿宋"/>
                <w:color w:val="auto"/>
                <w:szCs w:val="21"/>
                <w:highlight w:val="none"/>
              </w:rPr>
              <w:t>（按毕业（</w:t>
            </w:r>
            <w:r>
              <w:rPr>
                <w:rFonts w:ascii="仿宋" w:hAnsi="仿宋" w:eastAsia="仿宋"/>
                <w:color w:val="auto"/>
                <w:szCs w:val="21"/>
                <w:highlight w:val="none"/>
              </w:rPr>
              <w:t>学历）</w:t>
            </w:r>
            <w:r>
              <w:rPr>
                <w:rFonts w:hint="eastAsia" w:ascii="仿宋" w:hAnsi="仿宋" w:eastAsia="仿宋"/>
                <w:color w:val="auto"/>
                <w:szCs w:val="21"/>
                <w:highlight w:val="none"/>
              </w:rPr>
              <w:t>证书评审）</w:t>
            </w:r>
          </w:p>
          <w:p>
            <w:pPr>
              <w:spacing w:before="156" w:beforeLines="50" w:after="156" w:afterLines="50"/>
              <w:ind w:left="5"/>
              <w:rPr>
                <w:rFonts w:ascii="仿宋" w:hAnsi="仿宋" w:eastAsia="仿宋"/>
                <w:color w:val="auto"/>
                <w:szCs w:val="21"/>
                <w:highlight w:val="none"/>
              </w:rPr>
            </w:pPr>
            <w:r>
              <w:rPr>
                <w:rFonts w:hint="eastAsia" w:ascii="仿宋" w:hAnsi="仿宋" w:eastAsia="仿宋"/>
                <w:color w:val="auto"/>
                <w:szCs w:val="21"/>
                <w:highlight w:val="none"/>
              </w:rPr>
              <w:t>（证明材料要求：提供负责人职称证、毕业（学历</w:t>
            </w:r>
            <w:r>
              <w:rPr>
                <w:rFonts w:ascii="仿宋" w:hAnsi="仿宋" w:eastAsia="仿宋"/>
                <w:color w:val="auto"/>
                <w:szCs w:val="21"/>
                <w:highlight w:val="none"/>
              </w:rPr>
              <w:t>）</w:t>
            </w:r>
            <w:r>
              <w:rPr>
                <w:rFonts w:hint="eastAsia" w:ascii="仿宋" w:hAnsi="仿宋" w:eastAsia="仿宋"/>
                <w:color w:val="auto"/>
                <w:szCs w:val="21"/>
                <w:highlight w:val="none"/>
              </w:rPr>
              <w:t>证书、</w:t>
            </w:r>
            <w:r>
              <w:rPr>
                <w:rFonts w:hint="eastAsia" w:ascii="仿宋" w:hAnsi="仿宋" w:eastAsia="仿宋"/>
                <w:color w:val="auto"/>
                <w:highlight w:val="none"/>
              </w:rPr>
              <w:t>2022年1月的</w:t>
            </w:r>
            <w:r>
              <w:rPr>
                <w:rFonts w:hint="eastAsia" w:ascii="仿宋" w:hAnsi="仿宋" w:eastAsia="仿宋"/>
                <w:color w:val="auto"/>
                <w:szCs w:val="21"/>
                <w:highlight w:val="none"/>
              </w:rPr>
              <w:t>社保证明复印件，项目负责</w:t>
            </w:r>
            <w:r>
              <w:rPr>
                <w:rFonts w:ascii="仿宋" w:hAnsi="仿宋" w:eastAsia="仿宋"/>
                <w:color w:val="auto"/>
                <w:szCs w:val="21"/>
                <w:highlight w:val="none"/>
              </w:rPr>
              <w:t>人的工程业绩文件应</w:t>
            </w:r>
            <w:r>
              <w:rPr>
                <w:rFonts w:hint="eastAsia" w:ascii="仿宋" w:hAnsi="仿宋" w:eastAsia="仿宋"/>
                <w:color w:val="auto"/>
                <w:szCs w:val="21"/>
                <w:highlight w:val="none"/>
              </w:rPr>
              <w:t>提</w:t>
            </w:r>
            <w:r>
              <w:rPr>
                <w:rFonts w:ascii="仿宋" w:hAnsi="仿宋" w:eastAsia="仿宋"/>
                <w:color w:val="auto"/>
                <w:szCs w:val="21"/>
                <w:highlight w:val="none"/>
              </w:rPr>
              <w:t>供一份合同</w:t>
            </w:r>
            <w:r>
              <w:rPr>
                <w:rFonts w:hint="eastAsia" w:ascii="仿宋" w:hAnsi="仿宋" w:eastAsia="仿宋"/>
                <w:color w:val="auto"/>
                <w:szCs w:val="21"/>
                <w:highlight w:val="none"/>
              </w:rPr>
              <w:t>（合同</w:t>
            </w:r>
            <w:r>
              <w:rPr>
                <w:rFonts w:ascii="仿宋" w:hAnsi="仿宋" w:eastAsia="仿宋"/>
                <w:color w:val="auto"/>
                <w:szCs w:val="21"/>
                <w:highlight w:val="none"/>
              </w:rPr>
              <w:t>金额</w:t>
            </w:r>
            <w:r>
              <w:rPr>
                <w:rFonts w:hint="eastAsia" w:ascii="仿宋" w:hAnsi="仿宋" w:eastAsia="仿宋"/>
                <w:color w:val="auto"/>
                <w:szCs w:val="21"/>
                <w:highlight w:val="none"/>
              </w:rPr>
              <w:t>的大</w:t>
            </w:r>
            <w:r>
              <w:rPr>
                <w:rFonts w:ascii="仿宋" w:hAnsi="仿宋" w:eastAsia="仿宋"/>
                <w:color w:val="auto"/>
                <w:szCs w:val="21"/>
                <w:highlight w:val="none"/>
              </w:rPr>
              <w:t>小是招标</w:t>
            </w:r>
            <w:r>
              <w:rPr>
                <w:rFonts w:hint="eastAsia" w:ascii="仿宋" w:hAnsi="仿宋" w:eastAsia="仿宋"/>
                <w:color w:val="auto"/>
                <w:szCs w:val="21"/>
                <w:highlight w:val="none"/>
              </w:rPr>
              <w:t>人定</w:t>
            </w:r>
            <w:r>
              <w:rPr>
                <w:rFonts w:ascii="仿宋" w:hAnsi="仿宋" w:eastAsia="仿宋"/>
                <w:color w:val="auto"/>
                <w:szCs w:val="21"/>
                <w:highlight w:val="none"/>
              </w:rPr>
              <w:t>标参考的</w:t>
            </w:r>
            <w:r>
              <w:rPr>
                <w:rFonts w:hint="eastAsia" w:ascii="仿宋" w:hAnsi="仿宋" w:eastAsia="仿宋"/>
                <w:color w:val="auto"/>
                <w:szCs w:val="21"/>
                <w:highlight w:val="none"/>
              </w:rPr>
              <w:t>依据</w:t>
            </w:r>
            <w:r>
              <w:rPr>
                <w:rFonts w:ascii="仿宋" w:hAnsi="仿宋" w:eastAsia="仿宋"/>
                <w:color w:val="auto"/>
                <w:szCs w:val="21"/>
                <w:highlight w:val="none"/>
              </w:rPr>
              <w:t>之一</w:t>
            </w:r>
            <w:r>
              <w:rPr>
                <w:rFonts w:hint="eastAsia" w:ascii="仿宋" w:hAnsi="仿宋" w:eastAsia="仿宋"/>
                <w:color w:val="auto"/>
                <w:szCs w:val="21"/>
                <w:highlight w:val="none"/>
              </w:rPr>
              <w:t>），以</w:t>
            </w:r>
            <w:r>
              <w:rPr>
                <w:rFonts w:ascii="仿宋" w:hAnsi="仿宋" w:eastAsia="仿宋"/>
                <w:color w:val="auto"/>
                <w:szCs w:val="21"/>
                <w:highlight w:val="none"/>
              </w:rPr>
              <w:t>上文件均应</w:t>
            </w:r>
            <w:r>
              <w:rPr>
                <w:rFonts w:hint="eastAsia" w:ascii="仿宋" w:hAnsi="仿宋" w:eastAsia="仿宋"/>
                <w:color w:val="auto"/>
                <w:szCs w:val="21"/>
                <w:highlight w:val="none"/>
              </w:rPr>
              <w:t>加盖投标人公章。）</w:t>
            </w:r>
          </w:p>
          <w:p>
            <w:pPr>
              <w:spacing w:before="156" w:beforeLines="50" w:after="156" w:afterLines="50"/>
              <w:ind w:left="5"/>
              <w:rPr>
                <w:rFonts w:ascii="仿宋" w:hAnsi="仿宋" w:eastAsia="仿宋"/>
                <w:color w:val="auto"/>
                <w:szCs w:val="21"/>
                <w:highlight w:val="none"/>
              </w:rPr>
            </w:pPr>
            <w:r>
              <w:rPr>
                <w:rFonts w:hint="eastAsia" w:ascii="仿宋" w:hAnsi="仿宋" w:eastAsia="仿宋"/>
                <w:color w:val="auto"/>
                <w:szCs w:val="21"/>
                <w:highlight w:val="none"/>
              </w:rPr>
              <w:t>注：项目负责人、技术负责人应为不同人员，不得互相兼任。</w:t>
            </w:r>
          </w:p>
        </w:tc>
        <w:tc>
          <w:tcPr>
            <w:tcW w:w="3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319" w:type="pct"/>
            <w:vMerge w:val="continue"/>
            <w:tcBorders>
              <w:left w:val="single" w:color="auto" w:sz="4" w:space="0"/>
              <w:right w:val="single" w:color="auto" w:sz="4" w:space="0"/>
            </w:tcBorders>
            <w:vAlign w:val="center"/>
          </w:tcPr>
          <w:p>
            <w:pPr>
              <w:jc w:val="center"/>
              <w:rPr>
                <w:rFonts w:ascii="仿宋" w:hAnsi="仿宋" w:eastAsia="仿宋"/>
                <w:color w:val="auto"/>
                <w:szCs w:val="21"/>
                <w:highlight w:val="none"/>
              </w:rPr>
            </w:pPr>
          </w:p>
        </w:tc>
        <w:tc>
          <w:tcPr>
            <w:tcW w:w="441" w:type="pct"/>
            <w:vMerge w:val="continue"/>
            <w:tcBorders>
              <w:left w:val="single" w:color="auto" w:sz="4" w:space="0"/>
              <w:right w:val="single" w:color="auto" w:sz="4" w:space="0"/>
            </w:tcBorders>
            <w:vAlign w:val="center"/>
          </w:tcPr>
          <w:p>
            <w:pPr>
              <w:spacing w:before="156" w:beforeLines="50" w:after="156" w:afterLines="50"/>
              <w:rPr>
                <w:rFonts w:ascii="仿宋" w:hAnsi="仿宋" w:eastAsia="仿宋" w:cs="MingLiU"/>
                <w:color w:val="auto"/>
                <w:szCs w:val="21"/>
                <w:highlight w:val="none"/>
              </w:rPr>
            </w:pPr>
          </w:p>
        </w:tc>
        <w:tc>
          <w:tcPr>
            <w:tcW w:w="442"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仿宋" w:hAnsi="仿宋" w:eastAsia="仿宋"/>
                <w:color w:val="auto"/>
                <w:szCs w:val="21"/>
                <w:highlight w:val="none"/>
              </w:rPr>
            </w:pPr>
            <w:r>
              <w:rPr>
                <w:rFonts w:hint="eastAsia" w:ascii="仿宋" w:hAnsi="仿宋" w:eastAsia="仿宋"/>
                <w:color w:val="auto"/>
                <w:szCs w:val="21"/>
                <w:highlight w:val="none"/>
              </w:rPr>
              <w:t>技术负责人</w:t>
            </w:r>
          </w:p>
        </w:tc>
        <w:tc>
          <w:tcPr>
            <w:tcW w:w="3408" w:type="pct"/>
            <w:tcBorders>
              <w:top w:val="single" w:color="auto" w:sz="4" w:space="0"/>
              <w:left w:val="single" w:color="auto" w:sz="4" w:space="0"/>
              <w:bottom w:val="single" w:color="auto" w:sz="4" w:space="0"/>
              <w:right w:val="single" w:color="auto" w:sz="4" w:space="0"/>
            </w:tcBorders>
            <w:vAlign w:val="center"/>
          </w:tcPr>
          <w:p>
            <w:pPr>
              <w:pStyle w:val="116"/>
              <w:spacing w:before="156" w:beforeLines="50" w:after="156" w:afterLines="50"/>
              <w:ind w:left="5" w:firstLine="0" w:firstLineChars="0"/>
              <w:rPr>
                <w:rFonts w:ascii="仿宋" w:hAnsi="仿宋" w:eastAsia="仿宋"/>
                <w:color w:val="auto"/>
                <w:szCs w:val="21"/>
                <w:highlight w:val="none"/>
              </w:rPr>
            </w:pPr>
            <w:r>
              <w:rPr>
                <w:rFonts w:hint="eastAsia" w:ascii="仿宋" w:hAnsi="仿宋" w:eastAsia="仿宋"/>
                <w:color w:val="auto"/>
                <w:szCs w:val="21"/>
                <w:highlight w:val="none"/>
              </w:rPr>
              <w:t>（1）是否具有电力工程类高级工程师职称。</w:t>
            </w:r>
          </w:p>
          <w:p>
            <w:pPr>
              <w:pStyle w:val="116"/>
              <w:spacing w:before="156" w:beforeLines="50" w:after="156" w:afterLines="50"/>
              <w:ind w:left="5" w:firstLine="0" w:firstLineChars="0"/>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提供项目</w:t>
            </w:r>
            <w:r>
              <w:rPr>
                <w:rFonts w:hint="eastAsia" w:ascii="仿宋" w:hAnsi="仿宋" w:eastAsia="仿宋"/>
                <w:color w:val="auto"/>
                <w:szCs w:val="21"/>
                <w:highlight w:val="none"/>
              </w:rPr>
              <w:t>负责</w:t>
            </w:r>
            <w:r>
              <w:rPr>
                <w:rFonts w:ascii="仿宋" w:hAnsi="仿宋" w:eastAsia="仿宋"/>
                <w:color w:val="auto"/>
                <w:szCs w:val="21"/>
                <w:highlight w:val="none"/>
              </w:rPr>
              <w:t>人相应的工程业绩文件。</w:t>
            </w:r>
          </w:p>
          <w:p>
            <w:pPr>
              <w:pStyle w:val="116"/>
              <w:spacing w:before="156" w:beforeLines="50" w:after="156" w:afterLines="50"/>
              <w:ind w:left="5" w:firstLine="0" w:firstLineChars="0"/>
              <w:rPr>
                <w:rFonts w:ascii="仿宋" w:hAnsi="仿宋" w:eastAsia="仿宋"/>
                <w:color w:val="auto"/>
                <w:szCs w:val="21"/>
                <w:highlight w:val="none"/>
              </w:rPr>
            </w:pPr>
            <w:r>
              <w:rPr>
                <w:rFonts w:hint="eastAsia" w:ascii="仿宋" w:hAnsi="仿宋" w:eastAsia="仿宋"/>
                <w:color w:val="auto"/>
                <w:szCs w:val="21"/>
                <w:highlight w:val="none"/>
              </w:rPr>
              <w:t>（3）是否具有1</w:t>
            </w:r>
            <w:r>
              <w:rPr>
                <w:rFonts w:ascii="仿宋" w:hAnsi="仿宋" w:eastAsia="仿宋"/>
                <w:color w:val="auto"/>
                <w:szCs w:val="21"/>
                <w:highlight w:val="none"/>
              </w:rPr>
              <w:t>0年</w:t>
            </w:r>
            <w:r>
              <w:rPr>
                <w:rFonts w:hint="eastAsia" w:ascii="仿宋" w:hAnsi="仿宋" w:eastAsia="仿宋"/>
                <w:color w:val="auto"/>
                <w:szCs w:val="21"/>
                <w:highlight w:val="none"/>
              </w:rPr>
              <w:t>或</w:t>
            </w:r>
            <w:r>
              <w:rPr>
                <w:rFonts w:ascii="仿宋" w:hAnsi="仿宋" w:eastAsia="仿宋"/>
                <w:color w:val="auto"/>
                <w:szCs w:val="21"/>
                <w:highlight w:val="none"/>
              </w:rPr>
              <w:t>以上工作经验</w:t>
            </w:r>
            <w:r>
              <w:rPr>
                <w:rFonts w:hint="eastAsia" w:ascii="仿宋" w:hAnsi="仿宋" w:eastAsia="仿宋"/>
                <w:color w:val="auto"/>
                <w:szCs w:val="21"/>
                <w:highlight w:val="none"/>
              </w:rPr>
              <w:t>（按毕业（</w:t>
            </w:r>
            <w:r>
              <w:rPr>
                <w:rFonts w:ascii="仿宋" w:hAnsi="仿宋" w:eastAsia="仿宋"/>
                <w:color w:val="auto"/>
                <w:szCs w:val="21"/>
                <w:highlight w:val="none"/>
              </w:rPr>
              <w:t>学历）</w:t>
            </w:r>
            <w:r>
              <w:rPr>
                <w:rFonts w:hint="eastAsia" w:ascii="仿宋" w:hAnsi="仿宋" w:eastAsia="仿宋"/>
                <w:color w:val="auto"/>
                <w:szCs w:val="21"/>
                <w:highlight w:val="none"/>
              </w:rPr>
              <w:t>证书评审）</w:t>
            </w:r>
          </w:p>
          <w:p>
            <w:pPr>
              <w:spacing w:before="156" w:beforeLines="50" w:after="156" w:afterLines="50"/>
              <w:ind w:left="5"/>
              <w:rPr>
                <w:rFonts w:ascii="仿宋" w:hAnsi="仿宋" w:eastAsia="仿宋"/>
                <w:color w:val="auto"/>
                <w:szCs w:val="21"/>
                <w:highlight w:val="none"/>
              </w:rPr>
            </w:pPr>
            <w:r>
              <w:rPr>
                <w:rFonts w:hint="eastAsia" w:ascii="仿宋" w:hAnsi="仿宋" w:eastAsia="仿宋"/>
                <w:color w:val="auto"/>
                <w:szCs w:val="21"/>
                <w:highlight w:val="none"/>
              </w:rPr>
              <w:t>（证明材料要求：提供负责人职称证、毕业（学历</w:t>
            </w:r>
            <w:r>
              <w:rPr>
                <w:rFonts w:ascii="仿宋" w:hAnsi="仿宋" w:eastAsia="仿宋"/>
                <w:color w:val="auto"/>
                <w:szCs w:val="21"/>
                <w:highlight w:val="none"/>
              </w:rPr>
              <w:t>）</w:t>
            </w:r>
            <w:r>
              <w:rPr>
                <w:rFonts w:hint="eastAsia" w:ascii="仿宋" w:hAnsi="仿宋" w:eastAsia="仿宋"/>
                <w:color w:val="auto"/>
                <w:szCs w:val="21"/>
                <w:highlight w:val="none"/>
              </w:rPr>
              <w:t>证书、</w:t>
            </w:r>
            <w:r>
              <w:rPr>
                <w:rFonts w:hint="eastAsia" w:ascii="仿宋" w:hAnsi="仿宋" w:eastAsia="仿宋"/>
                <w:color w:val="auto"/>
                <w:highlight w:val="none"/>
              </w:rPr>
              <w:t>2022年1月的</w:t>
            </w:r>
            <w:r>
              <w:rPr>
                <w:rFonts w:hint="eastAsia" w:ascii="仿宋" w:hAnsi="仿宋" w:eastAsia="仿宋"/>
                <w:color w:val="auto"/>
                <w:szCs w:val="21"/>
                <w:highlight w:val="none"/>
              </w:rPr>
              <w:t>社保证明复印件，项目负责</w:t>
            </w:r>
            <w:r>
              <w:rPr>
                <w:rFonts w:ascii="仿宋" w:hAnsi="仿宋" w:eastAsia="仿宋"/>
                <w:color w:val="auto"/>
                <w:szCs w:val="21"/>
                <w:highlight w:val="none"/>
              </w:rPr>
              <w:t>人的工程业绩文件应</w:t>
            </w:r>
            <w:r>
              <w:rPr>
                <w:rFonts w:hint="eastAsia" w:ascii="仿宋" w:hAnsi="仿宋" w:eastAsia="仿宋"/>
                <w:color w:val="auto"/>
                <w:szCs w:val="21"/>
                <w:highlight w:val="none"/>
              </w:rPr>
              <w:t>提</w:t>
            </w:r>
            <w:r>
              <w:rPr>
                <w:rFonts w:ascii="仿宋" w:hAnsi="仿宋" w:eastAsia="仿宋"/>
                <w:color w:val="auto"/>
                <w:szCs w:val="21"/>
                <w:highlight w:val="none"/>
              </w:rPr>
              <w:t>供一份合同</w:t>
            </w:r>
            <w:r>
              <w:rPr>
                <w:rFonts w:hint="eastAsia" w:ascii="仿宋" w:hAnsi="仿宋" w:eastAsia="仿宋"/>
                <w:color w:val="auto"/>
                <w:szCs w:val="21"/>
                <w:highlight w:val="none"/>
              </w:rPr>
              <w:t>（合同</w:t>
            </w:r>
            <w:r>
              <w:rPr>
                <w:rFonts w:ascii="仿宋" w:hAnsi="仿宋" w:eastAsia="仿宋"/>
                <w:color w:val="auto"/>
                <w:szCs w:val="21"/>
                <w:highlight w:val="none"/>
              </w:rPr>
              <w:t>金额</w:t>
            </w:r>
            <w:r>
              <w:rPr>
                <w:rFonts w:hint="eastAsia" w:ascii="仿宋" w:hAnsi="仿宋" w:eastAsia="仿宋"/>
                <w:color w:val="auto"/>
                <w:szCs w:val="21"/>
                <w:highlight w:val="none"/>
              </w:rPr>
              <w:t>的大</w:t>
            </w:r>
            <w:r>
              <w:rPr>
                <w:rFonts w:ascii="仿宋" w:hAnsi="仿宋" w:eastAsia="仿宋"/>
                <w:color w:val="auto"/>
                <w:szCs w:val="21"/>
                <w:highlight w:val="none"/>
              </w:rPr>
              <w:t>小是招标</w:t>
            </w:r>
            <w:r>
              <w:rPr>
                <w:rFonts w:hint="eastAsia" w:ascii="仿宋" w:hAnsi="仿宋" w:eastAsia="仿宋"/>
                <w:color w:val="auto"/>
                <w:szCs w:val="21"/>
                <w:highlight w:val="none"/>
              </w:rPr>
              <w:t>人定</w:t>
            </w:r>
            <w:r>
              <w:rPr>
                <w:rFonts w:ascii="仿宋" w:hAnsi="仿宋" w:eastAsia="仿宋"/>
                <w:color w:val="auto"/>
                <w:szCs w:val="21"/>
                <w:highlight w:val="none"/>
              </w:rPr>
              <w:t>标参考的</w:t>
            </w:r>
            <w:r>
              <w:rPr>
                <w:rFonts w:hint="eastAsia" w:ascii="仿宋" w:hAnsi="仿宋" w:eastAsia="仿宋"/>
                <w:color w:val="auto"/>
                <w:szCs w:val="21"/>
                <w:highlight w:val="none"/>
              </w:rPr>
              <w:t>依据</w:t>
            </w:r>
            <w:r>
              <w:rPr>
                <w:rFonts w:ascii="仿宋" w:hAnsi="仿宋" w:eastAsia="仿宋"/>
                <w:color w:val="auto"/>
                <w:szCs w:val="21"/>
                <w:highlight w:val="none"/>
              </w:rPr>
              <w:t>之一</w:t>
            </w:r>
            <w:r>
              <w:rPr>
                <w:rFonts w:hint="eastAsia" w:ascii="仿宋" w:hAnsi="仿宋" w:eastAsia="仿宋"/>
                <w:color w:val="auto"/>
                <w:szCs w:val="21"/>
                <w:highlight w:val="none"/>
              </w:rPr>
              <w:t>），以</w:t>
            </w:r>
            <w:r>
              <w:rPr>
                <w:rFonts w:ascii="仿宋" w:hAnsi="仿宋" w:eastAsia="仿宋"/>
                <w:color w:val="auto"/>
                <w:szCs w:val="21"/>
                <w:highlight w:val="none"/>
              </w:rPr>
              <w:t>上文件均应</w:t>
            </w:r>
            <w:r>
              <w:rPr>
                <w:rFonts w:hint="eastAsia" w:ascii="仿宋" w:hAnsi="仿宋" w:eastAsia="仿宋"/>
                <w:color w:val="auto"/>
                <w:szCs w:val="21"/>
                <w:highlight w:val="none"/>
              </w:rPr>
              <w:t>加盖投标人公章。）</w:t>
            </w:r>
          </w:p>
          <w:p>
            <w:pPr>
              <w:spacing w:before="156" w:beforeLines="50" w:after="156" w:afterLines="50"/>
              <w:rPr>
                <w:rFonts w:ascii="仿宋" w:hAnsi="仿宋" w:eastAsia="仿宋"/>
                <w:color w:val="auto"/>
                <w:szCs w:val="21"/>
                <w:highlight w:val="none"/>
              </w:rPr>
            </w:pPr>
            <w:r>
              <w:rPr>
                <w:rFonts w:hint="eastAsia" w:ascii="仿宋" w:hAnsi="仿宋" w:eastAsia="仿宋"/>
                <w:color w:val="auto"/>
                <w:szCs w:val="21"/>
                <w:highlight w:val="none"/>
              </w:rPr>
              <w:t>注：项目负责人、技术负责人应为不同人员，不得互相兼任。</w:t>
            </w:r>
          </w:p>
        </w:tc>
        <w:tc>
          <w:tcPr>
            <w:tcW w:w="3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319" w:type="pct"/>
            <w:vMerge w:val="continue"/>
            <w:tcBorders>
              <w:left w:val="single" w:color="auto" w:sz="4" w:space="0"/>
              <w:bottom w:val="single" w:color="auto" w:sz="4" w:space="0"/>
              <w:right w:val="single" w:color="auto" w:sz="4" w:space="0"/>
            </w:tcBorders>
            <w:vAlign w:val="center"/>
          </w:tcPr>
          <w:p>
            <w:pPr>
              <w:jc w:val="center"/>
              <w:rPr>
                <w:rFonts w:ascii="仿宋" w:hAnsi="仿宋" w:eastAsia="仿宋"/>
                <w:color w:val="auto"/>
                <w:szCs w:val="21"/>
                <w:highlight w:val="none"/>
              </w:rPr>
            </w:pPr>
          </w:p>
        </w:tc>
        <w:tc>
          <w:tcPr>
            <w:tcW w:w="441" w:type="pct"/>
            <w:vMerge w:val="continue"/>
            <w:tcBorders>
              <w:left w:val="single" w:color="auto" w:sz="4" w:space="0"/>
              <w:bottom w:val="single" w:color="auto" w:sz="4" w:space="0"/>
              <w:right w:val="single" w:color="auto" w:sz="4" w:space="0"/>
            </w:tcBorders>
            <w:vAlign w:val="center"/>
          </w:tcPr>
          <w:p>
            <w:pPr>
              <w:spacing w:before="156" w:beforeLines="50" w:after="156" w:afterLines="50"/>
              <w:rPr>
                <w:rFonts w:ascii="仿宋" w:hAnsi="仿宋" w:eastAsia="仿宋" w:cs="MingLiU"/>
                <w:color w:val="auto"/>
                <w:szCs w:val="21"/>
                <w:highlight w:val="none"/>
              </w:rPr>
            </w:pPr>
          </w:p>
        </w:tc>
        <w:tc>
          <w:tcPr>
            <w:tcW w:w="442"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仿宋" w:hAnsi="仿宋" w:eastAsia="仿宋"/>
                <w:color w:val="auto"/>
                <w:szCs w:val="21"/>
                <w:highlight w:val="none"/>
              </w:rPr>
            </w:pPr>
            <w:r>
              <w:rPr>
                <w:rFonts w:hint="eastAsia" w:ascii="仿宋" w:hAnsi="仿宋" w:eastAsia="仿宋"/>
                <w:color w:val="auto"/>
                <w:szCs w:val="21"/>
                <w:highlight w:val="none"/>
              </w:rPr>
              <w:t>人员配置</w:t>
            </w:r>
          </w:p>
        </w:tc>
        <w:tc>
          <w:tcPr>
            <w:tcW w:w="3408"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仿宋" w:hAnsi="仿宋" w:eastAsia="仿宋"/>
                <w:color w:val="auto"/>
                <w:szCs w:val="21"/>
                <w:highlight w:val="none"/>
              </w:rPr>
            </w:pPr>
            <w:r>
              <w:rPr>
                <w:rFonts w:hint="eastAsia" w:ascii="仿宋" w:hAnsi="仿宋" w:eastAsia="仿宋"/>
                <w:color w:val="auto"/>
                <w:szCs w:val="21"/>
                <w:highlight w:val="none"/>
              </w:rPr>
              <w:t>拟配备本项目的主要专业技术人员(项目负责人、技术负责人除外)，均要求有5</w:t>
            </w:r>
            <w:r>
              <w:rPr>
                <w:rFonts w:ascii="仿宋" w:hAnsi="仿宋" w:eastAsia="仿宋"/>
                <w:color w:val="auto"/>
                <w:szCs w:val="21"/>
                <w:highlight w:val="none"/>
              </w:rPr>
              <w:t>年（</w:t>
            </w:r>
            <w:r>
              <w:rPr>
                <w:rFonts w:hint="eastAsia" w:ascii="仿宋" w:hAnsi="仿宋" w:eastAsia="仿宋"/>
                <w:color w:val="auto"/>
                <w:szCs w:val="21"/>
                <w:highlight w:val="none"/>
              </w:rPr>
              <w:t>或</w:t>
            </w:r>
            <w:r>
              <w:rPr>
                <w:rFonts w:ascii="仿宋" w:hAnsi="仿宋" w:eastAsia="仿宋"/>
                <w:color w:val="auto"/>
                <w:szCs w:val="21"/>
                <w:highlight w:val="none"/>
              </w:rPr>
              <w:t>以上）施工管理工作经验</w:t>
            </w:r>
            <w:r>
              <w:rPr>
                <w:rFonts w:hint="eastAsia" w:ascii="仿宋" w:hAnsi="仿宋" w:eastAsia="仿宋"/>
                <w:color w:val="auto"/>
                <w:szCs w:val="21"/>
                <w:highlight w:val="none"/>
              </w:rPr>
              <w:t>：</w:t>
            </w:r>
          </w:p>
          <w:p>
            <w:pPr>
              <w:pStyle w:val="116"/>
              <w:numPr>
                <w:ilvl w:val="0"/>
                <w:numId w:val="3"/>
              </w:numPr>
              <w:spacing w:before="156" w:beforeLines="50" w:after="156" w:afterLines="50"/>
              <w:ind w:firstLineChars="0"/>
              <w:rPr>
                <w:rFonts w:ascii="仿宋" w:hAnsi="仿宋" w:eastAsia="仿宋"/>
                <w:color w:val="auto"/>
                <w:szCs w:val="21"/>
                <w:highlight w:val="none"/>
              </w:rPr>
            </w:pPr>
            <w:r>
              <w:rPr>
                <w:rFonts w:hint="eastAsia" w:ascii="仿宋" w:hAnsi="仿宋" w:eastAsia="仿宋"/>
                <w:color w:val="auto"/>
                <w:szCs w:val="21"/>
                <w:highlight w:val="none"/>
              </w:rPr>
              <w:t>施工员≥</w:t>
            </w:r>
            <w:r>
              <w:rPr>
                <w:rFonts w:ascii="仿宋" w:hAnsi="仿宋" w:eastAsia="仿宋"/>
                <w:color w:val="auto"/>
                <w:szCs w:val="21"/>
                <w:highlight w:val="none"/>
              </w:rPr>
              <w:t>1</w:t>
            </w:r>
            <w:r>
              <w:rPr>
                <w:rFonts w:hint="eastAsia" w:ascii="仿宋" w:hAnsi="仿宋" w:eastAsia="仿宋"/>
                <w:color w:val="auto"/>
                <w:szCs w:val="21"/>
                <w:highlight w:val="none"/>
              </w:rPr>
              <w:t>人</w:t>
            </w:r>
          </w:p>
          <w:p>
            <w:pPr>
              <w:pStyle w:val="116"/>
              <w:numPr>
                <w:ilvl w:val="0"/>
                <w:numId w:val="3"/>
              </w:numPr>
              <w:spacing w:before="156" w:beforeLines="50" w:after="156" w:afterLines="50"/>
              <w:ind w:firstLineChars="0"/>
              <w:rPr>
                <w:rFonts w:ascii="仿宋" w:hAnsi="仿宋" w:eastAsia="仿宋"/>
                <w:color w:val="auto"/>
                <w:szCs w:val="21"/>
                <w:highlight w:val="none"/>
              </w:rPr>
            </w:pPr>
            <w:r>
              <w:rPr>
                <w:rFonts w:ascii="仿宋" w:hAnsi="仿宋" w:eastAsia="仿宋"/>
                <w:color w:val="auto"/>
                <w:szCs w:val="21"/>
                <w:highlight w:val="none"/>
              </w:rPr>
              <w:t>质量员</w:t>
            </w:r>
            <w:r>
              <w:rPr>
                <w:rFonts w:hint="eastAsia" w:ascii="仿宋" w:hAnsi="仿宋" w:eastAsia="仿宋"/>
                <w:color w:val="auto"/>
                <w:szCs w:val="21"/>
                <w:highlight w:val="none"/>
              </w:rPr>
              <w:t>≥</w:t>
            </w:r>
            <w:r>
              <w:rPr>
                <w:rFonts w:ascii="仿宋" w:hAnsi="仿宋" w:eastAsia="仿宋"/>
                <w:color w:val="auto"/>
                <w:szCs w:val="21"/>
                <w:highlight w:val="none"/>
              </w:rPr>
              <w:t>1</w:t>
            </w:r>
            <w:r>
              <w:rPr>
                <w:rFonts w:hint="eastAsia" w:ascii="仿宋" w:hAnsi="仿宋" w:eastAsia="仿宋"/>
                <w:color w:val="auto"/>
                <w:szCs w:val="21"/>
                <w:highlight w:val="none"/>
              </w:rPr>
              <w:t>人</w:t>
            </w:r>
          </w:p>
          <w:p>
            <w:pPr>
              <w:pStyle w:val="116"/>
              <w:numPr>
                <w:ilvl w:val="0"/>
                <w:numId w:val="3"/>
              </w:numPr>
              <w:spacing w:before="156" w:beforeLines="50" w:after="156" w:afterLines="50"/>
              <w:ind w:firstLineChars="0"/>
              <w:rPr>
                <w:rFonts w:ascii="仿宋" w:hAnsi="仿宋" w:eastAsia="仿宋"/>
                <w:color w:val="auto"/>
                <w:szCs w:val="21"/>
                <w:highlight w:val="none"/>
              </w:rPr>
            </w:pPr>
            <w:r>
              <w:rPr>
                <w:rFonts w:ascii="仿宋" w:hAnsi="仿宋" w:eastAsia="仿宋"/>
                <w:color w:val="auto"/>
                <w:szCs w:val="21"/>
                <w:highlight w:val="none"/>
              </w:rPr>
              <w:t>资料员</w:t>
            </w:r>
            <w:r>
              <w:rPr>
                <w:rFonts w:hint="eastAsia" w:ascii="仿宋" w:hAnsi="仿宋" w:eastAsia="仿宋"/>
                <w:color w:val="auto"/>
                <w:szCs w:val="21"/>
                <w:highlight w:val="none"/>
              </w:rPr>
              <w:t>≥1人</w:t>
            </w:r>
          </w:p>
          <w:p>
            <w:pPr>
              <w:pStyle w:val="116"/>
              <w:numPr>
                <w:ilvl w:val="0"/>
                <w:numId w:val="3"/>
              </w:numPr>
              <w:spacing w:before="156" w:beforeLines="50" w:after="156" w:afterLines="50"/>
              <w:ind w:firstLineChars="0"/>
              <w:rPr>
                <w:rFonts w:ascii="仿宋" w:hAnsi="仿宋" w:eastAsia="仿宋"/>
                <w:color w:val="auto"/>
                <w:szCs w:val="21"/>
                <w:highlight w:val="none"/>
              </w:rPr>
            </w:pPr>
            <w:r>
              <w:rPr>
                <w:rFonts w:ascii="仿宋" w:hAnsi="仿宋" w:eastAsia="仿宋"/>
                <w:color w:val="auto"/>
                <w:szCs w:val="21"/>
                <w:highlight w:val="none"/>
              </w:rPr>
              <w:t>安全员</w:t>
            </w:r>
            <w:r>
              <w:rPr>
                <w:rFonts w:hint="eastAsia" w:ascii="仿宋" w:hAnsi="仿宋" w:eastAsia="仿宋"/>
                <w:color w:val="auto"/>
                <w:szCs w:val="21"/>
                <w:highlight w:val="none"/>
              </w:rPr>
              <w:t>≥1人，要求有安全员C证</w:t>
            </w:r>
          </w:p>
          <w:p>
            <w:pPr>
              <w:widowControl/>
              <w:jc w:val="left"/>
              <w:rPr>
                <w:rFonts w:ascii="仿宋" w:hAnsi="仿宋" w:eastAsia="仿宋"/>
                <w:color w:val="auto"/>
                <w:highlight w:val="none"/>
              </w:rPr>
            </w:pPr>
            <w:r>
              <w:rPr>
                <w:rFonts w:hint="eastAsia" w:ascii="仿宋" w:hAnsi="仿宋" w:eastAsia="仿宋"/>
                <w:color w:val="auto"/>
                <w:highlight w:val="none"/>
              </w:rPr>
              <w:t>项目管理人员在投标单位已缴纳社保，提供2022年1月份社保证明；</w:t>
            </w:r>
          </w:p>
        </w:tc>
        <w:tc>
          <w:tcPr>
            <w:tcW w:w="3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31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highlight w:val="none"/>
              </w:rPr>
            </w:pPr>
            <w:r>
              <w:rPr>
                <w:rFonts w:hint="eastAsia" w:ascii="仿宋" w:hAnsi="仿宋" w:eastAsia="仿宋"/>
                <w:color w:val="auto"/>
                <w:szCs w:val="21"/>
                <w:highlight w:val="none"/>
              </w:rPr>
              <w:t>4</w:t>
            </w:r>
          </w:p>
        </w:tc>
        <w:tc>
          <w:tcPr>
            <w:tcW w:w="883" w:type="pct"/>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olor w:val="auto"/>
                <w:szCs w:val="21"/>
                <w:highlight w:val="none"/>
              </w:rPr>
            </w:pPr>
            <w:r>
              <w:rPr>
                <w:rFonts w:hint="eastAsia" w:ascii="仿宋" w:hAnsi="仿宋" w:eastAsia="仿宋"/>
                <w:color w:val="auto"/>
                <w:szCs w:val="21"/>
                <w:highlight w:val="none"/>
              </w:rPr>
              <w:t>施工进度网络图或带关键线路的横道图及相关说明</w:t>
            </w:r>
          </w:p>
        </w:tc>
        <w:tc>
          <w:tcPr>
            <w:tcW w:w="3408" w:type="pct"/>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仿宋" w:hAnsi="仿宋" w:eastAsia="仿宋"/>
                <w:color w:val="auto"/>
                <w:szCs w:val="21"/>
                <w:highlight w:val="none"/>
              </w:rPr>
            </w:pPr>
            <w:r>
              <w:rPr>
                <w:rFonts w:hint="eastAsia" w:ascii="仿宋" w:hAnsi="仿宋" w:eastAsia="仿宋"/>
                <w:color w:val="auto"/>
                <w:szCs w:val="21"/>
                <w:highlight w:val="none"/>
              </w:rPr>
              <w:t>施工进度符合工程进度要求，材料采购、劳动力组织、构件加工制作、安装等各阶段进度计划及进度保证措施满足施工要求。评审</w:t>
            </w:r>
            <w:r>
              <w:rPr>
                <w:rFonts w:ascii="仿宋" w:hAnsi="仿宋" w:eastAsia="仿宋"/>
                <w:color w:val="auto"/>
                <w:szCs w:val="21"/>
                <w:highlight w:val="none"/>
              </w:rPr>
              <w:t>要素：</w:t>
            </w:r>
          </w:p>
          <w:p>
            <w:pPr>
              <w:pStyle w:val="116"/>
              <w:numPr>
                <w:ilvl w:val="0"/>
                <w:numId w:val="4"/>
              </w:numPr>
              <w:spacing w:line="360" w:lineRule="auto"/>
              <w:ind w:firstLineChars="0"/>
              <w:rPr>
                <w:rFonts w:ascii="仿宋" w:hAnsi="仿宋" w:eastAsia="仿宋"/>
                <w:color w:val="auto"/>
                <w:szCs w:val="21"/>
                <w:highlight w:val="none"/>
              </w:rPr>
            </w:pPr>
            <w:r>
              <w:rPr>
                <w:rFonts w:hint="eastAsia" w:ascii="仿宋" w:hAnsi="仿宋" w:eastAsia="仿宋"/>
                <w:color w:val="auto"/>
                <w:szCs w:val="21"/>
                <w:highlight w:val="none"/>
              </w:rPr>
              <w:t>所列工序是</w:t>
            </w:r>
            <w:r>
              <w:rPr>
                <w:rFonts w:ascii="仿宋" w:hAnsi="仿宋" w:eastAsia="仿宋"/>
                <w:color w:val="auto"/>
                <w:szCs w:val="21"/>
                <w:highlight w:val="none"/>
              </w:rPr>
              <w:t>否</w:t>
            </w:r>
            <w:r>
              <w:rPr>
                <w:rFonts w:hint="eastAsia" w:ascii="仿宋" w:hAnsi="仿宋" w:eastAsia="仿宋"/>
                <w:color w:val="auto"/>
                <w:szCs w:val="21"/>
                <w:highlight w:val="none"/>
              </w:rPr>
              <w:t xml:space="preserve">完整； </w:t>
            </w:r>
          </w:p>
          <w:p>
            <w:pPr>
              <w:pStyle w:val="116"/>
              <w:numPr>
                <w:ilvl w:val="0"/>
                <w:numId w:val="4"/>
              </w:numPr>
              <w:spacing w:line="360" w:lineRule="auto"/>
              <w:ind w:firstLineChars="0"/>
              <w:rPr>
                <w:rFonts w:ascii="仿宋" w:hAnsi="仿宋" w:eastAsia="仿宋"/>
                <w:color w:val="auto"/>
                <w:szCs w:val="21"/>
                <w:highlight w:val="none"/>
              </w:rPr>
            </w:pPr>
            <w:r>
              <w:rPr>
                <w:rFonts w:hint="eastAsia" w:ascii="仿宋" w:hAnsi="仿宋" w:eastAsia="仿宋"/>
                <w:color w:val="auto"/>
                <w:szCs w:val="21"/>
                <w:highlight w:val="none"/>
              </w:rPr>
              <w:t>关键线路计划或关键线路是</w:t>
            </w:r>
            <w:r>
              <w:rPr>
                <w:rFonts w:ascii="仿宋" w:hAnsi="仿宋" w:eastAsia="仿宋"/>
                <w:color w:val="auto"/>
                <w:szCs w:val="21"/>
                <w:highlight w:val="none"/>
              </w:rPr>
              <w:t>否</w:t>
            </w:r>
            <w:r>
              <w:rPr>
                <w:rFonts w:hint="eastAsia" w:ascii="仿宋" w:hAnsi="仿宋" w:eastAsia="仿宋"/>
                <w:color w:val="auto"/>
                <w:szCs w:val="21"/>
                <w:highlight w:val="none"/>
              </w:rPr>
              <w:t>合理；</w:t>
            </w:r>
          </w:p>
          <w:p>
            <w:pPr>
              <w:pStyle w:val="116"/>
              <w:numPr>
                <w:ilvl w:val="0"/>
                <w:numId w:val="4"/>
              </w:numPr>
              <w:spacing w:line="360" w:lineRule="auto"/>
              <w:ind w:firstLineChars="0"/>
              <w:rPr>
                <w:rFonts w:ascii="仿宋" w:hAnsi="仿宋" w:eastAsia="仿宋"/>
                <w:color w:val="auto"/>
                <w:szCs w:val="21"/>
                <w:highlight w:val="none"/>
              </w:rPr>
            </w:pPr>
            <w:r>
              <w:rPr>
                <w:rFonts w:hint="eastAsia" w:ascii="仿宋" w:hAnsi="仿宋" w:eastAsia="仿宋"/>
                <w:color w:val="auto"/>
                <w:szCs w:val="21"/>
                <w:highlight w:val="none"/>
              </w:rPr>
              <w:t>是</w:t>
            </w:r>
            <w:r>
              <w:rPr>
                <w:rFonts w:ascii="仿宋" w:hAnsi="仿宋" w:eastAsia="仿宋"/>
                <w:color w:val="auto"/>
                <w:szCs w:val="21"/>
                <w:highlight w:val="none"/>
              </w:rPr>
              <w:t>否</w:t>
            </w:r>
            <w:r>
              <w:rPr>
                <w:rFonts w:hint="eastAsia" w:ascii="仿宋" w:hAnsi="仿宋" w:eastAsia="仿宋"/>
                <w:color w:val="auto"/>
                <w:szCs w:val="21"/>
                <w:highlight w:val="none"/>
              </w:rPr>
              <w:t>采用合理的安全质量检查机制；</w:t>
            </w:r>
          </w:p>
          <w:p>
            <w:pPr>
              <w:pStyle w:val="116"/>
              <w:numPr>
                <w:ilvl w:val="0"/>
                <w:numId w:val="4"/>
              </w:numPr>
              <w:spacing w:line="360" w:lineRule="auto"/>
              <w:ind w:firstLineChars="0"/>
              <w:rPr>
                <w:rFonts w:ascii="仿宋" w:hAnsi="仿宋" w:eastAsia="仿宋"/>
                <w:color w:val="auto"/>
                <w:szCs w:val="21"/>
                <w:highlight w:val="none"/>
              </w:rPr>
            </w:pPr>
            <w:r>
              <w:rPr>
                <w:rFonts w:hint="eastAsia" w:ascii="仿宋" w:hAnsi="仿宋" w:eastAsia="仿宋"/>
                <w:color w:val="auto"/>
                <w:szCs w:val="21"/>
                <w:highlight w:val="none"/>
              </w:rPr>
              <w:t>是</w:t>
            </w:r>
            <w:r>
              <w:rPr>
                <w:rFonts w:ascii="仿宋" w:hAnsi="仿宋" w:eastAsia="仿宋"/>
                <w:color w:val="auto"/>
                <w:szCs w:val="21"/>
                <w:highlight w:val="none"/>
              </w:rPr>
              <w:t>否</w:t>
            </w:r>
            <w:r>
              <w:rPr>
                <w:rFonts w:hint="eastAsia" w:ascii="仿宋" w:hAnsi="仿宋" w:eastAsia="仿宋"/>
                <w:color w:val="auto"/>
                <w:szCs w:val="21"/>
                <w:highlight w:val="none"/>
              </w:rPr>
              <w:t>符合关键时间节点；</w:t>
            </w:r>
          </w:p>
          <w:p>
            <w:pPr>
              <w:pStyle w:val="116"/>
              <w:numPr>
                <w:ilvl w:val="0"/>
                <w:numId w:val="4"/>
              </w:numPr>
              <w:spacing w:line="360" w:lineRule="auto"/>
              <w:ind w:firstLineChars="0"/>
              <w:rPr>
                <w:rFonts w:ascii="仿宋_GB2312" w:hAnsi="宋体" w:eastAsia="仿宋_GB2312"/>
                <w:color w:val="auto"/>
                <w:sz w:val="18"/>
                <w:szCs w:val="18"/>
                <w:highlight w:val="none"/>
              </w:rPr>
            </w:pPr>
            <w:r>
              <w:rPr>
                <w:rFonts w:hint="eastAsia" w:ascii="仿宋" w:hAnsi="仿宋" w:eastAsia="仿宋"/>
                <w:color w:val="auto"/>
                <w:szCs w:val="21"/>
                <w:highlight w:val="none"/>
              </w:rPr>
              <w:t>是</w:t>
            </w:r>
            <w:r>
              <w:rPr>
                <w:rFonts w:ascii="仿宋" w:hAnsi="仿宋" w:eastAsia="仿宋"/>
                <w:color w:val="auto"/>
                <w:szCs w:val="21"/>
                <w:highlight w:val="none"/>
              </w:rPr>
              <w:t>否</w:t>
            </w:r>
            <w:r>
              <w:rPr>
                <w:rFonts w:hint="eastAsia" w:ascii="仿宋" w:hAnsi="仿宋" w:eastAsia="仿宋"/>
                <w:color w:val="auto"/>
                <w:szCs w:val="21"/>
                <w:highlight w:val="none"/>
              </w:rPr>
              <w:t>有有效的进度保证措施。</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31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highlight w:val="none"/>
              </w:rPr>
            </w:pPr>
            <w:r>
              <w:rPr>
                <w:rFonts w:hint="eastAsia" w:ascii="仿宋" w:hAnsi="仿宋" w:eastAsia="仿宋"/>
                <w:color w:val="auto"/>
                <w:szCs w:val="21"/>
                <w:highlight w:val="none"/>
              </w:rPr>
              <w:t>5</w:t>
            </w:r>
          </w:p>
        </w:tc>
        <w:tc>
          <w:tcPr>
            <w:tcW w:w="883" w:type="pct"/>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highlight w:val="none"/>
              </w:rPr>
            </w:pPr>
            <w:r>
              <w:rPr>
                <w:rFonts w:hint="eastAsia" w:ascii="仿宋" w:hAnsi="仿宋" w:eastAsia="仿宋"/>
                <w:color w:val="auto"/>
                <w:szCs w:val="21"/>
                <w:highlight w:val="none"/>
              </w:rPr>
              <w:t>施工管理重点和难点分析</w:t>
            </w:r>
          </w:p>
        </w:tc>
        <w:tc>
          <w:tcPr>
            <w:tcW w:w="3408" w:type="pct"/>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仿宋" w:hAnsi="仿宋" w:eastAsia="仿宋"/>
                <w:color w:val="auto"/>
                <w:szCs w:val="21"/>
                <w:highlight w:val="none"/>
              </w:rPr>
            </w:pPr>
            <w:r>
              <w:rPr>
                <w:rFonts w:hint="eastAsia" w:ascii="仿宋" w:hAnsi="仿宋" w:eastAsia="仿宋"/>
                <w:color w:val="auto"/>
                <w:szCs w:val="21"/>
                <w:highlight w:val="none"/>
              </w:rPr>
              <w:t>根据针对本工程主要的难点、重点的具体措施；质量控制要点、机械设备设置、平面布置、项目管理目标、措施。评审</w:t>
            </w:r>
            <w:r>
              <w:rPr>
                <w:rFonts w:ascii="仿宋" w:hAnsi="仿宋" w:eastAsia="仿宋"/>
                <w:color w:val="auto"/>
                <w:szCs w:val="21"/>
                <w:highlight w:val="none"/>
              </w:rPr>
              <w:t>要素：</w:t>
            </w:r>
          </w:p>
          <w:p>
            <w:pPr>
              <w:spacing w:before="156" w:beforeLines="50" w:after="156" w:afterLines="50"/>
              <w:rPr>
                <w:rFonts w:ascii="仿宋" w:hAnsi="仿宋" w:eastAsia="仿宋"/>
                <w:color w:val="auto"/>
                <w:szCs w:val="21"/>
                <w:highlight w:val="none"/>
              </w:rPr>
            </w:pPr>
            <w:r>
              <w:rPr>
                <w:rFonts w:hint="eastAsia" w:ascii="仿宋" w:hAnsi="仿宋" w:eastAsia="仿宋"/>
                <w:color w:val="auto"/>
                <w:szCs w:val="21"/>
                <w:highlight w:val="none"/>
              </w:rPr>
              <w:t>1）</w:t>
            </w:r>
            <w:r>
              <w:rPr>
                <w:rFonts w:hint="eastAsia" w:ascii="仿宋" w:hAnsi="仿宋" w:eastAsia="仿宋"/>
                <w:color w:val="auto"/>
                <w:szCs w:val="21"/>
                <w:highlight w:val="none"/>
              </w:rPr>
              <w:tab/>
            </w:r>
            <w:r>
              <w:rPr>
                <w:rFonts w:hint="eastAsia" w:ascii="仿宋" w:hAnsi="仿宋" w:eastAsia="仿宋"/>
                <w:color w:val="auto"/>
                <w:szCs w:val="21"/>
                <w:highlight w:val="none"/>
              </w:rPr>
              <w:t>施工管理的重难点分析是</w:t>
            </w:r>
            <w:r>
              <w:rPr>
                <w:rFonts w:ascii="仿宋" w:hAnsi="仿宋" w:eastAsia="仿宋"/>
                <w:color w:val="auto"/>
                <w:szCs w:val="21"/>
                <w:highlight w:val="none"/>
              </w:rPr>
              <w:t>否</w:t>
            </w:r>
            <w:r>
              <w:rPr>
                <w:rFonts w:hint="eastAsia" w:ascii="仿宋" w:hAnsi="仿宋" w:eastAsia="仿宋"/>
                <w:color w:val="auto"/>
                <w:szCs w:val="21"/>
                <w:highlight w:val="none"/>
              </w:rPr>
              <w:t>全面，是</w:t>
            </w:r>
            <w:r>
              <w:rPr>
                <w:rFonts w:ascii="仿宋" w:hAnsi="仿宋" w:eastAsia="仿宋"/>
                <w:color w:val="auto"/>
                <w:szCs w:val="21"/>
                <w:highlight w:val="none"/>
              </w:rPr>
              <w:t>否有</w:t>
            </w:r>
            <w:r>
              <w:rPr>
                <w:rFonts w:hint="eastAsia" w:ascii="仿宋" w:hAnsi="仿宋" w:eastAsia="仿宋"/>
                <w:color w:val="auto"/>
                <w:szCs w:val="21"/>
                <w:highlight w:val="none"/>
              </w:rPr>
              <w:t xml:space="preserve">针对性； </w:t>
            </w:r>
          </w:p>
          <w:p>
            <w:pPr>
              <w:spacing w:before="156" w:beforeLines="50" w:after="156" w:afterLines="50"/>
              <w:rPr>
                <w:rFonts w:ascii="仿宋" w:hAnsi="仿宋" w:eastAsia="仿宋"/>
                <w:color w:val="auto"/>
                <w:szCs w:val="21"/>
                <w:highlight w:val="none"/>
              </w:rPr>
            </w:pPr>
            <w:r>
              <w:rPr>
                <w:rFonts w:hint="eastAsia" w:ascii="仿宋" w:hAnsi="仿宋" w:eastAsia="仿宋"/>
                <w:color w:val="auto"/>
                <w:szCs w:val="21"/>
                <w:highlight w:val="none"/>
              </w:rPr>
              <w:t>2）</w:t>
            </w:r>
            <w:r>
              <w:rPr>
                <w:rFonts w:hint="eastAsia" w:ascii="仿宋" w:hAnsi="仿宋" w:eastAsia="仿宋"/>
                <w:color w:val="auto"/>
                <w:szCs w:val="21"/>
                <w:highlight w:val="none"/>
              </w:rPr>
              <w:tab/>
            </w:r>
            <w:r>
              <w:rPr>
                <w:rFonts w:hint="eastAsia" w:ascii="仿宋" w:hAnsi="仿宋" w:eastAsia="仿宋"/>
                <w:color w:val="auto"/>
                <w:szCs w:val="21"/>
                <w:highlight w:val="none"/>
              </w:rPr>
              <w:t>施工方法是</w:t>
            </w:r>
            <w:r>
              <w:rPr>
                <w:rFonts w:ascii="仿宋" w:hAnsi="仿宋" w:eastAsia="仿宋"/>
                <w:color w:val="auto"/>
                <w:szCs w:val="21"/>
                <w:highlight w:val="none"/>
              </w:rPr>
              <w:t>否</w:t>
            </w:r>
            <w:r>
              <w:rPr>
                <w:rFonts w:hint="eastAsia" w:ascii="仿宋" w:hAnsi="仿宋" w:eastAsia="仿宋"/>
                <w:color w:val="auto"/>
                <w:szCs w:val="21"/>
                <w:highlight w:val="none"/>
              </w:rPr>
              <w:t>利于施工快速开展；</w:t>
            </w:r>
          </w:p>
          <w:p>
            <w:pPr>
              <w:spacing w:before="156" w:beforeLines="50" w:after="156" w:afterLines="50"/>
              <w:rPr>
                <w:rFonts w:ascii="仿宋" w:hAnsi="仿宋" w:eastAsia="仿宋"/>
                <w:color w:val="auto"/>
                <w:szCs w:val="21"/>
                <w:highlight w:val="none"/>
              </w:rPr>
            </w:pPr>
            <w:r>
              <w:rPr>
                <w:rFonts w:hint="eastAsia" w:ascii="仿宋" w:hAnsi="仿宋" w:eastAsia="仿宋"/>
                <w:color w:val="auto"/>
                <w:szCs w:val="21"/>
                <w:highlight w:val="none"/>
              </w:rPr>
              <w:t>3）</w:t>
            </w:r>
            <w:r>
              <w:rPr>
                <w:rFonts w:hint="eastAsia" w:ascii="仿宋" w:hAnsi="仿宋" w:eastAsia="仿宋"/>
                <w:color w:val="auto"/>
                <w:szCs w:val="21"/>
                <w:highlight w:val="none"/>
              </w:rPr>
              <w:tab/>
            </w:r>
            <w:r>
              <w:rPr>
                <w:rFonts w:hint="eastAsia" w:ascii="仿宋" w:hAnsi="仿宋" w:eastAsia="仿宋"/>
                <w:color w:val="auto"/>
                <w:szCs w:val="21"/>
                <w:highlight w:val="none"/>
              </w:rPr>
              <w:t>是否有完善的安全生产措施、质量管理措施、性能试验；</w:t>
            </w:r>
          </w:p>
          <w:p>
            <w:pPr>
              <w:spacing w:before="156" w:beforeLines="50" w:after="156" w:afterLines="50"/>
              <w:rPr>
                <w:rFonts w:ascii="仿宋" w:hAnsi="仿宋" w:eastAsia="仿宋"/>
                <w:color w:val="auto"/>
                <w:szCs w:val="21"/>
                <w:highlight w:val="none"/>
              </w:rPr>
            </w:pPr>
            <w:r>
              <w:rPr>
                <w:rFonts w:hint="eastAsia" w:ascii="仿宋" w:hAnsi="仿宋" w:eastAsia="仿宋"/>
                <w:color w:val="auto"/>
                <w:szCs w:val="21"/>
                <w:highlight w:val="none"/>
              </w:rPr>
              <w:t>4）</w:t>
            </w:r>
            <w:r>
              <w:rPr>
                <w:rFonts w:hint="eastAsia" w:ascii="仿宋" w:hAnsi="仿宋" w:eastAsia="仿宋"/>
                <w:color w:val="auto"/>
                <w:szCs w:val="21"/>
                <w:highlight w:val="none"/>
              </w:rPr>
              <w:tab/>
            </w:r>
            <w:r>
              <w:rPr>
                <w:rFonts w:hint="eastAsia" w:ascii="仿宋" w:hAnsi="仿宋" w:eastAsia="仿宋"/>
                <w:color w:val="auto"/>
                <w:szCs w:val="21"/>
                <w:highlight w:val="none"/>
              </w:rPr>
              <w:t>是否有完善的材料进场计划</w:t>
            </w:r>
          </w:p>
          <w:p>
            <w:pPr>
              <w:spacing w:before="156" w:beforeLines="50" w:after="156" w:afterLines="50"/>
              <w:rPr>
                <w:rFonts w:ascii="仿宋" w:hAnsi="仿宋" w:eastAsia="仿宋"/>
                <w:color w:val="auto"/>
                <w:szCs w:val="21"/>
                <w:highlight w:val="none"/>
              </w:rPr>
            </w:pPr>
            <w:r>
              <w:rPr>
                <w:rFonts w:hint="eastAsia" w:ascii="仿宋" w:hAnsi="仿宋" w:eastAsia="仿宋"/>
                <w:color w:val="auto"/>
                <w:szCs w:val="21"/>
                <w:highlight w:val="none"/>
              </w:rPr>
              <w:t>5）</w:t>
            </w:r>
            <w:r>
              <w:rPr>
                <w:rFonts w:hint="eastAsia" w:ascii="仿宋" w:hAnsi="仿宋" w:eastAsia="仿宋"/>
                <w:color w:val="auto"/>
                <w:szCs w:val="21"/>
                <w:highlight w:val="none"/>
              </w:rPr>
              <w:tab/>
            </w:r>
            <w:r>
              <w:rPr>
                <w:rFonts w:hint="eastAsia" w:ascii="仿宋" w:hAnsi="仿宋" w:eastAsia="仿宋"/>
                <w:color w:val="auto"/>
                <w:szCs w:val="21"/>
                <w:highlight w:val="none"/>
              </w:rPr>
              <w:t>施工机具进场是否满足现场施工要求</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31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highlight w:val="none"/>
              </w:rPr>
            </w:pPr>
            <w:r>
              <w:rPr>
                <w:rFonts w:hint="eastAsia" w:ascii="仿宋" w:hAnsi="仿宋" w:eastAsia="仿宋"/>
                <w:color w:val="auto"/>
                <w:szCs w:val="21"/>
                <w:highlight w:val="none"/>
              </w:rPr>
              <w:t>6</w:t>
            </w:r>
          </w:p>
        </w:tc>
        <w:tc>
          <w:tcPr>
            <w:tcW w:w="883" w:type="pct"/>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highlight w:val="none"/>
              </w:rPr>
            </w:pPr>
            <w:r>
              <w:rPr>
                <w:rFonts w:hint="eastAsia" w:ascii="仿宋" w:hAnsi="仿宋" w:eastAsia="仿宋"/>
                <w:color w:val="auto"/>
                <w:szCs w:val="21"/>
                <w:highlight w:val="none"/>
              </w:rPr>
              <w:t>专项施工方案</w:t>
            </w:r>
          </w:p>
        </w:tc>
        <w:tc>
          <w:tcPr>
            <w:tcW w:w="3408" w:type="pct"/>
            <w:tcBorders>
              <w:top w:val="single" w:color="auto" w:sz="4" w:space="0"/>
              <w:left w:val="single" w:color="auto" w:sz="4" w:space="0"/>
              <w:bottom w:val="single" w:color="auto" w:sz="4" w:space="0"/>
              <w:right w:val="single" w:color="auto" w:sz="4" w:space="0"/>
            </w:tcBorders>
          </w:tcPr>
          <w:p>
            <w:pPr>
              <w:spacing w:before="62" w:beforeLines="20" w:after="62" w:afterLines="20" w:line="360" w:lineRule="auto"/>
              <w:rPr>
                <w:rFonts w:ascii="仿宋" w:hAnsi="仿宋" w:eastAsia="仿宋"/>
                <w:color w:val="auto"/>
                <w:kern w:val="0"/>
                <w:szCs w:val="21"/>
                <w:highlight w:val="none"/>
              </w:rPr>
            </w:pPr>
            <w:r>
              <w:rPr>
                <w:rFonts w:hint="eastAsia" w:ascii="仿宋" w:hAnsi="仿宋" w:eastAsia="仿宋"/>
                <w:color w:val="auto"/>
                <w:kern w:val="0"/>
                <w:szCs w:val="21"/>
                <w:highlight w:val="none"/>
              </w:rPr>
              <w:t>投标人方案编制是否科学、合理、完善。投标人提供的各分项工程主要施工解决方案及系统调试验收、培训、移交方案。</w:t>
            </w:r>
            <w:r>
              <w:rPr>
                <w:rFonts w:hint="eastAsia" w:ascii="仿宋" w:hAnsi="仿宋" w:eastAsia="仿宋"/>
                <w:color w:val="auto"/>
                <w:szCs w:val="21"/>
                <w:highlight w:val="none"/>
              </w:rPr>
              <w:t>评审</w:t>
            </w:r>
            <w:r>
              <w:rPr>
                <w:rFonts w:ascii="仿宋" w:hAnsi="仿宋" w:eastAsia="仿宋"/>
                <w:color w:val="auto"/>
                <w:szCs w:val="21"/>
                <w:highlight w:val="none"/>
              </w:rPr>
              <w:t>要素：</w:t>
            </w:r>
          </w:p>
          <w:p>
            <w:pPr>
              <w:spacing w:before="62" w:beforeLines="20" w:after="62" w:afterLines="20"/>
              <w:rPr>
                <w:rFonts w:ascii="仿宋" w:hAnsi="仿宋" w:eastAsia="仿宋"/>
                <w:color w:val="auto"/>
                <w:kern w:val="0"/>
                <w:szCs w:val="21"/>
                <w:highlight w:val="none"/>
              </w:rPr>
            </w:pPr>
            <w:r>
              <w:rPr>
                <w:rFonts w:hint="eastAsia" w:ascii="仿宋" w:hAnsi="仿宋" w:eastAsia="仿宋"/>
                <w:color w:val="auto"/>
                <w:kern w:val="0"/>
                <w:szCs w:val="21"/>
                <w:highlight w:val="none"/>
              </w:rPr>
              <w:t>1）是</w:t>
            </w:r>
            <w:r>
              <w:rPr>
                <w:rFonts w:ascii="仿宋" w:hAnsi="仿宋" w:eastAsia="仿宋"/>
                <w:color w:val="auto"/>
                <w:kern w:val="0"/>
                <w:szCs w:val="21"/>
                <w:highlight w:val="none"/>
              </w:rPr>
              <w:t>否</w:t>
            </w:r>
            <w:r>
              <w:rPr>
                <w:rFonts w:hint="eastAsia" w:ascii="仿宋" w:hAnsi="仿宋" w:eastAsia="仿宋"/>
                <w:color w:val="auto"/>
                <w:kern w:val="0"/>
                <w:szCs w:val="21"/>
                <w:highlight w:val="none"/>
              </w:rPr>
              <w:t>提供有针对性的电力工程系统调试方案。</w:t>
            </w:r>
          </w:p>
          <w:p>
            <w:pPr>
              <w:spacing w:before="62" w:beforeLines="20" w:after="62" w:afterLines="20"/>
              <w:rPr>
                <w:rFonts w:ascii="仿宋" w:hAnsi="仿宋" w:eastAsia="仿宋"/>
                <w:color w:val="auto"/>
                <w:kern w:val="0"/>
                <w:szCs w:val="21"/>
                <w:highlight w:val="none"/>
              </w:rPr>
            </w:pPr>
            <w:r>
              <w:rPr>
                <w:rFonts w:hint="eastAsia" w:ascii="仿宋" w:hAnsi="仿宋" w:eastAsia="仿宋"/>
                <w:color w:val="auto"/>
                <w:kern w:val="0"/>
                <w:szCs w:val="21"/>
                <w:highlight w:val="none"/>
                <w:lang w:val="en-US" w:eastAsia="zh-CN"/>
              </w:rPr>
              <w:t>2</w:t>
            </w:r>
            <w:r>
              <w:rPr>
                <w:rFonts w:hint="eastAsia" w:ascii="仿宋" w:hAnsi="仿宋" w:eastAsia="仿宋"/>
                <w:color w:val="auto"/>
                <w:kern w:val="0"/>
                <w:szCs w:val="21"/>
                <w:highlight w:val="none"/>
              </w:rPr>
              <w:t>)</w:t>
            </w:r>
            <w:r>
              <w:rPr>
                <w:rFonts w:hint="eastAsia" w:ascii="仿宋" w:hAnsi="仿宋" w:eastAsia="仿宋"/>
                <w:color w:val="auto"/>
                <w:kern w:val="0"/>
                <w:szCs w:val="21"/>
                <w:highlight w:val="none"/>
              </w:rPr>
              <w:tab/>
            </w:r>
            <w:r>
              <w:rPr>
                <w:rFonts w:hint="eastAsia" w:ascii="仿宋" w:hAnsi="仿宋" w:eastAsia="仿宋"/>
                <w:color w:val="auto"/>
                <w:kern w:val="0"/>
                <w:szCs w:val="21"/>
                <w:highlight w:val="none"/>
              </w:rPr>
              <w:t>是</w:t>
            </w:r>
            <w:r>
              <w:rPr>
                <w:rFonts w:ascii="仿宋" w:hAnsi="仿宋" w:eastAsia="仿宋"/>
                <w:color w:val="auto"/>
                <w:kern w:val="0"/>
                <w:szCs w:val="21"/>
                <w:highlight w:val="none"/>
              </w:rPr>
              <w:t>否</w:t>
            </w:r>
            <w:r>
              <w:rPr>
                <w:rFonts w:hint="eastAsia" w:ascii="仿宋" w:hAnsi="仿宋" w:eastAsia="仿宋"/>
                <w:color w:val="auto"/>
                <w:kern w:val="0"/>
                <w:szCs w:val="21"/>
                <w:highlight w:val="none"/>
              </w:rPr>
              <w:t>提供有针对性的工程培训方案，</w:t>
            </w:r>
            <w:r>
              <w:rPr>
                <w:rFonts w:ascii="仿宋" w:hAnsi="仿宋" w:eastAsia="仿宋"/>
                <w:color w:val="auto"/>
                <w:kern w:val="0"/>
                <w:szCs w:val="21"/>
                <w:highlight w:val="none"/>
              </w:rPr>
              <w:t>能否</w:t>
            </w:r>
            <w:r>
              <w:rPr>
                <w:rFonts w:hint="eastAsia" w:ascii="仿宋" w:hAnsi="仿宋" w:eastAsia="仿宋"/>
                <w:color w:val="auto"/>
                <w:kern w:val="0"/>
                <w:szCs w:val="21"/>
                <w:highlight w:val="none"/>
              </w:rPr>
              <w:t>满足后期人员维护要求，有无计划性。</w:t>
            </w:r>
          </w:p>
          <w:p>
            <w:pPr>
              <w:spacing w:before="62" w:beforeLines="20" w:after="62" w:afterLines="20"/>
              <w:rPr>
                <w:rFonts w:ascii="仿宋" w:hAnsi="仿宋" w:eastAsia="仿宋"/>
                <w:color w:val="auto"/>
                <w:kern w:val="0"/>
                <w:szCs w:val="21"/>
                <w:highlight w:val="none"/>
              </w:rPr>
            </w:pPr>
            <w:r>
              <w:rPr>
                <w:rFonts w:hint="eastAsia" w:ascii="仿宋" w:hAnsi="仿宋" w:eastAsia="仿宋"/>
                <w:color w:val="auto"/>
                <w:kern w:val="0"/>
                <w:szCs w:val="21"/>
                <w:highlight w:val="none"/>
                <w:lang w:val="en-US" w:eastAsia="zh-CN"/>
              </w:rPr>
              <w:t>3</w:t>
            </w:r>
            <w:r>
              <w:rPr>
                <w:rFonts w:hint="eastAsia" w:ascii="仿宋" w:hAnsi="仿宋" w:eastAsia="仿宋"/>
                <w:color w:val="auto"/>
                <w:kern w:val="0"/>
                <w:szCs w:val="21"/>
                <w:highlight w:val="none"/>
              </w:rPr>
              <w:t>)</w:t>
            </w:r>
            <w:r>
              <w:rPr>
                <w:rFonts w:hint="eastAsia" w:ascii="仿宋" w:hAnsi="仿宋" w:eastAsia="仿宋"/>
                <w:color w:val="auto"/>
                <w:kern w:val="0"/>
                <w:szCs w:val="21"/>
                <w:highlight w:val="none"/>
              </w:rPr>
              <w:tab/>
            </w:r>
            <w:r>
              <w:rPr>
                <w:rFonts w:hint="eastAsia" w:ascii="仿宋" w:hAnsi="仿宋" w:eastAsia="仿宋"/>
                <w:color w:val="auto"/>
                <w:kern w:val="0"/>
                <w:szCs w:val="21"/>
                <w:highlight w:val="none"/>
              </w:rPr>
              <w:t>提供的本工程移交方案能</w:t>
            </w:r>
            <w:r>
              <w:rPr>
                <w:rFonts w:ascii="仿宋" w:hAnsi="仿宋" w:eastAsia="仿宋"/>
                <w:color w:val="auto"/>
                <w:kern w:val="0"/>
                <w:szCs w:val="21"/>
                <w:highlight w:val="none"/>
              </w:rPr>
              <w:t>否满足验收移交要求</w:t>
            </w:r>
            <w:r>
              <w:rPr>
                <w:rFonts w:hint="eastAsia" w:ascii="仿宋" w:hAnsi="仿宋" w:eastAsia="仿宋"/>
                <w:color w:val="auto"/>
                <w:kern w:val="0"/>
                <w:szCs w:val="21"/>
                <w:highlight w:val="none"/>
              </w:rPr>
              <w:t>。</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highlight w:val="none"/>
              </w:rPr>
            </w:pPr>
          </w:p>
        </w:tc>
      </w:tr>
    </w:tbl>
    <w:p>
      <w:pPr>
        <w:spacing w:line="0" w:lineRule="atLeast"/>
        <w:ind w:firstLine="420"/>
        <w:rPr>
          <w:rFonts w:ascii="宋体" w:hAnsi="宋体"/>
          <w:color w:val="auto"/>
          <w:highlight w:val="none"/>
        </w:rPr>
      </w:pPr>
      <w:r>
        <w:rPr>
          <w:rFonts w:hint="eastAsia" w:ascii="宋体" w:hAnsi="宋体"/>
          <w:color w:val="auto"/>
          <w:highlight w:val="none"/>
        </w:rPr>
        <w:t xml:space="preserve">综合评价等级：□合格  □不足 </w:t>
      </w:r>
    </w:p>
    <w:p>
      <w:pPr>
        <w:spacing w:line="0" w:lineRule="atLeast"/>
        <w:ind w:firstLine="420"/>
        <w:rPr>
          <w:rFonts w:ascii="宋体" w:hAnsi="宋体"/>
          <w:color w:val="auto"/>
          <w:highlight w:val="none"/>
        </w:rPr>
      </w:pPr>
      <w:r>
        <w:rPr>
          <w:rFonts w:hint="eastAsia" w:ascii="宋体" w:hAnsi="宋体"/>
          <w:color w:val="auto"/>
          <w:highlight w:val="none"/>
        </w:rPr>
        <w:t>定标专家：                      定标日期：     年    月    日</w:t>
      </w:r>
    </w:p>
    <w:p>
      <w:pPr>
        <w:spacing w:line="0" w:lineRule="atLeast"/>
        <w:ind w:firstLine="420"/>
        <w:rPr>
          <w:rFonts w:ascii="宋体" w:hAnsi="宋体"/>
          <w:color w:val="auto"/>
          <w:highlight w:val="none"/>
        </w:rPr>
      </w:pPr>
      <w:r>
        <w:rPr>
          <w:rFonts w:hint="eastAsia" w:ascii="宋体" w:hAnsi="宋体"/>
          <w:color w:val="auto"/>
          <w:highlight w:val="none"/>
        </w:rPr>
        <w:t>备注：</w:t>
      </w:r>
    </w:p>
    <w:p>
      <w:pPr>
        <w:spacing w:line="0" w:lineRule="atLeast"/>
        <w:ind w:firstLine="420"/>
        <w:rPr>
          <w:rFonts w:ascii="宋体" w:hAnsi="宋体"/>
          <w:color w:val="auto"/>
          <w:highlight w:val="none"/>
        </w:rPr>
      </w:pPr>
      <w:r>
        <w:rPr>
          <w:rFonts w:hint="eastAsia" w:ascii="宋体" w:hAnsi="宋体"/>
          <w:color w:val="auto"/>
          <w:highlight w:val="none"/>
        </w:rPr>
        <w:t>1、本表适用于专家独立评审使用；</w:t>
      </w:r>
    </w:p>
    <w:p>
      <w:pPr>
        <w:spacing w:line="0" w:lineRule="atLeast"/>
        <w:ind w:firstLine="420"/>
        <w:rPr>
          <w:rFonts w:ascii="宋体" w:hAnsi="宋体"/>
          <w:color w:val="auto"/>
          <w:highlight w:val="none"/>
        </w:rPr>
      </w:pPr>
      <w:r>
        <w:rPr>
          <w:rFonts w:hint="eastAsia" w:ascii="宋体" w:hAnsi="宋体"/>
          <w:color w:val="auto"/>
          <w:highlight w:val="none"/>
        </w:rPr>
        <w:t>2、指出各评审项的优点、存在缺陷或签订合同前应注意和澄清事项；</w:t>
      </w:r>
    </w:p>
    <w:p>
      <w:pPr>
        <w:spacing w:line="0" w:lineRule="atLeast"/>
        <w:ind w:firstLine="420"/>
        <w:rPr>
          <w:rFonts w:ascii="宋体" w:hAnsi="宋体"/>
          <w:color w:val="auto"/>
          <w:highlight w:val="none"/>
        </w:rPr>
      </w:pPr>
      <w:r>
        <w:rPr>
          <w:rFonts w:hint="eastAsia" w:ascii="宋体" w:hAnsi="宋体"/>
          <w:color w:val="auto"/>
          <w:highlight w:val="none"/>
        </w:rPr>
        <w:t>3、本项综合评价结果不作为废标条款。</w:t>
      </w:r>
    </w:p>
    <w:p>
      <w:pPr>
        <w:widowControl/>
        <w:jc w:val="left"/>
        <w:rPr>
          <w:rFonts w:ascii="仿宋" w:hAnsi="仿宋" w:eastAsia="仿宋"/>
          <w:color w:val="auto"/>
          <w:sz w:val="24"/>
          <w:highlight w:val="none"/>
        </w:rPr>
      </w:pPr>
      <w:r>
        <w:rPr>
          <w:rFonts w:ascii="仿宋" w:hAnsi="仿宋" w:eastAsia="仿宋"/>
          <w:color w:val="auto"/>
          <w:sz w:val="24"/>
          <w:highlight w:val="none"/>
        </w:rPr>
        <w:br w:type="page"/>
      </w:r>
    </w:p>
    <w:p>
      <w:pPr>
        <w:widowControl/>
        <w:jc w:val="left"/>
        <w:rPr>
          <w:rFonts w:ascii="仿宋" w:hAnsi="仿宋" w:eastAsia="仿宋"/>
          <w:b/>
          <w:bCs/>
          <w:color w:val="auto"/>
          <w:szCs w:val="21"/>
          <w:highlight w:val="none"/>
        </w:rPr>
      </w:pPr>
      <w:r>
        <w:rPr>
          <w:rFonts w:hint="eastAsia" w:ascii="仿宋" w:hAnsi="仿宋" w:eastAsia="仿宋"/>
          <w:b/>
          <w:bCs/>
          <w:color w:val="auto"/>
          <w:szCs w:val="21"/>
          <w:highlight w:val="none"/>
        </w:rPr>
        <w:t>附表六：</w:t>
      </w:r>
    </w:p>
    <w:p>
      <w:pPr>
        <w:jc w:val="center"/>
        <w:rPr>
          <w:rFonts w:ascii="宋体" w:hAnsi="宋体"/>
          <w:b/>
          <w:color w:val="auto"/>
          <w:sz w:val="28"/>
          <w:szCs w:val="28"/>
          <w:highlight w:val="none"/>
        </w:rPr>
      </w:pPr>
      <w:r>
        <w:rPr>
          <w:rFonts w:hint="eastAsia" w:ascii="宋体" w:hAnsi="宋体"/>
          <w:b/>
          <w:bCs/>
          <w:color w:val="auto"/>
          <w:kern w:val="0"/>
          <w:sz w:val="28"/>
          <w:szCs w:val="28"/>
          <w:highlight w:val="none"/>
        </w:rPr>
        <w:t>评语汇总表</w:t>
      </w:r>
    </w:p>
    <w:p>
      <w:pPr>
        <w:adjustRightInd w:val="0"/>
        <w:snapToGrid w:val="0"/>
        <w:spacing w:line="360" w:lineRule="auto"/>
        <w:rPr>
          <w:rFonts w:ascii="宋体" w:hAnsi="宋体"/>
          <w:color w:val="auto"/>
          <w:kern w:val="0"/>
          <w:sz w:val="28"/>
          <w:szCs w:val="28"/>
          <w:highlight w:val="none"/>
        </w:rPr>
      </w:pPr>
      <w:r>
        <w:rPr>
          <w:rFonts w:hint="eastAsia" w:ascii="宋体" w:hAnsi="宋体"/>
          <w:color w:val="auto"/>
          <w:kern w:val="0"/>
          <w:sz w:val="28"/>
          <w:szCs w:val="28"/>
          <w:highlight w:val="none"/>
        </w:rPr>
        <w:t>工程名称：</w:t>
      </w:r>
    </w:p>
    <w:tbl>
      <w:tblPr>
        <w:tblStyle w:val="40"/>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1"/>
        <w:gridCol w:w="5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4"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b/>
                <w:color w:val="auto"/>
                <w:kern w:val="0"/>
                <w:sz w:val="28"/>
                <w:szCs w:val="28"/>
                <w:highlight w:val="none"/>
              </w:rPr>
            </w:pPr>
            <w:r>
              <w:rPr>
                <w:rFonts w:hint="eastAsia" w:ascii="宋体" w:hAnsi="宋体"/>
                <w:b/>
                <w:color w:val="auto"/>
                <w:kern w:val="0"/>
                <w:sz w:val="28"/>
                <w:szCs w:val="28"/>
                <w:highlight w:val="none"/>
              </w:rPr>
              <w:t>合格的中标候选人单位</w:t>
            </w:r>
          </w:p>
          <w:p>
            <w:pPr>
              <w:adjustRightInd w:val="0"/>
              <w:snapToGrid w:val="0"/>
              <w:spacing w:line="360" w:lineRule="auto"/>
              <w:jc w:val="center"/>
              <w:rPr>
                <w:rFonts w:ascii="宋体" w:hAnsi="宋体"/>
                <w:b/>
                <w:color w:val="auto"/>
                <w:kern w:val="0"/>
                <w:sz w:val="28"/>
                <w:szCs w:val="28"/>
                <w:highlight w:val="none"/>
              </w:rPr>
            </w:pPr>
            <w:r>
              <w:rPr>
                <w:rFonts w:hint="eastAsia" w:ascii="宋体" w:hAnsi="宋体"/>
                <w:b/>
                <w:color w:val="auto"/>
                <w:kern w:val="0"/>
                <w:sz w:val="28"/>
                <w:szCs w:val="28"/>
                <w:highlight w:val="none"/>
              </w:rPr>
              <w:t>名称（不排序）</w:t>
            </w:r>
          </w:p>
        </w:tc>
        <w:tc>
          <w:tcPr>
            <w:tcW w:w="3012" w:type="pct"/>
            <w:tcBorders>
              <w:top w:val="single" w:color="auto" w:sz="4"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b/>
                <w:color w:val="auto"/>
                <w:kern w:val="0"/>
                <w:sz w:val="28"/>
                <w:szCs w:val="28"/>
                <w:highlight w:val="none"/>
              </w:rPr>
            </w:pPr>
            <w:r>
              <w:rPr>
                <w:rFonts w:hint="eastAsia" w:ascii="宋体" w:hAnsi="宋体"/>
                <w:b/>
                <w:color w:val="auto"/>
                <w:kern w:val="0"/>
                <w:sz w:val="28"/>
                <w:szCs w:val="28"/>
                <w:highlight w:val="none"/>
              </w:rPr>
              <w:t>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auto"/>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auto"/>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auto"/>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auto"/>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auto"/>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auto"/>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auto"/>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auto"/>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auto"/>
                <w:kern w:val="0"/>
                <w:sz w:val="28"/>
                <w:szCs w:val="28"/>
                <w:highlight w:val="none"/>
              </w:rPr>
            </w:pPr>
          </w:p>
        </w:tc>
        <w:tc>
          <w:tcPr>
            <w:tcW w:w="30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8" w:type="pct"/>
            <w:tcBorders>
              <w:top w:val="single" w:color="auto" w:sz="6" w:space="0"/>
              <w:left w:val="single" w:color="auto" w:sz="4" w:space="0"/>
              <w:bottom w:val="single" w:color="auto" w:sz="4" w:space="0"/>
              <w:right w:val="single" w:color="auto" w:sz="6" w:space="0"/>
            </w:tcBorders>
            <w:vAlign w:val="center"/>
          </w:tcPr>
          <w:p>
            <w:pPr>
              <w:jc w:val="center"/>
              <w:rPr>
                <w:rFonts w:ascii="宋体" w:hAnsi="宋体"/>
                <w:color w:val="auto"/>
                <w:kern w:val="0"/>
                <w:sz w:val="28"/>
                <w:szCs w:val="28"/>
                <w:highlight w:val="none"/>
              </w:rPr>
            </w:pPr>
          </w:p>
        </w:tc>
        <w:tc>
          <w:tcPr>
            <w:tcW w:w="3012" w:type="pct"/>
            <w:tcBorders>
              <w:top w:val="single" w:color="auto" w:sz="6"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宋体" w:hAnsi="宋体"/>
                <w:color w:val="auto"/>
                <w:kern w:val="0"/>
                <w:sz w:val="28"/>
                <w:szCs w:val="28"/>
                <w:highlight w:val="none"/>
              </w:rPr>
            </w:pPr>
          </w:p>
        </w:tc>
      </w:tr>
    </w:tbl>
    <w:p>
      <w:pPr>
        <w:rPr>
          <w:color w:val="auto"/>
          <w:kern w:val="0"/>
          <w:sz w:val="28"/>
          <w:szCs w:val="28"/>
          <w:highlight w:val="none"/>
        </w:rPr>
      </w:pPr>
    </w:p>
    <w:p>
      <w:pPr>
        <w:adjustRightInd w:val="0"/>
        <w:snapToGrid w:val="0"/>
        <w:spacing w:line="360" w:lineRule="auto"/>
        <w:rPr>
          <w:color w:val="auto"/>
          <w:sz w:val="28"/>
          <w:szCs w:val="28"/>
          <w:highlight w:val="none"/>
        </w:rPr>
      </w:pPr>
      <w:r>
        <w:rPr>
          <w:rFonts w:hint="eastAsia" w:ascii="宋体" w:hAnsi="宋体"/>
          <w:color w:val="auto"/>
          <w:kern w:val="0"/>
          <w:sz w:val="28"/>
          <w:szCs w:val="28"/>
          <w:highlight w:val="none"/>
        </w:rPr>
        <w:t>定标委员签名：                         日期：   年  月  日</w:t>
      </w:r>
    </w:p>
    <w:p>
      <w:pPr>
        <w:widowControl/>
        <w:jc w:val="left"/>
        <w:rPr>
          <w:rFonts w:ascii="仿宋" w:hAnsi="仿宋" w:eastAsia="仿宋"/>
          <w:b/>
          <w:color w:val="auto"/>
          <w:szCs w:val="21"/>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b/>
          <w:bCs/>
          <w:color w:val="auto"/>
          <w:highlight w:val="none"/>
        </w:rPr>
      </w:pPr>
      <w:r>
        <w:rPr>
          <w:rFonts w:ascii="宋体" w:hAnsi="宋体"/>
          <w:color w:val="auto"/>
          <w:highlight w:val="none"/>
        </w:rPr>
        <w:br w:type="page"/>
      </w:r>
      <w:r>
        <w:rPr>
          <w:rFonts w:hint="eastAsia" w:ascii="宋体" w:hAnsi="宋体"/>
          <w:color w:val="auto"/>
          <w:highlight w:val="none"/>
        </w:rPr>
        <w:t>附表七</w:t>
      </w:r>
    </w:p>
    <w:p>
      <w:pPr>
        <w:adjustRightInd w:val="0"/>
        <w:snapToGrid w:val="0"/>
        <w:spacing w:line="360" w:lineRule="auto"/>
        <w:ind w:firstLine="562" w:firstLineChars="200"/>
        <w:jc w:val="center"/>
        <w:rPr>
          <w:rFonts w:ascii="宋体" w:hAnsi="宋体"/>
          <w:b/>
          <w:bCs/>
          <w:color w:val="auto"/>
          <w:kern w:val="0"/>
          <w:sz w:val="28"/>
          <w:szCs w:val="28"/>
          <w:highlight w:val="none"/>
        </w:rPr>
      </w:pPr>
      <w:r>
        <w:rPr>
          <w:rFonts w:hint="eastAsia" w:ascii="宋体" w:hAnsi="宋体"/>
          <w:b/>
          <w:bCs/>
          <w:color w:val="auto"/>
          <w:kern w:val="0"/>
          <w:sz w:val="28"/>
          <w:szCs w:val="28"/>
          <w:highlight w:val="none"/>
        </w:rPr>
        <w:t>定标选票表</w:t>
      </w:r>
      <w:r>
        <w:rPr>
          <w:rFonts w:hint="eastAsia" w:ascii="宋体" w:hAnsi="宋体"/>
          <w:b/>
          <w:color w:val="auto"/>
          <w:sz w:val="28"/>
          <w:szCs w:val="28"/>
          <w:highlight w:val="none"/>
        </w:rPr>
        <w:t>（定标阶段）</w:t>
      </w:r>
    </w:p>
    <w:p>
      <w:pPr>
        <w:adjustRightInd w:val="0"/>
        <w:snapToGrid w:val="0"/>
        <w:spacing w:line="360" w:lineRule="auto"/>
        <w:rPr>
          <w:rFonts w:ascii="宋体" w:hAnsi="宋体"/>
          <w:color w:val="auto"/>
          <w:kern w:val="0"/>
          <w:highlight w:val="none"/>
        </w:rPr>
      </w:pPr>
      <w:r>
        <w:rPr>
          <w:rFonts w:hint="eastAsia" w:ascii="宋体" w:hAnsi="宋体"/>
          <w:color w:val="auto"/>
          <w:kern w:val="0"/>
          <w:highlight w:val="none"/>
        </w:rPr>
        <w:t>工程名称：</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6"/>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color w:val="auto"/>
                <w:kern w:val="0"/>
                <w:szCs w:val="21"/>
                <w:highlight w:val="none"/>
              </w:rPr>
            </w:pPr>
            <w:r>
              <w:rPr>
                <w:rFonts w:hint="eastAsia" w:ascii="宋体" w:hAnsi="宋体"/>
                <w:b/>
                <w:color w:val="auto"/>
                <w:kern w:val="0"/>
                <w:szCs w:val="21"/>
                <w:highlight w:val="none"/>
              </w:rPr>
              <w:t>支持的投标人名称</w:t>
            </w:r>
          </w:p>
        </w:tc>
        <w:tc>
          <w:tcPr>
            <w:tcW w:w="299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
                <w:color w:val="auto"/>
                <w:kern w:val="0"/>
                <w:szCs w:val="21"/>
                <w:highlight w:val="none"/>
              </w:rPr>
            </w:pPr>
            <w:r>
              <w:rPr>
                <w:rFonts w:hint="eastAsia" w:ascii="宋体" w:hAnsi="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Cs w:val="21"/>
                <w:highlight w:val="none"/>
              </w:rPr>
            </w:pPr>
          </w:p>
        </w:tc>
        <w:tc>
          <w:tcPr>
            <w:tcW w:w="299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Cs w:val="21"/>
                <w:highlight w:val="none"/>
              </w:rPr>
            </w:pPr>
          </w:p>
        </w:tc>
      </w:tr>
    </w:tbl>
    <w:p>
      <w:pPr>
        <w:pStyle w:val="111"/>
        <w:rPr>
          <w:color w:val="auto"/>
          <w:kern w:val="0"/>
          <w:szCs w:val="21"/>
          <w:highlight w:val="none"/>
        </w:rPr>
      </w:pPr>
    </w:p>
    <w:p>
      <w:pPr>
        <w:adjustRightInd w:val="0"/>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定标委员签名：                                            日期：</w:t>
      </w:r>
    </w:p>
    <w:p>
      <w:pPr>
        <w:adjustRightInd w:val="0"/>
        <w:snapToGrid w:val="0"/>
        <w:spacing w:line="360" w:lineRule="auto"/>
        <w:rPr>
          <w:rFonts w:ascii="宋体" w:hAnsi="宋体"/>
          <w:color w:val="auto"/>
          <w:kern w:val="0"/>
          <w:highlight w:val="none"/>
        </w:rPr>
      </w:pPr>
    </w:p>
    <w:p>
      <w:pPr>
        <w:adjustRightInd w:val="0"/>
        <w:snapToGrid w:val="0"/>
        <w:spacing w:line="360" w:lineRule="auto"/>
        <w:rPr>
          <w:rFonts w:ascii="宋体" w:hAnsi="宋体"/>
          <w:b/>
          <w:color w:val="auto"/>
          <w:kern w:val="0"/>
          <w:highlight w:val="none"/>
        </w:rPr>
      </w:pPr>
      <w:r>
        <w:rPr>
          <w:rFonts w:hint="eastAsia" w:ascii="宋体" w:hAnsi="宋体"/>
          <w:b/>
          <w:color w:val="auto"/>
          <w:kern w:val="0"/>
          <w:highlight w:val="none"/>
        </w:rPr>
        <w:t>注：由定标委员会成员进行投票，各定标委员会成员只能支持一家投标人。</w:t>
      </w:r>
    </w:p>
    <w:p>
      <w:pPr>
        <w:adjustRightInd w:val="0"/>
        <w:snapToGrid w:val="0"/>
        <w:spacing w:line="360" w:lineRule="auto"/>
        <w:rPr>
          <w:rFonts w:ascii="宋体" w:hAnsi="宋体"/>
          <w:color w:val="auto"/>
          <w:kern w:val="0"/>
          <w:highlight w:val="none"/>
        </w:rPr>
      </w:pPr>
    </w:p>
    <w:p>
      <w:pPr>
        <w:pStyle w:val="111"/>
        <w:rPr>
          <w:color w:val="auto"/>
          <w:highlight w:val="none"/>
        </w:rPr>
      </w:pPr>
      <w:r>
        <w:rPr>
          <w:color w:val="auto"/>
          <w:highlight w:val="none"/>
        </w:rPr>
        <w:br w:type="page"/>
      </w:r>
    </w:p>
    <w:p>
      <w:pPr>
        <w:pStyle w:val="111"/>
        <w:rPr>
          <w:color w:val="auto"/>
          <w:highlight w:val="none"/>
        </w:rPr>
      </w:pPr>
      <w:r>
        <w:rPr>
          <w:rFonts w:hint="eastAsia"/>
          <w:color w:val="auto"/>
          <w:highlight w:val="none"/>
        </w:rPr>
        <w:t>附表八</w:t>
      </w:r>
    </w:p>
    <w:p>
      <w:pPr>
        <w:jc w:val="center"/>
        <w:rPr>
          <w:rFonts w:ascii="宋体" w:hAnsi="宋体"/>
          <w:b/>
          <w:color w:val="auto"/>
          <w:sz w:val="28"/>
          <w:szCs w:val="28"/>
          <w:highlight w:val="none"/>
        </w:rPr>
      </w:pPr>
      <w:r>
        <w:rPr>
          <w:rFonts w:hint="eastAsia" w:ascii="宋体" w:hAnsi="宋体"/>
          <w:b/>
          <w:bCs/>
          <w:color w:val="auto"/>
          <w:kern w:val="0"/>
          <w:sz w:val="28"/>
          <w:szCs w:val="28"/>
          <w:highlight w:val="none"/>
        </w:rPr>
        <w:t>定标选票汇总表</w:t>
      </w:r>
      <w:r>
        <w:rPr>
          <w:rFonts w:hint="eastAsia" w:ascii="宋体" w:hAnsi="宋体"/>
          <w:b/>
          <w:color w:val="auto"/>
          <w:sz w:val="28"/>
          <w:szCs w:val="28"/>
          <w:highlight w:val="none"/>
        </w:rPr>
        <w:t>（定标阶段）</w:t>
      </w:r>
    </w:p>
    <w:p>
      <w:pPr>
        <w:pStyle w:val="111"/>
        <w:rPr>
          <w:color w:val="auto"/>
          <w:highlight w:val="none"/>
        </w:rPr>
      </w:pPr>
    </w:p>
    <w:p>
      <w:pPr>
        <w:adjustRightInd w:val="0"/>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工程名称：</w:t>
      </w:r>
    </w:p>
    <w:tbl>
      <w:tblPr>
        <w:tblStyle w:val="40"/>
        <w:tblW w:w="47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3537"/>
        <w:gridCol w:w="240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color w:val="auto"/>
                <w:kern w:val="0"/>
                <w:szCs w:val="21"/>
                <w:highlight w:val="none"/>
              </w:rPr>
            </w:pPr>
            <w:r>
              <w:rPr>
                <w:rFonts w:hint="eastAsia" w:ascii="宋体" w:hAnsi="宋体"/>
                <w:b/>
                <w:color w:val="auto"/>
                <w:kern w:val="0"/>
                <w:szCs w:val="21"/>
                <w:highlight w:val="none"/>
              </w:rPr>
              <w:t>序号</w:t>
            </w:r>
          </w:p>
        </w:tc>
        <w:tc>
          <w:tcPr>
            <w:tcW w:w="2020" w:type="pct"/>
            <w:tcBorders>
              <w:top w:val="single" w:color="auto" w:sz="4"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b/>
                <w:color w:val="auto"/>
                <w:kern w:val="0"/>
                <w:szCs w:val="21"/>
                <w:highlight w:val="none"/>
              </w:rPr>
            </w:pPr>
            <w:r>
              <w:rPr>
                <w:rFonts w:hint="eastAsia" w:ascii="宋体" w:hAnsi="宋体"/>
                <w:b/>
                <w:color w:val="auto"/>
                <w:kern w:val="0"/>
                <w:szCs w:val="21"/>
                <w:highlight w:val="none"/>
              </w:rPr>
              <w:t>投标人名称</w:t>
            </w:r>
          </w:p>
        </w:tc>
        <w:tc>
          <w:tcPr>
            <w:tcW w:w="1375" w:type="pct"/>
            <w:tcBorders>
              <w:top w:val="single" w:color="auto" w:sz="4"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b/>
                <w:color w:val="auto"/>
                <w:kern w:val="0"/>
                <w:szCs w:val="21"/>
                <w:highlight w:val="none"/>
              </w:rPr>
            </w:pPr>
            <w:r>
              <w:rPr>
                <w:rFonts w:hint="eastAsia" w:ascii="宋体" w:hAnsi="宋体"/>
                <w:b/>
                <w:color w:val="auto"/>
                <w:kern w:val="0"/>
                <w:szCs w:val="21"/>
                <w:highlight w:val="none"/>
              </w:rPr>
              <w:t>得票数</w:t>
            </w:r>
          </w:p>
        </w:tc>
        <w:tc>
          <w:tcPr>
            <w:tcW w:w="1053" w:type="pct"/>
            <w:tcBorders>
              <w:top w:val="single" w:color="auto" w:sz="4"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b/>
                <w:color w:val="auto"/>
                <w:kern w:val="0"/>
                <w:szCs w:val="21"/>
                <w:highlight w:val="none"/>
              </w:rPr>
            </w:pPr>
            <w:r>
              <w:rPr>
                <w:rFonts w:hint="eastAsia" w:ascii="宋体" w:hAnsi="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2020" w:type="pct"/>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Cs w:val="21"/>
                <w:highlight w:val="none"/>
              </w:rPr>
            </w:pPr>
          </w:p>
        </w:tc>
        <w:tc>
          <w:tcPr>
            <w:tcW w:w="137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Cs w:val="21"/>
                <w:highlight w:val="none"/>
              </w:rPr>
            </w:pPr>
          </w:p>
        </w:tc>
        <w:tc>
          <w:tcPr>
            <w:tcW w:w="105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2020" w:type="pct"/>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Cs w:val="21"/>
                <w:highlight w:val="none"/>
              </w:rPr>
            </w:pPr>
          </w:p>
        </w:tc>
        <w:tc>
          <w:tcPr>
            <w:tcW w:w="137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Cs w:val="21"/>
                <w:highlight w:val="none"/>
              </w:rPr>
            </w:pPr>
          </w:p>
        </w:tc>
        <w:tc>
          <w:tcPr>
            <w:tcW w:w="105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3</w:t>
            </w:r>
          </w:p>
        </w:tc>
        <w:tc>
          <w:tcPr>
            <w:tcW w:w="2020" w:type="pct"/>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Cs w:val="21"/>
                <w:highlight w:val="none"/>
              </w:rPr>
            </w:pPr>
          </w:p>
        </w:tc>
        <w:tc>
          <w:tcPr>
            <w:tcW w:w="137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Cs w:val="21"/>
                <w:highlight w:val="none"/>
              </w:rPr>
            </w:pPr>
          </w:p>
        </w:tc>
        <w:tc>
          <w:tcPr>
            <w:tcW w:w="105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4</w:t>
            </w:r>
          </w:p>
        </w:tc>
        <w:tc>
          <w:tcPr>
            <w:tcW w:w="2020" w:type="pct"/>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Cs w:val="21"/>
                <w:highlight w:val="none"/>
              </w:rPr>
            </w:pPr>
          </w:p>
        </w:tc>
        <w:tc>
          <w:tcPr>
            <w:tcW w:w="137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Cs w:val="21"/>
                <w:highlight w:val="none"/>
              </w:rPr>
            </w:pPr>
          </w:p>
        </w:tc>
        <w:tc>
          <w:tcPr>
            <w:tcW w:w="105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w:t>
            </w:r>
          </w:p>
        </w:tc>
        <w:tc>
          <w:tcPr>
            <w:tcW w:w="2020" w:type="pct"/>
            <w:tcBorders>
              <w:top w:val="single" w:color="auto" w:sz="6"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ascii="宋体" w:hAnsi="宋体"/>
                <w:color w:val="auto"/>
                <w:kern w:val="0"/>
                <w:szCs w:val="21"/>
                <w:highlight w:val="none"/>
              </w:rPr>
            </w:pPr>
          </w:p>
        </w:tc>
        <w:tc>
          <w:tcPr>
            <w:tcW w:w="1375" w:type="pct"/>
            <w:tcBorders>
              <w:top w:val="single" w:color="auto" w:sz="6"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宋体" w:hAnsi="宋体"/>
                <w:color w:val="auto"/>
                <w:kern w:val="0"/>
                <w:szCs w:val="21"/>
                <w:highlight w:val="none"/>
              </w:rPr>
            </w:pPr>
          </w:p>
        </w:tc>
        <w:tc>
          <w:tcPr>
            <w:tcW w:w="1053" w:type="pct"/>
            <w:tcBorders>
              <w:top w:val="single" w:color="auto" w:sz="6"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宋体" w:hAnsi="宋体"/>
                <w:color w:val="auto"/>
                <w:kern w:val="0"/>
                <w:szCs w:val="21"/>
                <w:highlight w:val="none"/>
              </w:rPr>
            </w:pPr>
          </w:p>
        </w:tc>
      </w:tr>
    </w:tbl>
    <w:p>
      <w:pPr>
        <w:rPr>
          <w:color w:val="auto"/>
          <w:kern w:val="0"/>
          <w:szCs w:val="21"/>
          <w:highlight w:val="none"/>
        </w:rPr>
      </w:pPr>
    </w:p>
    <w:p>
      <w:pPr>
        <w:adjustRightInd w:val="0"/>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定标委员签名：                                         日期：</w:t>
      </w:r>
    </w:p>
    <w:p>
      <w:pPr>
        <w:pStyle w:val="111"/>
        <w:rPr>
          <w:color w:val="auto"/>
          <w:highlight w:val="none"/>
        </w:rPr>
      </w:pPr>
    </w:p>
    <w:p>
      <w:pPr>
        <w:pStyle w:val="111"/>
        <w:rPr>
          <w:color w:val="auto"/>
          <w:highlight w:val="none"/>
        </w:rPr>
      </w:pPr>
      <w:r>
        <w:rPr>
          <w:color w:val="auto"/>
          <w:highlight w:val="none"/>
        </w:rPr>
        <w:br w:type="page"/>
      </w:r>
      <w:r>
        <w:rPr>
          <w:rFonts w:hint="eastAsia"/>
          <w:color w:val="auto"/>
          <w:highlight w:val="none"/>
        </w:rPr>
        <w:t>附表九</w:t>
      </w:r>
    </w:p>
    <w:p>
      <w:pPr>
        <w:pStyle w:val="111"/>
        <w:jc w:val="center"/>
        <w:rPr>
          <w:rFonts w:ascii="宋体" w:hAnsi="宋体"/>
          <w:b/>
          <w:color w:val="auto"/>
          <w:sz w:val="28"/>
          <w:szCs w:val="28"/>
          <w:highlight w:val="none"/>
        </w:rPr>
      </w:pPr>
      <w:r>
        <w:rPr>
          <w:rFonts w:hint="eastAsia" w:ascii="宋体" w:hAnsi="宋体"/>
          <w:b/>
          <w:color w:val="auto"/>
          <w:sz w:val="28"/>
          <w:szCs w:val="28"/>
          <w:highlight w:val="none"/>
        </w:rPr>
        <w:t>附加</w:t>
      </w:r>
      <w:r>
        <w:rPr>
          <w:rFonts w:hint="eastAsia" w:ascii="宋体" w:hAnsi="宋体"/>
          <w:b/>
          <w:bCs/>
          <w:color w:val="auto"/>
          <w:kern w:val="0"/>
          <w:sz w:val="28"/>
          <w:szCs w:val="28"/>
          <w:highlight w:val="none"/>
        </w:rPr>
        <w:t>定标选票</w:t>
      </w:r>
      <w:r>
        <w:rPr>
          <w:rFonts w:hint="eastAsia" w:ascii="宋体" w:hAnsi="宋体"/>
          <w:b/>
          <w:color w:val="auto"/>
          <w:sz w:val="28"/>
          <w:szCs w:val="28"/>
          <w:highlight w:val="none"/>
        </w:rPr>
        <w:t>表</w:t>
      </w:r>
    </w:p>
    <w:p>
      <w:pPr>
        <w:pStyle w:val="111"/>
        <w:jc w:val="center"/>
        <w:rPr>
          <w:rFonts w:ascii="宋体" w:hAnsi="宋体"/>
          <w:b/>
          <w:color w:val="auto"/>
          <w:sz w:val="28"/>
          <w:szCs w:val="28"/>
          <w:highlight w:val="none"/>
        </w:rPr>
      </w:pPr>
      <w:r>
        <w:rPr>
          <w:rFonts w:hint="eastAsia" w:ascii="宋体" w:hAnsi="宋体"/>
          <w:b/>
          <w:color w:val="auto"/>
          <w:sz w:val="28"/>
          <w:szCs w:val="28"/>
          <w:highlight w:val="none"/>
        </w:rPr>
        <w:t>（定标阶段-票数相同时定标委员会个人用表）</w:t>
      </w:r>
    </w:p>
    <w:p>
      <w:pPr>
        <w:pStyle w:val="111"/>
        <w:jc w:val="center"/>
        <w:rPr>
          <w:rFonts w:ascii="宋体" w:hAnsi="宋体"/>
          <w:b/>
          <w:color w:val="auto"/>
          <w:sz w:val="28"/>
          <w:szCs w:val="28"/>
          <w:highlight w:val="none"/>
        </w:rPr>
      </w:pPr>
    </w:p>
    <w:p>
      <w:pPr>
        <w:adjustRightInd w:val="0"/>
        <w:snapToGrid w:val="0"/>
        <w:spacing w:line="360" w:lineRule="auto"/>
        <w:rPr>
          <w:rFonts w:ascii="宋体" w:hAnsi="宋体"/>
          <w:color w:val="auto"/>
          <w:kern w:val="0"/>
          <w:highlight w:val="none"/>
        </w:rPr>
      </w:pPr>
      <w:r>
        <w:rPr>
          <w:rFonts w:hint="eastAsia" w:ascii="宋体" w:hAnsi="宋体"/>
          <w:color w:val="auto"/>
          <w:kern w:val="0"/>
          <w:highlight w:val="none"/>
        </w:rPr>
        <w:t>工程名称：</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0"/>
        <w:gridCol w:w="220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olor w:val="auto"/>
                <w:kern w:val="0"/>
                <w:highlight w:val="none"/>
              </w:rPr>
            </w:pPr>
            <w:r>
              <w:rPr>
                <w:rFonts w:hint="eastAsia" w:ascii="宋体" w:hAnsi="宋体"/>
                <w:color w:val="auto"/>
                <w:kern w:val="0"/>
                <w:highlight w:val="none"/>
              </w:rPr>
              <w:t>投标人</w:t>
            </w:r>
          </w:p>
        </w:tc>
        <w:tc>
          <w:tcPr>
            <w:tcW w:w="19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olor w:val="auto"/>
                <w:kern w:val="0"/>
                <w:szCs w:val="21"/>
                <w:highlight w:val="none"/>
              </w:rPr>
            </w:pPr>
            <w:r>
              <w:rPr>
                <w:rFonts w:hint="eastAsia" w:ascii="宋体" w:hAnsi="宋体"/>
                <w:color w:val="auto"/>
                <w:kern w:val="0"/>
                <w:highlight w:val="none"/>
              </w:rPr>
              <w:t>票决意见</w:t>
            </w:r>
          </w:p>
        </w:tc>
        <w:tc>
          <w:tcPr>
            <w:tcW w:w="19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olor w:val="auto"/>
                <w:kern w:val="0"/>
                <w:szCs w:val="21"/>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olor w:val="auto"/>
                <w:kern w:val="0"/>
                <w:highlight w:val="none"/>
              </w:rPr>
            </w:pPr>
          </w:p>
        </w:tc>
      </w:tr>
    </w:tbl>
    <w:p>
      <w:pPr>
        <w:pStyle w:val="111"/>
        <w:rPr>
          <w:color w:val="auto"/>
          <w:kern w:val="0"/>
          <w:szCs w:val="21"/>
          <w:highlight w:val="none"/>
        </w:rPr>
      </w:pPr>
    </w:p>
    <w:p>
      <w:pPr>
        <w:adjustRightInd w:val="0"/>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定标委员签名：                                            日期：</w:t>
      </w:r>
    </w:p>
    <w:p>
      <w:pPr>
        <w:pStyle w:val="111"/>
        <w:rPr>
          <w:color w:val="auto"/>
          <w:highlight w:val="none"/>
        </w:rPr>
      </w:pPr>
    </w:p>
    <w:p>
      <w:pPr>
        <w:pStyle w:val="111"/>
        <w:rPr>
          <w:b/>
          <w:color w:val="auto"/>
          <w:highlight w:val="none"/>
        </w:rPr>
      </w:pPr>
      <w:r>
        <w:rPr>
          <w:rFonts w:hint="eastAsia"/>
          <w:b/>
          <w:color w:val="auto"/>
          <w:highlight w:val="none"/>
        </w:rPr>
        <w:t>备注：</w:t>
      </w:r>
    </w:p>
    <w:p>
      <w:pPr>
        <w:pStyle w:val="111"/>
        <w:ind w:firstLine="422" w:firstLineChars="200"/>
        <w:rPr>
          <w:b/>
          <w:color w:val="auto"/>
          <w:highlight w:val="none"/>
        </w:rPr>
      </w:pPr>
      <w:r>
        <w:rPr>
          <w:rFonts w:hint="eastAsia"/>
          <w:b/>
          <w:color w:val="auto"/>
          <w:highlight w:val="none"/>
        </w:rPr>
        <w:t>1、本表用于投票出现票数相同的情况。</w:t>
      </w:r>
    </w:p>
    <w:p>
      <w:pPr>
        <w:pStyle w:val="111"/>
        <w:ind w:firstLine="422" w:firstLineChars="200"/>
        <w:rPr>
          <w:b/>
          <w:color w:val="auto"/>
          <w:highlight w:val="none"/>
        </w:rPr>
      </w:pPr>
      <w:r>
        <w:rPr>
          <w:rFonts w:hint="eastAsia"/>
          <w:b/>
          <w:color w:val="auto"/>
          <w:highlight w:val="none"/>
        </w:rPr>
        <w:t>2、由定标委员会成员进行附加投票，票决意见分别为“投票”或“不投票”，各定标委员会成员只有1票表决权（即只能对其中一名投标人“投票”），票决意见为“投票”的，用“○”表示；票决意见为“不投票”，用“×”表示。</w:t>
      </w:r>
    </w:p>
    <w:p>
      <w:pPr>
        <w:pStyle w:val="111"/>
        <w:rPr>
          <w:color w:val="auto"/>
          <w:highlight w:val="none"/>
        </w:rPr>
      </w:pPr>
      <w:r>
        <w:rPr>
          <w:color w:val="auto"/>
          <w:highlight w:val="none"/>
        </w:rPr>
        <w:br w:type="page"/>
      </w:r>
      <w:r>
        <w:rPr>
          <w:rFonts w:hint="eastAsia"/>
          <w:color w:val="auto"/>
          <w:highlight w:val="none"/>
        </w:rPr>
        <w:t>附表十</w:t>
      </w:r>
    </w:p>
    <w:p>
      <w:pPr>
        <w:pStyle w:val="111"/>
        <w:jc w:val="center"/>
        <w:rPr>
          <w:rFonts w:ascii="宋体" w:hAnsi="宋体"/>
          <w:b/>
          <w:color w:val="auto"/>
          <w:sz w:val="28"/>
          <w:szCs w:val="28"/>
          <w:highlight w:val="none"/>
        </w:rPr>
      </w:pPr>
      <w:r>
        <w:rPr>
          <w:rFonts w:hint="eastAsia" w:ascii="宋体" w:hAnsi="宋体"/>
          <w:b/>
          <w:color w:val="auto"/>
          <w:sz w:val="28"/>
          <w:szCs w:val="28"/>
          <w:highlight w:val="none"/>
        </w:rPr>
        <w:t>附加</w:t>
      </w:r>
      <w:r>
        <w:rPr>
          <w:rFonts w:hint="eastAsia" w:ascii="宋体" w:hAnsi="宋体"/>
          <w:b/>
          <w:bCs/>
          <w:color w:val="auto"/>
          <w:kern w:val="0"/>
          <w:sz w:val="28"/>
          <w:szCs w:val="28"/>
          <w:highlight w:val="none"/>
        </w:rPr>
        <w:t>定标选票汇总</w:t>
      </w:r>
      <w:r>
        <w:rPr>
          <w:rFonts w:hint="eastAsia" w:ascii="宋体" w:hAnsi="宋体"/>
          <w:b/>
          <w:color w:val="auto"/>
          <w:sz w:val="28"/>
          <w:szCs w:val="28"/>
          <w:highlight w:val="none"/>
        </w:rPr>
        <w:t>表</w:t>
      </w:r>
    </w:p>
    <w:p>
      <w:pPr>
        <w:pStyle w:val="111"/>
        <w:jc w:val="center"/>
        <w:rPr>
          <w:rFonts w:ascii="宋体" w:hAnsi="宋体"/>
          <w:b/>
          <w:color w:val="auto"/>
          <w:sz w:val="28"/>
          <w:szCs w:val="28"/>
          <w:highlight w:val="none"/>
        </w:rPr>
      </w:pPr>
      <w:r>
        <w:rPr>
          <w:rFonts w:hint="eastAsia" w:ascii="宋体" w:hAnsi="宋体"/>
          <w:b/>
          <w:color w:val="auto"/>
          <w:sz w:val="28"/>
          <w:szCs w:val="28"/>
          <w:highlight w:val="none"/>
        </w:rPr>
        <w:t>（定标阶段-票数相同时定标委员会汇总用表）</w:t>
      </w:r>
    </w:p>
    <w:p>
      <w:pPr>
        <w:pStyle w:val="111"/>
        <w:jc w:val="center"/>
        <w:rPr>
          <w:rFonts w:ascii="宋体" w:hAnsi="宋体"/>
          <w:b/>
          <w:color w:val="auto"/>
          <w:sz w:val="28"/>
          <w:szCs w:val="28"/>
          <w:highlight w:val="none"/>
        </w:rPr>
      </w:pPr>
    </w:p>
    <w:p>
      <w:pPr>
        <w:adjustRightInd w:val="0"/>
        <w:snapToGrid w:val="0"/>
        <w:spacing w:line="360" w:lineRule="auto"/>
        <w:rPr>
          <w:rFonts w:ascii="宋体" w:hAnsi="宋体"/>
          <w:color w:val="auto"/>
          <w:kern w:val="0"/>
          <w:highlight w:val="none"/>
        </w:rPr>
      </w:pPr>
      <w:r>
        <w:rPr>
          <w:rFonts w:hint="eastAsia" w:ascii="宋体" w:hAnsi="宋体"/>
          <w:color w:val="auto"/>
          <w:kern w:val="0"/>
          <w:highlight w:val="none"/>
        </w:rPr>
        <w:t>工程名称：</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207"/>
        <w:gridCol w:w="182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hint="eastAsia" w:ascii="宋体" w:hAnsi="宋体"/>
                <w:color w:val="auto"/>
                <w:sz w:val="24"/>
                <w:highlight w:val="none"/>
              </w:rPr>
              <w:t>序号</w:t>
            </w:r>
          </w:p>
        </w:tc>
        <w:tc>
          <w:tcPr>
            <w:tcW w:w="2265"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hint="eastAsia" w:ascii="宋体" w:hAnsi="宋体"/>
                <w:color w:val="auto"/>
                <w:sz w:val="24"/>
                <w:highlight w:val="none"/>
              </w:rPr>
              <w:t>投标人</w:t>
            </w:r>
          </w:p>
        </w:tc>
        <w:tc>
          <w:tcPr>
            <w:tcW w:w="985"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票数</w:t>
            </w: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color w:val="auto"/>
                <w:szCs w:val="21"/>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ascii="宋体" w:hAnsi="宋体"/>
                <w:color w:val="auto"/>
                <w:sz w:val="24"/>
                <w:highlight w:val="none"/>
              </w:rPr>
              <w:t>1</w:t>
            </w:r>
          </w:p>
        </w:tc>
        <w:tc>
          <w:tcPr>
            <w:tcW w:w="2265"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ascii="宋体" w:hAnsi="宋体"/>
                <w:color w:val="auto"/>
                <w:sz w:val="24"/>
                <w:highlight w:val="none"/>
              </w:rPr>
              <w:t>2</w:t>
            </w:r>
          </w:p>
        </w:tc>
        <w:tc>
          <w:tcPr>
            <w:tcW w:w="2265"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ascii="宋体" w:hAnsi="宋体"/>
                <w:color w:val="auto"/>
                <w:sz w:val="24"/>
                <w:highlight w:val="none"/>
              </w:rPr>
              <w:t>3</w:t>
            </w:r>
          </w:p>
        </w:tc>
        <w:tc>
          <w:tcPr>
            <w:tcW w:w="2265"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4</w:t>
            </w:r>
          </w:p>
        </w:tc>
        <w:tc>
          <w:tcPr>
            <w:tcW w:w="2265"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ascii="宋体" w:hAnsi="宋体"/>
                <w:color w:val="auto"/>
                <w:sz w:val="24"/>
                <w:highlight w:val="none"/>
              </w:rPr>
              <w:t>……</w:t>
            </w:r>
          </w:p>
        </w:tc>
        <w:tc>
          <w:tcPr>
            <w:tcW w:w="2265"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p>
        </w:tc>
      </w:tr>
    </w:tbl>
    <w:p>
      <w:pPr>
        <w:pStyle w:val="111"/>
        <w:rPr>
          <w:color w:val="auto"/>
          <w:kern w:val="0"/>
          <w:szCs w:val="21"/>
          <w:highlight w:val="none"/>
        </w:rPr>
      </w:pPr>
    </w:p>
    <w:p>
      <w:pPr>
        <w:adjustRightInd w:val="0"/>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定标委员签名：                                            日期：</w:t>
      </w:r>
    </w:p>
    <w:p>
      <w:pPr>
        <w:pStyle w:val="111"/>
        <w:rPr>
          <w:color w:val="auto"/>
          <w:highlight w:val="none"/>
        </w:rPr>
      </w:pPr>
    </w:p>
    <w:p>
      <w:pPr>
        <w:pStyle w:val="111"/>
        <w:rPr>
          <w:color w:val="auto"/>
          <w:highlight w:val="none"/>
        </w:rPr>
      </w:pPr>
      <w:r>
        <w:rPr>
          <w:color w:val="auto"/>
          <w:highlight w:val="none"/>
        </w:rPr>
        <w:br w:type="page"/>
      </w:r>
      <w:r>
        <w:rPr>
          <w:rFonts w:hint="eastAsia"/>
          <w:color w:val="auto"/>
          <w:highlight w:val="none"/>
        </w:rPr>
        <w:t>附表十一</w:t>
      </w:r>
    </w:p>
    <w:p>
      <w:pPr>
        <w:pStyle w:val="111"/>
        <w:jc w:val="center"/>
        <w:rPr>
          <w:rFonts w:ascii="宋体" w:hAnsi="宋体"/>
          <w:b/>
          <w:color w:val="auto"/>
          <w:sz w:val="28"/>
          <w:szCs w:val="28"/>
          <w:highlight w:val="none"/>
        </w:rPr>
      </w:pPr>
      <w:r>
        <w:rPr>
          <w:rFonts w:hint="eastAsia" w:ascii="宋体" w:hAnsi="宋体"/>
          <w:b/>
          <w:color w:val="auto"/>
          <w:sz w:val="28"/>
          <w:szCs w:val="28"/>
          <w:highlight w:val="none"/>
        </w:rPr>
        <w:t>定标确定表（定标阶段）</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259"/>
        <w:gridCol w:w="1701"/>
        <w:gridCol w:w="2836"/>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Cs w:val="21"/>
                <w:highlight w:val="none"/>
              </w:rPr>
            </w:pPr>
            <w:r>
              <w:rPr>
                <w:rFonts w:hint="eastAsia" w:ascii="宋体" w:hAnsi="宋体"/>
                <w:b/>
                <w:color w:val="auto"/>
                <w:szCs w:val="21"/>
                <w:highlight w:val="none"/>
              </w:rPr>
              <w:t>序号</w:t>
            </w:r>
          </w:p>
        </w:tc>
        <w:tc>
          <w:tcPr>
            <w:tcW w:w="3259" w:type="dxa"/>
            <w:tcBorders>
              <w:top w:val="single" w:color="auto" w:sz="4" w:space="0"/>
              <w:left w:val="nil"/>
              <w:bottom w:val="single" w:color="auto" w:sz="4" w:space="0"/>
              <w:right w:val="single" w:color="auto" w:sz="4" w:space="0"/>
            </w:tcBorders>
            <w:vAlign w:val="center"/>
          </w:tcPr>
          <w:p>
            <w:pPr>
              <w:jc w:val="center"/>
              <w:rPr>
                <w:rFonts w:ascii="宋体"/>
                <w:b/>
                <w:color w:val="auto"/>
                <w:szCs w:val="21"/>
                <w:highlight w:val="none"/>
              </w:rPr>
            </w:pPr>
            <w:r>
              <w:rPr>
                <w:rFonts w:hint="eastAsia" w:ascii="宋体" w:hAnsi="宋体"/>
                <w:b/>
                <w:color w:val="auto"/>
                <w:szCs w:val="21"/>
                <w:highlight w:val="none"/>
              </w:rPr>
              <w:t>投标人名称</w:t>
            </w:r>
          </w:p>
        </w:tc>
        <w:tc>
          <w:tcPr>
            <w:tcW w:w="1701" w:type="dxa"/>
            <w:tcBorders>
              <w:top w:val="single" w:color="auto" w:sz="4" w:space="0"/>
              <w:left w:val="nil"/>
              <w:bottom w:val="single" w:color="auto" w:sz="4" w:space="0"/>
              <w:right w:val="single" w:color="auto" w:sz="4" w:space="0"/>
            </w:tcBorders>
            <w:vAlign w:val="center"/>
          </w:tcPr>
          <w:p>
            <w:pPr>
              <w:jc w:val="center"/>
              <w:rPr>
                <w:b/>
                <w:color w:val="auto"/>
                <w:szCs w:val="21"/>
                <w:highlight w:val="none"/>
              </w:rPr>
            </w:pPr>
            <w:r>
              <w:rPr>
                <w:rFonts w:hint="eastAsia"/>
                <w:b/>
                <w:color w:val="auto"/>
                <w:szCs w:val="21"/>
                <w:highlight w:val="none"/>
              </w:rPr>
              <w:t>投票结果</w:t>
            </w:r>
          </w:p>
        </w:tc>
        <w:tc>
          <w:tcPr>
            <w:tcW w:w="2836" w:type="dxa"/>
            <w:tcBorders>
              <w:top w:val="single" w:color="auto" w:sz="4" w:space="0"/>
              <w:left w:val="nil"/>
              <w:bottom w:val="single" w:color="auto" w:sz="4" w:space="0"/>
              <w:right w:val="single" w:color="auto" w:sz="4" w:space="0"/>
            </w:tcBorders>
            <w:vAlign w:val="center"/>
          </w:tcPr>
          <w:p>
            <w:pPr>
              <w:jc w:val="center"/>
              <w:rPr>
                <w:rFonts w:ascii="宋体"/>
                <w:b/>
                <w:color w:val="auto"/>
                <w:szCs w:val="21"/>
                <w:highlight w:val="none"/>
              </w:rPr>
            </w:pPr>
            <w:r>
              <w:rPr>
                <w:rFonts w:hint="eastAsia" w:ascii="宋体"/>
                <w:b/>
                <w:color w:val="auto"/>
                <w:szCs w:val="21"/>
                <w:highlight w:val="none"/>
              </w:rPr>
              <w:t>是否确定为中标人</w:t>
            </w:r>
          </w:p>
        </w:tc>
        <w:tc>
          <w:tcPr>
            <w:tcW w:w="672" w:type="dxa"/>
            <w:tcBorders>
              <w:top w:val="single" w:color="auto" w:sz="4" w:space="0"/>
              <w:left w:val="nil"/>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olor w:val="auto"/>
                <w:sz w:val="24"/>
                <w:szCs w:val="24"/>
                <w:highlight w:val="none"/>
              </w:rPr>
              <w:t>1</w:t>
            </w:r>
          </w:p>
        </w:tc>
        <w:tc>
          <w:tcPr>
            <w:tcW w:w="3259"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672" w:type="dxa"/>
            <w:tcBorders>
              <w:top w:val="single" w:color="auto" w:sz="4" w:space="0"/>
              <w:left w:val="nil"/>
              <w:bottom w:val="single" w:color="auto" w:sz="4" w:space="0"/>
              <w:right w:val="single" w:color="auto" w:sz="4" w:space="0"/>
            </w:tcBorders>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olor w:val="auto"/>
                <w:sz w:val="24"/>
                <w:szCs w:val="24"/>
                <w:highlight w:val="none"/>
              </w:rPr>
              <w:t>2</w:t>
            </w:r>
          </w:p>
        </w:tc>
        <w:tc>
          <w:tcPr>
            <w:tcW w:w="3259"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672" w:type="dxa"/>
            <w:tcBorders>
              <w:top w:val="single" w:color="auto" w:sz="4" w:space="0"/>
              <w:left w:val="nil"/>
              <w:bottom w:val="single" w:color="auto" w:sz="4" w:space="0"/>
              <w:right w:val="single" w:color="auto" w:sz="4" w:space="0"/>
            </w:tcBorders>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olor w:val="auto"/>
                <w:sz w:val="24"/>
                <w:szCs w:val="24"/>
                <w:highlight w:val="none"/>
              </w:rPr>
              <w:t>3</w:t>
            </w:r>
          </w:p>
        </w:tc>
        <w:tc>
          <w:tcPr>
            <w:tcW w:w="3259"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672" w:type="dxa"/>
            <w:tcBorders>
              <w:top w:val="single" w:color="auto" w:sz="4" w:space="0"/>
              <w:left w:val="nil"/>
              <w:bottom w:val="single" w:color="auto" w:sz="4" w:space="0"/>
              <w:right w:val="single" w:color="auto" w:sz="4" w:space="0"/>
            </w:tcBorders>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olor w:val="auto"/>
                <w:sz w:val="24"/>
                <w:szCs w:val="24"/>
                <w:highlight w:val="none"/>
              </w:rPr>
              <w:t>4</w:t>
            </w:r>
          </w:p>
        </w:tc>
        <w:tc>
          <w:tcPr>
            <w:tcW w:w="3259"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672" w:type="dxa"/>
            <w:tcBorders>
              <w:top w:val="single" w:color="auto" w:sz="4" w:space="0"/>
              <w:left w:val="nil"/>
              <w:bottom w:val="single" w:color="auto" w:sz="4" w:space="0"/>
              <w:right w:val="single" w:color="auto" w:sz="4" w:space="0"/>
            </w:tcBorders>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olor w:val="auto"/>
                <w:sz w:val="24"/>
                <w:szCs w:val="24"/>
                <w:highlight w:val="none"/>
              </w:rPr>
              <w:t>5</w:t>
            </w:r>
          </w:p>
        </w:tc>
        <w:tc>
          <w:tcPr>
            <w:tcW w:w="3259"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672" w:type="dxa"/>
            <w:tcBorders>
              <w:top w:val="single" w:color="auto" w:sz="4" w:space="0"/>
              <w:left w:val="nil"/>
              <w:bottom w:val="single" w:color="auto" w:sz="4" w:space="0"/>
              <w:right w:val="single" w:color="auto" w:sz="4" w:space="0"/>
            </w:tcBorders>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olor w:val="auto"/>
                <w:sz w:val="24"/>
                <w:szCs w:val="24"/>
                <w:highlight w:val="none"/>
              </w:rPr>
              <w:t>6</w:t>
            </w:r>
          </w:p>
        </w:tc>
        <w:tc>
          <w:tcPr>
            <w:tcW w:w="3259"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672" w:type="dxa"/>
            <w:tcBorders>
              <w:top w:val="single" w:color="auto" w:sz="4" w:space="0"/>
              <w:left w:val="nil"/>
              <w:bottom w:val="single" w:color="auto" w:sz="4" w:space="0"/>
              <w:right w:val="single" w:color="auto" w:sz="4" w:space="0"/>
            </w:tcBorders>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olor w:val="auto"/>
                <w:sz w:val="24"/>
                <w:szCs w:val="24"/>
                <w:highlight w:val="none"/>
              </w:rPr>
              <w:t>7</w:t>
            </w:r>
          </w:p>
        </w:tc>
        <w:tc>
          <w:tcPr>
            <w:tcW w:w="3259"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pPr>
              <w:jc w:val="center"/>
              <w:rPr>
                <w:rFonts w:ascii="宋体"/>
                <w:color w:val="auto"/>
                <w:sz w:val="24"/>
                <w:szCs w:val="24"/>
                <w:highlight w:val="none"/>
              </w:rPr>
            </w:pPr>
          </w:p>
        </w:tc>
        <w:tc>
          <w:tcPr>
            <w:tcW w:w="672" w:type="dxa"/>
            <w:tcBorders>
              <w:top w:val="single" w:color="auto" w:sz="4" w:space="0"/>
              <w:left w:val="nil"/>
              <w:bottom w:val="single" w:color="auto" w:sz="4" w:space="0"/>
              <w:right w:val="single" w:color="auto" w:sz="4" w:space="0"/>
            </w:tcBorders>
          </w:tcPr>
          <w:p>
            <w:pPr>
              <w:jc w:val="center"/>
              <w:rPr>
                <w:rFonts w:ascii="宋体"/>
                <w:color w:val="auto"/>
                <w:sz w:val="24"/>
                <w:szCs w:val="24"/>
                <w:highlight w:val="none"/>
              </w:rPr>
            </w:pPr>
          </w:p>
        </w:tc>
      </w:tr>
    </w:tbl>
    <w:p>
      <w:pPr>
        <w:pStyle w:val="111"/>
        <w:rPr>
          <w:color w:val="auto"/>
          <w:highlight w:val="none"/>
        </w:rPr>
      </w:pPr>
    </w:p>
    <w:p>
      <w:pPr>
        <w:adjustRightInd w:val="0"/>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定标委员签名：                                         日期：</w:t>
      </w:r>
    </w:p>
    <w:p>
      <w:pPr>
        <w:pStyle w:val="111"/>
        <w:rPr>
          <w:color w:val="auto"/>
          <w:highlight w:val="none"/>
        </w:rPr>
      </w:pPr>
    </w:p>
    <w:p>
      <w:pPr>
        <w:pStyle w:val="111"/>
        <w:rPr>
          <w:color w:val="auto"/>
          <w:highlight w:val="none"/>
        </w:rPr>
      </w:pPr>
    </w:p>
    <w:p>
      <w:pPr>
        <w:pStyle w:val="111"/>
        <w:rPr>
          <w:b/>
          <w:color w:val="auto"/>
          <w:highlight w:val="none"/>
        </w:rPr>
      </w:pPr>
      <w:r>
        <w:rPr>
          <w:rFonts w:hint="eastAsia"/>
          <w:b/>
          <w:color w:val="auto"/>
          <w:highlight w:val="none"/>
        </w:rPr>
        <w:t>注：定标委员会成员须根据每轮的投票结果，得票数最多的合格中标候选人为中标人。</w:t>
      </w:r>
    </w:p>
    <w:p>
      <w:pPr>
        <w:pStyle w:val="111"/>
        <w:rPr>
          <w:color w:val="auto"/>
          <w:highlight w:val="none"/>
        </w:rPr>
      </w:pPr>
    </w:p>
    <w:p>
      <w:pPr>
        <w:pStyle w:val="111"/>
        <w:rPr>
          <w:color w:val="auto"/>
          <w:highlight w:val="none"/>
        </w:rPr>
      </w:pPr>
    </w:p>
    <w:p>
      <w:pPr>
        <w:pStyle w:val="111"/>
        <w:rPr>
          <w:color w:val="auto"/>
          <w:highlight w:val="none"/>
        </w:rPr>
      </w:pPr>
      <w:r>
        <w:rPr>
          <w:color w:val="auto"/>
          <w:highlight w:val="none"/>
        </w:rPr>
        <w:br w:type="page"/>
      </w:r>
    </w:p>
    <w:p>
      <w:pPr>
        <w:pStyle w:val="3"/>
        <w:rPr>
          <w:rFonts w:ascii="宋体" w:hAnsi="宋体"/>
          <w:color w:val="auto"/>
          <w:highlight w:val="none"/>
        </w:rPr>
      </w:pPr>
      <w:bookmarkStart w:id="27" w:name="_Toc80289074"/>
      <w:r>
        <w:rPr>
          <w:rFonts w:hint="eastAsia" w:ascii="宋体" w:hAnsi="宋体"/>
          <w:color w:val="auto"/>
          <w:highlight w:val="none"/>
        </w:rPr>
        <w:t>第三章合同条款</w:t>
      </w:r>
      <w:bookmarkEnd w:id="27"/>
    </w:p>
    <w:p>
      <w:pPr>
        <w:jc w:val="center"/>
        <w:rPr>
          <w:rFonts w:ascii="宋体" w:hAnsi="宋体"/>
          <w:b/>
          <w:color w:val="auto"/>
          <w:sz w:val="24"/>
          <w:szCs w:val="24"/>
          <w:highlight w:val="none"/>
        </w:rPr>
      </w:pPr>
      <w:r>
        <w:rPr>
          <w:rFonts w:hint="eastAsia" w:ascii="宋体" w:hAnsi="宋体"/>
          <w:color w:val="auto"/>
          <w:sz w:val="24"/>
          <w:szCs w:val="24"/>
          <w:highlight w:val="none"/>
        </w:rPr>
        <w:t>注：另册。</w:t>
      </w:r>
    </w:p>
    <w:p>
      <w:pPr>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5"/>
        <w:spacing w:line="360" w:lineRule="auto"/>
        <w:rPr>
          <w:rFonts w:ascii="宋体" w:hAnsi="宋体"/>
          <w:color w:val="auto"/>
          <w:sz w:val="24"/>
          <w:szCs w:val="24"/>
          <w:highlight w:val="none"/>
        </w:rPr>
      </w:pPr>
    </w:p>
    <w:p>
      <w:pPr>
        <w:pStyle w:val="2"/>
        <w:spacing w:line="360" w:lineRule="auto"/>
        <w:rPr>
          <w:rFonts w:hAnsi="宋体"/>
          <w:color w:val="auto"/>
          <w:sz w:val="24"/>
          <w:szCs w:val="24"/>
          <w:highlight w:val="none"/>
        </w:rPr>
      </w:pPr>
    </w:p>
    <w:p>
      <w:pPr>
        <w:pStyle w:val="2"/>
        <w:spacing w:line="360" w:lineRule="auto"/>
        <w:rPr>
          <w:rFonts w:hAnsi="宋体"/>
          <w:color w:val="auto"/>
          <w:sz w:val="24"/>
          <w:szCs w:val="24"/>
          <w:highlight w:val="none"/>
        </w:rPr>
      </w:pPr>
      <w:r>
        <w:rPr>
          <w:rFonts w:hAnsi="宋体"/>
          <w:color w:val="auto"/>
          <w:sz w:val="24"/>
          <w:szCs w:val="24"/>
          <w:highlight w:val="none"/>
        </w:rPr>
        <w:br w:type="page"/>
      </w:r>
    </w:p>
    <w:p>
      <w:pPr>
        <w:pStyle w:val="3"/>
        <w:rPr>
          <w:rFonts w:ascii="宋体" w:hAnsi="宋体"/>
          <w:color w:val="auto"/>
          <w:highlight w:val="none"/>
        </w:rPr>
      </w:pPr>
      <w:bookmarkStart w:id="28" w:name="_Toc80289075"/>
      <w:r>
        <w:rPr>
          <w:rFonts w:hint="eastAsia" w:ascii="宋体" w:hAnsi="宋体"/>
          <w:color w:val="auto"/>
          <w:highlight w:val="none"/>
        </w:rPr>
        <w:t>第四章投标文件格式</w:t>
      </w:r>
      <w:bookmarkEnd w:id="28"/>
    </w:p>
    <w:p>
      <w:pPr>
        <w:autoSpaceDE w:val="0"/>
        <w:autoSpaceDN w:val="0"/>
        <w:adjustRightInd w:val="0"/>
        <w:rPr>
          <w:rFonts w:ascii="宋体" w:hAnsi="宋体"/>
          <w:color w:val="auto"/>
          <w:sz w:val="24"/>
          <w:szCs w:val="24"/>
          <w:highlight w:val="none"/>
        </w:rPr>
      </w:pPr>
    </w:p>
    <w:p>
      <w:pPr>
        <w:autoSpaceDE w:val="0"/>
        <w:autoSpaceDN w:val="0"/>
        <w:adjustRightInd w:val="0"/>
        <w:rPr>
          <w:rFonts w:ascii="宋体" w:hAnsi="宋体"/>
          <w:color w:val="auto"/>
          <w:sz w:val="24"/>
          <w:szCs w:val="24"/>
          <w:highlight w:val="none"/>
        </w:rPr>
      </w:pPr>
    </w:p>
    <w:p>
      <w:pPr>
        <w:pStyle w:val="115"/>
        <w:rPr>
          <w:color w:val="auto"/>
          <w:highlight w:val="none"/>
        </w:rPr>
      </w:pPr>
    </w:p>
    <w:p>
      <w:pPr>
        <w:pStyle w:val="117"/>
        <w:spacing w:beforeLines="0" w:afterLines="0" w:line="360" w:lineRule="auto"/>
        <w:outlineLvl w:val="0"/>
        <w:rPr>
          <w:rFonts w:ascii="宋体" w:hAnsi="宋体" w:eastAsia="宋体"/>
          <w:color w:val="auto"/>
          <w:highlight w:val="none"/>
        </w:rPr>
      </w:pPr>
      <w:bookmarkStart w:id="29" w:name="_Toc80289076"/>
      <w:r>
        <w:rPr>
          <w:rFonts w:hint="eastAsia" w:ascii="宋体" w:hAnsi="宋体" w:eastAsia="宋体"/>
          <w:color w:val="auto"/>
          <w:highlight w:val="none"/>
        </w:rPr>
        <w:t>一、技术标投标文件格式</w:t>
      </w:r>
      <w:bookmarkEnd w:id="29"/>
    </w:p>
    <w:p>
      <w:pPr>
        <w:pStyle w:val="124"/>
        <w:spacing w:beforeLines="0" w:afterLines="0" w:line="360" w:lineRule="auto"/>
        <w:rPr>
          <w:rFonts w:ascii="宋体" w:eastAsia="宋体"/>
          <w:color w:val="auto"/>
          <w:highlight w:val="none"/>
        </w:rPr>
      </w:pPr>
      <w:r>
        <w:rPr>
          <w:rFonts w:ascii="宋体" w:eastAsia="宋体"/>
          <w:color w:val="auto"/>
          <w:highlight w:val="none"/>
        </w:rPr>
        <w:br w:type="page"/>
      </w:r>
      <w:bookmarkStart w:id="30" w:name="_Toc80289077"/>
      <w:bookmarkStart w:id="31" w:name="_Toc510963883"/>
      <w:bookmarkStart w:id="32" w:name="_Toc532475786"/>
      <w:bookmarkStart w:id="33" w:name="_Toc532475353"/>
      <w:r>
        <w:rPr>
          <w:rFonts w:hint="eastAsia" w:ascii="宋体" w:eastAsia="宋体"/>
          <w:color w:val="auto"/>
          <w:highlight w:val="none"/>
        </w:rPr>
        <w:t>格式一：技术标封面</w:t>
      </w:r>
      <w:bookmarkEnd w:id="30"/>
      <w:bookmarkEnd w:id="31"/>
      <w:bookmarkEnd w:id="32"/>
      <w:bookmarkEnd w:id="33"/>
    </w:p>
    <w:p>
      <w:pPr>
        <w:pStyle w:val="82"/>
        <w:ind w:firstLine="496"/>
        <w:rPr>
          <w:rFonts w:ascii="宋体" w:hAnsi="宋体"/>
          <w:color w:val="auto"/>
          <w:highlight w:val="none"/>
        </w:rPr>
      </w:pPr>
    </w:p>
    <w:p>
      <w:pPr>
        <w:pStyle w:val="82"/>
        <w:ind w:firstLine="496"/>
        <w:rPr>
          <w:rFonts w:ascii="宋体" w:hAnsi="宋体"/>
          <w:color w:val="auto"/>
          <w:highlight w:val="none"/>
        </w:rPr>
      </w:pPr>
    </w:p>
    <w:p>
      <w:pPr>
        <w:pStyle w:val="82"/>
        <w:ind w:firstLine="496"/>
        <w:rPr>
          <w:rFonts w:ascii="宋体" w:hAnsi="宋体"/>
          <w:color w:val="auto"/>
          <w:highlight w:val="none"/>
        </w:rPr>
      </w:pPr>
    </w:p>
    <w:p>
      <w:pPr>
        <w:pStyle w:val="120"/>
        <w:rPr>
          <w:rFonts w:ascii="宋体" w:hAnsi="宋体" w:eastAsia="宋体"/>
          <w:b w:val="0"/>
          <w:color w:val="auto"/>
          <w:highlight w:val="none"/>
          <w:u w:val="single"/>
        </w:rPr>
      </w:pPr>
      <w:r>
        <w:rPr>
          <w:rFonts w:hint="eastAsia" w:ascii="宋体" w:hAnsi="宋体" w:eastAsia="宋体"/>
          <w:b w:val="0"/>
          <w:color w:val="auto"/>
          <w:highlight w:val="none"/>
          <w:u w:val="single"/>
        </w:rPr>
        <w:t xml:space="preserve">[工程名称] </w:t>
      </w:r>
    </w:p>
    <w:p>
      <w:pPr>
        <w:pStyle w:val="82"/>
        <w:ind w:firstLine="496"/>
        <w:rPr>
          <w:rFonts w:ascii="宋体" w:hAnsi="宋体"/>
          <w:color w:val="auto"/>
          <w:highlight w:val="none"/>
        </w:rPr>
      </w:pPr>
    </w:p>
    <w:p>
      <w:pPr>
        <w:pStyle w:val="82"/>
        <w:ind w:firstLine="496"/>
        <w:rPr>
          <w:rFonts w:ascii="宋体" w:hAnsi="宋体"/>
          <w:color w:val="auto"/>
          <w:highlight w:val="none"/>
        </w:rPr>
      </w:pPr>
    </w:p>
    <w:p>
      <w:pPr>
        <w:pStyle w:val="82"/>
        <w:ind w:firstLine="496"/>
        <w:rPr>
          <w:rFonts w:ascii="宋体" w:hAnsi="宋体"/>
          <w:color w:val="auto"/>
          <w:highlight w:val="none"/>
        </w:rPr>
      </w:pPr>
    </w:p>
    <w:p>
      <w:pPr>
        <w:pStyle w:val="82"/>
        <w:ind w:firstLine="496"/>
        <w:rPr>
          <w:rFonts w:ascii="宋体" w:hAnsi="宋体"/>
          <w:color w:val="auto"/>
          <w:highlight w:val="none"/>
        </w:rPr>
      </w:pPr>
    </w:p>
    <w:p>
      <w:pPr>
        <w:pStyle w:val="127"/>
        <w:rPr>
          <w:rFonts w:ascii="宋体" w:hAnsi="宋体" w:eastAsia="宋体"/>
          <w:b w:val="0"/>
          <w:color w:val="auto"/>
          <w:highlight w:val="none"/>
        </w:rPr>
      </w:pPr>
      <w:r>
        <w:rPr>
          <w:rFonts w:hint="eastAsia" w:ascii="宋体" w:hAnsi="宋体" w:eastAsia="宋体"/>
          <w:b w:val="0"/>
          <w:color w:val="auto"/>
          <w:highlight w:val="none"/>
        </w:rPr>
        <w:t>投标文件</w:t>
      </w:r>
    </w:p>
    <w:p>
      <w:pPr>
        <w:pStyle w:val="120"/>
        <w:rPr>
          <w:rFonts w:ascii="宋体" w:hAnsi="宋体" w:eastAsia="宋体"/>
          <w:b w:val="0"/>
          <w:color w:val="auto"/>
          <w:highlight w:val="none"/>
        </w:rPr>
      </w:pPr>
      <w:r>
        <w:rPr>
          <w:rFonts w:hint="eastAsia" w:ascii="宋体" w:hAnsi="宋体" w:eastAsia="宋体"/>
          <w:b w:val="0"/>
          <w:color w:val="auto"/>
          <w:highlight w:val="none"/>
        </w:rPr>
        <w:t>技术投标文件（含资格审查文件）</w:t>
      </w:r>
    </w:p>
    <w:p>
      <w:pPr>
        <w:pStyle w:val="82"/>
        <w:ind w:firstLine="496"/>
        <w:rPr>
          <w:rFonts w:ascii="宋体" w:hAnsi="宋体"/>
          <w:color w:val="auto"/>
          <w:highlight w:val="none"/>
        </w:rPr>
      </w:pPr>
    </w:p>
    <w:p>
      <w:pPr>
        <w:pStyle w:val="82"/>
        <w:ind w:firstLine="496"/>
        <w:rPr>
          <w:rFonts w:ascii="宋体" w:hAnsi="宋体"/>
          <w:color w:val="auto"/>
          <w:highlight w:val="none"/>
        </w:rPr>
      </w:pPr>
    </w:p>
    <w:p>
      <w:pPr>
        <w:pStyle w:val="82"/>
        <w:ind w:firstLine="496"/>
        <w:rPr>
          <w:rFonts w:ascii="宋体" w:hAnsi="宋体"/>
          <w:color w:val="auto"/>
          <w:highlight w:val="none"/>
        </w:rPr>
      </w:pPr>
    </w:p>
    <w:p>
      <w:pPr>
        <w:pStyle w:val="82"/>
        <w:ind w:firstLine="496"/>
        <w:rPr>
          <w:rFonts w:ascii="宋体" w:hAnsi="宋体"/>
          <w:color w:val="auto"/>
          <w:highlight w:val="none"/>
        </w:rPr>
      </w:pPr>
    </w:p>
    <w:p>
      <w:pPr>
        <w:pStyle w:val="126"/>
        <w:ind w:firstLine="616"/>
        <w:rPr>
          <w:rFonts w:ascii="宋体" w:hAnsi="宋体" w:eastAsia="宋体"/>
          <w:color w:val="auto"/>
          <w:highlight w:val="none"/>
        </w:rPr>
      </w:pPr>
      <w:r>
        <w:rPr>
          <w:rFonts w:hint="eastAsia" w:ascii="宋体" w:hAnsi="宋体" w:eastAsia="宋体"/>
          <w:color w:val="auto"/>
          <w:highlight w:val="none"/>
        </w:rPr>
        <w:t>投标人：</w:t>
      </w:r>
      <w:r>
        <w:rPr>
          <w:rFonts w:hint="eastAsia" w:ascii="宋体" w:hAnsi="宋体" w:eastAsia="宋体"/>
          <w:color w:val="auto"/>
          <w:highlight w:val="none"/>
          <w:u w:val="single"/>
        </w:rPr>
        <w:t xml:space="preserve">    （填写投标人单位名称）    （盖章）</w:t>
      </w:r>
    </w:p>
    <w:p>
      <w:pPr>
        <w:pStyle w:val="126"/>
        <w:ind w:firstLine="616"/>
        <w:rPr>
          <w:rFonts w:ascii="宋体" w:hAnsi="宋体" w:eastAsia="宋体"/>
          <w:color w:val="auto"/>
          <w:highlight w:val="none"/>
        </w:rPr>
      </w:pPr>
    </w:p>
    <w:p>
      <w:pPr>
        <w:pStyle w:val="126"/>
        <w:ind w:firstLine="616"/>
        <w:rPr>
          <w:rFonts w:ascii="宋体" w:hAnsi="宋体" w:eastAsia="宋体"/>
          <w:color w:val="auto"/>
          <w:highlight w:val="none"/>
        </w:rPr>
      </w:pPr>
      <w:r>
        <w:rPr>
          <w:rFonts w:hint="eastAsia" w:ascii="宋体" w:hAnsi="宋体" w:eastAsia="宋体"/>
          <w:color w:val="auto"/>
          <w:highlight w:val="none"/>
        </w:rPr>
        <w:t>法定代表人或</w:t>
      </w:r>
    </w:p>
    <w:p>
      <w:pPr>
        <w:pStyle w:val="126"/>
        <w:ind w:firstLine="616"/>
        <w:rPr>
          <w:rFonts w:ascii="宋体" w:hAnsi="宋体" w:eastAsia="宋体"/>
          <w:color w:val="auto"/>
          <w:highlight w:val="none"/>
        </w:rPr>
      </w:pPr>
      <w:r>
        <w:rPr>
          <w:rFonts w:hint="eastAsia" w:ascii="宋体" w:hAnsi="宋体" w:eastAsia="宋体"/>
          <w:color w:val="auto"/>
          <w:highlight w:val="none"/>
        </w:rPr>
        <w:t>其委托代理人：</w:t>
      </w:r>
      <w:r>
        <w:rPr>
          <w:rFonts w:hint="eastAsia" w:ascii="宋体" w:hAnsi="宋体" w:eastAsia="宋体"/>
          <w:color w:val="auto"/>
          <w:highlight w:val="none"/>
          <w:u w:val="single"/>
        </w:rPr>
        <w:t xml:space="preserve">                    （签名或盖章）</w:t>
      </w:r>
    </w:p>
    <w:p>
      <w:pPr>
        <w:pStyle w:val="126"/>
        <w:ind w:firstLine="616"/>
        <w:rPr>
          <w:rFonts w:ascii="宋体" w:hAnsi="宋体" w:eastAsia="宋体"/>
          <w:color w:val="auto"/>
          <w:sz w:val="24"/>
          <w:szCs w:val="24"/>
          <w:highlight w:val="none"/>
        </w:rPr>
      </w:pPr>
      <w:r>
        <w:rPr>
          <w:rFonts w:hint="eastAsia" w:ascii="宋体" w:hAnsi="宋体" w:eastAsia="宋体"/>
          <w:color w:val="auto"/>
          <w:highlight w:val="none"/>
        </w:rPr>
        <w:t>日  期：</w:t>
      </w:r>
    </w:p>
    <w:p>
      <w:pPr>
        <w:pStyle w:val="82"/>
        <w:ind w:firstLine="496"/>
        <w:rPr>
          <w:rFonts w:ascii="宋体" w:hAnsi="宋体"/>
          <w:color w:val="auto"/>
          <w:highlight w:val="none"/>
        </w:rPr>
      </w:pPr>
    </w:p>
    <w:p>
      <w:pPr>
        <w:pStyle w:val="124"/>
        <w:spacing w:before="156" w:after="156"/>
        <w:rPr>
          <w:rFonts w:ascii="宋体" w:eastAsia="宋体"/>
          <w:bCs/>
          <w:color w:val="auto"/>
          <w:szCs w:val="21"/>
          <w:highlight w:val="none"/>
        </w:rPr>
      </w:pPr>
      <w:r>
        <w:rPr>
          <w:rFonts w:ascii="宋体" w:eastAsia="宋体"/>
          <w:b w:val="0"/>
          <w:color w:val="auto"/>
          <w:highlight w:val="none"/>
        </w:rPr>
        <w:br w:type="page"/>
      </w:r>
      <w:bookmarkStart w:id="34" w:name="_Toc80289078"/>
      <w:r>
        <w:rPr>
          <w:rFonts w:hint="eastAsia" w:ascii="宋体" w:eastAsia="宋体"/>
          <w:bCs/>
          <w:color w:val="auto"/>
          <w:szCs w:val="21"/>
          <w:highlight w:val="none"/>
        </w:rPr>
        <w:t>格式二：建设工程施工招标投标书</w:t>
      </w:r>
      <w:bookmarkEnd w:id="34"/>
    </w:p>
    <w:p>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pPr>
        <w:autoSpaceDE w:val="0"/>
        <w:autoSpaceDN w:val="0"/>
        <w:adjustRightInd w:val="0"/>
        <w:ind w:left="-540" w:leftChars="-257" w:firstLine="929" w:firstLineChars="257"/>
        <w:jc w:val="center"/>
        <w:rPr>
          <w:rFonts w:ascii="宋体" w:hAnsi="宋体"/>
          <w:b/>
          <w:bCs/>
          <w:color w:val="auto"/>
          <w:sz w:val="36"/>
          <w:szCs w:val="32"/>
          <w:highlight w:val="none"/>
        </w:rPr>
      </w:pPr>
      <w:r>
        <w:rPr>
          <w:rFonts w:hint="eastAsia" w:ascii="宋体" w:hAnsi="宋体" w:cs="宋体"/>
          <w:b/>
          <w:bCs/>
          <w:color w:val="auto"/>
          <w:sz w:val="36"/>
          <w:szCs w:val="32"/>
          <w:highlight w:val="none"/>
          <w:lang w:val="zh-CN"/>
        </w:rPr>
        <w:t>建设工程施工招标投标书</w:t>
      </w:r>
    </w:p>
    <w:tbl>
      <w:tblPr>
        <w:tblStyle w:val="40"/>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8"/>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工程名称</w:t>
            </w:r>
          </w:p>
        </w:tc>
        <w:tc>
          <w:tcPr>
            <w:tcW w:w="35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下浮率（</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投标总工期</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5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保修期限</w:t>
            </w:r>
          </w:p>
        </w:tc>
        <w:tc>
          <w:tcPr>
            <w:tcW w:w="35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项目负责人</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专职安全员</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p>
        </w:tc>
      </w:tr>
    </w:tbl>
    <w:p>
      <w:pPr>
        <w:tabs>
          <w:tab w:val="left" w:pos="72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注：</w:t>
      </w:r>
      <w:r>
        <w:rPr>
          <w:rFonts w:hint="eastAsia" w:ascii="宋体" w:hAnsi="宋体"/>
          <w:color w:val="auto"/>
          <w:sz w:val="24"/>
          <w:highlight w:val="none"/>
        </w:rPr>
        <w:t>报价精确到“分”的单位。</w:t>
      </w:r>
    </w:p>
    <w:p>
      <w:pPr>
        <w:rPr>
          <w:rFonts w:ascii="宋体" w:hAnsi="宋体"/>
          <w:color w:val="auto"/>
          <w:highlight w:val="none"/>
        </w:rPr>
      </w:pPr>
      <w:r>
        <w:rPr>
          <w:rFonts w:ascii="宋体" w:hAnsi="宋体"/>
          <w:color w:val="auto"/>
          <w:highlight w:val="none"/>
        </w:rPr>
        <w:br w:type="page"/>
      </w:r>
    </w:p>
    <w:p>
      <w:pPr>
        <w:pStyle w:val="124"/>
        <w:spacing w:beforeLines="0" w:afterLines="0" w:line="360" w:lineRule="auto"/>
        <w:rPr>
          <w:rFonts w:ascii="宋体" w:eastAsia="宋体"/>
          <w:color w:val="auto"/>
          <w:highlight w:val="none"/>
        </w:rPr>
      </w:pPr>
      <w:bookmarkStart w:id="35" w:name="_Toc80289079"/>
      <w:r>
        <w:rPr>
          <w:rFonts w:hint="eastAsia" w:ascii="宋体" w:eastAsia="宋体"/>
          <w:color w:val="auto"/>
          <w:highlight w:val="none"/>
        </w:rPr>
        <w:t>格式三：参与编制技术标投标文件人员名单</w:t>
      </w:r>
      <w:bookmarkEnd w:id="35"/>
    </w:p>
    <w:p>
      <w:pPr>
        <w:tabs>
          <w:tab w:val="left" w:pos="720"/>
        </w:tabs>
        <w:snapToGrid w:val="0"/>
        <w:spacing w:line="360" w:lineRule="auto"/>
        <w:jc w:val="center"/>
        <w:rPr>
          <w:rFonts w:ascii="宋体" w:hAnsi="宋体"/>
          <w:b/>
          <w:color w:val="auto"/>
          <w:sz w:val="32"/>
          <w:szCs w:val="32"/>
          <w:highlight w:val="none"/>
        </w:rPr>
      </w:pPr>
    </w:p>
    <w:p>
      <w:pPr>
        <w:tabs>
          <w:tab w:val="left" w:pos="720"/>
        </w:tabs>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参与编制技术标投标文件人员名单</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504"/>
        <w:gridCol w:w="2552"/>
        <w:gridCol w:w="2448"/>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u w:val="singl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bl>
    <w:p>
      <w:pPr>
        <w:tabs>
          <w:tab w:val="left" w:pos="720"/>
        </w:tabs>
        <w:snapToGrid w:val="0"/>
        <w:spacing w:line="360" w:lineRule="auto"/>
        <w:rPr>
          <w:rFonts w:ascii="宋体" w:hAnsi="宋体"/>
          <w:color w:val="auto"/>
          <w:szCs w:val="21"/>
          <w:highlight w:val="none"/>
        </w:rPr>
      </w:pPr>
      <w:r>
        <w:rPr>
          <w:rFonts w:hint="eastAsia" w:ascii="宋体" w:hAnsi="宋体"/>
          <w:color w:val="auto"/>
          <w:szCs w:val="21"/>
          <w:highlight w:val="none"/>
        </w:rPr>
        <w:t>注：参与编制技术标书所有人员名单应包括如编制技术投标方案、负责清样校对、负责打印及复印等所有人员在内的人员名单。</w:t>
      </w:r>
    </w:p>
    <w:p>
      <w:pPr>
        <w:autoSpaceDE w:val="0"/>
        <w:autoSpaceDN w:val="0"/>
        <w:adjustRightInd w:val="0"/>
        <w:rPr>
          <w:rFonts w:ascii="宋体" w:hAnsi="宋体"/>
          <w:color w:val="auto"/>
          <w:szCs w:val="21"/>
          <w:highlight w:val="none"/>
        </w:rPr>
      </w:pPr>
    </w:p>
    <w:p>
      <w:pPr>
        <w:pStyle w:val="124"/>
        <w:spacing w:beforeLines="0" w:afterLines="0" w:line="360" w:lineRule="auto"/>
        <w:rPr>
          <w:rFonts w:ascii="宋体" w:eastAsia="宋体"/>
          <w:color w:val="auto"/>
          <w:highlight w:val="none"/>
        </w:rPr>
      </w:pPr>
      <w:r>
        <w:rPr>
          <w:rFonts w:ascii="宋体"/>
          <w:color w:val="auto"/>
          <w:szCs w:val="21"/>
          <w:highlight w:val="none"/>
        </w:rPr>
        <w:br w:type="page"/>
      </w:r>
      <w:bookmarkStart w:id="36" w:name="_Toc80289080"/>
      <w:r>
        <w:rPr>
          <w:rFonts w:hint="eastAsia" w:ascii="宋体" w:eastAsia="宋体"/>
          <w:color w:val="auto"/>
          <w:highlight w:val="none"/>
        </w:rPr>
        <w:t>格式四：施工项目管理团队人员信息表</w:t>
      </w:r>
      <w:bookmarkEnd w:id="36"/>
    </w:p>
    <w:p>
      <w:pPr>
        <w:jc w:val="center"/>
        <w:rPr>
          <w:color w:val="auto"/>
          <w:sz w:val="28"/>
          <w:highlight w:val="none"/>
        </w:rPr>
      </w:pPr>
      <w:r>
        <w:rPr>
          <w:rFonts w:hint="eastAsia"/>
          <w:color w:val="auto"/>
          <w:sz w:val="28"/>
          <w:highlight w:val="none"/>
        </w:rPr>
        <w:t>施工项目管理团队人员信息表</w:t>
      </w:r>
    </w:p>
    <w:tbl>
      <w:tblPr>
        <w:tblStyle w:val="4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223"/>
        <w:gridCol w:w="1754"/>
        <w:gridCol w:w="1621"/>
        <w:gridCol w:w="1888"/>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4"/>
              <w:spacing w:before="156" w:after="156"/>
              <w:jc w:val="center"/>
              <w:rPr>
                <w:b w:val="0"/>
                <w:color w:val="auto"/>
                <w:sz w:val="21"/>
                <w:szCs w:val="21"/>
                <w:highlight w:val="none"/>
              </w:rPr>
            </w:pPr>
            <w:bookmarkStart w:id="37" w:name="_Toc80289081"/>
            <w:r>
              <w:rPr>
                <w:rFonts w:hint="eastAsia"/>
                <w:b w:val="0"/>
                <w:color w:val="auto"/>
                <w:sz w:val="21"/>
                <w:szCs w:val="21"/>
                <w:highlight w:val="none"/>
              </w:rPr>
              <w:t>序号</w:t>
            </w:r>
            <w:bookmarkEnd w:id="37"/>
          </w:p>
        </w:tc>
        <w:tc>
          <w:tcPr>
            <w:tcW w:w="1223" w:type="dxa"/>
          </w:tcPr>
          <w:p>
            <w:pPr>
              <w:pStyle w:val="124"/>
              <w:spacing w:before="156" w:after="156"/>
              <w:jc w:val="center"/>
              <w:rPr>
                <w:b w:val="0"/>
                <w:color w:val="auto"/>
                <w:sz w:val="21"/>
                <w:szCs w:val="21"/>
                <w:highlight w:val="none"/>
              </w:rPr>
            </w:pPr>
            <w:bookmarkStart w:id="38" w:name="_Toc80289082"/>
            <w:r>
              <w:rPr>
                <w:rFonts w:hint="eastAsia"/>
                <w:b w:val="0"/>
                <w:color w:val="auto"/>
                <w:sz w:val="21"/>
                <w:szCs w:val="21"/>
                <w:highlight w:val="none"/>
              </w:rPr>
              <w:t>姓名</w:t>
            </w:r>
            <w:bookmarkEnd w:id="38"/>
          </w:p>
        </w:tc>
        <w:tc>
          <w:tcPr>
            <w:tcW w:w="1754" w:type="dxa"/>
          </w:tcPr>
          <w:p>
            <w:pPr>
              <w:pStyle w:val="124"/>
              <w:spacing w:before="156" w:after="156"/>
              <w:jc w:val="center"/>
              <w:rPr>
                <w:b w:val="0"/>
                <w:color w:val="auto"/>
                <w:sz w:val="21"/>
                <w:szCs w:val="21"/>
                <w:highlight w:val="none"/>
              </w:rPr>
            </w:pPr>
            <w:bookmarkStart w:id="39" w:name="_Toc80289083"/>
            <w:r>
              <w:rPr>
                <w:rFonts w:hint="eastAsia"/>
                <w:b w:val="0"/>
                <w:color w:val="auto"/>
                <w:sz w:val="21"/>
                <w:szCs w:val="21"/>
                <w:highlight w:val="none"/>
              </w:rPr>
              <w:t>岗位</w:t>
            </w:r>
            <w:bookmarkEnd w:id="39"/>
          </w:p>
        </w:tc>
        <w:tc>
          <w:tcPr>
            <w:tcW w:w="1621" w:type="dxa"/>
          </w:tcPr>
          <w:p>
            <w:pPr>
              <w:pStyle w:val="124"/>
              <w:spacing w:before="156" w:after="156"/>
              <w:jc w:val="center"/>
              <w:rPr>
                <w:b w:val="0"/>
                <w:color w:val="auto"/>
                <w:sz w:val="21"/>
                <w:szCs w:val="21"/>
                <w:highlight w:val="none"/>
              </w:rPr>
            </w:pPr>
            <w:bookmarkStart w:id="40" w:name="_Toc80289084"/>
            <w:r>
              <w:rPr>
                <w:rFonts w:hint="eastAsia"/>
                <w:b w:val="0"/>
                <w:color w:val="auto"/>
                <w:sz w:val="21"/>
                <w:szCs w:val="21"/>
                <w:highlight w:val="none"/>
              </w:rPr>
              <w:t>职称</w:t>
            </w:r>
            <w:bookmarkEnd w:id="40"/>
          </w:p>
        </w:tc>
        <w:tc>
          <w:tcPr>
            <w:tcW w:w="1888" w:type="dxa"/>
          </w:tcPr>
          <w:p>
            <w:pPr>
              <w:pStyle w:val="124"/>
              <w:spacing w:before="156" w:after="156"/>
              <w:jc w:val="center"/>
              <w:rPr>
                <w:b w:val="0"/>
                <w:color w:val="auto"/>
                <w:sz w:val="21"/>
                <w:szCs w:val="21"/>
                <w:highlight w:val="none"/>
              </w:rPr>
            </w:pPr>
            <w:bookmarkStart w:id="41" w:name="_Toc80289085"/>
            <w:r>
              <w:rPr>
                <w:rFonts w:hint="eastAsia"/>
                <w:b w:val="0"/>
                <w:color w:val="auto"/>
                <w:sz w:val="21"/>
                <w:szCs w:val="21"/>
                <w:highlight w:val="none"/>
              </w:rPr>
              <w:t>职称证书或资格证书编号</w:t>
            </w:r>
            <w:bookmarkEnd w:id="41"/>
          </w:p>
        </w:tc>
        <w:tc>
          <w:tcPr>
            <w:tcW w:w="1660" w:type="dxa"/>
          </w:tcPr>
          <w:p>
            <w:pPr>
              <w:pStyle w:val="124"/>
              <w:spacing w:before="156" w:after="156"/>
              <w:jc w:val="center"/>
              <w:rPr>
                <w:b w:val="0"/>
                <w:color w:val="auto"/>
                <w:sz w:val="21"/>
                <w:szCs w:val="21"/>
                <w:highlight w:val="none"/>
              </w:rPr>
            </w:pPr>
            <w:r>
              <w:rPr>
                <w:rFonts w:hint="eastAsia"/>
                <w:b w:val="0"/>
                <w:color w:val="auto"/>
                <w:sz w:val="21"/>
                <w:szCs w:val="21"/>
                <w:highlight w:val="none"/>
              </w:rPr>
              <w:t>定标辅助文件中对应的页码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4"/>
              <w:spacing w:before="156" w:after="156"/>
              <w:rPr>
                <w:b w:val="0"/>
                <w:color w:val="auto"/>
                <w:sz w:val="21"/>
                <w:szCs w:val="21"/>
                <w:highlight w:val="none"/>
              </w:rPr>
            </w:pPr>
          </w:p>
        </w:tc>
        <w:tc>
          <w:tcPr>
            <w:tcW w:w="1223" w:type="dxa"/>
          </w:tcPr>
          <w:p>
            <w:pPr>
              <w:pStyle w:val="124"/>
              <w:spacing w:before="156" w:after="156"/>
              <w:rPr>
                <w:b w:val="0"/>
                <w:color w:val="auto"/>
                <w:sz w:val="21"/>
                <w:szCs w:val="21"/>
                <w:highlight w:val="none"/>
              </w:rPr>
            </w:pPr>
          </w:p>
        </w:tc>
        <w:tc>
          <w:tcPr>
            <w:tcW w:w="1754" w:type="dxa"/>
          </w:tcPr>
          <w:p>
            <w:pPr>
              <w:pStyle w:val="124"/>
              <w:spacing w:before="156" w:after="156"/>
              <w:rPr>
                <w:b w:val="0"/>
                <w:color w:val="auto"/>
                <w:sz w:val="21"/>
                <w:szCs w:val="21"/>
                <w:highlight w:val="none"/>
              </w:rPr>
            </w:pPr>
          </w:p>
        </w:tc>
        <w:tc>
          <w:tcPr>
            <w:tcW w:w="1621" w:type="dxa"/>
          </w:tcPr>
          <w:p>
            <w:pPr>
              <w:pStyle w:val="124"/>
              <w:spacing w:before="156" w:after="156"/>
              <w:rPr>
                <w:b w:val="0"/>
                <w:color w:val="auto"/>
                <w:sz w:val="21"/>
                <w:szCs w:val="21"/>
                <w:highlight w:val="none"/>
              </w:rPr>
            </w:pPr>
          </w:p>
        </w:tc>
        <w:tc>
          <w:tcPr>
            <w:tcW w:w="1888" w:type="dxa"/>
          </w:tcPr>
          <w:p>
            <w:pPr>
              <w:pStyle w:val="124"/>
              <w:spacing w:before="156" w:after="156"/>
              <w:rPr>
                <w:b w:val="0"/>
                <w:color w:val="auto"/>
                <w:sz w:val="21"/>
                <w:szCs w:val="21"/>
                <w:highlight w:val="none"/>
              </w:rPr>
            </w:pPr>
          </w:p>
        </w:tc>
        <w:tc>
          <w:tcPr>
            <w:tcW w:w="1660" w:type="dxa"/>
          </w:tcPr>
          <w:p>
            <w:pPr>
              <w:pStyle w:val="124"/>
              <w:spacing w:before="156" w:after="156"/>
              <w:rPr>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4"/>
              <w:spacing w:before="156" w:after="156"/>
              <w:rPr>
                <w:b w:val="0"/>
                <w:color w:val="auto"/>
                <w:sz w:val="21"/>
                <w:szCs w:val="21"/>
                <w:highlight w:val="none"/>
              </w:rPr>
            </w:pPr>
          </w:p>
        </w:tc>
        <w:tc>
          <w:tcPr>
            <w:tcW w:w="1223" w:type="dxa"/>
          </w:tcPr>
          <w:p>
            <w:pPr>
              <w:pStyle w:val="124"/>
              <w:spacing w:before="156" w:after="156"/>
              <w:rPr>
                <w:b w:val="0"/>
                <w:color w:val="auto"/>
                <w:sz w:val="21"/>
                <w:szCs w:val="21"/>
                <w:highlight w:val="none"/>
              </w:rPr>
            </w:pPr>
          </w:p>
        </w:tc>
        <w:tc>
          <w:tcPr>
            <w:tcW w:w="1754" w:type="dxa"/>
          </w:tcPr>
          <w:p>
            <w:pPr>
              <w:pStyle w:val="124"/>
              <w:spacing w:before="156" w:after="156"/>
              <w:rPr>
                <w:b w:val="0"/>
                <w:color w:val="auto"/>
                <w:sz w:val="21"/>
                <w:szCs w:val="21"/>
                <w:highlight w:val="none"/>
              </w:rPr>
            </w:pPr>
          </w:p>
        </w:tc>
        <w:tc>
          <w:tcPr>
            <w:tcW w:w="1621" w:type="dxa"/>
          </w:tcPr>
          <w:p>
            <w:pPr>
              <w:pStyle w:val="124"/>
              <w:spacing w:before="156" w:after="156"/>
              <w:rPr>
                <w:b w:val="0"/>
                <w:color w:val="auto"/>
                <w:sz w:val="21"/>
                <w:szCs w:val="21"/>
                <w:highlight w:val="none"/>
              </w:rPr>
            </w:pPr>
          </w:p>
        </w:tc>
        <w:tc>
          <w:tcPr>
            <w:tcW w:w="1888" w:type="dxa"/>
          </w:tcPr>
          <w:p>
            <w:pPr>
              <w:pStyle w:val="124"/>
              <w:spacing w:before="156" w:after="156"/>
              <w:rPr>
                <w:b w:val="0"/>
                <w:color w:val="auto"/>
                <w:sz w:val="21"/>
                <w:szCs w:val="21"/>
                <w:highlight w:val="none"/>
              </w:rPr>
            </w:pPr>
          </w:p>
        </w:tc>
        <w:tc>
          <w:tcPr>
            <w:tcW w:w="1660" w:type="dxa"/>
          </w:tcPr>
          <w:p>
            <w:pPr>
              <w:pStyle w:val="124"/>
              <w:spacing w:before="156" w:after="156"/>
              <w:rPr>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4"/>
              <w:spacing w:before="156" w:after="156"/>
              <w:rPr>
                <w:b w:val="0"/>
                <w:color w:val="auto"/>
                <w:sz w:val="21"/>
                <w:szCs w:val="21"/>
                <w:highlight w:val="none"/>
              </w:rPr>
            </w:pPr>
          </w:p>
        </w:tc>
        <w:tc>
          <w:tcPr>
            <w:tcW w:w="1223" w:type="dxa"/>
          </w:tcPr>
          <w:p>
            <w:pPr>
              <w:pStyle w:val="124"/>
              <w:spacing w:before="156" w:after="156"/>
              <w:rPr>
                <w:b w:val="0"/>
                <w:color w:val="auto"/>
                <w:sz w:val="21"/>
                <w:szCs w:val="21"/>
                <w:highlight w:val="none"/>
              </w:rPr>
            </w:pPr>
          </w:p>
        </w:tc>
        <w:tc>
          <w:tcPr>
            <w:tcW w:w="1754" w:type="dxa"/>
          </w:tcPr>
          <w:p>
            <w:pPr>
              <w:pStyle w:val="124"/>
              <w:spacing w:before="156" w:after="156"/>
              <w:rPr>
                <w:b w:val="0"/>
                <w:color w:val="auto"/>
                <w:sz w:val="21"/>
                <w:szCs w:val="21"/>
                <w:highlight w:val="none"/>
              </w:rPr>
            </w:pPr>
          </w:p>
        </w:tc>
        <w:tc>
          <w:tcPr>
            <w:tcW w:w="1621" w:type="dxa"/>
          </w:tcPr>
          <w:p>
            <w:pPr>
              <w:pStyle w:val="124"/>
              <w:spacing w:before="156" w:after="156"/>
              <w:rPr>
                <w:b w:val="0"/>
                <w:color w:val="auto"/>
                <w:sz w:val="21"/>
                <w:szCs w:val="21"/>
                <w:highlight w:val="none"/>
              </w:rPr>
            </w:pPr>
          </w:p>
        </w:tc>
        <w:tc>
          <w:tcPr>
            <w:tcW w:w="1888" w:type="dxa"/>
          </w:tcPr>
          <w:p>
            <w:pPr>
              <w:pStyle w:val="124"/>
              <w:spacing w:before="156" w:after="156"/>
              <w:rPr>
                <w:b w:val="0"/>
                <w:color w:val="auto"/>
                <w:sz w:val="21"/>
                <w:szCs w:val="21"/>
                <w:highlight w:val="none"/>
              </w:rPr>
            </w:pPr>
          </w:p>
        </w:tc>
        <w:tc>
          <w:tcPr>
            <w:tcW w:w="1660" w:type="dxa"/>
          </w:tcPr>
          <w:p>
            <w:pPr>
              <w:pStyle w:val="124"/>
              <w:spacing w:before="156" w:after="156"/>
              <w:rPr>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4"/>
              <w:spacing w:before="156" w:after="156"/>
              <w:rPr>
                <w:b w:val="0"/>
                <w:color w:val="auto"/>
                <w:sz w:val="21"/>
                <w:szCs w:val="21"/>
                <w:highlight w:val="none"/>
              </w:rPr>
            </w:pPr>
          </w:p>
        </w:tc>
        <w:tc>
          <w:tcPr>
            <w:tcW w:w="1223" w:type="dxa"/>
          </w:tcPr>
          <w:p>
            <w:pPr>
              <w:pStyle w:val="124"/>
              <w:spacing w:before="156" w:after="156"/>
              <w:rPr>
                <w:b w:val="0"/>
                <w:color w:val="auto"/>
                <w:sz w:val="21"/>
                <w:szCs w:val="21"/>
                <w:highlight w:val="none"/>
              </w:rPr>
            </w:pPr>
          </w:p>
        </w:tc>
        <w:tc>
          <w:tcPr>
            <w:tcW w:w="1754" w:type="dxa"/>
          </w:tcPr>
          <w:p>
            <w:pPr>
              <w:pStyle w:val="124"/>
              <w:spacing w:before="156" w:after="156"/>
              <w:rPr>
                <w:b w:val="0"/>
                <w:color w:val="auto"/>
                <w:sz w:val="21"/>
                <w:szCs w:val="21"/>
                <w:highlight w:val="none"/>
              </w:rPr>
            </w:pPr>
          </w:p>
        </w:tc>
        <w:tc>
          <w:tcPr>
            <w:tcW w:w="1621" w:type="dxa"/>
          </w:tcPr>
          <w:p>
            <w:pPr>
              <w:pStyle w:val="124"/>
              <w:spacing w:before="156" w:after="156"/>
              <w:rPr>
                <w:b w:val="0"/>
                <w:color w:val="auto"/>
                <w:sz w:val="21"/>
                <w:szCs w:val="21"/>
                <w:highlight w:val="none"/>
              </w:rPr>
            </w:pPr>
          </w:p>
        </w:tc>
        <w:tc>
          <w:tcPr>
            <w:tcW w:w="1888" w:type="dxa"/>
          </w:tcPr>
          <w:p>
            <w:pPr>
              <w:pStyle w:val="124"/>
              <w:spacing w:before="156" w:after="156"/>
              <w:rPr>
                <w:b w:val="0"/>
                <w:color w:val="auto"/>
                <w:sz w:val="21"/>
                <w:szCs w:val="21"/>
                <w:highlight w:val="none"/>
              </w:rPr>
            </w:pPr>
          </w:p>
        </w:tc>
        <w:tc>
          <w:tcPr>
            <w:tcW w:w="1660" w:type="dxa"/>
          </w:tcPr>
          <w:p>
            <w:pPr>
              <w:pStyle w:val="124"/>
              <w:spacing w:before="156" w:after="156"/>
              <w:rPr>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4"/>
              <w:spacing w:before="156" w:after="156"/>
              <w:rPr>
                <w:b w:val="0"/>
                <w:color w:val="auto"/>
                <w:sz w:val="21"/>
                <w:szCs w:val="21"/>
                <w:highlight w:val="none"/>
              </w:rPr>
            </w:pPr>
          </w:p>
        </w:tc>
        <w:tc>
          <w:tcPr>
            <w:tcW w:w="1223" w:type="dxa"/>
          </w:tcPr>
          <w:p>
            <w:pPr>
              <w:pStyle w:val="124"/>
              <w:spacing w:before="156" w:after="156"/>
              <w:rPr>
                <w:b w:val="0"/>
                <w:color w:val="auto"/>
                <w:sz w:val="21"/>
                <w:szCs w:val="21"/>
                <w:highlight w:val="none"/>
              </w:rPr>
            </w:pPr>
          </w:p>
        </w:tc>
        <w:tc>
          <w:tcPr>
            <w:tcW w:w="1754" w:type="dxa"/>
          </w:tcPr>
          <w:p>
            <w:pPr>
              <w:pStyle w:val="124"/>
              <w:spacing w:before="156" w:after="156"/>
              <w:rPr>
                <w:b w:val="0"/>
                <w:color w:val="auto"/>
                <w:sz w:val="21"/>
                <w:szCs w:val="21"/>
                <w:highlight w:val="none"/>
              </w:rPr>
            </w:pPr>
          </w:p>
        </w:tc>
        <w:tc>
          <w:tcPr>
            <w:tcW w:w="1621" w:type="dxa"/>
          </w:tcPr>
          <w:p>
            <w:pPr>
              <w:pStyle w:val="124"/>
              <w:spacing w:before="156" w:after="156"/>
              <w:rPr>
                <w:b w:val="0"/>
                <w:color w:val="auto"/>
                <w:sz w:val="21"/>
                <w:szCs w:val="21"/>
                <w:highlight w:val="none"/>
              </w:rPr>
            </w:pPr>
          </w:p>
        </w:tc>
        <w:tc>
          <w:tcPr>
            <w:tcW w:w="1888" w:type="dxa"/>
          </w:tcPr>
          <w:p>
            <w:pPr>
              <w:pStyle w:val="124"/>
              <w:spacing w:before="156" w:after="156"/>
              <w:rPr>
                <w:b w:val="0"/>
                <w:color w:val="auto"/>
                <w:sz w:val="21"/>
                <w:szCs w:val="21"/>
                <w:highlight w:val="none"/>
              </w:rPr>
            </w:pPr>
          </w:p>
        </w:tc>
        <w:tc>
          <w:tcPr>
            <w:tcW w:w="1660" w:type="dxa"/>
          </w:tcPr>
          <w:p>
            <w:pPr>
              <w:pStyle w:val="124"/>
              <w:spacing w:before="156" w:after="156"/>
              <w:rPr>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4"/>
              <w:spacing w:before="156" w:after="156"/>
              <w:rPr>
                <w:b w:val="0"/>
                <w:color w:val="auto"/>
                <w:sz w:val="21"/>
                <w:szCs w:val="21"/>
                <w:highlight w:val="none"/>
              </w:rPr>
            </w:pPr>
          </w:p>
        </w:tc>
        <w:tc>
          <w:tcPr>
            <w:tcW w:w="1223" w:type="dxa"/>
          </w:tcPr>
          <w:p>
            <w:pPr>
              <w:pStyle w:val="124"/>
              <w:spacing w:before="156" w:after="156"/>
              <w:rPr>
                <w:b w:val="0"/>
                <w:color w:val="auto"/>
                <w:sz w:val="21"/>
                <w:szCs w:val="21"/>
                <w:highlight w:val="none"/>
              </w:rPr>
            </w:pPr>
          </w:p>
        </w:tc>
        <w:tc>
          <w:tcPr>
            <w:tcW w:w="1754" w:type="dxa"/>
          </w:tcPr>
          <w:p>
            <w:pPr>
              <w:pStyle w:val="124"/>
              <w:spacing w:before="156" w:after="156"/>
              <w:rPr>
                <w:b w:val="0"/>
                <w:color w:val="auto"/>
                <w:sz w:val="21"/>
                <w:szCs w:val="21"/>
                <w:highlight w:val="none"/>
              </w:rPr>
            </w:pPr>
          </w:p>
        </w:tc>
        <w:tc>
          <w:tcPr>
            <w:tcW w:w="1621" w:type="dxa"/>
          </w:tcPr>
          <w:p>
            <w:pPr>
              <w:pStyle w:val="124"/>
              <w:spacing w:before="156" w:after="156"/>
              <w:rPr>
                <w:b w:val="0"/>
                <w:color w:val="auto"/>
                <w:sz w:val="21"/>
                <w:szCs w:val="21"/>
                <w:highlight w:val="none"/>
              </w:rPr>
            </w:pPr>
          </w:p>
        </w:tc>
        <w:tc>
          <w:tcPr>
            <w:tcW w:w="1888" w:type="dxa"/>
          </w:tcPr>
          <w:p>
            <w:pPr>
              <w:pStyle w:val="124"/>
              <w:spacing w:before="156" w:after="156"/>
              <w:rPr>
                <w:b w:val="0"/>
                <w:color w:val="auto"/>
                <w:sz w:val="21"/>
                <w:szCs w:val="21"/>
                <w:highlight w:val="none"/>
              </w:rPr>
            </w:pPr>
          </w:p>
        </w:tc>
        <w:tc>
          <w:tcPr>
            <w:tcW w:w="1660" w:type="dxa"/>
          </w:tcPr>
          <w:p>
            <w:pPr>
              <w:pStyle w:val="124"/>
              <w:spacing w:before="156" w:after="156"/>
              <w:rPr>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4"/>
              <w:spacing w:before="156" w:after="156"/>
              <w:rPr>
                <w:b w:val="0"/>
                <w:color w:val="auto"/>
                <w:sz w:val="21"/>
                <w:szCs w:val="21"/>
                <w:highlight w:val="none"/>
              </w:rPr>
            </w:pPr>
          </w:p>
        </w:tc>
        <w:tc>
          <w:tcPr>
            <w:tcW w:w="1223" w:type="dxa"/>
          </w:tcPr>
          <w:p>
            <w:pPr>
              <w:pStyle w:val="124"/>
              <w:spacing w:before="156" w:after="156"/>
              <w:rPr>
                <w:b w:val="0"/>
                <w:color w:val="auto"/>
                <w:sz w:val="21"/>
                <w:szCs w:val="21"/>
                <w:highlight w:val="none"/>
              </w:rPr>
            </w:pPr>
          </w:p>
        </w:tc>
        <w:tc>
          <w:tcPr>
            <w:tcW w:w="1754" w:type="dxa"/>
          </w:tcPr>
          <w:p>
            <w:pPr>
              <w:pStyle w:val="124"/>
              <w:spacing w:before="156" w:after="156"/>
              <w:rPr>
                <w:b w:val="0"/>
                <w:color w:val="auto"/>
                <w:sz w:val="21"/>
                <w:szCs w:val="21"/>
                <w:highlight w:val="none"/>
              </w:rPr>
            </w:pPr>
          </w:p>
        </w:tc>
        <w:tc>
          <w:tcPr>
            <w:tcW w:w="1621" w:type="dxa"/>
          </w:tcPr>
          <w:p>
            <w:pPr>
              <w:pStyle w:val="124"/>
              <w:spacing w:before="156" w:after="156"/>
              <w:rPr>
                <w:b w:val="0"/>
                <w:color w:val="auto"/>
                <w:sz w:val="21"/>
                <w:szCs w:val="21"/>
                <w:highlight w:val="none"/>
              </w:rPr>
            </w:pPr>
          </w:p>
        </w:tc>
        <w:tc>
          <w:tcPr>
            <w:tcW w:w="1888" w:type="dxa"/>
          </w:tcPr>
          <w:p>
            <w:pPr>
              <w:pStyle w:val="124"/>
              <w:spacing w:before="156" w:after="156"/>
              <w:rPr>
                <w:b w:val="0"/>
                <w:color w:val="auto"/>
                <w:sz w:val="21"/>
                <w:szCs w:val="21"/>
                <w:highlight w:val="none"/>
              </w:rPr>
            </w:pPr>
          </w:p>
        </w:tc>
        <w:tc>
          <w:tcPr>
            <w:tcW w:w="1660" w:type="dxa"/>
          </w:tcPr>
          <w:p>
            <w:pPr>
              <w:pStyle w:val="124"/>
              <w:spacing w:before="156" w:after="156"/>
              <w:rPr>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4"/>
              <w:spacing w:before="156" w:after="156"/>
              <w:rPr>
                <w:b w:val="0"/>
                <w:color w:val="auto"/>
                <w:sz w:val="21"/>
                <w:szCs w:val="21"/>
                <w:highlight w:val="none"/>
              </w:rPr>
            </w:pPr>
          </w:p>
        </w:tc>
        <w:tc>
          <w:tcPr>
            <w:tcW w:w="1223" w:type="dxa"/>
          </w:tcPr>
          <w:p>
            <w:pPr>
              <w:pStyle w:val="124"/>
              <w:spacing w:before="156" w:after="156"/>
              <w:rPr>
                <w:b w:val="0"/>
                <w:color w:val="auto"/>
                <w:sz w:val="21"/>
                <w:szCs w:val="21"/>
                <w:highlight w:val="none"/>
              </w:rPr>
            </w:pPr>
          </w:p>
        </w:tc>
        <w:tc>
          <w:tcPr>
            <w:tcW w:w="1754" w:type="dxa"/>
          </w:tcPr>
          <w:p>
            <w:pPr>
              <w:pStyle w:val="124"/>
              <w:spacing w:before="156" w:after="156"/>
              <w:rPr>
                <w:b w:val="0"/>
                <w:color w:val="auto"/>
                <w:sz w:val="21"/>
                <w:szCs w:val="21"/>
                <w:highlight w:val="none"/>
              </w:rPr>
            </w:pPr>
          </w:p>
        </w:tc>
        <w:tc>
          <w:tcPr>
            <w:tcW w:w="1621" w:type="dxa"/>
          </w:tcPr>
          <w:p>
            <w:pPr>
              <w:pStyle w:val="124"/>
              <w:spacing w:before="156" w:after="156"/>
              <w:rPr>
                <w:b w:val="0"/>
                <w:color w:val="auto"/>
                <w:sz w:val="21"/>
                <w:szCs w:val="21"/>
                <w:highlight w:val="none"/>
              </w:rPr>
            </w:pPr>
          </w:p>
        </w:tc>
        <w:tc>
          <w:tcPr>
            <w:tcW w:w="1888" w:type="dxa"/>
          </w:tcPr>
          <w:p>
            <w:pPr>
              <w:pStyle w:val="124"/>
              <w:spacing w:before="156" w:after="156"/>
              <w:rPr>
                <w:b w:val="0"/>
                <w:color w:val="auto"/>
                <w:sz w:val="21"/>
                <w:szCs w:val="21"/>
                <w:highlight w:val="none"/>
              </w:rPr>
            </w:pPr>
          </w:p>
        </w:tc>
        <w:tc>
          <w:tcPr>
            <w:tcW w:w="1660" w:type="dxa"/>
          </w:tcPr>
          <w:p>
            <w:pPr>
              <w:pStyle w:val="124"/>
              <w:spacing w:before="156" w:after="156"/>
              <w:rPr>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4"/>
              <w:spacing w:before="156" w:after="156"/>
              <w:rPr>
                <w:b w:val="0"/>
                <w:color w:val="auto"/>
                <w:sz w:val="21"/>
                <w:szCs w:val="21"/>
                <w:highlight w:val="none"/>
              </w:rPr>
            </w:pPr>
          </w:p>
        </w:tc>
        <w:tc>
          <w:tcPr>
            <w:tcW w:w="1223" w:type="dxa"/>
          </w:tcPr>
          <w:p>
            <w:pPr>
              <w:pStyle w:val="124"/>
              <w:spacing w:before="156" w:after="156"/>
              <w:rPr>
                <w:b w:val="0"/>
                <w:color w:val="auto"/>
                <w:sz w:val="21"/>
                <w:szCs w:val="21"/>
                <w:highlight w:val="none"/>
              </w:rPr>
            </w:pPr>
          </w:p>
        </w:tc>
        <w:tc>
          <w:tcPr>
            <w:tcW w:w="1754" w:type="dxa"/>
          </w:tcPr>
          <w:p>
            <w:pPr>
              <w:pStyle w:val="124"/>
              <w:spacing w:before="156" w:after="156"/>
              <w:rPr>
                <w:b w:val="0"/>
                <w:color w:val="auto"/>
                <w:sz w:val="21"/>
                <w:szCs w:val="21"/>
                <w:highlight w:val="none"/>
              </w:rPr>
            </w:pPr>
          </w:p>
        </w:tc>
        <w:tc>
          <w:tcPr>
            <w:tcW w:w="1621" w:type="dxa"/>
          </w:tcPr>
          <w:p>
            <w:pPr>
              <w:pStyle w:val="124"/>
              <w:spacing w:before="156" w:after="156"/>
              <w:rPr>
                <w:b w:val="0"/>
                <w:color w:val="auto"/>
                <w:sz w:val="21"/>
                <w:szCs w:val="21"/>
                <w:highlight w:val="none"/>
              </w:rPr>
            </w:pPr>
          </w:p>
        </w:tc>
        <w:tc>
          <w:tcPr>
            <w:tcW w:w="1888" w:type="dxa"/>
          </w:tcPr>
          <w:p>
            <w:pPr>
              <w:pStyle w:val="124"/>
              <w:spacing w:before="156" w:after="156"/>
              <w:rPr>
                <w:b w:val="0"/>
                <w:color w:val="auto"/>
                <w:sz w:val="21"/>
                <w:szCs w:val="21"/>
                <w:highlight w:val="none"/>
              </w:rPr>
            </w:pPr>
          </w:p>
        </w:tc>
        <w:tc>
          <w:tcPr>
            <w:tcW w:w="1660" w:type="dxa"/>
          </w:tcPr>
          <w:p>
            <w:pPr>
              <w:pStyle w:val="124"/>
              <w:spacing w:before="156" w:after="156"/>
              <w:rPr>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4"/>
              <w:spacing w:before="156" w:after="156"/>
              <w:rPr>
                <w:b w:val="0"/>
                <w:color w:val="auto"/>
                <w:sz w:val="21"/>
                <w:szCs w:val="21"/>
                <w:highlight w:val="none"/>
              </w:rPr>
            </w:pPr>
          </w:p>
        </w:tc>
        <w:tc>
          <w:tcPr>
            <w:tcW w:w="1223" w:type="dxa"/>
          </w:tcPr>
          <w:p>
            <w:pPr>
              <w:pStyle w:val="124"/>
              <w:spacing w:before="156" w:after="156"/>
              <w:rPr>
                <w:b w:val="0"/>
                <w:color w:val="auto"/>
                <w:sz w:val="21"/>
                <w:szCs w:val="21"/>
                <w:highlight w:val="none"/>
              </w:rPr>
            </w:pPr>
          </w:p>
        </w:tc>
        <w:tc>
          <w:tcPr>
            <w:tcW w:w="1754" w:type="dxa"/>
          </w:tcPr>
          <w:p>
            <w:pPr>
              <w:pStyle w:val="124"/>
              <w:spacing w:before="156" w:after="156"/>
              <w:rPr>
                <w:b w:val="0"/>
                <w:color w:val="auto"/>
                <w:sz w:val="21"/>
                <w:szCs w:val="21"/>
                <w:highlight w:val="none"/>
              </w:rPr>
            </w:pPr>
          </w:p>
        </w:tc>
        <w:tc>
          <w:tcPr>
            <w:tcW w:w="1621" w:type="dxa"/>
          </w:tcPr>
          <w:p>
            <w:pPr>
              <w:pStyle w:val="124"/>
              <w:spacing w:before="156" w:after="156"/>
              <w:rPr>
                <w:b w:val="0"/>
                <w:color w:val="auto"/>
                <w:sz w:val="21"/>
                <w:szCs w:val="21"/>
                <w:highlight w:val="none"/>
              </w:rPr>
            </w:pPr>
          </w:p>
        </w:tc>
        <w:tc>
          <w:tcPr>
            <w:tcW w:w="1888" w:type="dxa"/>
          </w:tcPr>
          <w:p>
            <w:pPr>
              <w:pStyle w:val="124"/>
              <w:spacing w:before="156" w:after="156"/>
              <w:rPr>
                <w:b w:val="0"/>
                <w:color w:val="auto"/>
                <w:sz w:val="21"/>
                <w:szCs w:val="21"/>
                <w:highlight w:val="none"/>
              </w:rPr>
            </w:pPr>
          </w:p>
        </w:tc>
        <w:tc>
          <w:tcPr>
            <w:tcW w:w="1660" w:type="dxa"/>
          </w:tcPr>
          <w:p>
            <w:pPr>
              <w:pStyle w:val="124"/>
              <w:spacing w:before="156" w:after="156"/>
              <w:rPr>
                <w:b w:val="0"/>
                <w:color w:val="auto"/>
                <w:sz w:val="21"/>
                <w:szCs w:val="21"/>
                <w:highlight w:val="none"/>
              </w:rPr>
            </w:pPr>
          </w:p>
        </w:tc>
      </w:tr>
    </w:tbl>
    <w:p>
      <w:pPr>
        <w:rPr>
          <w:rFonts w:ascii="宋体" w:hAnsi="宋体"/>
          <w:color w:val="auto"/>
          <w:highlight w:val="none"/>
        </w:rPr>
      </w:pPr>
      <w:r>
        <w:rPr>
          <w:rFonts w:hint="eastAsia" w:ascii="宋体" w:hAnsi="宋体"/>
          <w:color w:val="auto"/>
          <w:highlight w:val="none"/>
        </w:rPr>
        <w:t>备注：</w:t>
      </w:r>
    </w:p>
    <w:p>
      <w:pPr>
        <w:rPr>
          <w:rFonts w:ascii="宋体" w:hAnsi="宋体"/>
          <w:color w:val="auto"/>
          <w:highlight w:val="none"/>
          <w:u w:val="single"/>
        </w:rPr>
      </w:pPr>
      <w:r>
        <w:rPr>
          <w:rFonts w:hint="eastAsia" w:ascii="宋体" w:hAnsi="宋体"/>
          <w:color w:val="auto"/>
          <w:highlight w:val="none"/>
          <w:u w:val="single"/>
        </w:rPr>
        <w:t>1、“岗位”要求（除项目负责人和专职安全员外）按招标文件中的要求，投标人可根据企业自身及项目实际情况自行增加人员配置。以上项目管理团队人员信息将由交易系统提取后供各相关单位在履约时比对、查核。</w:t>
      </w:r>
    </w:p>
    <w:p>
      <w:pPr>
        <w:rPr>
          <w:rFonts w:ascii="宋体" w:hAnsi="宋体"/>
          <w:color w:val="auto"/>
          <w:highlight w:val="none"/>
          <w:u w:val="single"/>
        </w:rPr>
      </w:pPr>
      <w:r>
        <w:rPr>
          <w:rFonts w:hint="eastAsia" w:ascii="宋体" w:hAnsi="宋体"/>
          <w:color w:val="auto"/>
          <w:highlight w:val="none"/>
          <w:u w:val="singl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rPr>
          <w:rFonts w:ascii="宋体" w:hAnsi="宋体"/>
          <w:color w:val="auto"/>
          <w:highlight w:val="none"/>
          <w:u w:val="single"/>
        </w:rPr>
      </w:pPr>
      <w:r>
        <w:rPr>
          <w:rFonts w:hint="eastAsia" w:ascii="宋体" w:hAnsi="宋体"/>
          <w:color w:val="auto"/>
          <w:highlight w:val="none"/>
          <w:u w:val="singl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pPr>
        <w:rPr>
          <w:color w:val="auto"/>
          <w:highlight w:val="none"/>
          <w:u w:val="single"/>
        </w:rPr>
      </w:pPr>
      <w:r>
        <w:rPr>
          <w:rFonts w:hint="eastAsia" w:ascii="宋体" w:hAnsi="宋体"/>
          <w:color w:val="auto"/>
          <w:highlight w:val="none"/>
          <w:u w:val="single"/>
        </w:rPr>
        <w:t>4、投入人员需提供的证明文件复印件详见《投入主要人员基本要求表》备注要求，并附简历表以及2022年1月社保证明文件复印件。</w:t>
      </w:r>
      <w:r>
        <w:rPr>
          <w:color w:val="auto"/>
          <w:highlight w:val="none"/>
          <w:u w:val="single"/>
        </w:rPr>
        <w:tab/>
      </w:r>
    </w:p>
    <w:p>
      <w:pPr>
        <w:pStyle w:val="82"/>
        <w:ind w:firstLine="3596" w:firstLineChars="1450"/>
        <w:rPr>
          <w:color w:val="auto"/>
          <w:highlight w:val="none"/>
        </w:rPr>
      </w:pPr>
    </w:p>
    <w:p>
      <w:pPr>
        <w:pStyle w:val="82"/>
        <w:ind w:firstLine="3596" w:firstLineChars="1450"/>
        <w:rPr>
          <w:color w:val="auto"/>
          <w:highlight w:val="none"/>
        </w:rPr>
      </w:pPr>
      <w:r>
        <w:rPr>
          <w:rFonts w:hint="eastAsia"/>
          <w:color w:val="auto"/>
          <w:highlight w:val="none"/>
        </w:rPr>
        <w:t>投标人：　　（盖章）</w:t>
      </w:r>
    </w:p>
    <w:p>
      <w:pPr>
        <w:pStyle w:val="82"/>
        <w:ind w:firstLine="3596" w:firstLineChars="1450"/>
        <w:rPr>
          <w:color w:val="auto"/>
          <w:highlight w:val="none"/>
        </w:rPr>
      </w:pPr>
      <w:r>
        <w:rPr>
          <w:rFonts w:hint="eastAsia"/>
          <w:color w:val="auto"/>
          <w:highlight w:val="none"/>
        </w:rPr>
        <w:t>法定代表人或授权代理人（签字或盖章）：</w:t>
      </w:r>
    </w:p>
    <w:p>
      <w:pPr>
        <w:pStyle w:val="82"/>
        <w:ind w:firstLine="3596" w:firstLineChars="1450"/>
        <w:rPr>
          <w:color w:val="auto"/>
          <w:highlight w:val="none"/>
        </w:rPr>
      </w:pPr>
      <w:r>
        <w:rPr>
          <w:rFonts w:hint="eastAsia"/>
          <w:color w:val="auto"/>
          <w:highlight w:val="none"/>
        </w:rPr>
        <w:t>日期：年月日</w:t>
      </w:r>
    </w:p>
    <w:p>
      <w:pPr>
        <w:rPr>
          <w:color w:val="auto"/>
          <w:highlight w:val="none"/>
        </w:rPr>
      </w:pPr>
    </w:p>
    <w:p>
      <w:pPr>
        <w:pStyle w:val="124"/>
        <w:spacing w:before="156" w:after="156"/>
        <w:rPr>
          <w:rFonts w:ascii="宋体" w:eastAsia="宋体"/>
          <w:color w:val="auto"/>
          <w:highlight w:val="none"/>
        </w:rPr>
      </w:pPr>
      <w:bookmarkStart w:id="42" w:name="_Toc80289086"/>
      <w:r>
        <w:rPr>
          <w:rFonts w:hint="eastAsia" w:ascii="宋体" w:eastAsia="宋体"/>
          <w:color w:val="auto"/>
          <w:highlight w:val="none"/>
        </w:rPr>
        <w:t>格式五：企业类似工程业绩表（适用于资格审查业绩，格式自定）</w:t>
      </w:r>
      <w:bookmarkEnd w:id="42"/>
    </w:p>
    <w:p>
      <w:pPr>
        <w:jc w:val="center"/>
        <w:rPr>
          <w:rFonts w:ascii="宋体" w:hAnsi="宋体" w:cs="宋体"/>
          <w:b/>
          <w:color w:val="auto"/>
          <w:sz w:val="24"/>
          <w:szCs w:val="24"/>
          <w:highlight w:val="none"/>
        </w:rPr>
      </w:pPr>
    </w:p>
    <w:p>
      <w:pPr>
        <w:jc w:val="center"/>
        <w:rPr>
          <w:b/>
          <w:color w:val="auto"/>
          <w:sz w:val="24"/>
          <w:szCs w:val="24"/>
          <w:highlight w:val="none"/>
        </w:rPr>
      </w:pPr>
    </w:p>
    <w:p>
      <w:pPr>
        <w:jc w:val="center"/>
        <w:rPr>
          <w:b/>
          <w:color w:val="auto"/>
          <w:sz w:val="24"/>
          <w:szCs w:val="24"/>
          <w:highlight w:val="none"/>
        </w:rPr>
      </w:pPr>
    </w:p>
    <w:p>
      <w:pPr>
        <w:jc w:val="center"/>
        <w:rPr>
          <w:b/>
          <w:color w:val="auto"/>
          <w:sz w:val="24"/>
          <w:szCs w:val="24"/>
          <w:highlight w:val="none"/>
        </w:rPr>
      </w:pPr>
    </w:p>
    <w:p>
      <w:pPr>
        <w:jc w:val="center"/>
        <w:rPr>
          <w:b/>
          <w:color w:val="auto"/>
          <w:sz w:val="24"/>
          <w:szCs w:val="24"/>
          <w:highlight w:val="none"/>
        </w:rPr>
        <w:sectPr>
          <w:pgSz w:w="11906" w:h="16838"/>
          <w:pgMar w:top="1134" w:right="1418" w:bottom="1134" w:left="1418" w:header="851" w:footer="992" w:gutter="0"/>
          <w:cols w:space="720" w:num="1"/>
          <w:docGrid w:type="lines" w:linePitch="312" w:charSpace="0"/>
        </w:sectPr>
      </w:pPr>
    </w:p>
    <w:p>
      <w:pPr>
        <w:jc w:val="center"/>
        <w:rPr>
          <w:b/>
          <w:color w:val="auto"/>
          <w:sz w:val="24"/>
          <w:szCs w:val="24"/>
          <w:highlight w:val="none"/>
        </w:rPr>
      </w:pPr>
    </w:p>
    <w:p>
      <w:pPr>
        <w:jc w:val="center"/>
        <w:rPr>
          <w:b/>
          <w:color w:val="auto"/>
          <w:sz w:val="24"/>
          <w:szCs w:val="24"/>
          <w:highlight w:val="none"/>
        </w:rPr>
      </w:pPr>
    </w:p>
    <w:p>
      <w:pPr>
        <w:pStyle w:val="124"/>
        <w:spacing w:before="156" w:after="156"/>
        <w:rPr>
          <w:rFonts w:ascii="宋体" w:eastAsia="宋体"/>
          <w:color w:val="auto"/>
          <w:highlight w:val="none"/>
        </w:rPr>
      </w:pPr>
      <w:bookmarkStart w:id="43" w:name="_Toc80289087"/>
      <w:r>
        <w:rPr>
          <w:rFonts w:hint="eastAsia" w:ascii="宋体" w:eastAsia="宋体"/>
          <w:color w:val="auto"/>
          <w:highlight w:val="none"/>
        </w:rPr>
        <w:t>格式六：企业类似工程业绩表（适用于定标阶段评审业绩）</w:t>
      </w:r>
      <w:bookmarkEnd w:id="43"/>
    </w:p>
    <w:p>
      <w:pPr>
        <w:jc w:val="center"/>
        <w:rPr>
          <w:b/>
          <w:color w:val="auto"/>
          <w:sz w:val="24"/>
          <w:szCs w:val="24"/>
          <w:highlight w:val="none"/>
        </w:rPr>
      </w:pPr>
    </w:p>
    <w:p>
      <w:pPr>
        <w:jc w:val="center"/>
        <w:rPr>
          <w:b/>
          <w:color w:val="auto"/>
          <w:sz w:val="24"/>
          <w:szCs w:val="24"/>
          <w:highlight w:val="none"/>
        </w:rPr>
      </w:pPr>
      <w:r>
        <w:rPr>
          <w:rFonts w:hint="eastAsia"/>
          <w:b/>
          <w:color w:val="auto"/>
          <w:sz w:val="24"/>
          <w:szCs w:val="24"/>
          <w:highlight w:val="none"/>
        </w:rPr>
        <w:t>企业类似工程业绩表</w:t>
      </w:r>
    </w:p>
    <w:p>
      <w:pPr>
        <w:jc w:val="center"/>
        <w:rPr>
          <w:b/>
          <w:color w:val="auto"/>
          <w:sz w:val="24"/>
          <w:szCs w:val="24"/>
          <w:highlight w:val="none"/>
        </w:rPr>
      </w:pPr>
    </w:p>
    <w:tbl>
      <w:tblPr>
        <w:tblStyle w:val="40"/>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3290"/>
        <w:gridCol w:w="2869"/>
        <w:gridCol w:w="1417"/>
        <w:gridCol w:w="1242"/>
        <w:gridCol w:w="1276"/>
        <w:gridCol w:w="269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3290"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项目名称</w:t>
            </w:r>
          </w:p>
        </w:tc>
        <w:tc>
          <w:tcPr>
            <w:tcW w:w="2869"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规模（指建筑面积等相关指标）</w:t>
            </w:r>
          </w:p>
        </w:tc>
        <w:tc>
          <w:tcPr>
            <w:tcW w:w="1417"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合同价（万元）</w:t>
            </w:r>
          </w:p>
        </w:tc>
        <w:tc>
          <w:tcPr>
            <w:tcW w:w="1242"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项目负责人姓名</w:t>
            </w:r>
          </w:p>
        </w:tc>
        <w:tc>
          <w:tcPr>
            <w:tcW w:w="1276"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是否已完工</w:t>
            </w:r>
          </w:p>
        </w:tc>
        <w:tc>
          <w:tcPr>
            <w:tcW w:w="2693"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业主联系方式（业主名称、联系人姓名、联系电话）</w:t>
            </w:r>
          </w:p>
        </w:tc>
        <w:tc>
          <w:tcPr>
            <w:tcW w:w="1418"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定标辅助文件中对应的页码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tcPr>
          <w:p>
            <w:pPr>
              <w:rPr>
                <w:rFonts w:ascii="宋体" w:hAnsi="宋体"/>
                <w:color w:val="auto"/>
                <w:sz w:val="18"/>
                <w:szCs w:val="18"/>
                <w:highlight w:val="none"/>
              </w:rPr>
            </w:pPr>
          </w:p>
        </w:tc>
        <w:tc>
          <w:tcPr>
            <w:tcW w:w="3290" w:type="dxa"/>
          </w:tcPr>
          <w:p>
            <w:pPr>
              <w:rPr>
                <w:rFonts w:ascii="宋体" w:hAnsi="宋体"/>
                <w:color w:val="auto"/>
                <w:sz w:val="18"/>
                <w:szCs w:val="18"/>
                <w:highlight w:val="none"/>
              </w:rPr>
            </w:pPr>
          </w:p>
        </w:tc>
        <w:tc>
          <w:tcPr>
            <w:tcW w:w="2869" w:type="dxa"/>
          </w:tcPr>
          <w:p>
            <w:pPr>
              <w:rPr>
                <w:rFonts w:ascii="宋体" w:hAnsi="宋体"/>
                <w:color w:val="auto"/>
                <w:sz w:val="18"/>
                <w:szCs w:val="18"/>
                <w:highlight w:val="none"/>
              </w:rPr>
            </w:pPr>
          </w:p>
        </w:tc>
        <w:tc>
          <w:tcPr>
            <w:tcW w:w="1417" w:type="dxa"/>
          </w:tcPr>
          <w:p>
            <w:pPr>
              <w:rPr>
                <w:rFonts w:ascii="宋体" w:hAnsi="宋体"/>
                <w:color w:val="auto"/>
                <w:sz w:val="18"/>
                <w:szCs w:val="18"/>
                <w:highlight w:val="none"/>
              </w:rPr>
            </w:pPr>
          </w:p>
        </w:tc>
        <w:tc>
          <w:tcPr>
            <w:tcW w:w="1242" w:type="dxa"/>
          </w:tcPr>
          <w:p>
            <w:pPr>
              <w:rPr>
                <w:rFonts w:ascii="宋体" w:hAnsi="宋体"/>
                <w:color w:val="auto"/>
                <w:sz w:val="18"/>
                <w:szCs w:val="18"/>
                <w:highlight w:val="none"/>
              </w:rPr>
            </w:pPr>
          </w:p>
        </w:tc>
        <w:tc>
          <w:tcPr>
            <w:tcW w:w="1276" w:type="dxa"/>
          </w:tcPr>
          <w:p>
            <w:pPr>
              <w:rPr>
                <w:rFonts w:ascii="宋体" w:hAnsi="宋体"/>
                <w:color w:val="auto"/>
                <w:sz w:val="18"/>
                <w:szCs w:val="18"/>
                <w:highlight w:val="none"/>
              </w:rPr>
            </w:pPr>
          </w:p>
        </w:tc>
        <w:tc>
          <w:tcPr>
            <w:tcW w:w="2693" w:type="dxa"/>
          </w:tcPr>
          <w:p>
            <w:pPr>
              <w:rPr>
                <w:rFonts w:ascii="宋体" w:hAnsi="宋体"/>
                <w:color w:val="auto"/>
                <w:sz w:val="18"/>
                <w:szCs w:val="18"/>
                <w:highlight w:val="none"/>
              </w:rPr>
            </w:pPr>
          </w:p>
        </w:tc>
        <w:tc>
          <w:tcPr>
            <w:tcW w:w="1418" w:type="dxa"/>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tcPr>
          <w:p>
            <w:pPr>
              <w:rPr>
                <w:rFonts w:ascii="宋体" w:hAnsi="宋体"/>
                <w:color w:val="auto"/>
                <w:sz w:val="18"/>
                <w:szCs w:val="18"/>
                <w:highlight w:val="none"/>
              </w:rPr>
            </w:pPr>
          </w:p>
        </w:tc>
        <w:tc>
          <w:tcPr>
            <w:tcW w:w="3290" w:type="dxa"/>
          </w:tcPr>
          <w:p>
            <w:pPr>
              <w:rPr>
                <w:rFonts w:ascii="宋体" w:hAnsi="宋体"/>
                <w:color w:val="auto"/>
                <w:sz w:val="18"/>
                <w:szCs w:val="18"/>
                <w:highlight w:val="none"/>
              </w:rPr>
            </w:pPr>
          </w:p>
        </w:tc>
        <w:tc>
          <w:tcPr>
            <w:tcW w:w="2869" w:type="dxa"/>
          </w:tcPr>
          <w:p>
            <w:pPr>
              <w:rPr>
                <w:rFonts w:ascii="宋体" w:hAnsi="宋体"/>
                <w:color w:val="auto"/>
                <w:sz w:val="18"/>
                <w:szCs w:val="18"/>
                <w:highlight w:val="none"/>
              </w:rPr>
            </w:pPr>
          </w:p>
        </w:tc>
        <w:tc>
          <w:tcPr>
            <w:tcW w:w="1417" w:type="dxa"/>
          </w:tcPr>
          <w:p>
            <w:pPr>
              <w:rPr>
                <w:rFonts w:ascii="宋体" w:hAnsi="宋体"/>
                <w:color w:val="auto"/>
                <w:sz w:val="18"/>
                <w:szCs w:val="18"/>
                <w:highlight w:val="none"/>
              </w:rPr>
            </w:pPr>
          </w:p>
        </w:tc>
        <w:tc>
          <w:tcPr>
            <w:tcW w:w="1242" w:type="dxa"/>
          </w:tcPr>
          <w:p>
            <w:pPr>
              <w:rPr>
                <w:rFonts w:ascii="宋体" w:hAnsi="宋体"/>
                <w:color w:val="auto"/>
                <w:sz w:val="18"/>
                <w:szCs w:val="18"/>
                <w:highlight w:val="none"/>
              </w:rPr>
            </w:pPr>
          </w:p>
        </w:tc>
        <w:tc>
          <w:tcPr>
            <w:tcW w:w="1276" w:type="dxa"/>
          </w:tcPr>
          <w:p>
            <w:pPr>
              <w:rPr>
                <w:rFonts w:ascii="宋体" w:hAnsi="宋体"/>
                <w:color w:val="auto"/>
                <w:sz w:val="18"/>
                <w:szCs w:val="18"/>
                <w:highlight w:val="none"/>
              </w:rPr>
            </w:pPr>
          </w:p>
        </w:tc>
        <w:tc>
          <w:tcPr>
            <w:tcW w:w="2693" w:type="dxa"/>
          </w:tcPr>
          <w:p>
            <w:pPr>
              <w:rPr>
                <w:rFonts w:ascii="宋体" w:hAnsi="宋体"/>
                <w:color w:val="auto"/>
                <w:sz w:val="18"/>
                <w:szCs w:val="18"/>
                <w:highlight w:val="none"/>
              </w:rPr>
            </w:pPr>
          </w:p>
        </w:tc>
        <w:tc>
          <w:tcPr>
            <w:tcW w:w="1418" w:type="dxa"/>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tcPr>
          <w:p>
            <w:pPr>
              <w:rPr>
                <w:rFonts w:ascii="宋体" w:hAnsi="宋体"/>
                <w:color w:val="auto"/>
                <w:sz w:val="18"/>
                <w:szCs w:val="18"/>
                <w:highlight w:val="none"/>
              </w:rPr>
            </w:pPr>
          </w:p>
        </w:tc>
        <w:tc>
          <w:tcPr>
            <w:tcW w:w="3290" w:type="dxa"/>
          </w:tcPr>
          <w:p>
            <w:pPr>
              <w:rPr>
                <w:rFonts w:ascii="宋体" w:hAnsi="宋体"/>
                <w:color w:val="auto"/>
                <w:sz w:val="18"/>
                <w:szCs w:val="18"/>
                <w:highlight w:val="none"/>
              </w:rPr>
            </w:pPr>
          </w:p>
        </w:tc>
        <w:tc>
          <w:tcPr>
            <w:tcW w:w="2869" w:type="dxa"/>
          </w:tcPr>
          <w:p>
            <w:pPr>
              <w:rPr>
                <w:rFonts w:ascii="宋体" w:hAnsi="宋体"/>
                <w:color w:val="auto"/>
                <w:sz w:val="18"/>
                <w:szCs w:val="18"/>
                <w:highlight w:val="none"/>
              </w:rPr>
            </w:pPr>
          </w:p>
        </w:tc>
        <w:tc>
          <w:tcPr>
            <w:tcW w:w="1417" w:type="dxa"/>
          </w:tcPr>
          <w:p>
            <w:pPr>
              <w:rPr>
                <w:rFonts w:ascii="宋体" w:hAnsi="宋体"/>
                <w:color w:val="auto"/>
                <w:sz w:val="18"/>
                <w:szCs w:val="18"/>
                <w:highlight w:val="none"/>
              </w:rPr>
            </w:pPr>
          </w:p>
        </w:tc>
        <w:tc>
          <w:tcPr>
            <w:tcW w:w="1242" w:type="dxa"/>
          </w:tcPr>
          <w:p>
            <w:pPr>
              <w:rPr>
                <w:rFonts w:ascii="宋体" w:hAnsi="宋体"/>
                <w:color w:val="auto"/>
                <w:sz w:val="18"/>
                <w:szCs w:val="18"/>
                <w:highlight w:val="none"/>
              </w:rPr>
            </w:pPr>
          </w:p>
        </w:tc>
        <w:tc>
          <w:tcPr>
            <w:tcW w:w="1276" w:type="dxa"/>
          </w:tcPr>
          <w:p>
            <w:pPr>
              <w:rPr>
                <w:rFonts w:ascii="宋体" w:hAnsi="宋体"/>
                <w:color w:val="auto"/>
                <w:sz w:val="18"/>
                <w:szCs w:val="18"/>
                <w:highlight w:val="none"/>
              </w:rPr>
            </w:pPr>
          </w:p>
        </w:tc>
        <w:tc>
          <w:tcPr>
            <w:tcW w:w="2693" w:type="dxa"/>
          </w:tcPr>
          <w:p>
            <w:pPr>
              <w:rPr>
                <w:rFonts w:ascii="宋体" w:hAnsi="宋体"/>
                <w:color w:val="auto"/>
                <w:sz w:val="18"/>
                <w:szCs w:val="18"/>
                <w:highlight w:val="none"/>
              </w:rPr>
            </w:pPr>
          </w:p>
        </w:tc>
        <w:tc>
          <w:tcPr>
            <w:tcW w:w="1418" w:type="dxa"/>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tcPr>
          <w:p>
            <w:pPr>
              <w:rPr>
                <w:rFonts w:ascii="宋体" w:hAnsi="宋体"/>
                <w:color w:val="auto"/>
                <w:sz w:val="18"/>
                <w:szCs w:val="18"/>
                <w:highlight w:val="none"/>
              </w:rPr>
            </w:pPr>
          </w:p>
        </w:tc>
        <w:tc>
          <w:tcPr>
            <w:tcW w:w="3290" w:type="dxa"/>
          </w:tcPr>
          <w:p>
            <w:pPr>
              <w:rPr>
                <w:rFonts w:ascii="宋体" w:hAnsi="宋体"/>
                <w:color w:val="auto"/>
                <w:sz w:val="18"/>
                <w:szCs w:val="18"/>
                <w:highlight w:val="none"/>
              </w:rPr>
            </w:pPr>
          </w:p>
        </w:tc>
        <w:tc>
          <w:tcPr>
            <w:tcW w:w="2869" w:type="dxa"/>
          </w:tcPr>
          <w:p>
            <w:pPr>
              <w:rPr>
                <w:rFonts w:ascii="宋体" w:hAnsi="宋体"/>
                <w:color w:val="auto"/>
                <w:sz w:val="18"/>
                <w:szCs w:val="18"/>
                <w:highlight w:val="none"/>
              </w:rPr>
            </w:pPr>
          </w:p>
        </w:tc>
        <w:tc>
          <w:tcPr>
            <w:tcW w:w="1417" w:type="dxa"/>
          </w:tcPr>
          <w:p>
            <w:pPr>
              <w:rPr>
                <w:rFonts w:ascii="宋体" w:hAnsi="宋体"/>
                <w:color w:val="auto"/>
                <w:sz w:val="18"/>
                <w:szCs w:val="18"/>
                <w:highlight w:val="none"/>
              </w:rPr>
            </w:pPr>
          </w:p>
        </w:tc>
        <w:tc>
          <w:tcPr>
            <w:tcW w:w="1242" w:type="dxa"/>
          </w:tcPr>
          <w:p>
            <w:pPr>
              <w:rPr>
                <w:rFonts w:ascii="宋体" w:hAnsi="宋体"/>
                <w:color w:val="auto"/>
                <w:sz w:val="18"/>
                <w:szCs w:val="18"/>
                <w:highlight w:val="none"/>
              </w:rPr>
            </w:pPr>
          </w:p>
        </w:tc>
        <w:tc>
          <w:tcPr>
            <w:tcW w:w="1276" w:type="dxa"/>
          </w:tcPr>
          <w:p>
            <w:pPr>
              <w:rPr>
                <w:rFonts w:ascii="宋体" w:hAnsi="宋体"/>
                <w:color w:val="auto"/>
                <w:sz w:val="18"/>
                <w:szCs w:val="18"/>
                <w:highlight w:val="none"/>
              </w:rPr>
            </w:pPr>
          </w:p>
        </w:tc>
        <w:tc>
          <w:tcPr>
            <w:tcW w:w="2693" w:type="dxa"/>
          </w:tcPr>
          <w:p>
            <w:pPr>
              <w:rPr>
                <w:rFonts w:ascii="宋体" w:hAnsi="宋体"/>
                <w:color w:val="auto"/>
                <w:sz w:val="18"/>
                <w:szCs w:val="18"/>
                <w:highlight w:val="none"/>
              </w:rPr>
            </w:pPr>
          </w:p>
        </w:tc>
        <w:tc>
          <w:tcPr>
            <w:tcW w:w="1418" w:type="dxa"/>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tcPr>
          <w:p>
            <w:pPr>
              <w:rPr>
                <w:rFonts w:ascii="宋体" w:hAnsi="宋体"/>
                <w:color w:val="auto"/>
                <w:sz w:val="18"/>
                <w:szCs w:val="18"/>
                <w:highlight w:val="none"/>
              </w:rPr>
            </w:pPr>
          </w:p>
        </w:tc>
        <w:tc>
          <w:tcPr>
            <w:tcW w:w="3290" w:type="dxa"/>
          </w:tcPr>
          <w:p>
            <w:pPr>
              <w:rPr>
                <w:rFonts w:ascii="宋体" w:hAnsi="宋体"/>
                <w:color w:val="auto"/>
                <w:sz w:val="18"/>
                <w:szCs w:val="18"/>
                <w:highlight w:val="none"/>
              </w:rPr>
            </w:pPr>
          </w:p>
        </w:tc>
        <w:tc>
          <w:tcPr>
            <w:tcW w:w="2869" w:type="dxa"/>
          </w:tcPr>
          <w:p>
            <w:pPr>
              <w:rPr>
                <w:rFonts w:ascii="宋体" w:hAnsi="宋体"/>
                <w:color w:val="auto"/>
                <w:sz w:val="18"/>
                <w:szCs w:val="18"/>
                <w:highlight w:val="none"/>
              </w:rPr>
            </w:pPr>
          </w:p>
        </w:tc>
        <w:tc>
          <w:tcPr>
            <w:tcW w:w="1417" w:type="dxa"/>
          </w:tcPr>
          <w:p>
            <w:pPr>
              <w:rPr>
                <w:rFonts w:ascii="宋体" w:hAnsi="宋体"/>
                <w:color w:val="auto"/>
                <w:sz w:val="18"/>
                <w:szCs w:val="18"/>
                <w:highlight w:val="none"/>
              </w:rPr>
            </w:pPr>
          </w:p>
        </w:tc>
        <w:tc>
          <w:tcPr>
            <w:tcW w:w="1242" w:type="dxa"/>
          </w:tcPr>
          <w:p>
            <w:pPr>
              <w:rPr>
                <w:rFonts w:ascii="宋体" w:hAnsi="宋体"/>
                <w:color w:val="auto"/>
                <w:sz w:val="18"/>
                <w:szCs w:val="18"/>
                <w:highlight w:val="none"/>
              </w:rPr>
            </w:pPr>
          </w:p>
        </w:tc>
        <w:tc>
          <w:tcPr>
            <w:tcW w:w="1276" w:type="dxa"/>
          </w:tcPr>
          <w:p>
            <w:pPr>
              <w:rPr>
                <w:rFonts w:ascii="宋体" w:hAnsi="宋体"/>
                <w:color w:val="auto"/>
                <w:sz w:val="18"/>
                <w:szCs w:val="18"/>
                <w:highlight w:val="none"/>
              </w:rPr>
            </w:pPr>
          </w:p>
        </w:tc>
        <w:tc>
          <w:tcPr>
            <w:tcW w:w="2693" w:type="dxa"/>
          </w:tcPr>
          <w:p>
            <w:pPr>
              <w:rPr>
                <w:rFonts w:ascii="宋体" w:hAnsi="宋体"/>
                <w:color w:val="auto"/>
                <w:sz w:val="18"/>
                <w:szCs w:val="18"/>
                <w:highlight w:val="none"/>
              </w:rPr>
            </w:pPr>
          </w:p>
        </w:tc>
        <w:tc>
          <w:tcPr>
            <w:tcW w:w="1418" w:type="dxa"/>
          </w:tcPr>
          <w:p>
            <w:pPr>
              <w:rPr>
                <w:rFonts w:ascii="宋体" w:hAnsi="宋体"/>
                <w:color w:val="auto"/>
                <w:sz w:val="18"/>
                <w:szCs w:val="18"/>
                <w:highlight w:val="none"/>
              </w:rPr>
            </w:pPr>
          </w:p>
        </w:tc>
      </w:tr>
    </w:tbl>
    <w:p>
      <w:pPr>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注：1、业绩须提供的证明材料按定性评审表的要求。</w:t>
      </w:r>
    </w:p>
    <w:p>
      <w:pPr>
        <w:rPr>
          <w:rFonts w:ascii="宋体" w:hAnsi="宋体"/>
          <w:color w:val="auto"/>
          <w:spacing w:val="4"/>
          <w:kern w:val="0"/>
          <w:sz w:val="24"/>
          <w:szCs w:val="24"/>
          <w:highlight w:val="none"/>
        </w:rPr>
      </w:pPr>
    </w:p>
    <w:p>
      <w:pPr>
        <w:pStyle w:val="82"/>
        <w:ind w:firstLine="198" w:firstLineChars="80"/>
        <w:rPr>
          <w:rFonts w:ascii="宋体" w:hAnsi="宋体"/>
          <w:color w:val="auto"/>
          <w:highlight w:val="none"/>
        </w:rPr>
      </w:pPr>
    </w:p>
    <w:p>
      <w:pPr>
        <w:pStyle w:val="82"/>
        <w:ind w:firstLine="8645" w:firstLineChars="3486"/>
        <w:rPr>
          <w:rFonts w:ascii="宋体" w:hAnsi="宋体"/>
          <w:color w:val="auto"/>
          <w:highlight w:val="none"/>
        </w:rPr>
      </w:pPr>
      <w:r>
        <w:rPr>
          <w:rFonts w:hint="eastAsia" w:ascii="宋体" w:hAnsi="宋体"/>
          <w:color w:val="auto"/>
          <w:highlight w:val="none"/>
        </w:rPr>
        <w:t>投标人：　　（盖章）</w:t>
      </w:r>
    </w:p>
    <w:p>
      <w:pPr>
        <w:pStyle w:val="82"/>
        <w:ind w:firstLine="8645" w:firstLineChars="3486"/>
        <w:rPr>
          <w:rFonts w:ascii="宋体" w:hAnsi="宋体"/>
          <w:color w:val="auto"/>
          <w:highlight w:val="none"/>
        </w:rPr>
      </w:pPr>
      <w:r>
        <w:rPr>
          <w:rFonts w:hint="eastAsia" w:ascii="宋体" w:hAnsi="宋体"/>
          <w:color w:val="auto"/>
          <w:highlight w:val="none"/>
        </w:rPr>
        <w:t>法定代表人或授权代理人(签字或盖章)：</w:t>
      </w:r>
    </w:p>
    <w:p>
      <w:pPr>
        <w:ind w:firstLine="8645" w:firstLineChars="3486"/>
        <w:rPr>
          <w:rFonts w:ascii="宋体" w:hAnsi="宋体"/>
          <w:snapToGrid w:val="0"/>
          <w:color w:val="auto"/>
          <w:spacing w:val="4"/>
          <w:kern w:val="0"/>
          <w:sz w:val="24"/>
          <w:szCs w:val="24"/>
          <w:highlight w:val="none"/>
        </w:rPr>
      </w:pPr>
      <w:bookmarkStart w:id="44" w:name="_Toc532475795"/>
      <w:bookmarkStart w:id="45" w:name="_Toc532475362"/>
      <w:bookmarkStart w:id="46" w:name="_Toc510963892"/>
      <w:r>
        <w:rPr>
          <w:rFonts w:hint="eastAsia" w:ascii="宋体" w:hAnsi="宋体"/>
          <w:snapToGrid w:val="0"/>
          <w:color w:val="auto"/>
          <w:spacing w:val="4"/>
          <w:kern w:val="0"/>
          <w:sz w:val="24"/>
          <w:szCs w:val="24"/>
          <w:highlight w:val="none"/>
        </w:rPr>
        <w:t>日   期：     年    月    日</w:t>
      </w:r>
      <w:bookmarkEnd w:id="44"/>
      <w:bookmarkEnd w:id="45"/>
      <w:bookmarkEnd w:id="46"/>
    </w:p>
    <w:p>
      <w:pPr>
        <w:pStyle w:val="124"/>
        <w:spacing w:before="156" w:after="156"/>
        <w:rPr>
          <w:color w:val="auto"/>
          <w:highlight w:val="none"/>
        </w:rPr>
        <w:sectPr>
          <w:pgSz w:w="16838" w:h="11906" w:orient="landscape"/>
          <w:pgMar w:top="1418" w:right="1134" w:bottom="1418" w:left="1134" w:header="851" w:footer="992" w:gutter="0"/>
          <w:cols w:space="720" w:num="1"/>
          <w:docGrid w:type="linesAndChars" w:linePitch="312" w:charSpace="0"/>
        </w:sectPr>
      </w:pPr>
      <w:bookmarkStart w:id="47" w:name="_Toc45551720"/>
    </w:p>
    <w:p>
      <w:pPr>
        <w:pStyle w:val="124"/>
        <w:spacing w:before="156" w:after="156"/>
        <w:rPr>
          <w:rFonts w:ascii="宋体" w:eastAsia="宋体"/>
          <w:snapToGrid/>
          <w:color w:val="auto"/>
          <w:spacing w:val="0"/>
          <w:highlight w:val="none"/>
        </w:rPr>
      </w:pPr>
      <w:bookmarkStart w:id="48" w:name="_Toc80289088"/>
      <w:r>
        <w:rPr>
          <w:rFonts w:hint="eastAsia" w:ascii="宋体" w:eastAsia="宋体"/>
          <w:color w:val="auto"/>
          <w:highlight w:val="none"/>
        </w:rPr>
        <w:t>格式七：危险性较大的分部分项工程清单及超过一定规模的危险性较大的分部分项工程清单</w:t>
      </w:r>
      <w:bookmarkEnd w:id="47"/>
      <w:bookmarkEnd w:id="48"/>
    </w:p>
    <w:p>
      <w:pPr>
        <w:jc w:val="center"/>
        <w:rPr>
          <w:rFonts w:ascii="宋体" w:hAnsi="宋体"/>
          <w:b/>
          <w:color w:val="auto"/>
          <w:sz w:val="32"/>
          <w:highlight w:val="none"/>
        </w:rPr>
      </w:pPr>
      <w:r>
        <w:rPr>
          <w:rFonts w:hint="eastAsia" w:ascii="宋体" w:hAnsi="宋体"/>
          <w:b/>
          <w:color w:val="auto"/>
          <w:sz w:val="32"/>
          <w:highlight w:val="none"/>
        </w:rPr>
        <w:t>危险性较大的分部分项工程清单及</w:t>
      </w:r>
    </w:p>
    <w:p>
      <w:pPr>
        <w:jc w:val="center"/>
        <w:rPr>
          <w:rFonts w:ascii="宋体" w:hAnsi="宋体"/>
          <w:color w:val="auto"/>
          <w:sz w:val="32"/>
          <w:highlight w:val="none"/>
        </w:rPr>
      </w:pPr>
      <w:r>
        <w:rPr>
          <w:rFonts w:hint="eastAsia" w:ascii="宋体" w:hAnsi="宋体"/>
          <w:b/>
          <w:color w:val="auto"/>
          <w:sz w:val="32"/>
          <w:highlight w:val="none"/>
        </w:rPr>
        <w:t>超过一定规模的危险性较大的分部分项工程清单</w:t>
      </w:r>
    </w:p>
    <w:p>
      <w:pPr>
        <w:pStyle w:val="116"/>
        <w:numPr>
          <w:ilvl w:val="0"/>
          <w:numId w:val="5"/>
        </w:numPr>
        <w:autoSpaceDE w:val="0"/>
        <w:autoSpaceDN w:val="0"/>
        <w:adjustRightInd w:val="0"/>
        <w:ind w:firstLineChars="0"/>
        <w:jc w:val="left"/>
        <w:rPr>
          <w:rFonts w:ascii="宋体" w:hAnsi="宋体"/>
          <w:color w:val="auto"/>
          <w:szCs w:val="21"/>
          <w:highlight w:val="none"/>
        </w:rPr>
      </w:pPr>
      <w:r>
        <w:rPr>
          <w:rFonts w:hint="eastAsia" w:ascii="宋体" w:hAnsi="宋体"/>
          <w:color w:val="auto"/>
          <w:szCs w:val="21"/>
          <w:highlight w:val="none"/>
        </w:rPr>
        <w:t>根据中华人民共和国住房和城乡建设部令第37号《危险性较大的分部分项工程安全管理规定》（以下简称“37号文”），投标人在投标时须补充完善危大工程清单并明确相应的安全管理措施。</w:t>
      </w:r>
    </w:p>
    <w:p>
      <w:pPr>
        <w:pStyle w:val="116"/>
        <w:numPr>
          <w:ilvl w:val="0"/>
          <w:numId w:val="5"/>
        </w:numPr>
        <w:autoSpaceDE w:val="0"/>
        <w:autoSpaceDN w:val="0"/>
        <w:adjustRightInd w:val="0"/>
        <w:ind w:firstLineChars="0"/>
        <w:jc w:val="left"/>
        <w:rPr>
          <w:rFonts w:ascii="宋体" w:hAnsi="宋体"/>
          <w:color w:val="auto"/>
          <w:szCs w:val="21"/>
          <w:highlight w:val="none"/>
        </w:rPr>
      </w:pPr>
      <w:r>
        <w:rPr>
          <w:rFonts w:hint="eastAsia" w:ascii="宋体" w:hAnsi="宋体"/>
          <w:color w:val="auto"/>
          <w:szCs w:val="21"/>
          <w:highlight w:val="none"/>
        </w:rPr>
        <w:t>招标人根据设计文件的要求及37号文的规定列出“危险性较大的分部分项工程清单及超过一定规模的危险性较大的分部分项工程清单”中与本招标项目相关的清单项，具体详第5点“打√”标识。</w:t>
      </w:r>
    </w:p>
    <w:p>
      <w:pPr>
        <w:pStyle w:val="116"/>
        <w:numPr>
          <w:ilvl w:val="0"/>
          <w:numId w:val="6"/>
        </w:numPr>
        <w:autoSpaceDE w:val="0"/>
        <w:autoSpaceDN w:val="0"/>
        <w:adjustRightInd w:val="0"/>
        <w:ind w:firstLineChars="0"/>
        <w:jc w:val="left"/>
        <w:rPr>
          <w:rFonts w:ascii="宋体" w:hAnsi="宋体"/>
          <w:color w:val="auto"/>
          <w:szCs w:val="21"/>
          <w:highlight w:val="none"/>
        </w:rPr>
      </w:pPr>
      <w:r>
        <w:rPr>
          <w:rFonts w:hint="eastAsia" w:ascii="宋体" w:hAnsi="宋体"/>
          <w:color w:val="auto"/>
          <w:szCs w:val="21"/>
          <w:highlight w:val="none"/>
        </w:rPr>
        <w:t>投标单位同意建设单位在清单中标识的该项请在对应项打“√”标识，并与投标文件中提供相应的安全管理措施。</w:t>
      </w:r>
    </w:p>
    <w:p>
      <w:pPr>
        <w:pStyle w:val="116"/>
        <w:numPr>
          <w:ilvl w:val="0"/>
          <w:numId w:val="6"/>
        </w:numPr>
        <w:autoSpaceDE w:val="0"/>
        <w:autoSpaceDN w:val="0"/>
        <w:adjustRightInd w:val="0"/>
        <w:ind w:firstLineChars="0"/>
        <w:jc w:val="left"/>
        <w:rPr>
          <w:rFonts w:ascii="宋体" w:hAnsi="宋体"/>
          <w:color w:val="auto"/>
          <w:szCs w:val="21"/>
          <w:highlight w:val="none"/>
        </w:rPr>
      </w:pPr>
      <w:r>
        <w:rPr>
          <w:rFonts w:hint="eastAsia" w:ascii="宋体" w:hAnsi="宋体"/>
          <w:color w:val="auto"/>
          <w:szCs w:val="21"/>
          <w:highlight w:val="none"/>
        </w:rPr>
        <w:t>投标单位对清单中认为需要补充的该项请在对应项打“√”标识，并与投标文件中提供相应的安全管理措施。</w:t>
      </w:r>
    </w:p>
    <w:p>
      <w:pPr>
        <w:pStyle w:val="116"/>
        <w:numPr>
          <w:ilvl w:val="0"/>
          <w:numId w:val="6"/>
        </w:numPr>
        <w:autoSpaceDE w:val="0"/>
        <w:autoSpaceDN w:val="0"/>
        <w:adjustRightInd w:val="0"/>
        <w:ind w:firstLineChars="0"/>
        <w:jc w:val="left"/>
        <w:rPr>
          <w:rFonts w:ascii="宋体" w:hAnsi="宋体"/>
          <w:color w:val="auto"/>
          <w:szCs w:val="21"/>
          <w:highlight w:val="none"/>
        </w:rPr>
      </w:pPr>
      <w:r>
        <w:rPr>
          <w:rFonts w:hint="eastAsia" w:ascii="宋体" w:hAnsi="宋体"/>
          <w:color w:val="auto"/>
          <w:szCs w:val="21"/>
          <w:highlight w:val="none"/>
        </w:rPr>
        <w:t>投标单位不同意建设单位在清单中标识的该项请在对应项打“×”标识，并在备注栏填上相关说明。</w:t>
      </w:r>
    </w:p>
    <w:p>
      <w:pPr>
        <w:pStyle w:val="116"/>
        <w:numPr>
          <w:ilvl w:val="0"/>
          <w:numId w:val="5"/>
        </w:numPr>
        <w:autoSpaceDE w:val="0"/>
        <w:autoSpaceDN w:val="0"/>
        <w:adjustRightInd w:val="0"/>
        <w:ind w:firstLineChars="0"/>
        <w:jc w:val="left"/>
        <w:rPr>
          <w:rFonts w:ascii="宋体" w:hAnsi="宋体"/>
          <w:color w:val="auto"/>
          <w:szCs w:val="21"/>
          <w:highlight w:val="none"/>
        </w:rPr>
      </w:pPr>
      <w:r>
        <w:rPr>
          <w:rFonts w:hint="eastAsia" w:ascii="宋体" w:hAnsi="宋体"/>
          <w:color w:val="auto"/>
          <w:szCs w:val="21"/>
          <w:highlight w:val="none"/>
        </w:rPr>
        <w:t>投标单位应当在投标时根据招标人提供的下述第5点清单，在投标施工组织中编制专项施工方案。</w:t>
      </w:r>
    </w:p>
    <w:p>
      <w:pPr>
        <w:pStyle w:val="116"/>
        <w:numPr>
          <w:ilvl w:val="0"/>
          <w:numId w:val="5"/>
        </w:numPr>
        <w:autoSpaceDE w:val="0"/>
        <w:autoSpaceDN w:val="0"/>
        <w:adjustRightInd w:val="0"/>
        <w:ind w:firstLineChars="0"/>
        <w:jc w:val="left"/>
        <w:rPr>
          <w:rFonts w:ascii="宋体" w:hAnsi="宋体"/>
          <w:color w:val="auto"/>
          <w:szCs w:val="21"/>
          <w:highlight w:val="none"/>
        </w:rPr>
      </w:pPr>
      <w:r>
        <w:rPr>
          <w:rFonts w:hint="eastAsia" w:ascii="宋体" w:hAnsi="宋体"/>
          <w:color w:val="auto"/>
          <w:szCs w:val="21"/>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pStyle w:val="116"/>
        <w:numPr>
          <w:ilvl w:val="0"/>
          <w:numId w:val="5"/>
        </w:numPr>
        <w:autoSpaceDE w:val="0"/>
        <w:autoSpaceDN w:val="0"/>
        <w:adjustRightInd w:val="0"/>
        <w:ind w:firstLineChars="0"/>
        <w:jc w:val="left"/>
        <w:rPr>
          <w:rFonts w:ascii="宋体" w:hAnsi="宋体"/>
          <w:color w:val="auto"/>
          <w:szCs w:val="21"/>
          <w:highlight w:val="none"/>
        </w:rPr>
      </w:pPr>
      <w:r>
        <w:rPr>
          <w:rFonts w:hint="eastAsia" w:ascii="宋体" w:hAnsi="宋体"/>
          <w:color w:val="auto"/>
          <w:szCs w:val="21"/>
          <w:highlight w:val="none"/>
        </w:rPr>
        <w:t>危险性较大的分部分项工程清单及超过一定规模的危险性较大的分部分项工程清单：</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1417"/>
        <w:gridCol w:w="1276"/>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pPr>
              <w:jc w:val="center"/>
              <w:rPr>
                <w:rFonts w:ascii="宋体" w:hAnsi="宋体"/>
                <w:b/>
                <w:color w:val="auto"/>
                <w:szCs w:val="21"/>
                <w:highlight w:val="none"/>
              </w:rPr>
            </w:pPr>
            <w:r>
              <w:rPr>
                <w:rFonts w:hint="eastAsia" w:ascii="宋体" w:hAnsi="宋体"/>
                <w:b/>
                <w:color w:val="auto"/>
                <w:szCs w:val="21"/>
                <w:highlight w:val="none"/>
              </w:rPr>
              <w:t>一、危险性较大的分部分项工程清单</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建设单位</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投标单位</w:t>
            </w:r>
          </w:p>
        </w:tc>
        <w:tc>
          <w:tcPr>
            <w:tcW w:w="808"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一、基坑支护</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（一）开挖深度超过3m（含3m）的基坑（槽）的土方开挖、支护、降水工程。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w:t>
            </w:r>
            <w:r>
              <w:rPr>
                <w:rFonts w:hint="eastAsia"/>
                <w:color w:val="auto"/>
                <w:szCs w:val="21"/>
                <w:highlight w:val="none"/>
              </w:rPr>
              <w:t>√</w:t>
            </w:r>
            <w:r>
              <w:rPr>
                <w:rFonts w:hint="eastAsia" w:ascii="宋体" w:hAnsi="宋体"/>
                <w:color w:val="auto"/>
                <w:szCs w:val="21"/>
                <w:highlight w:val="none"/>
              </w:rPr>
              <w:t>)</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（二）开挖深度虽未超过3m，但地质条件、周围环境和地下管线复杂，或影响毗邻建、构筑物安全的基坑（槽）的土方开挖、支护、降水工程。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二、模板工程及支撑体系</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w:t>
            </w:r>
            <w:r>
              <w:rPr>
                <w:rFonts w:hint="eastAsia"/>
                <w:color w:val="auto"/>
                <w:szCs w:val="21"/>
                <w:highlight w:val="none"/>
              </w:rPr>
              <w:t>√</w:t>
            </w:r>
            <w:r>
              <w:rPr>
                <w:rFonts w:hint="eastAsia" w:ascii="宋体" w:hAnsi="宋体"/>
                <w:color w:val="auto"/>
                <w:szCs w:val="21"/>
                <w:highlight w:val="none"/>
              </w:rPr>
              <w:t>)</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w:t>
            </w:r>
            <w:r>
              <w:rPr>
                <w:rFonts w:hint="eastAsia"/>
                <w:color w:val="auto"/>
                <w:szCs w:val="21"/>
                <w:highlight w:val="none"/>
              </w:rPr>
              <w:t>√</w:t>
            </w:r>
            <w:r>
              <w:rPr>
                <w:rFonts w:hint="eastAsia" w:ascii="宋体" w:hAnsi="宋体"/>
                <w:color w:val="auto"/>
                <w:szCs w:val="21"/>
                <w:highlight w:val="none"/>
              </w:rPr>
              <w:t>)</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pPr>
              <w:widowControl/>
              <w:spacing w:line="360" w:lineRule="atLeast"/>
              <w:jc w:val="left"/>
              <w:rPr>
                <w:rFonts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widowControl/>
              <w:spacing w:line="360" w:lineRule="atLeast"/>
              <w:jc w:val="left"/>
              <w:rPr>
                <w:rFonts w:ascii="宋体" w:hAnsi="宋体" w:cs="宋体"/>
                <w:color w:val="auto"/>
                <w:szCs w:val="21"/>
                <w:highlight w:val="none"/>
              </w:rPr>
            </w:pPr>
            <w:r>
              <w:rPr>
                <w:rFonts w:hint="eastAsia" w:ascii="宋体" w:hAnsi="宋体" w:cs="宋体"/>
                <w:color w:val="auto"/>
                <w:szCs w:val="21"/>
                <w:highlight w:val="none"/>
              </w:rPr>
              <w:t>　三、起重吊装及起重机械安装拆卸工程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widowControl/>
              <w:spacing w:line="360" w:lineRule="atLeast"/>
              <w:jc w:val="left"/>
              <w:rPr>
                <w:rFonts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（一）采用非常规起重设备、方法，且单件起吊重量在10kN及以上的起重吊装工程。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w:t>
            </w:r>
            <w:r>
              <w:rPr>
                <w:rFonts w:hint="eastAsia"/>
                <w:color w:val="auto"/>
                <w:szCs w:val="21"/>
                <w:highlight w:val="none"/>
              </w:rPr>
              <w:t>√</w:t>
            </w:r>
            <w:r>
              <w:rPr>
                <w:rFonts w:hint="eastAsia" w:ascii="宋体" w:hAnsi="宋体"/>
                <w:color w:val="auto"/>
                <w:szCs w:val="21"/>
                <w:highlight w:val="none"/>
              </w:rPr>
              <w:t>)</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s="宋体"/>
                <w:color w:val="auto"/>
                <w:szCs w:val="21"/>
                <w:highlight w:val="none"/>
              </w:rPr>
              <w:t>（二）采用起重机械进行安装的工程。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w:t>
            </w:r>
            <w:r>
              <w:rPr>
                <w:rFonts w:hint="eastAsia"/>
                <w:color w:val="auto"/>
                <w:szCs w:val="21"/>
                <w:highlight w:val="none"/>
              </w:rPr>
              <w:t>√</w:t>
            </w:r>
            <w:r>
              <w:rPr>
                <w:rFonts w:hint="eastAsia" w:ascii="宋体" w:hAnsi="宋体"/>
                <w:color w:val="auto"/>
                <w:szCs w:val="21"/>
                <w:highlight w:val="none"/>
              </w:rPr>
              <w:t>)</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pPr>
              <w:jc w:val="left"/>
              <w:rPr>
                <w:rFonts w:ascii="宋体" w:hAnsi="宋体" w:cs="宋体"/>
                <w:color w:val="auto"/>
                <w:szCs w:val="21"/>
                <w:highlight w:val="none"/>
              </w:rPr>
            </w:pPr>
            <w:r>
              <w:rPr>
                <w:rFonts w:hint="eastAsia" w:ascii="宋体" w:hAnsi="宋体" w:cs="宋体"/>
                <w:color w:val="auto"/>
                <w:szCs w:val="21"/>
                <w:highlight w:val="none"/>
              </w:rPr>
              <w:t>（三）起重机械安装和拆卸工程。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w:t>
            </w:r>
            <w:r>
              <w:rPr>
                <w:rFonts w:hint="eastAsia"/>
                <w:color w:val="auto"/>
                <w:szCs w:val="21"/>
                <w:highlight w:val="none"/>
              </w:rPr>
              <w:t>√</w:t>
            </w:r>
            <w:r>
              <w:rPr>
                <w:rFonts w:hint="eastAsia" w:ascii="宋体" w:hAnsi="宋体"/>
                <w:color w:val="auto"/>
                <w:szCs w:val="21"/>
                <w:highlight w:val="none"/>
              </w:rPr>
              <w:t>)</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四、脚手架工程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w:t>
            </w:r>
            <w:r>
              <w:rPr>
                <w:rFonts w:hint="eastAsia"/>
                <w:color w:val="auto"/>
                <w:szCs w:val="21"/>
                <w:highlight w:val="none"/>
              </w:rPr>
              <w:t>√</w:t>
            </w:r>
            <w:r>
              <w:rPr>
                <w:rFonts w:hint="eastAsia" w:ascii="宋体" w:hAnsi="宋体"/>
                <w:color w:val="auto"/>
                <w:szCs w:val="21"/>
                <w:highlight w:val="none"/>
              </w:rPr>
              <w:t>)</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（一）搭设高度24m及以上的落地式钢管脚手架工程（包括采光井、电梯井脚手架）。</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w:t>
            </w:r>
            <w:r>
              <w:rPr>
                <w:rFonts w:hint="eastAsia"/>
                <w:color w:val="auto"/>
                <w:szCs w:val="21"/>
                <w:highlight w:val="none"/>
              </w:rPr>
              <w:t>√</w:t>
            </w:r>
            <w:r>
              <w:rPr>
                <w:rFonts w:hint="eastAsia" w:ascii="宋体" w:hAnsi="宋体"/>
                <w:color w:val="auto"/>
                <w:szCs w:val="21"/>
                <w:highlight w:val="none"/>
              </w:rPr>
              <w:t>)</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（二）附着式升降脚手架工程。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w:t>
            </w:r>
            <w:r>
              <w:rPr>
                <w:rFonts w:hint="eastAsia"/>
                <w:color w:val="auto"/>
                <w:szCs w:val="21"/>
                <w:highlight w:val="none"/>
              </w:rPr>
              <w:t>√</w:t>
            </w:r>
            <w:r>
              <w:rPr>
                <w:rFonts w:hint="eastAsia" w:ascii="宋体" w:hAnsi="宋体"/>
                <w:color w:val="auto"/>
                <w:szCs w:val="21"/>
                <w:highlight w:val="none"/>
              </w:rPr>
              <w:t>)</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（三）悬挑式脚手架工程。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（四）高处作业吊篮。</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w:t>
            </w:r>
            <w:r>
              <w:rPr>
                <w:rFonts w:hint="eastAsia"/>
                <w:color w:val="auto"/>
                <w:szCs w:val="21"/>
                <w:highlight w:val="none"/>
              </w:rPr>
              <w:t>√</w:t>
            </w:r>
            <w:r>
              <w:rPr>
                <w:rFonts w:hint="eastAsia"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（五）卸料平台、操作平台工程。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w:t>
            </w:r>
            <w:r>
              <w:rPr>
                <w:rFonts w:hint="eastAsia"/>
                <w:color w:val="auto"/>
                <w:szCs w:val="21"/>
                <w:highlight w:val="none"/>
              </w:rPr>
              <w:t>√</w:t>
            </w:r>
            <w:r>
              <w:rPr>
                <w:rFonts w:hint="eastAsia"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（六）异型脚手架工程。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五、拆除工程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可能影响行人、交通、电力设施、通讯设施或其它建、构筑物安全的拆除工程。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　六、暗挖工程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七、其它</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（一）建筑幕墙安装工程。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w:t>
            </w:r>
            <w:r>
              <w:rPr>
                <w:rFonts w:hint="eastAsia"/>
                <w:color w:val="auto"/>
                <w:szCs w:val="21"/>
                <w:highlight w:val="none"/>
              </w:rPr>
              <w:t>√</w:t>
            </w:r>
            <w:r>
              <w:rPr>
                <w:rFonts w:hint="eastAsia" w:ascii="宋体" w:hAnsi="宋体"/>
                <w:color w:val="auto"/>
                <w:szCs w:val="21"/>
                <w:highlight w:val="none"/>
              </w:rPr>
              <w:t>)</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（二）钢结构、网架和索膜结构安装工程。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（三）人工挖孔桩工程。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pPr>
              <w:jc w:val="left"/>
              <w:rPr>
                <w:rFonts w:ascii="宋体" w:hAnsi="宋体"/>
                <w:color w:val="auto"/>
                <w:szCs w:val="21"/>
                <w:highlight w:val="none"/>
              </w:rPr>
            </w:pPr>
            <w:r>
              <w:rPr>
                <w:rFonts w:hint="eastAsia" w:ascii="宋体" w:hAnsi="宋体"/>
                <w:color w:val="auto"/>
                <w:szCs w:val="21"/>
                <w:highlight w:val="none"/>
              </w:rPr>
              <w:t>（四）水下作业工程。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（五）装配式建筑混凝土预制构件安装工程。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pPr>
              <w:widowControl/>
              <w:spacing w:line="360" w:lineRule="atLeast"/>
              <w:rPr>
                <w:rFonts w:ascii="宋体" w:hAnsi="宋体" w:cs="宋体"/>
                <w:b/>
                <w:color w:val="auto"/>
                <w:szCs w:val="21"/>
                <w:highlight w:val="none"/>
              </w:rPr>
            </w:pPr>
            <w:r>
              <w:rPr>
                <w:rFonts w:hint="eastAsia" w:ascii="宋体" w:hAnsi="宋体" w:cs="宋体"/>
                <w:b/>
                <w:bCs/>
                <w:color w:val="auto"/>
                <w:szCs w:val="21"/>
                <w:highlight w:val="none"/>
              </w:rPr>
              <w:t>二、超过一定规模的危险性较大的分部分项工程清单</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一、深基坑工程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开挖深度超过5m（含5m）的基坑（槽）的土方开挖、支护、降水工程。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二、模板工程及支撑体系</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（二）混凝土模板支撑工程：搭设高度8m及以上，或搭设跨度18m及以上，或施工总荷载（设计值）15kN/m2及以上，或集中线荷载（设计值）20kN/m及以上。</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w:t>
            </w:r>
            <w:r>
              <w:rPr>
                <w:rFonts w:hint="eastAsia"/>
                <w:color w:val="auto"/>
                <w:szCs w:val="21"/>
                <w:highlight w:val="none"/>
              </w:rPr>
              <w:t>√</w:t>
            </w:r>
            <w:r>
              <w:rPr>
                <w:rFonts w:hint="eastAsia" w:ascii="宋体" w:hAnsi="宋体"/>
                <w:color w:val="auto"/>
                <w:szCs w:val="21"/>
                <w:highlight w:val="none"/>
              </w:rPr>
              <w:t>)</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（三）承重支撑体系：用于钢结构安装等满堂支撑体系，承受单点集中荷载7kN及以上。</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　三、起重吊装及起重机械安装拆卸工程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（一）采用非常规起重设备、方法，且单件起吊重量在100kN及以上的起重吊装工程。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（二）起重量300kN及以上，或搭设总高度200m及以上，或搭设基础标高在200m及以上的起重机械安装和拆卸工程。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四、脚手架工程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（一）搭设高度50m及以上的落地式钢管脚手架工程。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（二）提升高度在150m及以上的附着式升降脚手架工程或附着式升降操作平台工程。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（三）分段架体搭设高度20m及以上的悬挑式脚手架工程。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五、拆除工程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（一）码头、桥梁、高架、烟囱、水塔或拆除中容易引起有毒有害气（液）体或粉尘扩散、易燃易爆事故发生的特殊建、构筑物的拆除工程。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（二）文物保护建筑、优秀历史建筑或历史文化风貌区影响范围内的拆除工程。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pPr>
              <w:jc w:val="left"/>
              <w:rPr>
                <w:rFonts w:ascii="宋体" w:hAnsi="宋体"/>
                <w:color w:val="auto"/>
                <w:szCs w:val="21"/>
                <w:highlight w:val="none"/>
              </w:rPr>
            </w:pPr>
            <w:r>
              <w:rPr>
                <w:rFonts w:hint="eastAsia" w:ascii="宋体" w:hAnsi="宋体"/>
                <w:color w:val="auto"/>
                <w:szCs w:val="21"/>
                <w:highlight w:val="none"/>
              </w:rPr>
              <w:t>六、暗挖工程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七、其它</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（一）施工高度50m及以上的建筑幕墙安装工程。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（二）跨度36m及以上的钢结构安装工程，或跨度60m及以上的网架和索膜结构安装工程。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（三）开挖深度16m及以上的人工挖孔桩工程。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（四）水下作业工程。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（五）重量1000kN及以上的大型结构整体顶升、平移、转体等施工工艺。</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pPr>
              <w:jc w:val="left"/>
              <w:rPr>
                <w:rFonts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bl>
    <w:p>
      <w:pPr>
        <w:pStyle w:val="116"/>
        <w:autoSpaceDE w:val="0"/>
        <w:autoSpaceDN w:val="0"/>
        <w:adjustRightInd w:val="0"/>
        <w:ind w:firstLineChars="0"/>
        <w:jc w:val="left"/>
        <w:rPr>
          <w:rFonts w:ascii="宋体" w:hAnsi="宋体"/>
          <w:color w:val="auto"/>
          <w:szCs w:val="21"/>
          <w:highlight w:val="none"/>
        </w:rPr>
      </w:pPr>
    </w:p>
    <w:p>
      <w:pPr>
        <w:spacing w:line="360" w:lineRule="auto"/>
        <w:ind w:firstLine="3000" w:firstLineChars="1250"/>
        <w:rPr>
          <w:rFonts w:ascii="宋体" w:hAnsi="宋体" w:cs="宋体"/>
          <w:color w:val="auto"/>
          <w:sz w:val="24"/>
          <w:szCs w:val="20"/>
          <w:highlight w:val="none"/>
          <w:u w:val="single"/>
        </w:rPr>
      </w:pPr>
      <w:r>
        <w:rPr>
          <w:rFonts w:hint="eastAsia" w:ascii="宋体" w:hAnsi="宋体" w:cs="宋体"/>
          <w:color w:val="auto"/>
          <w:sz w:val="24"/>
          <w:szCs w:val="20"/>
          <w:highlight w:val="none"/>
        </w:rPr>
        <w:t>投标人名称（盖法人公章）：</w:t>
      </w:r>
    </w:p>
    <w:p>
      <w:pPr>
        <w:spacing w:line="360" w:lineRule="auto"/>
        <w:ind w:firstLine="3000" w:firstLineChars="125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法定代表人或被授权人（签字或盖章）：</w:t>
      </w:r>
    </w:p>
    <w:p>
      <w:pPr>
        <w:ind w:firstLine="3240" w:firstLineChars="1350"/>
        <w:rPr>
          <w:color w:val="auto"/>
          <w:highlight w:val="none"/>
        </w:rPr>
      </w:pPr>
      <w:r>
        <w:rPr>
          <w:rFonts w:hint="eastAsia" w:ascii="宋体" w:hAnsi="宋体" w:cs="宋体"/>
          <w:color w:val="auto"/>
          <w:sz w:val="24"/>
          <w:szCs w:val="20"/>
          <w:highlight w:val="none"/>
        </w:rPr>
        <w:t>日期：   年  月  日</w:t>
      </w:r>
    </w:p>
    <w:p>
      <w:pPr>
        <w:pStyle w:val="8"/>
        <w:rPr>
          <w:snapToGrid w:val="0"/>
          <w:color w:val="auto"/>
          <w:highlight w:val="none"/>
        </w:rPr>
      </w:pPr>
      <w:r>
        <w:rPr>
          <w:snapToGrid w:val="0"/>
          <w:color w:val="auto"/>
          <w:highlight w:val="none"/>
        </w:rPr>
        <w:br w:type="page"/>
      </w:r>
    </w:p>
    <w:p>
      <w:pPr>
        <w:pStyle w:val="124"/>
        <w:spacing w:before="156" w:after="156"/>
        <w:rPr>
          <w:rFonts w:ascii="宋体" w:eastAsia="宋体"/>
          <w:color w:val="auto"/>
          <w:highlight w:val="none"/>
        </w:rPr>
      </w:pPr>
      <w:bookmarkStart w:id="49" w:name="_Toc80289089"/>
      <w:r>
        <w:rPr>
          <w:rFonts w:hint="eastAsia" w:ascii="宋体" w:eastAsia="宋体"/>
          <w:color w:val="auto"/>
          <w:highlight w:val="none"/>
        </w:rPr>
        <w:t>格式八：</w:t>
      </w:r>
      <w:r>
        <w:rPr>
          <w:rFonts w:ascii="宋体" w:eastAsia="宋体"/>
          <w:color w:val="auto"/>
          <w:highlight w:val="none"/>
        </w:rPr>
        <w:t>法定代表人身份证明及授权委托书</w:t>
      </w:r>
      <w:bookmarkEnd w:id="49"/>
    </w:p>
    <w:p>
      <w:pPr>
        <w:tabs>
          <w:tab w:val="left" w:pos="284"/>
          <w:tab w:val="left" w:pos="426"/>
          <w:tab w:val="left" w:pos="709"/>
          <w:tab w:val="left" w:pos="851"/>
        </w:tabs>
        <w:adjustRightInd w:val="0"/>
        <w:snapToGrid w:val="0"/>
        <w:rPr>
          <w:rFonts w:ascii="Times New Roman" w:hAnsi="Times New Roman" w:eastAsia="黑体"/>
          <w:b/>
          <w:color w:val="auto"/>
          <w:sz w:val="28"/>
          <w:szCs w:val="28"/>
          <w:highlight w:val="none"/>
        </w:rPr>
      </w:pPr>
    </w:p>
    <w:p>
      <w:pPr>
        <w:tabs>
          <w:tab w:val="left" w:pos="284"/>
          <w:tab w:val="left" w:pos="426"/>
          <w:tab w:val="left" w:pos="709"/>
          <w:tab w:val="left" w:pos="851"/>
        </w:tabs>
        <w:adjustRightInd w:val="0"/>
        <w:snapToGrid w:val="0"/>
        <w:jc w:val="center"/>
        <w:rPr>
          <w:rFonts w:ascii="Times New Roman" w:hAnsi="Times New Roman" w:eastAsia="黑体"/>
          <w:b/>
          <w:color w:val="auto"/>
          <w:sz w:val="28"/>
          <w:szCs w:val="28"/>
          <w:highlight w:val="none"/>
        </w:rPr>
      </w:pPr>
      <w:r>
        <w:rPr>
          <w:rFonts w:ascii="Times New Roman" w:hAnsi="Times New Roman" w:eastAsia="黑体"/>
          <w:b/>
          <w:color w:val="auto"/>
          <w:sz w:val="28"/>
          <w:szCs w:val="28"/>
          <w:highlight w:val="none"/>
        </w:rPr>
        <w:t>法定代表人身份证明</w:t>
      </w:r>
    </w:p>
    <w:p>
      <w:pPr>
        <w:tabs>
          <w:tab w:val="left" w:pos="284"/>
          <w:tab w:val="left" w:pos="426"/>
          <w:tab w:val="left" w:pos="709"/>
          <w:tab w:val="left" w:pos="851"/>
        </w:tabs>
        <w:adjustRightInd w:val="0"/>
        <w:snapToGrid w:val="0"/>
        <w:jc w:val="center"/>
        <w:rPr>
          <w:rFonts w:ascii="Times New Roman" w:hAnsi="Times New Roman"/>
          <w:b/>
          <w:color w:val="auto"/>
          <w:sz w:val="24"/>
          <w:szCs w:val="24"/>
          <w:highlight w:val="none"/>
        </w:rPr>
      </w:pPr>
    </w:p>
    <w:p>
      <w:pPr>
        <w:tabs>
          <w:tab w:val="left" w:pos="284"/>
          <w:tab w:val="left" w:pos="426"/>
          <w:tab w:val="left" w:pos="709"/>
          <w:tab w:val="left" w:pos="851"/>
        </w:tabs>
        <w:adjustRightInd w:val="0"/>
        <w:snapToGrid w:val="0"/>
        <w:jc w:val="center"/>
        <w:rPr>
          <w:rFonts w:ascii="Times New Roman" w:hAnsi="Times New Roman"/>
          <w:b/>
          <w:color w:val="auto"/>
          <w:sz w:val="24"/>
          <w:szCs w:val="24"/>
          <w:highlight w:val="none"/>
        </w:rPr>
      </w:pPr>
    </w:p>
    <w:p>
      <w:pPr>
        <w:tabs>
          <w:tab w:val="left" w:pos="284"/>
          <w:tab w:val="left" w:pos="426"/>
          <w:tab w:val="left" w:pos="709"/>
          <w:tab w:val="left" w:pos="851"/>
        </w:tabs>
        <w:adjustRightInd w:val="0"/>
        <w:snapToGrid w:val="0"/>
        <w:spacing w:line="480" w:lineRule="auto"/>
        <w:rPr>
          <w:rFonts w:ascii="Times New Roman" w:hAnsi="Times New Roman"/>
          <w:color w:val="auto"/>
          <w:sz w:val="24"/>
          <w:szCs w:val="24"/>
          <w:highlight w:val="none"/>
        </w:rPr>
      </w:pPr>
      <w:r>
        <w:rPr>
          <w:rFonts w:ascii="Times New Roman" w:hAnsi="Times New Roman"/>
          <w:color w:val="auto"/>
          <w:sz w:val="24"/>
          <w:szCs w:val="24"/>
          <w:highlight w:val="none"/>
        </w:rPr>
        <w:t>投标人名称：</w:t>
      </w:r>
      <w:r>
        <w:rPr>
          <w:rFonts w:ascii="Times New Roman" w:hAnsi="Times New Roman"/>
          <w:color w:val="auto"/>
          <w:sz w:val="24"/>
          <w:szCs w:val="24"/>
          <w:highlight w:val="none"/>
          <w:u w:val="single"/>
        </w:rPr>
        <w:t>，</w:t>
      </w:r>
      <w:r>
        <w:rPr>
          <w:rFonts w:ascii="Times New Roman" w:hAnsi="Times New Roman"/>
          <w:color w:val="auto"/>
          <w:sz w:val="24"/>
          <w:szCs w:val="24"/>
          <w:highlight w:val="none"/>
        </w:rPr>
        <w:t>单位性质：</w:t>
      </w:r>
      <w:r>
        <w:rPr>
          <w:rFonts w:ascii="Times New Roman" w:hAnsi="Times New Roman"/>
          <w:color w:val="auto"/>
          <w:sz w:val="24"/>
          <w:szCs w:val="24"/>
          <w:highlight w:val="none"/>
          <w:u w:val="single"/>
        </w:rPr>
        <w:t>，</w:t>
      </w:r>
    </w:p>
    <w:p>
      <w:pPr>
        <w:tabs>
          <w:tab w:val="left" w:pos="284"/>
          <w:tab w:val="left" w:pos="426"/>
          <w:tab w:val="left" w:pos="709"/>
          <w:tab w:val="left" w:pos="851"/>
        </w:tabs>
        <w:adjustRightInd w:val="0"/>
        <w:snapToGrid w:val="0"/>
        <w:spacing w:line="480" w:lineRule="auto"/>
        <w:rPr>
          <w:rFonts w:ascii="Times New Roman" w:hAnsi="Times New Roman"/>
          <w:color w:val="auto"/>
          <w:sz w:val="24"/>
          <w:szCs w:val="24"/>
          <w:highlight w:val="none"/>
        </w:rPr>
      </w:pPr>
      <w:r>
        <w:rPr>
          <w:rFonts w:ascii="Times New Roman" w:hAnsi="Times New Roman"/>
          <w:color w:val="auto"/>
          <w:sz w:val="24"/>
          <w:szCs w:val="24"/>
          <w:highlight w:val="none"/>
        </w:rPr>
        <w:t>地址：</w:t>
      </w:r>
      <w:r>
        <w:rPr>
          <w:rFonts w:ascii="Times New Roman" w:hAnsi="Times New Roman"/>
          <w:color w:val="auto"/>
          <w:sz w:val="24"/>
          <w:szCs w:val="24"/>
          <w:highlight w:val="none"/>
          <w:u w:val="single"/>
        </w:rPr>
        <w:t>，</w:t>
      </w:r>
      <w:r>
        <w:rPr>
          <w:rFonts w:ascii="Times New Roman" w:hAnsi="Times New Roman"/>
          <w:color w:val="auto"/>
          <w:sz w:val="24"/>
          <w:szCs w:val="24"/>
          <w:highlight w:val="none"/>
        </w:rPr>
        <w:t>成立时间：</w:t>
      </w:r>
      <w:r>
        <w:rPr>
          <w:rFonts w:ascii="Times New Roman" w:hAnsi="Times New Roman"/>
          <w:color w:val="auto"/>
          <w:sz w:val="24"/>
          <w:szCs w:val="24"/>
          <w:highlight w:val="none"/>
          <w:u w:val="single"/>
        </w:rPr>
        <w:t>，</w:t>
      </w:r>
    </w:p>
    <w:p>
      <w:pPr>
        <w:tabs>
          <w:tab w:val="left" w:pos="284"/>
          <w:tab w:val="left" w:pos="426"/>
          <w:tab w:val="left" w:pos="709"/>
          <w:tab w:val="left" w:pos="851"/>
        </w:tabs>
        <w:adjustRightInd w:val="0"/>
        <w:snapToGrid w:val="0"/>
        <w:spacing w:line="48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经营期限：</w:t>
      </w:r>
    </w:p>
    <w:p>
      <w:pPr>
        <w:tabs>
          <w:tab w:val="left" w:pos="284"/>
          <w:tab w:val="left" w:pos="426"/>
          <w:tab w:val="left" w:pos="709"/>
          <w:tab w:val="left" w:pos="851"/>
        </w:tabs>
        <w:adjustRightInd w:val="0"/>
        <w:snapToGrid w:val="0"/>
        <w:spacing w:line="48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姓名：性别：年龄：职务：</w:t>
      </w:r>
      <w:r>
        <w:rPr>
          <w:rFonts w:ascii="Times New Roman" w:hAnsi="Times New Roman"/>
          <w:color w:val="auto"/>
          <w:sz w:val="24"/>
          <w:szCs w:val="24"/>
          <w:highlight w:val="none"/>
          <w:u w:val="single"/>
        </w:rPr>
        <w:t>，</w:t>
      </w:r>
    </w:p>
    <w:p>
      <w:pPr>
        <w:tabs>
          <w:tab w:val="left" w:pos="284"/>
          <w:tab w:val="left" w:pos="426"/>
          <w:tab w:val="left" w:pos="709"/>
          <w:tab w:val="left" w:pos="851"/>
        </w:tabs>
        <w:adjustRightInd w:val="0"/>
        <w:snapToGrid w:val="0"/>
        <w:spacing w:line="480" w:lineRule="auto"/>
        <w:rPr>
          <w:rFonts w:ascii="Times New Roman" w:hAnsi="Times New Roman"/>
          <w:color w:val="auto"/>
          <w:sz w:val="24"/>
          <w:szCs w:val="24"/>
          <w:highlight w:val="none"/>
        </w:rPr>
      </w:pPr>
      <w:r>
        <w:rPr>
          <w:rFonts w:ascii="Times New Roman" w:hAnsi="Times New Roman"/>
          <w:color w:val="auto"/>
          <w:sz w:val="24"/>
          <w:szCs w:val="24"/>
          <w:highlight w:val="none"/>
        </w:rPr>
        <w:t>系（投标人名称）的法定代表人。</w:t>
      </w:r>
    </w:p>
    <w:p>
      <w:pPr>
        <w:tabs>
          <w:tab w:val="left" w:pos="284"/>
          <w:tab w:val="left" w:pos="426"/>
          <w:tab w:val="left" w:pos="709"/>
          <w:tab w:val="left" w:pos="851"/>
        </w:tabs>
        <w:adjustRightInd w:val="0"/>
        <w:snapToGrid w:val="0"/>
        <w:spacing w:line="480" w:lineRule="auto"/>
        <w:rPr>
          <w:rFonts w:ascii="Times New Roman" w:hAnsi="Times New Roman"/>
          <w:color w:val="auto"/>
          <w:sz w:val="24"/>
          <w:szCs w:val="24"/>
          <w:highlight w:val="none"/>
        </w:rPr>
      </w:pPr>
      <w:r>
        <w:rPr>
          <w:rFonts w:ascii="Times New Roman" w:hAnsi="Times New Roman"/>
          <w:color w:val="auto"/>
          <w:sz w:val="24"/>
          <w:szCs w:val="24"/>
          <w:highlight w:val="none"/>
        </w:rPr>
        <w:t>特此证明。</w:t>
      </w:r>
    </w:p>
    <w:p>
      <w:pPr>
        <w:tabs>
          <w:tab w:val="left" w:pos="284"/>
          <w:tab w:val="left" w:pos="426"/>
          <w:tab w:val="left" w:pos="709"/>
          <w:tab w:val="left" w:pos="851"/>
        </w:tabs>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投标人：（盖单位公章）</w:t>
      </w:r>
    </w:p>
    <w:p>
      <w:pPr>
        <w:tabs>
          <w:tab w:val="left" w:pos="284"/>
          <w:tab w:val="left" w:pos="426"/>
          <w:tab w:val="left" w:pos="709"/>
          <w:tab w:val="left" w:pos="851"/>
        </w:tabs>
        <w:adjustRightInd w:val="0"/>
        <w:snapToGrid w:val="0"/>
        <w:spacing w:line="360" w:lineRule="auto"/>
        <w:rPr>
          <w:rFonts w:ascii="Times New Roman" w:hAnsi="Times New Roman"/>
          <w:color w:val="auto"/>
          <w:sz w:val="24"/>
          <w:szCs w:val="24"/>
          <w:highlight w:val="none"/>
        </w:rPr>
      </w:pPr>
    </w:p>
    <w:p>
      <w:pPr>
        <w:tabs>
          <w:tab w:val="left" w:pos="284"/>
          <w:tab w:val="left" w:pos="426"/>
          <w:tab w:val="left" w:pos="709"/>
          <w:tab w:val="left" w:pos="851"/>
        </w:tabs>
        <w:adjustRightInd w:val="0"/>
        <w:snapToGrid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年月日</w:t>
      </w:r>
    </w:p>
    <w:p>
      <w:pPr>
        <w:tabs>
          <w:tab w:val="left" w:pos="284"/>
          <w:tab w:val="left" w:pos="426"/>
          <w:tab w:val="left" w:pos="709"/>
          <w:tab w:val="left" w:pos="851"/>
        </w:tabs>
        <w:adjustRightInd w:val="0"/>
        <w:snapToGrid w:val="0"/>
        <w:rPr>
          <w:rFonts w:ascii="Times New Roman" w:hAnsi="Times New Roman"/>
          <w:b/>
          <w:color w:val="auto"/>
          <w:sz w:val="24"/>
          <w:szCs w:val="24"/>
          <w:highlight w:val="none"/>
        </w:rPr>
      </w:pPr>
    </w:p>
    <w:p>
      <w:pPr>
        <w:tabs>
          <w:tab w:val="left" w:pos="284"/>
          <w:tab w:val="left" w:pos="426"/>
          <w:tab w:val="left" w:pos="709"/>
          <w:tab w:val="left" w:pos="851"/>
        </w:tabs>
        <w:adjustRightInd w:val="0"/>
        <w:snapToGrid w:val="0"/>
        <w:jc w:val="center"/>
        <w:rPr>
          <w:rFonts w:ascii="Times New Roman" w:hAnsi="Times New Roman"/>
          <w:b/>
          <w:color w:val="auto"/>
          <w:sz w:val="24"/>
          <w:szCs w:val="24"/>
          <w:highlight w:val="none"/>
        </w:rPr>
      </w:pPr>
    </w:p>
    <w:p>
      <w:pPr>
        <w:tabs>
          <w:tab w:val="left" w:pos="284"/>
          <w:tab w:val="left" w:pos="426"/>
          <w:tab w:val="left" w:pos="709"/>
          <w:tab w:val="left" w:pos="851"/>
        </w:tabs>
        <w:adjustRightInd w:val="0"/>
        <w:snapToGrid w:val="0"/>
        <w:jc w:val="center"/>
        <w:rPr>
          <w:rFonts w:ascii="Times New Roman" w:hAnsi="Times New Roman" w:eastAsia="黑体"/>
          <w:b/>
          <w:color w:val="auto"/>
          <w:sz w:val="30"/>
          <w:szCs w:val="30"/>
          <w:highlight w:val="none"/>
        </w:rPr>
      </w:pPr>
      <w:r>
        <w:rPr>
          <w:rFonts w:ascii="Times New Roman" w:hAnsi="Times New Roman" w:eastAsia="黑体"/>
          <w:b/>
          <w:color w:val="auto"/>
          <w:sz w:val="30"/>
          <w:szCs w:val="30"/>
          <w:highlight w:val="none"/>
        </w:rPr>
        <w:t>授权委托书</w:t>
      </w:r>
    </w:p>
    <w:p>
      <w:pPr>
        <w:tabs>
          <w:tab w:val="left" w:pos="284"/>
          <w:tab w:val="left" w:pos="426"/>
          <w:tab w:val="left" w:pos="709"/>
          <w:tab w:val="left" w:pos="851"/>
        </w:tabs>
        <w:adjustRightInd w:val="0"/>
        <w:snapToGrid w:val="0"/>
        <w:jc w:val="center"/>
        <w:rPr>
          <w:rFonts w:ascii="Times New Roman" w:hAnsi="Times New Roman"/>
          <w:color w:val="auto"/>
          <w:sz w:val="24"/>
          <w:szCs w:val="24"/>
          <w:highlight w:val="none"/>
        </w:rPr>
      </w:pPr>
    </w:p>
    <w:p>
      <w:pPr>
        <w:tabs>
          <w:tab w:val="left" w:pos="284"/>
          <w:tab w:val="left" w:pos="426"/>
          <w:tab w:val="left" w:pos="709"/>
          <w:tab w:val="left" w:pos="851"/>
        </w:tabs>
        <w:adjustRightInd w:val="0"/>
        <w:snapToGrid w:val="0"/>
        <w:jc w:val="center"/>
        <w:rPr>
          <w:rFonts w:ascii="Times New Roman" w:hAnsi="Times New Roman"/>
          <w:color w:val="auto"/>
          <w:sz w:val="24"/>
          <w:szCs w:val="24"/>
          <w:highlight w:val="none"/>
        </w:rPr>
      </w:pPr>
    </w:p>
    <w:p>
      <w:pPr>
        <w:tabs>
          <w:tab w:val="left" w:pos="284"/>
          <w:tab w:val="left" w:pos="426"/>
          <w:tab w:val="left" w:pos="709"/>
          <w:tab w:val="left" w:pos="851"/>
        </w:tabs>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人（姓名）系（投标人名称）的法定代表人，现委托（姓名）为我方代理人。代理人根据授权，以我方的名义签署、澄清、说明、补正、递交、撤回、修改（项目名称）施工投标文件、签订合同和处理有关事宜，其法律后果由我方承担。</w:t>
      </w:r>
    </w:p>
    <w:p>
      <w:pPr>
        <w:tabs>
          <w:tab w:val="left" w:pos="284"/>
          <w:tab w:val="left" w:pos="426"/>
          <w:tab w:val="left" w:pos="709"/>
          <w:tab w:val="left" w:pos="851"/>
        </w:tabs>
        <w:adjustRightInd w:val="0"/>
        <w:snapToGrid w:val="0"/>
        <w:spacing w:line="360" w:lineRule="auto"/>
        <w:ind w:firstLine="727" w:firstLineChars="303"/>
        <w:rPr>
          <w:rFonts w:ascii="Times New Roman" w:hAnsi="Times New Roman"/>
          <w:color w:val="auto"/>
          <w:sz w:val="24"/>
          <w:szCs w:val="24"/>
          <w:highlight w:val="none"/>
        </w:rPr>
      </w:pPr>
      <w:r>
        <w:rPr>
          <w:rFonts w:ascii="Times New Roman" w:hAnsi="Times New Roman"/>
          <w:color w:val="auto"/>
          <w:sz w:val="24"/>
          <w:szCs w:val="24"/>
          <w:highlight w:val="none"/>
        </w:rPr>
        <w:t>委托期限：。代理人无转委托权。</w:t>
      </w:r>
    </w:p>
    <w:p>
      <w:pPr>
        <w:tabs>
          <w:tab w:val="left" w:pos="284"/>
          <w:tab w:val="left" w:pos="426"/>
          <w:tab w:val="left" w:pos="709"/>
          <w:tab w:val="left" w:pos="851"/>
        </w:tabs>
        <w:adjustRightInd w:val="0"/>
        <w:snapToGrid w:val="0"/>
        <w:spacing w:line="360" w:lineRule="auto"/>
        <w:ind w:firstLine="727" w:firstLineChars="303"/>
        <w:rPr>
          <w:rFonts w:ascii="Times New Roman" w:hAnsi="Times New Roman"/>
          <w:color w:val="auto"/>
          <w:sz w:val="24"/>
          <w:szCs w:val="24"/>
          <w:highlight w:val="none"/>
        </w:rPr>
      </w:pPr>
      <w:r>
        <w:rPr>
          <w:rFonts w:ascii="Times New Roman" w:hAnsi="Times New Roman"/>
          <w:color w:val="auto"/>
          <w:sz w:val="24"/>
          <w:szCs w:val="24"/>
          <w:highlight w:val="none"/>
        </w:rPr>
        <w:t>附：代理人身份证复印件。</w:t>
      </w:r>
    </w:p>
    <w:p>
      <w:pPr>
        <w:tabs>
          <w:tab w:val="left" w:pos="284"/>
          <w:tab w:val="left" w:pos="426"/>
          <w:tab w:val="left" w:pos="709"/>
          <w:tab w:val="left" w:pos="851"/>
        </w:tabs>
        <w:adjustRightInd w:val="0"/>
        <w:snapToGrid w:val="0"/>
        <w:spacing w:line="360" w:lineRule="auto"/>
        <w:ind w:firstLine="775" w:firstLineChars="250"/>
        <w:rPr>
          <w:rFonts w:ascii="Times New Roman" w:hAnsi="Times New Roman"/>
          <w:color w:val="auto"/>
          <w:sz w:val="24"/>
          <w:szCs w:val="24"/>
          <w:highlight w:val="none"/>
        </w:rPr>
      </w:pPr>
      <w:r>
        <w:rPr>
          <w:rFonts w:ascii="Times New Roman" w:hAnsi="Times New Roman"/>
          <w:color w:val="auto"/>
          <w:spacing w:val="35"/>
          <w:kern w:val="0"/>
          <w:sz w:val="24"/>
          <w:szCs w:val="24"/>
          <w:highlight w:val="none"/>
        </w:rPr>
        <w:t>投标</w:t>
      </w:r>
      <w:r>
        <w:rPr>
          <w:rFonts w:ascii="Times New Roman" w:hAnsi="Times New Roman"/>
          <w:color w:val="auto"/>
          <w:kern w:val="0"/>
          <w:sz w:val="24"/>
          <w:szCs w:val="24"/>
          <w:highlight w:val="none"/>
        </w:rPr>
        <w:t>人：</w:t>
      </w:r>
    </w:p>
    <w:p>
      <w:pPr>
        <w:tabs>
          <w:tab w:val="left" w:pos="284"/>
          <w:tab w:val="left" w:pos="426"/>
          <w:tab w:val="left" w:pos="709"/>
          <w:tab w:val="left" w:pos="851"/>
        </w:tabs>
        <w:adjustRightInd w:val="0"/>
        <w:snapToGrid w:val="0"/>
        <w:spacing w:line="360" w:lineRule="auto"/>
        <w:ind w:firstLine="727" w:firstLineChars="303"/>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w:t>
      </w:r>
      <w:r>
        <w:rPr>
          <w:rFonts w:ascii="Times New Roman" w:hAnsi="Times New Roman"/>
          <w:color w:val="auto"/>
          <w:sz w:val="24"/>
          <w:szCs w:val="24"/>
          <w:highlight w:val="none"/>
          <w:u w:val="single"/>
        </w:rPr>
        <w:t>；</w:t>
      </w:r>
      <w:r>
        <w:rPr>
          <w:rFonts w:ascii="Times New Roman" w:hAnsi="Times New Roman"/>
          <w:color w:val="auto"/>
          <w:kern w:val="0"/>
          <w:sz w:val="24"/>
          <w:szCs w:val="24"/>
          <w:highlight w:val="none"/>
        </w:rPr>
        <w:t>身份证号码：</w:t>
      </w:r>
      <w:r>
        <w:rPr>
          <w:rFonts w:ascii="Times New Roman" w:hAnsi="Times New Roman"/>
          <w:color w:val="auto"/>
          <w:sz w:val="24"/>
          <w:szCs w:val="24"/>
          <w:highlight w:val="none"/>
          <w:u w:val="single"/>
        </w:rPr>
        <w:t>；</w:t>
      </w:r>
    </w:p>
    <w:p>
      <w:pPr>
        <w:tabs>
          <w:tab w:val="left" w:pos="284"/>
          <w:tab w:val="left" w:pos="426"/>
          <w:tab w:val="left" w:pos="709"/>
          <w:tab w:val="left" w:pos="851"/>
        </w:tabs>
        <w:adjustRightInd w:val="0"/>
        <w:snapToGrid w:val="0"/>
        <w:spacing w:line="360" w:lineRule="auto"/>
        <w:ind w:firstLine="720" w:firstLineChars="300"/>
        <w:rPr>
          <w:rFonts w:ascii="Times New Roman" w:hAnsi="Times New Roman"/>
          <w:color w:val="auto"/>
          <w:sz w:val="24"/>
          <w:szCs w:val="24"/>
          <w:highlight w:val="none"/>
        </w:rPr>
      </w:pPr>
      <w:r>
        <w:rPr>
          <w:rFonts w:ascii="Times New Roman" w:hAnsi="Times New Roman"/>
          <w:color w:val="auto"/>
          <w:sz w:val="24"/>
          <w:szCs w:val="24"/>
          <w:highlight w:val="none"/>
        </w:rPr>
        <w:t>委托代理人：</w:t>
      </w:r>
      <w:r>
        <w:rPr>
          <w:rFonts w:ascii="Times New Roman" w:hAnsi="Times New Roman"/>
          <w:color w:val="auto"/>
          <w:sz w:val="24"/>
          <w:szCs w:val="24"/>
          <w:highlight w:val="none"/>
          <w:u w:val="single"/>
        </w:rPr>
        <w:t>；</w:t>
      </w:r>
      <w:r>
        <w:rPr>
          <w:rFonts w:ascii="Times New Roman" w:hAnsi="Times New Roman"/>
          <w:color w:val="auto"/>
          <w:kern w:val="0"/>
          <w:sz w:val="24"/>
          <w:szCs w:val="24"/>
          <w:highlight w:val="none"/>
        </w:rPr>
        <w:t>身份证号码：</w:t>
      </w:r>
      <w:r>
        <w:rPr>
          <w:rFonts w:ascii="Times New Roman" w:hAnsi="Times New Roman"/>
          <w:color w:val="auto"/>
          <w:sz w:val="24"/>
          <w:szCs w:val="24"/>
          <w:highlight w:val="none"/>
          <w:u w:val="single"/>
        </w:rPr>
        <w:t>。</w:t>
      </w:r>
    </w:p>
    <w:p>
      <w:pPr>
        <w:tabs>
          <w:tab w:val="left" w:pos="284"/>
          <w:tab w:val="left" w:pos="426"/>
          <w:tab w:val="left" w:pos="709"/>
          <w:tab w:val="left" w:pos="851"/>
        </w:tabs>
        <w:adjustRightInd w:val="0"/>
        <w:snapToGrid w:val="0"/>
        <w:rPr>
          <w:rFonts w:ascii="Times New Roman" w:hAnsi="Times New Roman"/>
          <w:color w:val="auto"/>
          <w:sz w:val="24"/>
          <w:szCs w:val="24"/>
          <w:highlight w:val="none"/>
        </w:rPr>
      </w:pPr>
    </w:p>
    <w:p>
      <w:pPr>
        <w:tabs>
          <w:tab w:val="left" w:pos="284"/>
          <w:tab w:val="left" w:pos="426"/>
          <w:tab w:val="left" w:pos="709"/>
          <w:tab w:val="left" w:pos="851"/>
        </w:tabs>
        <w:adjustRightInd w:val="0"/>
        <w:snapToGrid w:val="0"/>
        <w:jc w:val="right"/>
        <w:rPr>
          <w:rFonts w:ascii="Times New Roman" w:hAnsi="Times New Roman"/>
          <w:color w:val="auto"/>
          <w:sz w:val="24"/>
          <w:szCs w:val="24"/>
          <w:highlight w:val="none"/>
        </w:rPr>
      </w:pPr>
      <w:r>
        <w:rPr>
          <w:rFonts w:ascii="Times New Roman" w:hAnsi="Times New Roman"/>
          <w:color w:val="auto"/>
          <w:sz w:val="24"/>
          <w:szCs w:val="24"/>
          <w:highlight w:val="none"/>
        </w:rPr>
        <w:t>年月日</w:t>
      </w:r>
    </w:p>
    <w:p>
      <w:pPr>
        <w:pStyle w:val="124"/>
        <w:spacing w:beforeLines="0" w:afterLines="0" w:line="360" w:lineRule="auto"/>
        <w:rPr>
          <w:color w:val="auto"/>
          <w:highlight w:val="none"/>
        </w:rPr>
      </w:pPr>
      <w:r>
        <w:rPr>
          <w:color w:val="auto"/>
          <w:highlight w:val="none"/>
        </w:rPr>
        <w:br w:type="page"/>
      </w:r>
      <w:bookmarkStart w:id="50" w:name="_Toc80289090"/>
      <w:r>
        <w:rPr>
          <w:rFonts w:hint="eastAsia" w:ascii="宋体" w:eastAsia="宋体"/>
          <w:color w:val="auto"/>
          <w:highlight w:val="none"/>
        </w:rPr>
        <w:t>格式九：施工投标承诺函</w:t>
      </w:r>
      <w:bookmarkEnd w:id="50"/>
    </w:p>
    <w:p>
      <w:pPr>
        <w:pStyle w:val="113"/>
        <w:rPr>
          <w:rFonts w:ascii="宋体" w:eastAsia="宋体"/>
          <w:color w:val="auto"/>
          <w:highlight w:val="none"/>
        </w:rPr>
      </w:pPr>
    </w:p>
    <w:p>
      <w:pPr>
        <w:pStyle w:val="113"/>
        <w:rPr>
          <w:rFonts w:ascii="宋体" w:hAnsi="宋体" w:eastAsia="宋体" w:cs="宋体"/>
          <w:color w:val="auto"/>
          <w:highlight w:val="none"/>
        </w:rPr>
      </w:pPr>
      <w:r>
        <w:rPr>
          <w:rFonts w:hint="eastAsia" w:ascii="宋体" w:eastAsia="宋体"/>
          <w:color w:val="auto"/>
          <w:highlight w:val="none"/>
        </w:rPr>
        <w:t>施工投标承诺函</w:t>
      </w:r>
      <w:r>
        <w:rPr>
          <w:rFonts w:hint="eastAsia" w:ascii="宋体" w:hAnsi="宋体" w:eastAsia="宋体" w:cs="宋体"/>
          <w:color w:val="auto"/>
          <w:highlight w:val="none"/>
        </w:rPr>
        <w:t>（技术标）</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致：</w:t>
      </w:r>
      <w:r>
        <w:rPr>
          <w:rFonts w:hint="eastAsia"/>
          <w:bCs/>
          <w:color w:val="auto"/>
          <w:sz w:val="24"/>
          <w:szCs w:val="24"/>
          <w:highlight w:val="none"/>
          <w:u w:val="single"/>
        </w:rPr>
        <w:t>肇庆华海能源投资有限公司</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 xml:space="preserve">1.根据招标人 </w:t>
      </w:r>
      <w:r>
        <w:rPr>
          <w:rFonts w:hint="eastAsia"/>
          <w:bCs/>
          <w:color w:val="auto"/>
          <w:sz w:val="24"/>
          <w:szCs w:val="24"/>
          <w:highlight w:val="none"/>
          <w:u w:val="single"/>
        </w:rPr>
        <w:t>（项目名称）</w:t>
      </w:r>
      <w:r>
        <w:rPr>
          <w:rFonts w:hint="eastAsia" w:ascii="宋体" w:hAnsi="宋体"/>
          <w:color w:val="auto"/>
          <w:sz w:val="24"/>
          <w:szCs w:val="24"/>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2.我方已详细审核全部招标文件，包括澄清、说明和修改文件（如有时）及有关附件。</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3.如果我方中标，我方保证按照合同文件中规定的开工日期开始施工，并按规定的预计竣工日期完成和交付全部工程。</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4.如果我方中标，我方承诺在充分考虑场地环境变化及政策性调整等风险因素的前提下，继续补充完善施工组织设计，直至招标人满意为止并加以实施，由此产生的费用已包含在投标报价中。</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6.如果我方中标，我方将按照招标文件的规定，按时提交履约担保（按合同要求），以保障本项目优质、优价、按期、顺利完成。</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7.我方同意所提交的投标文件在招标文件投标须知中第1</w:t>
      </w:r>
      <w:r>
        <w:rPr>
          <w:rFonts w:ascii="宋体" w:hAnsi="宋体"/>
          <w:color w:val="auto"/>
          <w:sz w:val="24"/>
          <w:szCs w:val="24"/>
          <w:highlight w:val="none"/>
        </w:rPr>
        <w:t>3</w:t>
      </w:r>
      <w:r>
        <w:rPr>
          <w:rFonts w:hint="eastAsia" w:ascii="宋体" w:hAnsi="宋体"/>
          <w:color w:val="auto"/>
          <w:sz w:val="24"/>
          <w:szCs w:val="24"/>
          <w:highlight w:val="none"/>
        </w:rPr>
        <w:t>条规定的投标有效期内有效，在此期限届满之前，本投标书始终将对我方具有约束力，并随时接受中标。</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8.在合同协议书正式签署生效之前，本投标书连同你单位的中标通知书将构成我们双方之间共同遵守的文件，对双方具有约束力。</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9.随同本投标文件，我方已提交人民币</w:t>
      </w:r>
      <w:r>
        <w:rPr>
          <w:rFonts w:hint="eastAsia" w:ascii="宋体" w:hAnsi="宋体"/>
          <w:color w:val="auto"/>
          <w:sz w:val="24"/>
          <w:szCs w:val="24"/>
          <w:highlight w:val="none"/>
          <w:u w:val="single"/>
        </w:rPr>
        <w:t>20</w:t>
      </w:r>
      <w:r>
        <w:rPr>
          <w:rFonts w:hint="eastAsia" w:ascii="宋体" w:hAnsi="宋体"/>
          <w:color w:val="auto"/>
          <w:sz w:val="24"/>
          <w:szCs w:val="24"/>
          <w:highlight w:val="none"/>
        </w:rPr>
        <w:t>万元的投标担保。如果我方在投标文件有效期内撤回投标文件；或在接到中标通知书后</w:t>
      </w:r>
      <w:r>
        <w:rPr>
          <w:rFonts w:ascii="宋体" w:hAnsi="宋体"/>
          <w:color w:val="auto"/>
          <w:sz w:val="24"/>
          <w:szCs w:val="24"/>
          <w:highlight w:val="none"/>
        </w:rPr>
        <w:t>30</w:t>
      </w:r>
      <w:r>
        <w:rPr>
          <w:rFonts w:hint="eastAsia" w:ascii="宋体" w:hAnsi="宋体"/>
          <w:color w:val="auto"/>
          <w:sz w:val="24"/>
          <w:szCs w:val="24"/>
          <w:highlight w:val="none"/>
        </w:rPr>
        <w:t>天内未能或拒绝签订合同协议书；或未能按招标文件要求提交履约担保，你单位有权没收投标保证金，另选中标单位。</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10.我方理解，你单位不一定接受最低标价的投标或你单位接到的其它任何投标。同时也理解，你单位不负担我方的任何投标费用。</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投 标 人：（盖章）</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法定代表人或授权代理人（签字或签章）：</w:t>
      </w:r>
    </w:p>
    <w:p>
      <w:pPr>
        <w:pStyle w:val="5"/>
        <w:spacing w:after="0" w:line="360" w:lineRule="auto"/>
        <w:ind w:left="-2" w:leftChars="-1" w:firstLine="540" w:firstLineChars="225"/>
        <w:jc w:val="right"/>
        <w:rPr>
          <w:rFonts w:ascii="宋体" w:hAnsi="宋体"/>
          <w:color w:val="auto"/>
          <w:sz w:val="24"/>
          <w:szCs w:val="24"/>
          <w:highlight w:val="none"/>
        </w:rPr>
      </w:pPr>
      <w:r>
        <w:rPr>
          <w:rFonts w:hint="eastAsia" w:ascii="宋体" w:hAnsi="宋体"/>
          <w:color w:val="auto"/>
          <w:sz w:val="24"/>
          <w:szCs w:val="24"/>
          <w:highlight w:val="none"/>
        </w:rPr>
        <w:t xml:space="preserve">日    期：    年    月    日 </w:t>
      </w:r>
    </w:p>
    <w:p>
      <w:pPr>
        <w:pStyle w:val="5"/>
        <w:spacing w:after="0" w:line="360" w:lineRule="auto"/>
        <w:ind w:left="-2" w:leftChars="-1" w:firstLine="540" w:firstLineChars="225"/>
        <w:jc w:val="right"/>
        <w:rPr>
          <w:rFonts w:ascii="宋体" w:hAnsi="宋体"/>
          <w:color w:val="auto"/>
          <w:sz w:val="24"/>
          <w:szCs w:val="24"/>
          <w:highlight w:val="none"/>
        </w:rPr>
      </w:pPr>
    </w:p>
    <w:p>
      <w:pPr>
        <w:pStyle w:val="5"/>
        <w:spacing w:after="0" w:line="360" w:lineRule="auto"/>
        <w:ind w:left="-2" w:leftChars="-1" w:firstLine="540" w:firstLineChars="225"/>
        <w:jc w:val="right"/>
        <w:rPr>
          <w:rFonts w:ascii="宋体" w:hAnsi="宋体"/>
          <w:color w:val="auto"/>
          <w:sz w:val="24"/>
          <w:szCs w:val="24"/>
          <w:highlight w:val="none"/>
        </w:rPr>
      </w:pPr>
    </w:p>
    <w:p>
      <w:pPr>
        <w:rPr>
          <w:color w:val="auto"/>
          <w:highlight w:val="none"/>
        </w:rPr>
      </w:pPr>
    </w:p>
    <w:p>
      <w:pPr>
        <w:pStyle w:val="124"/>
        <w:spacing w:beforeLines="0" w:afterLines="0" w:line="360" w:lineRule="auto"/>
        <w:rPr>
          <w:color w:val="auto"/>
          <w:highlight w:val="none"/>
        </w:rPr>
      </w:pPr>
      <w:r>
        <w:rPr>
          <w:rFonts w:ascii="宋体" w:eastAsia="宋体"/>
          <w:color w:val="auto"/>
          <w:highlight w:val="none"/>
        </w:rPr>
        <w:br w:type="page"/>
      </w:r>
      <w:bookmarkStart w:id="51" w:name="_Toc80289091"/>
      <w:r>
        <w:rPr>
          <w:rFonts w:hint="eastAsia" w:ascii="宋体" w:eastAsia="宋体"/>
          <w:color w:val="auto"/>
          <w:highlight w:val="none"/>
        </w:rPr>
        <w:t>格式十：主要机械设备表</w:t>
      </w:r>
      <w:bookmarkEnd w:id="51"/>
    </w:p>
    <w:p>
      <w:pPr>
        <w:jc w:val="center"/>
        <w:rPr>
          <w:rFonts w:ascii="宋体" w:hAnsi="宋体"/>
          <w:color w:val="auto"/>
          <w:sz w:val="24"/>
          <w:szCs w:val="24"/>
          <w:highlight w:val="none"/>
          <w:u w:val="single"/>
        </w:rPr>
      </w:pPr>
    </w:p>
    <w:p>
      <w:pPr>
        <w:pStyle w:val="8"/>
        <w:ind w:firstLine="480"/>
        <w:rPr>
          <w:rFonts w:ascii="宋体" w:hAnsi="宋体"/>
          <w:color w:val="auto"/>
          <w:sz w:val="24"/>
          <w:szCs w:val="24"/>
          <w:highlight w:val="none"/>
          <w:u w:val="single"/>
        </w:rPr>
      </w:pPr>
      <w:r>
        <w:rPr>
          <w:rFonts w:hint="eastAsia" w:ascii="宋体" w:hAnsi="宋体"/>
          <w:color w:val="auto"/>
          <w:sz w:val="24"/>
          <w:szCs w:val="24"/>
          <w:highlight w:val="none"/>
          <w:u w:val="single"/>
        </w:rPr>
        <w:t>格式自定。</w:t>
      </w:r>
    </w:p>
    <w:p>
      <w:pPr>
        <w:autoSpaceDE w:val="0"/>
        <w:autoSpaceDN w:val="0"/>
        <w:adjustRightInd w:val="0"/>
        <w:rPr>
          <w:rFonts w:ascii="宋体" w:hAnsi="宋体"/>
          <w:color w:val="auto"/>
          <w:szCs w:val="21"/>
          <w:highlight w:val="none"/>
        </w:rPr>
      </w:pPr>
    </w:p>
    <w:p>
      <w:pPr>
        <w:pStyle w:val="82"/>
        <w:ind w:firstLine="198" w:firstLineChars="80"/>
        <w:jc w:val="left"/>
        <w:rPr>
          <w:rFonts w:ascii="宋体" w:hAnsi="宋体"/>
          <w:color w:val="auto"/>
          <w:szCs w:val="21"/>
          <w:highlight w:val="none"/>
        </w:rPr>
      </w:pPr>
    </w:p>
    <w:p>
      <w:pPr>
        <w:tabs>
          <w:tab w:val="left" w:pos="720"/>
        </w:tabs>
        <w:snapToGrid w:val="0"/>
        <w:spacing w:line="360" w:lineRule="auto"/>
        <w:ind w:firstLine="420"/>
        <w:rPr>
          <w:rFonts w:ascii="宋体" w:hAnsi="宋体"/>
          <w:color w:val="auto"/>
          <w:szCs w:val="21"/>
          <w:highlight w:val="none"/>
        </w:rPr>
      </w:pPr>
    </w:p>
    <w:p>
      <w:pPr>
        <w:pStyle w:val="124"/>
        <w:spacing w:beforeLines="0" w:afterLines="0" w:line="360" w:lineRule="auto"/>
        <w:rPr>
          <w:color w:val="auto"/>
          <w:highlight w:val="none"/>
        </w:rPr>
      </w:pPr>
      <w:r>
        <w:rPr>
          <w:rFonts w:ascii="宋体" w:eastAsia="宋体"/>
          <w:color w:val="auto"/>
          <w:highlight w:val="none"/>
        </w:rPr>
        <w:br w:type="page"/>
      </w:r>
      <w:bookmarkStart w:id="52" w:name="_Toc80289092"/>
      <w:r>
        <w:rPr>
          <w:rFonts w:hint="eastAsia" w:ascii="宋体" w:eastAsia="宋体"/>
          <w:color w:val="auto"/>
          <w:highlight w:val="none"/>
        </w:rPr>
        <w:t>格式十一：投标人认为应该提供的其他资料</w:t>
      </w:r>
      <w:bookmarkEnd w:id="52"/>
    </w:p>
    <w:p>
      <w:pPr>
        <w:jc w:val="center"/>
        <w:rPr>
          <w:rFonts w:ascii="宋体" w:hAnsi="宋体"/>
          <w:color w:val="auto"/>
          <w:sz w:val="24"/>
          <w:szCs w:val="24"/>
          <w:highlight w:val="none"/>
          <w:u w:val="single"/>
        </w:rPr>
      </w:pPr>
    </w:p>
    <w:p>
      <w:pPr>
        <w:spacing w:line="360" w:lineRule="auto"/>
        <w:rPr>
          <w:rFonts w:ascii="宋体" w:hAnsi="宋体"/>
          <w:color w:val="auto"/>
          <w:sz w:val="24"/>
          <w:szCs w:val="24"/>
          <w:highlight w:val="none"/>
          <w:u w:val="single"/>
        </w:rPr>
      </w:pPr>
      <w:r>
        <w:rPr>
          <w:rFonts w:hint="eastAsia" w:ascii="宋体" w:hAnsi="宋体"/>
          <w:color w:val="auto"/>
          <w:sz w:val="24"/>
          <w:szCs w:val="24"/>
          <w:highlight w:val="none"/>
          <w:u w:val="single"/>
        </w:rPr>
        <w:t>包括但不限于：</w:t>
      </w:r>
    </w:p>
    <w:p>
      <w:pPr>
        <w:spacing w:line="360" w:lineRule="auto"/>
        <w:ind w:firstLine="360" w:firstLineChars="150"/>
        <w:rPr>
          <w:rFonts w:ascii="宋体" w:hAnsi="宋体"/>
          <w:color w:val="auto"/>
          <w:sz w:val="24"/>
          <w:szCs w:val="24"/>
          <w:highlight w:val="none"/>
          <w:u w:val="single"/>
        </w:rPr>
      </w:pPr>
      <w:r>
        <w:rPr>
          <w:rFonts w:hint="eastAsia" w:ascii="宋体" w:hAnsi="宋体"/>
          <w:color w:val="auto"/>
          <w:sz w:val="24"/>
          <w:szCs w:val="24"/>
          <w:highlight w:val="none"/>
          <w:u w:val="single"/>
        </w:rPr>
        <w:t>1、定标辅助文件扫描件（由投标人根据定性评审表的内容，清晰、有条理、有针对性地编制，各部分文字应直接简炼，不得出现大量宣传性及无实质性意义或直接引用范本照搬照套的描述）；</w:t>
      </w:r>
    </w:p>
    <w:p>
      <w:pPr>
        <w:pStyle w:val="8"/>
        <w:spacing w:line="360" w:lineRule="auto"/>
        <w:rPr>
          <w:rFonts w:ascii="宋体" w:hAnsi="宋体"/>
          <w:color w:val="auto"/>
          <w:sz w:val="24"/>
          <w:szCs w:val="24"/>
          <w:highlight w:val="none"/>
          <w:u w:val="single"/>
        </w:rPr>
      </w:pPr>
      <w:r>
        <w:rPr>
          <w:rFonts w:hint="eastAsia" w:ascii="宋体" w:hAnsi="宋体"/>
          <w:color w:val="auto"/>
          <w:sz w:val="24"/>
          <w:szCs w:val="24"/>
          <w:highlight w:val="none"/>
          <w:u w:val="single"/>
        </w:rPr>
        <w:t>2、投标人认为应该提供的其他资料。</w:t>
      </w:r>
    </w:p>
    <w:p>
      <w:pPr>
        <w:autoSpaceDE w:val="0"/>
        <w:autoSpaceDN w:val="0"/>
        <w:adjustRightInd w:val="0"/>
        <w:rPr>
          <w:rFonts w:ascii="宋体" w:hAnsi="宋体"/>
          <w:color w:val="auto"/>
          <w:szCs w:val="21"/>
          <w:highlight w:val="none"/>
        </w:rPr>
      </w:pPr>
    </w:p>
    <w:p>
      <w:pPr>
        <w:pStyle w:val="82"/>
        <w:ind w:firstLine="198" w:firstLineChars="80"/>
        <w:jc w:val="left"/>
        <w:rPr>
          <w:rFonts w:ascii="宋体" w:hAnsi="宋体"/>
          <w:color w:val="auto"/>
          <w:szCs w:val="21"/>
          <w:highlight w:val="none"/>
        </w:rPr>
      </w:pPr>
    </w:p>
    <w:p>
      <w:pPr>
        <w:tabs>
          <w:tab w:val="left" w:pos="720"/>
        </w:tabs>
        <w:snapToGrid w:val="0"/>
        <w:spacing w:line="360" w:lineRule="auto"/>
        <w:ind w:firstLine="420"/>
        <w:rPr>
          <w:rFonts w:ascii="宋体" w:hAnsi="宋体"/>
          <w:color w:val="auto"/>
          <w:szCs w:val="21"/>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117"/>
        <w:spacing w:beforeLines="0" w:afterLines="0" w:line="360" w:lineRule="auto"/>
        <w:outlineLvl w:val="0"/>
        <w:rPr>
          <w:rFonts w:ascii="宋体" w:hAnsi="宋体" w:eastAsia="宋体"/>
          <w:color w:val="auto"/>
          <w:highlight w:val="none"/>
        </w:rPr>
      </w:pPr>
      <w:bookmarkStart w:id="53" w:name="_Toc532475801"/>
      <w:bookmarkStart w:id="54" w:name="_Toc510963900"/>
      <w:bookmarkStart w:id="55" w:name="_Toc532475368"/>
      <w:bookmarkStart w:id="56" w:name="_Toc80289093"/>
      <w:r>
        <w:rPr>
          <w:rFonts w:hint="eastAsia" w:ascii="宋体" w:hAnsi="宋体" w:eastAsia="宋体"/>
          <w:color w:val="auto"/>
          <w:highlight w:val="none"/>
        </w:rPr>
        <w:t>二、经济标投标文件格式</w:t>
      </w:r>
      <w:bookmarkEnd w:id="53"/>
      <w:bookmarkEnd w:id="54"/>
      <w:bookmarkEnd w:id="55"/>
      <w:bookmarkEnd w:id="56"/>
    </w:p>
    <w:p>
      <w:pPr>
        <w:pStyle w:val="82"/>
        <w:ind w:firstLine="496"/>
        <w:rPr>
          <w:rFonts w:ascii="宋体" w:hAnsi="宋体"/>
          <w:color w:val="auto"/>
          <w:highlight w:val="none"/>
        </w:rPr>
      </w:pPr>
    </w:p>
    <w:p>
      <w:pPr>
        <w:pStyle w:val="124"/>
        <w:spacing w:beforeLines="0" w:afterLines="0" w:line="360" w:lineRule="auto"/>
        <w:rPr>
          <w:rFonts w:ascii="宋体" w:eastAsia="宋体"/>
          <w:color w:val="auto"/>
          <w:highlight w:val="none"/>
        </w:rPr>
      </w:pPr>
      <w:r>
        <w:rPr>
          <w:rFonts w:ascii="宋体" w:eastAsia="宋体"/>
          <w:b w:val="0"/>
          <w:color w:val="auto"/>
          <w:highlight w:val="none"/>
        </w:rPr>
        <w:br w:type="page"/>
      </w:r>
      <w:bookmarkStart w:id="57" w:name="_Toc532475802"/>
      <w:bookmarkStart w:id="58" w:name="_Toc532475369"/>
      <w:bookmarkStart w:id="59" w:name="_Toc80289094"/>
      <w:bookmarkStart w:id="60" w:name="_Toc510963901"/>
      <w:r>
        <w:rPr>
          <w:rFonts w:hint="eastAsia" w:ascii="宋体" w:eastAsia="宋体"/>
          <w:color w:val="auto"/>
          <w:highlight w:val="none"/>
        </w:rPr>
        <w:t>格式一：经济标封面</w:t>
      </w:r>
      <w:bookmarkEnd w:id="57"/>
      <w:bookmarkEnd w:id="58"/>
      <w:bookmarkEnd w:id="59"/>
      <w:bookmarkEnd w:id="60"/>
    </w:p>
    <w:p>
      <w:pPr>
        <w:pStyle w:val="82"/>
        <w:ind w:firstLine="496"/>
        <w:rPr>
          <w:rFonts w:ascii="宋体" w:hAnsi="宋体"/>
          <w:color w:val="auto"/>
          <w:highlight w:val="none"/>
        </w:rPr>
      </w:pPr>
    </w:p>
    <w:p>
      <w:pPr>
        <w:pStyle w:val="82"/>
        <w:ind w:firstLine="496"/>
        <w:rPr>
          <w:rFonts w:ascii="宋体" w:hAnsi="宋体"/>
          <w:color w:val="auto"/>
          <w:highlight w:val="none"/>
        </w:rPr>
      </w:pPr>
    </w:p>
    <w:p>
      <w:pPr>
        <w:pStyle w:val="120"/>
        <w:rPr>
          <w:rFonts w:ascii="宋体" w:hAnsi="宋体" w:eastAsia="宋体"/>
          <w:b w:val="0"/>
          <w:color w:val="auto"/>
          <w:highlight w:val="none"/>
          <w:u w:val="single"/>
        </w:rPr>
      </w:pPr>
      <w:r>
        <w:rPr>
          <w:rFonts w:hint="eastAsia" w:ascii="宋体" w:hAnsi="宋体" w:eastAsia="宋体"/>
          <w:b w:val="0"/>
          <w:color w:val="auto"/>
          <w:highlight w:val="none"/>
          <w:u w:val="single"/>
        </w:rPr>
        <w:t xml:space="preserve">[工程名称] </w:t>
      </w:r>
    </w:p>
    <w:p>
      <w:pPr>
        <w:pStyle w:val="82"/>
        <w:ind w:firstLine="496"/>
        <w:rPr>
          <w:rFonts w:ascii="宋体" w:hAnsi="宋体"/>
          <w:color w:val="auto"/>
          <w:highlight w:val="none"/>
        </w:rPr>
      </w:pPr>
    </w:p>
    <w:p>
      <w:pPr>
        <w:pStyle w:val="82"/>
        <w:ind w:firstLine="496"/>
        <w:rPr>
          <w:rFonts w:ascii="宋体" w:hAnsi="宋体"/>
          <w:color w:val="auto"/>
          <w:highlight w:val="none"/>
        </w:rPr>
      </w:pPr>
    </w:p>
    <w:p>
      <w:pPr>
        <w:pStyle w:val="82"/>
        <w:ind w:firstLine="496"/>
        <w:rPr>
          <w:rFonts w:ascii="宋体" w:hAnsi="宋体"/>
          <w:color w:val="auto"/>
          <w:highlight w:val="none"/>
        </w:rPr>
      </w:pPr>
    </w:p>
    <w:p>
      <w:pPr>
        <w:pStyle w:val="82"/>
        <w:ind w:firstLine="496"/>
        <w:rPr>
          <w:rFonts w:ascii="宋体" w:hAnsi="宋体"/>
          <w:color w:val="auto"/>
          <w:highlight w:val="none"/>
        </w:rPr>
      </w:pPr>
    </w:p>
    <w:p>
      <w:pPr>
        <w:pStyle w:val="127"/>
        <w:rPr>
          <w:rFonts w:ascii="宋体" w:hAnsi="宋体" w:eastAsia="宋体"/>
          <w:b w:val="0"/>
          <w:color w:val="auto"/>
          <w:highlight w:val="none"/>
        </w:rPr>
      </w:pPr>
      <w:r>
        <w:rPr>
          <w:rFonts w:hint="eastAsia" w:ascii="宋体" w:hAnsi="宋体" w:eastAsia="宋体"/>
          <w:b w:val="0"/>
          <w:color w:val="auto"/>
          <w:highlight w:val="none"/>
        </w:rPr>
        <w:t>投标文件</w:t>
      </w:r>
    </w:p>
    <w:p>
      <w:pPr>
        <w:pStyle w:val="120"/>
        <w:rPr>
          <w:rFonts w:ascii="宋体" w:hAnsi="宋体" w:eastAsia="宋体"/>
          <w:b w:val="0"/>
          <w:color w:val="auto"/>
          <w:highlight w:val="none"/>
        </w:rPr>
      </w:pPr>
      <w:r>
        <w:rPr>
          <w:rFonts w:hint="eastAsia" w:ascii="宋体" w:hAnsi="宋体" w:eastAsia="宋体"/>
          <w:b w:val="0"/>
          <w:color w:val="auto"/>
          <w:highlight w:val="none"/>
        </w:rPr>
        <w:t>经济投标文件</w:t>
      </w:r>
    </w:p>
    <w:p>
      <w:pPr>
        <w:pStyle w:val="82"/>
        <w:ind w:firstLine="496"/>
        <w:rPr>
          <w:rFonts w:ascii="宋体" w:hAnsi="宋体"/>
          <w:color w:val="auto"/>
          <w:highlight w:val="none"/>
        </w:rPr>
      </w:pPr>
    </w:p>
    <w:p>
      <w:pPr>
        <w:pStyle w:val="82"/>
        <w:ind w:firstLine="496"/>
        <w:rPr>
          <w:rFonts w:ascii="宋体" w:hAnsi="宋体"/>
          <w:color w:val="auto"/>
          <w:highlight w:val="none"/>
        </w:rPr>
      </w:pPr>
    </w:p>
    <w:p>
      <w:pPr>
        <w:pStyle w:val="82"/>
        <w:ind w:firstLine="496"/>
        <w:rPr>
          <w:rFonts w:ascii="宋体" w:hAnsi="宋体"/>
          <w:color w:val="auto"/>
          <w:highlight w:val="none"/>
        </w:rPr>
      </w:pPr>
    </w:p>
    <w:p>
      <w:pPr>
        <w:pStyle w:val="82"/>
        <w:ind w:firstLine="496"/>
        <w:rPr>
          <w:rFonts w:ascii="宋体" w:hAnsi="宋体"/>
          <w:color w:val="auto"/>
          <w:highlight w:val="none"/>
        </w:rPr>
      </w:pPr>
    </w:p>
    <w:p>
      <w:pPr>
        <w:pStyle w:val="82"/>
        <w:ind w:firstLine="496"/>
        <w:rPr>
          <w:rFonts w:ascii="宋体" w:hAnsi="宋体"/>
          <w:color w:val="auto"/>
          <w:highlight w:val="none"/>
        </w:rPr>
      </w:pPr>
    </w:p>
    <w:p>
      <w:pPr>
        <w:pStyle w:val="82"/>
        <w:ind w:firstLine="496"/>
        <w:rPr>
          <w:rFonts w:ascii="宋体" w:hAnsi="宋体"/>
          <w:color w:val="auto"/>
          <w:highlight w:val="none"/>
        </w:rPr>
      </w:pPr>
    </w:p>
    <w:p>
      <w:pPr>
        <w:pStyle w:val="126"/>
        <w:ind w:firstLine="616"/>
        <w:rPr>
          <w:rFonts w:ascii="宋体" w:hAnsi="宋体" w:eastAsia="宋体"/>
          <w:color w:val="auto"/>
          <w:highlight w:val="none"/>
        </w:rPr>
      </w:pPr>
      <w:r>
        <w:rPr>
          <w:rFonts w:hint="eastAsia" w:ascii="宋体" w:hAnsi="宋体" w:eastAsia="宋体"/>
          <w:color w:val="auto"/>
          <w:highlight w:val="none"/>
        </w:rPr>
        <w:t>投标人：</w:t>
      </w:r>
      <w:r>
        <w:rPr>
          <w:rFonts w:hint="eastAsia" w:ascii="宋体" w:hAnsi="宋体" w:eastAsia="宋体"/>
          <w:color w:val="auto"/>
          <w:highlight w:val="none"/>
          <w:u w:val="single"/>
        </w:rPr>
        <w:t>（填写投标人单位名称）       （盖章）</w:t>
      </w:r>
    </w:p>
    <w:p>
      <w:pPr>
        <w:pStyle w:val="126"/>
        <w:ind w:firstLine="616"/>
        <w:rPr>
          <w:rFonts w:ascii="宋体" w:hAnsi="宋体" w:eastAsia="宋体"/>
          <w:color w:val="auto"/>
          <w:highlight w:val="none"/>
        </w:rPr>
      </w:pPr>
    </w:p>
    <w:p>
      <w:pPr>
        <w:pStyle w:val="126"/>
        <w:ind w:firstLine="616"/>
        <w:rPr>
          <w:rFonts w:ascii="宋体" w:hAnsi="宋体" w:eastAsia="宋体"/>
          <w:color w:val="auto"/>
          <w:highlight w:val="none"/>
        </w:rPr>
      </w:pPr>
      <w:r>
        <w:rPr>
          <w:rFonts w:hint="eastAsia" w:ascii="宋体" w:hAnsi="宋体" w:eastAsia="宋体"/>
          <w:color w:val="auto"/>
          <w:highlight w:val="none"/>
        </w:rPr>
        <w:t>法定代表人或</w:t>
      </w:r>
    </w:p>
    <w:p>
      <w:pPr>
        <w:pStyle w:val="126"/>
        <w:ind w:firstLine="616"/>
        <w:rPr>
          <w:rFonts w:ascii="宋体" w:hAnsi="宋体" w:eastAsia="宋体"/>
          <w:color w:val="auto"/>
          <w:highlight w:val="none"/>
        </w:rPr>
      </w:pPr>
      <w:r>
        <w:rPr>
          <w:rFonts w:hint="eastAsia" w:ascii="宋体" w:hAnsi="宋体" w:eastAsia="宋体"/>
          <w:color w:val="auto"/>
          <w:highlight w:val="none"/>
        </w:rPr>
        <w:t>其委托代理人：</w:t>
      </w:r>
      <w:r>
        <w:rPr>
          <w:rFonts w:hint="eastAsia" w:ascii="宋体" w:hAnsi="宋体" w:eastAsia="宋体"/>
          <w:color w:val="auto"/>
          <w:highlight w:val="none"/>
          <w:u w:val="single"/>
        </w:rPr>
        <w:t xml:space="preserve">                     （签字或盖章）</w:t>
      </w:r>
    </w:p>
    <w:p>
      <w:pPr>
        <w:pStyle w:val="126"/>
        <w:ind w:firstLine="616"/>
        <w:rPr>
          <w:rFonts w:ascii="宋体" w:hAnsi="宋体" w:eastAsia="宋体"/>
          <w:color w:val="auto"/>
          <w:highlight w:val="none"/>
        </w:rPr>
      </w:pPr>
      <w:r>
        <w:rPr>
          <w:rFonts w:hint="eastAsia" w:ascii="宋体" w:hAnsi="宋体" w:eastAsia="宋体"/>
          <w:color w:val="auto"/>
          <w:highlight w:val="none"/>
        </w:rPr>
        <w:t>日  期：</w:t>
      </w:r>
    </w:p>
    <w:p>
      <w:pPr>
        <w:rPr>
          <w:rFonts w:ascii="宋体" w:hAnsi="宋体"/>
          <w:color w:val="auto"/>
          <w:highlight w:val="none"/>
        </w:rPr>
      </w:pPr>
      <w:r>
        <w:rPr>
          <w:rFonts w:ascii="宋体" w:hAnsi="宋体"/>
          <w:color w:val="auto"/>
          <w:highlight w:val="none"/>
        </w:rPr>
        <w:br w:type="page"/>
      </w:r>
      <w:bookmarkStart w:id="61" w:name="_Toc532475804"/>
      <w:bookmarkStart w:id="62" w:name="_Toc510963903"/>
      <w:bookmarkStart w:id="63" w:name="_Toc532475371"/>
    </w:p>
    <w:p>
      <w:pPr>
        <w:pStyle w:val="124"/>
        <w:spacing w:beforeLines="0" w:afterLines="0" w:line="360" w:lineRule="auto"/>
        <w:rPr>
          <w:rFonts w:ascii="宋体" w:eastAsia="宋体"/>
          <w:color w:val="auto"/>
          <w:highlight w:val="none"/>
        </w:rPr>
      </w:pPr>
      <w:bookmarkStart w:id="64" w:name="_Toc80289095"/>
      <w:r>
        <w:rPr>
          <w:rFonts w:hint="eastAsia" w:ascii="宋体" w:eastAsia="宋体"/>
          <w:color w:val="auto"/>
          <w:highlight w:val="none"/>
        </w:rPr>
        <w:t>格式二：</w:t>
      </w:r>
      <w:bookmarkEnd w:id="61"/>
      <w:bookmarkEnd w:id="62"/>
      <w:bookmarkEnd w:id="63"/>
      <w:bookmarkEnd w:id="64"/>
      <w:r>
        <w:rPr>
          <w:rFonts w:hint="eastAsia" w:ascii="宋体" w:eastAsia="宋体"/>
          <w:color w:val="auto"/>
          <w:highlight w:val="none"/>
          <w:lang w:val="zh-CN"/>
        </w:rPr>
        <w:t>经济标投标书</w:t>
      </w:r>
    </w:p>
    <w:p>
      <w:pPr>
        <w:pStyle w:val="82"/>
        <w:ind w:firstLine="498"/>
        <w:rPr>
          <w:rFonts w:ascii="宋体" w:hAnsi="宋体"/>
          <w:b/>
          <w:color w:val="auto"/>
          <w:highlight w:val="none"/>
        </w:rPr>
      </w:pPr>
    </w:p>
    <w:p>
      <w:pPr>
        <w:pStyle w:val="5"/>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经济标投标书</w:t>
      </w:r>
    </w:p>
    <w:p>
      <w:pPr>
        <w:spacing w:line="360" w:lineRule="auto"/>
        <w:jc w:val="right"/>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 xml:space="preserve"> 投标日期：   年  月  日</w:t>
      </w:r>
    </w:p>
    <w:tbl>
      <w:tblPr>
        <w:tblStyle w:val="40"/>
        <w:tblW w:w="0" w:type="auto"/>
        <w:tblInd w:w="0" w:type="dxa"/>
        <w:tblLayout w:type="fixed"/>
        <w:tblCellMar>
          <w:top w:w="0" w:type="dxa"/>
          <w:left w:w="108" w:type="dxa"/>
          <w:bottom w:w="0" w:type="dxa"/>
          <w:right w:w="108" w:type="dxa"/>
        </w:tblCellMar>
      </w:tblPr>
      <w:tblGrid>
        <w:gridCol w:w="2307"/>
        <w:gridCol w:w="6950"/>
      </w:tblGrid>
      <w:tr>
        <w:tblPrEx>
          <w:tblCellMar>
            <w:top w:w="0" w:type="dxa"/>
            <w:left w:w="108" w:type="dxa"/>
            <w:bottom w:w="0" w:type="dxa"/>
            <w:right w:w="108" w:type="dxa"/>
          </w:tblCellMar>
        </w:tblPrEx>
        <w:trPr>
          <w:trHeight w:val="567"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color w:val="auto"/>
                <w:kern w:val="1"/>
                <w:szCs w:val="21"/>
                <w:highlight w:val="none"/>
              </w:rPr>
            </w:pPr>
            <w:r>
              <w:rPr>
                <w:rFonts w:hint="eastAsia" w:ascii="宋体" w:hAnsi="宋体" w:cs="宋体"/>
                <w:b/>
                <w:color w:val="auto"/>
                <w:kern w:val="1"/>
                <w:szCs w:val="21"/>
                <w:highlight w:val="none"/>
                <w:lang w:val="zh-CN"/>
              </w:rPr>
              <w:t>项 目 名 称</w:t>
            </w:r>
          </w:p>
        </w:tc>
        <w:tc>
          <w:tcPr>
            <w:tcW w:w="6950"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b/>
                <w:color w:val="auto"/>
                <w:kern w:val="1"/>
                <w:szCs w:val="21"/>
                <w:highlight w:val="none"/>
              </w:rPr>
            </w:pPr>
          </w:p>
        </w:tc>
      </w:tr>
      <w:tr>
        <w:tblPrEx>
          <w:tblCellMar>
            <w:top w:w="0" w:type="dxa"/>
            <w:left w:w="108" w:type="dxa"/>
            <w:bottom w:w="0" w:type="dxa"/>
            <w:right w:w="108" w:type="dxa"/>
          </w:tblCellMar>
        </w:tblPrEx>
        <w:trPr>
          <w:trHeight w:val="796"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color w:val="auto"/>
                <w:kern w:val="1"/>
                <w:szCs w:val="21"/>
                <w:highlight w:val="none"/>
              </w:rPr>
            </w:pPr>
            <w:r>
              <w:rPr>
                <w:rFonts w:hint="eastAsia" w:ascii="宋体" w:hAnsi="宋体" w:cs="宋体"/>
                <w:b/>
                <w:color w:val="auto"/>
                <w:kern w:val="1"/>
                <w:szCs w:val="21"/>
                <w:highlight w:val="none"/>
                <w:lang w:val="zh-CN"/>
              </w:rPr>
              <w:t>投标总报价</w:t>
            </w:r>
          </w:p>
        </w:tc>
        <w:tc>
          <w:tcPr>
            <w:tcW w:w="69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宋体" w:hAnsi="宋体" w:cs="宋体"/>
                <w:b/>
                <w:color w:val="auto"/>
                <w:kern w:val="1"/>
                <w:szCs w:val="21"/>
                <w:highlight w:val="none"/>
                <w:u w:val="single"/>
              </w:rPr>
            </w:pPr>
            <w:r>
              <w:rPr>
                <w:rFonts w:hint="eastAsia" w:ascii="宋体" w:hAnsi="宋体" w:cs="宋体"/>
                <w:b/>
                <w:color w:val="auto"/>
                <w:kern w:val="1"/>
                <w:szCs w:val="21"/>
                <w:highlight w:val="none"/>
              </w:rPr>
              <w:t>大写：</w:t>
            </w:r>
            <w:r>
              <w:rPr>
                <w:rFonts w:hint="eastAsia" w:ascii="宋体" w:hAnsi="宋体" w:cs="宋体"/>
                <w:b/>
                <w:color w:val="auto"/>
                <w:kern w:val="1"/>
                <w:szCs w:val="21"/>
                <w:highlight w:val="none"/>
                <w:u w:val="single"/>
              </w:rPr>
              <w:t xml:space="preserve">                     </w:t>
            </w:r>
          </w:p>
          <w:p>
            <w:pPr>
              <w:spacing w:line="300" w:lineRule="exact"/>
              <w:jc w:val="left"/>
              <w:rPr>
                <w:rFonts w:ascii="宋体" w:hAnsi="宋体" w:cs="宋体"/>
                <w:b/>
                <w:color w:val="auto"/>
                <w:kern w:val="1"/>
                <w:szCs w:val="21"/>
                <w:highlight w:val="none"/>
              </w:rPr>
            </w:pPr>
          </w:p>
          <w:p>
            <w:pPr>
              <w:spacing w:line="300" w:lineRule="exact"/>
              <w:jc w:val="left"/>
              <w:rPr>
                <w:rFonts w:ascii="宋体" w:hAnsi="宋体" w:cs="宋体"/>
                <w:b/>
                <w:color w:val="auto"/>
                <w:kern w:val="1"/>
                <w:szCs w:val="21"/>
                <w:highlight w:val="none"/>
                <w:lang w:val="zh-CN"/>
              </w:rPr>
            </w:pPr>
            <w:r>
              <w:rPr>
                <w:rFonts w:hint="eastAsia" w:ascii="宋体" w:hAnsi="宋体" w:cs="宋体"/>
                <w:b/>
                <w:color w:val="auto"/>
                <w:kern w:val="1"/>
                <w:szCs w:val="21"/>
                <w:highlight w:val="none"/>
              </w:rPr>
              <w:t>小写：</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lang w:val="zh-CN"/>
              </w:rPr>
              <w:t>元</w:t>
            </w:r>
          </w:p>
          <w:p>
            <w:pPr>
              <w:spacing w:line="300" w:lineRule="exact"/>
              <w:jc w:val="left"/>
              <w:rPr>
                <w:rFonts w:ascii="宋体" w:hAnsi="宋体" w:cs="宋体"/>
                <w:b/>
                <w:color w:val="auto"/>
                <w:kern w:val="1"/>
                <w:szCs w:val="21"/>
                <w:highlight w:val="none"/>
                <w:lang w:val="zh-CN"/>
              </w:rPr>
            </w:pPr>
          </w:p>
          <w:p>
            <w:pPr>
              <w:spacing w:line="240" w:lineRule="exact"/>
              <w:ind w:left="207" w:hanging="207"/>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下浮率</w:t>
            </w:r>
            <w:r>
              <w:rPr>
                <w:rFonts w:hint="eastAsia" w:ascii="宋体" w:hAnsi="宋体" w:cs="宋体"/>
                <w:b/>
                <w:color w:val="auto"/>
                <w:kern w:val="1"/>
                <w:szCs w:val="21"/>
                <w:highlight w:val="none"/>
                <w:u w:val="single"/>
                <w:lang w:val="zh-CN"/>
              </w:rPr>
              <w:t xml:space="preserve"> </w:t>
            </w:r>
            <w:r>
              <w:rPr>
                <w:rFonts w:ascii="宋体" w:hAnsi="宋体" w:cs="宋体"/>
                <w:b/>
                <w:color w:val="auto"/>
                <w:kern w:val="1"/>
                <w:szCs w:val="21"/>
                <w:highlight w:val="none"/>
                <w:u w:val="single"/>
                <w:lang w:val="zh-CN"/>
              </w:rPr>
              <w:t xml:space="preserve">    </w:t>
            </w:r>
            <w:r>
              <w:rPr>
                <w:rFonts w:hint="eastAsia" w:ascii="宋体" w:hAnsi="宋体" w:cs="宋体"/>
                <w:b/>
                <w:color w:val="auto"/>
                <w:kern w:val="1"/>
                <w:szCs w:val="21"/>
                <w:highlight w:val="none"/>
                <w:lang w:val="zh-CN"/>
              </w:rPr>
              <w:t>%，</w:t>
            </w:r>
          </w:p>
          <w:p>
            <w:pPr>
              <w:spacing w:line="240" w:lineRule="exact"/>
              <w:ind w:left="207" w:hanging="207"/>
              <w:rPr>
                <w:rFonts w:ascii="宋体" w:hAnsi="宋体" w:cs="宋体"/>
                <w:b/>
                <w:color w:val="auto"/>
                <w:kern w:val="1"/>
                <w:szCs w:val="21"/>
                <w:highlight w:val="none"/>
                <w:lang w:val="zh-CN"/>
              </w:rPr>
            </w:pPr>
          </w:p>
          <w:p>
            <w:pPr>
              <w:spacing w:line="300" w:lineRule="exact"/>
              <w:jc w:val="left"/>
              <w:rPr>
                <w:rFonts w:ascii="宋体" w:hAnsi="宋体" w:cs="宋体"/>
                <w:b/>
                <w:color w:val="auto"/>
                <w:kern w:val="1"/>
                <w:szCs w:val="21"/>
                <w:highlight w:val="none"/>
              </w:rPr>
            </w:pPr>
            <w:r>
              <w:rPr>
                <w:rFonts w:hint="eastAsia" w:ascii="宋体" w:hAnsi="宋体" w:cs="宋体"/>
                <w:b/>
                <w:bCs/>
                <w:color w:val="auto"/>
                <w:kern w:val="1"/>
                <w:szCs w:val="21"/>
                <w:highlight w:val="none"/>
                <w:lang w:val="zh-CN"/>
              </w:rPr>
              <w:t>注：下浮率=【1-（投标报价/投标最高限价）】%</w:t>
            </w:r>
            <w:r>
              <w:rPr>
                <w:rFonts w:hint="eastAsia" w:ascii="宋体" w:hAnsi="宋体" w:cs="宋体"/>
                <w:b/>
                <w:color w:val="auto"/>
                <w:kern w:val="1"/>
                <w:szCs w:val="21"/>
                <w:highlight w:val="none"/>
              </w:rPr>
              <w:t xml:space="preserve">。                </w:t>
            </w:r>
          </w:p>
          <w:p>
            <w:pPr>
              <w:spacing w:line="300" w:lineRule="exact"/>
              <w:jc w:val="left"/>
              <w:rPr>
                <w:rFonts w:ascii="宋体" w:hAnsi="宋体" w:cs="宋体"/>
                <w:b/>
                <w:color w:val="auto"/>
                <w:kern w:val="1"/>
                <w:szCs w:val="21"/>
                <w:highlight w:val="none"/>
              </w:rPr>
            </w:pPr>
          </w:p>
        </w:tc>
      </w:tr>
      <w:tr>
        <w:tblPrEx>
          <w:tblCellMar>
            <w:top w:w="0" w:type="dxa"/>
            <w:left w:w="108" w:type="dxa"/>
            <w:bottom w:w="0" w:type="dxa"/>
            <w:right w:w="108" w:type="dxa"/>
          </w:tblCellMar>
        </w:tblPrEx>
        <w:trPr>
          <w:trHeight w:val="756"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color w:val="auto"/>
                <w:kern w:val="1"/>
                <w:szCs w:val="21"/>
                <w:highlight w:val="none"/>
              </w:rPr>
            </w:pPr>
            <w:r>
              <w:rPr>
                <w:rFonts w:hint="eastAsia" w:ascii="宋体" w:hAnsi="宋体" w:cs="宋体"/>
                <w:b/>
                <w:color w:val="auto"/>
                <w:kern w:val="1"/>
                <w:szCs w:val="21"/>
                <w:highlight w:val="none"/>
              </w:rPr>
              <w:t>法 定 代 表 人</w:t>
            </w:r>
          </w:p>
          <w:p>
            <w:pPr>
              <w:spacing w:line="300" w:lineRule="exact"/>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b/>
                <w:color w:val="auto"/>
                <w:kern w:val="1"/>
                <w:szCs w:val="21"/>
                <w:highlight w:val="none"/>
              </w:rPr>
            </w:pPr>
          </w:p>
        </w:tc>
      </w:tr>
      <w:tr>
        <w:tblPrEx>
          <w:tblCellMar>
            <w:top w:w="0" w:type="dxa"/>
            <w:left w:w="108" w:type="dxa"/>
            <w:bottom w:w="0" w:type="dxa"/>
            <w:right w:w="108" w:type="dxa"/>
          </w:tblCellMar>
        </w:tblPrEx>
        <w:trPr>
          <w:trHeight w:val="953"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color w:val="auto"/>
                <w:kern w:val="1"/>
                <w:szCs w:val="21"/>
                <w:highlight w:val="none"/>
              </w:rPr>
            </w:pPr>
            <w:r>
              <w:rPr>
                <w:rFonts w:hint="eastAsia" w:ascii="宋体" w:hAnsi="宋体" w:cs="宋体"/>
                <w:b/>
                <w:color w:val="auto"/>
                <w:kern w:val="1"/>
                <w:szCs w:val="21"/>
                <w:highlight w:val="none"/>
              </w:rPr>
              <w:t>授 权 委 托 人</w:t>
            </w:r>
          </w:p>
          <w:p>
            <w:pPr>
              <w:spacing w:line="300" w:lineRule="exact"/>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b/>
                <w:color w:val="auto"/>
                <w:kern w:val="1"/>
                <w:szCs w:val="21"/>
                <w:highlight w:val="none"/>
              </w:rPr>
            </w:pPr>
          </w:p>
        </w:tc>
      </w:tr>
      <w:tr>
        <w:tblPrEx>
          <w:tblCellMar>
            <w:top w:w="0" w:type="dxa"/>
            <w:left w:w="108" w:type="dxa"/>
            <w:bottom w:w="0" w:type="dxa"/>
            <w:right w:w="108" w:type="dxa"/>
          </w:tblCellMar>
        </w:tblPrEx>
        <w:trPr>
          <w:trHeight w:val="902"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投  标  单  位</w:t>
            </w:r>
          </w:p>
          <w:p>
            <w:pPr>
              <w:spacing w:line="300" w:lineRule="exact"/>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（盖章）</w:t>
            </w:r>
          </w:p>
        </w:tc>
        <w:tc>
          <w:tcPr>
            <w:tcW w:w="6950"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b/>
                <w:color w:val="auto"/>
                <w:kern w:val="1"/>
                <w:szCs w:val="21"/>
                <w:highlight w:val="none"/>
              </w:rPr>
            </w:pPr>
          </w:p>
        </w:tc>
      </w:tr>
    </w:tbl>
    <w:p>
      <w:pPr>
        <w:pStyle w:val="2"/>
        <w:spacing w:line="360" w:lineRule="auto"/>
        <w:rPr>
          <w:rFonts w:cs="宋体"/>
          <w:b/>
          <w:color w:val="auto"/>
          <w:sz w:val="21"/>
          <w:szCs w:val="21"/>
          <w:highlight w:val="none"/>
        </w:rPr>
      </w:pPr>
      <w:r>
        <w:rPr>
          <w:rFonts w:hint="eastAsia" w:cs="宋体"/>
          <w:b/>
          <w:color w:val="auto"/>
          <w:sz w:val="21"/>
          <w:szCs w:val="21"/>
          <w:highlight w:val="none"/>
        </w:rPr>
        <w:t>注：</w:t>
      </w:r>
    </w:p>
    <w:p>
      <w:pPr>
        <w:pStyle w:val="2"/>
        <w:spacing w:line="360" w:lineRule="auto"/>
        <w:rPr>
          <w:rFonts w:cs="宋体"/>
          <w:b/>
          <w:color w:val="auto"/>
          <w:sz w:val="21"/>
          <w:szCs w:val="21"/>
          <w:highlight w:val="none"/>
        </w:rPr>
      </w:pPr>
      <w:r>
        <w:rPr>
          <w:rFonts w:hint="eastAsia" w:cs="宋体"/>
          <w:b/>
          <w:color w:val="auto"/>
          <w:sz w:val="21"/>
          <w:szCs w:val="21"/>
          <w:highlight w:val="none"/>
        </w:rPr>
        <w:t>（1）投标总报价的大写金额和小写金额不一致的，以大写金额为准。</w:t>
      </w:r>
    </w:p>
    <w:p>
      <w:pPr>
        <w:pStyle w:val="2"/>
        <w:spacing w:line="360" w:lineRule="auto"/>
        <w:rPr>
          <w:rFonts w:cs="宋体"/>
          <w:b/>
          <w:color w:val="auto"/>
          <w:sz w:val="21"/>
          <w:szCs w:val="21"/>
          <w:highlight w:val="none"/>
        </w:rPr>
      </w:pPr>
      <w:r>
        <w:rPr>
          <w:rFonts w:hint="eastAsia" w:cs="宋体"/>
          <w:b/>
          <w:color w:val="auto"/>
          <w:sz w:val="21"/>
          <w:szCs w:val="21"/>
          <w:highlight w:val="none"/>
        </w:rPr>
        <w:t>（2）投标总报价为完成本次招标内容及《设计任务书》内的全部内容的费用。</w:t>
      </w:r>
    </w:p>
    <w:p>
      <w:pPr>
        <w:pStyle w:val="2"/>
        <w:spacing w:line="360" w:lineRule="auto"/>
        <w:rPr>
          <w:rFonts w:cs="宋体"/>
          <w:b/>
          <w:color w:val="auto"/>
          <w:sz w:val="21"/>
          <w:szCs w:val="21"/>
          <w:highlight w:val="none"/>
        </w:rPr>
      </w:pPr>
      <w:r>
        <w:rPr>
          <w:rFonts w:hint="eastAsia" w:cs="宋体"/>
          <w:b/>
          <w:color w:val="auto"/>
          <w:sz w:val="21"/>
          <w:szCs w:val="21"/>
          <w:highlight w:val="none"/>
        </w:rPr>
        <w:t>（3）投标人须按招标文件要求报价，且不超过最高投标限价，否则视为无效标。</w:t>
      </w:r>
    </w:p>
    <w:p>
      <w:pPr>
        <w:pStyle w:val="2"/>
        <w:spacing w:line="360" w:lineRule="auto"/>
        <w:rPr>
          <w:rFonts w:cs="宋体"/>
          <w:b/>
          <w:color w:val="auto"/>
          <w:sz w:val="21"/>
          <w:szCs w:val="21"/>
          <w:highlight w:val="none"/>
        </w:rPr>
      </w:pPr>
      <w:r>
        <w:rPr>
          <w:rFonts w:hint="eastAsia" w:cs="宋体"/>
          <w:b/>
          <w:color w:val="auto"/>
          <w:sz w:val="21"/>
          <w:szCs w:val="21"/>
          <w:highlight w:val="none"/>
        </w:rPr>
        <w:t>（4）本表中的报价以元为单位，小数点后保留二位小数，第三位小数四舍五入。</w:t>
      </w:r>
    </w:p>
    <w:p>
      <w:pPr>
        <w:pStyle w:val="82"/>
        <w:ind w:firstLine="496"/>
        <w:rPr>
          <w:rFonts w:ascii="宋体" w:hAnsi="宋体"/>
          <w:color w:val="auto"/>
          <w:highlight w:val="none"/>
        </w:rPr>
      </w:pPr>
    </w:p>
    <w:p>
      <w:pPr>
        <w:rPr>
          <w:rFonts w:ascii="宋体" w:hAnsi="宋体"/>
          <w:color w:val="auto"/>
          <w:highlight w:val="none"/>
        </w:rPr>
      </w:pPr>
      <w:r>
        <w:rPr>
          <w:rFonts w:ascii="宋体" w:hAnsi="宋体"/>
          <w:color w:val="auto"/>
          <w:highlight w:val="none"/>
        </w:rPr>
        <w:br w:type="page"/>
      </w:r>
      <w:bookmarkStart w:id="65" w:name="_Toc510963904"/>
      <w:bookmarkStart w:id="66" w:name="_Toc532475805"/>
      <w:bookmarkStart w:id="67" w:name="_Toc532475372"/>
    </w:p>
    <w:p>
      <w:pPr>
        <w:pStyle w:val="124"/>
        <w:spacing w:beforeLines="0" w:afterLines="0" w:line="360" w:lineRule="auto"/>
        <w:rPr>
          <w:rFonts w:ascii="宋体" w:eastAsia="宋体"/>
          <w:color w:val="auto"/>
          <w:highlight w:val="none"/>
        </w:rPr>
      </w:pPr>
      <w:bookmarkStart w:id="68" w:name="_Toc80289096"/>
      <w:r>
        <w:rPr>
          <w:rFonts w:hint="eastAsia" w:ascii="宋体" w:eastAsia="宋体"/>
          <w:color w:val="auto"/>
          <w:highlight w:val="none"/>
        </w:rPr>
        <w:t>格式三：参与编制经济标投标文件人员名单</w:t>
      </w:r>
      <w:bookmarkEnd w:id="65"/>
      <w:bookmarkEnd w:id="66"/>
      <w:bookmarkEnd w:id="67"/>
      <w:bookmarkEnd w:id="68"/>
    </w:p>
    <w:p>
      <w:pPr>
        <w:tabs>
          <w:tab w:val="left" w:pos="720"/>
        </w:tabs>
        <w:snapToGrid w:val="0"/>
        <w:spacing w:line="360" w:lineRule="auto"/>
        <w:jc w:val="center"/>
        <w:rPr>
          <w:rFonts w:ascii="宋体" w:hAnsi="宋体"/>
          <w:color w:val="auto"/>
          <w:sz w:val="24"/>
          <w:highlight w:val="none"/>
        </w:rPr>
      </w:pPr>
    </w:p>
    <w:p>
      <w:pPr>
        <w:pStyle w:val="113"/>
        <w:ind w:firstLine="617"/>
        <w:rPr>
          <w:rFonts w:ascii="宋体" w:hAnsi="宋体" w:eastAsia="宋体"/>
          <w:color w:val="auto"/>
          <w:sz w:val="32"/>
          <w:highlight w:val="none"/>
        </w:rPr>
      </w:pPr>
      <w:r>
        <w:rPr>
          <w:rFonts w:hint="eastAsia" w:ascii="宋体" w:hAnsi="宋体" w:eastAsia="宋体"/>
          <w:color w:val="auto"/>
          <w:sz w:val="32"/>
          <w:highlight w:val="none"/>
        </w:rPr>
        <w:t>参与编制经济标投标文件人员名单</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2"/>
        <w:gridCol w:w="2341"/>
        <w:gridCol w:w="224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64" w:type="dxa"/>
            <w:gridSpan w:val="5"/>
            <w:vAlign w:val="center"/>
          </w:tcPr>
          <w:p>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vAlign w:val="center"/>
          </w:tcPr>
          <w:p>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382" w:type="dxa"/>
            <w:vAlign w:val="center"/>
          </w:tcPr>
          <w:p>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2341" w:type="dxa"/>
            <w:vAlign w:val="center"/>
          </w:tcPr>
          <w:p>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所承担工作</w:t>
            </w:r>
          </w:p>
        </w:tc>
        <w:tc>
          <w:tcPr>
            <w:tcW w:w="2245" w:type="dxa"/>
            <w:vAlign w:val="center"/>
          </w:tcPr>
          <w:p>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身份证号码</w:t>
            </w:r>
          </w:p>
        </w:tc>
        <w:tc>
          <w:tcPr>
            <w:tcW w:w="2304" w:type="dxa"/>
            <w:vAlign w:val="center"/>
          </w:tcPr>
          <w:p>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vAlign w:val="center"/>
          </w:tcPr>
          <w:p>
            <w:pPr>
              <w:tabs>
                <w:tab w:val="left" w:pos="720"/>
              </w:tabs>
              <w:snapToGrid w:val="0"/>
              <w:spacing w:line="360" w:lineRule="auto"/>
              <w:jc w:val="center"/>
              <w:rPr>
                <w:rFonts w:ascii="宋体" w:hAnsi="宋体"/>
                <w:color w:val="auto"/>
                <w:sz w:val="24"/>
                <w:highlight w:val="none"/>
              </w:rPr>
            </w:pPr>
          </w:p>
        </w:tc>
        <w:tc>
          <w:tcPr>
            <w:tcW w:w="1382" w:type="dxa"/>
            <w:vAlign w:val="center"/>
          </w:tcPr>
          <w:p>
            <w:pPr>
              <w:tabs>
                <w:tab w:val="left" w:pos="720"/>
              </w:tabs>
              <w:snapToGrid w:val="0"/>
              <w:spacing w:line="360" w:lineRule="auto"/>
              <w:jc w:val="center"/>
              <w:rPr>
                <w:rFonts w:ascii="宋体" w:hAnsi="宋体"/>
                <w:color w:val="auto"/>
                <w:sz w:val="24"/>
                <w:highlight w:val="none"/>
              </w:rPr>
            </w:pPr>
          </w:p>
        </w:tc>
        <w:tc>
          <w:tcPr>
            <w:tcW w:w="2341" w:type="dxa"/>
            <w:vAlign w:val="center"/>
          </w:tcPr>
          <w:p>
            <w:pPr>
              <w:tabs>
                <w:tab w:val="left" w:pos="720"/>
              </w:tabs>
              <w:snapToGrid w:val="0"/>
              <w:spacing w:line="360" w:lineRule="auto"/>
              <w:jc w:val="center"/>
              <w:rPr>
                <w:rFonts w:ascii="宋体" w:hAnsi="宋体"/>
                <w:color w:val="auto"/>
                <w:sz w:val="24"/>
                <w:highlight w:val="none"/>
              </w:rPr>
            </w:pPr>
          </w:p>
        </w:tc>
        <w:tc>
          <w:tcPr>
            <w:tcW w:w="2245" w:type="dxa"/>
            <w:vAlign w:val="center"/>
          </w:tcPr>
          <w:p>
            <w:pPr>
              <w:tabs>
                <w:tab w:val="left" w:pos="720"/>
              </w:tabs>
              <w:snapToGrid w:val="0"/>
              <w:spacing w:line="360" w:lineRule="auto"/>
              <w:jc w:val="center"/>
              <w:rPr>
                <w:rFonts w:ascii="宋体" w:hAnsi="宋体"/>
                <w:color w:val="auto"/>
                <w:sz w:val="24"/>
                <w:highlight w:val="none"/>
              </w:rPr>
            </w:pPr>
          </w:p>
        </w:tc>
        <w:tc>
          <w:tcPr>
            <w:tcW w:w="2304" w:type="dxa"/>
            <w:vAlign w:val="center"/>
          </w:tcPr>
          <w:p>
            <w:pPr>
              <w:tabs>
                <w:tab w:val="left" w:pos="720"/>
              </w:tabs>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宋体" w:hAnsi="宋体"/>
                <w:color w:val="auto"/>
                <w:sz w:val="24"/>
                <w:highlight w:val="none"/>
              </w:rPr>
            </w:pPr>
          </w:p>
        </w:tc>
        <w:tc>
          <w:tcPr>
            <w:tcW w:w="1382" w:type="dxa"/>
            <w:vAlign w:val="center"/>
          </w:tcPr>
          <w:p>
            <w:pPr>
              <w:tabs>
                <w:tab w:val="left" w:pos="720"/>
              </w:tabs>
              <w:snapToGrid w:val="0"/>
              <w:spacing w:line="360" w:lineRule="auto"/>
              <w:jc w:val="center"/>
              <w:rPr>
                <w:rFonts w:ascii="宋体" w:hAnsi="宋体"/>
                <w:color w:val="auto"/>
                <w:sz w:val="24"/>
                <w:highlight w:val="none"/>
              </w:rPr>
            </w:pPr>
          </w:p>
        </w:tc>
        <w:tc>
          <w:tcPr>
            <w:tcW w:w="2341" w:type="dxa"/>
            <w:vAlign w:val="center"/>
          </w:tcPr>
          <w:p>
            <w:pPr>
              <w:tabs>
                <w:tab w:val="left" w:pos="720"/>
              </w:tabs>
              <w:snapToGrid w:val="0"/>
              <w:spacing w:line="360" w:lineRule="auto"/>
              <w:jc w:val="center"/>
              <w:rPr>
                <w:rFonts w:ascii="宋体" w:hAnsi="宋体"/>
                <w:color w:val="auto"/>
                <w:sz w:val="24"/>
                <w:highlight w:val="none"/>
              </w:rPr>
            </w:pPr>
          </w:p>
        </w:tc>
        <w:tc>
          <w:tcPr>
            <w:tcW w:w="2245" w:type="dxa"/>
            <w:vAlign w:val="center"/>
          </w:tcPr>
          <w:p>
            <w:pPr>
              <w:tabs>
                <w:tab w:val="left" w:pos="720"/>
              </w:tabs>
              <w:snapToGrid w:val="0"/>
              <w:spacing w:line="360" w:lineRule="auto"/>
              <w:jc w:val="center"/>
              <w:rPr>
                <w:rFonts w:ascii="宋体" w:hAnsi="宋体"/>
                <w:color w:val="auto"/>
                <w:sz w:val="24"/>
                <w:highlight w:val="none"/>
              </w:rPr>
            </w:pPr>
          </w:p>
        </w:tc>
        <w:tc>
          <w:tcPr>
            <w:tcW w:w="2304" w:type="dxa"/>
            <w:vAlign w:val="center"/>
          </w:tcPr>
          <w:p>
            <w:pPr>
              <w:tabs>
                <w:tab w:val="left" w:pos="720"/>
              </w:tabs>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宋体" w:hAnsi="宋体"/>
                <w:color w:val="auto"/>
                <w:sz w:val="24"/>
                <w:highlight w:val="none"/>
              </w:rPr>
            </w:pPr>
          </w:p>
        </w:tc>
        <w:tc>
          <w:tcPr>
            <w:tcW w:w="1382" w:type="dxa"/>
            <w:vAlign w:val="center"/>
          </w:tcPr>
          <w:p>
            <w:pPr>
              <w:tabs>
                <w:tab w:val="left" w:pos="720"/>
              </w:tabs>
              <w:snapToGrid w:val="0"/>
              <w:spacing w:line="360" w:lineRule="auto"/>
              <w:jc w:val="center"/>
              <w:rPr>
                <w:rFonts w:ascii="宋体" w:hAnsi="宋体"/>
                <w:color w:val="auto"/>
                <w:sz w:val="24"/>
                <w:highlight w:val="none"/>
              </w:rPr>
            </w:pPr>
          </w:p>
        </w:tc>
        <w:tc>
          <w:tcPr>
            <w:tcW w:w="2341" w:type="dxa"/>
            <w:vAlign w:val="center"/>
          </w:tcPr>
          <w:p>
            <w:pPr>
              <w:tabs>
                <w:tab w:val="left" w:pos="720"/>
              </w:tabs>
              <w:snapToGrid w:val="0"/>
              <w:spacing w:line="360" w:lineRule="auto"/>
              <w:jc w:val="center"/>
              <w:rPr>
                <w:rFonts w:ascii="宋体" w:hAnsi="宋体"/>
                <w:color w:val="auto"/>
                <w:sz w:val="24"/>
                <w:highlight w:val="none"/>
              </w:rPr>
            </w:pPr>
          </w:p>
        </w:tc>
        <w:tc>
          <w:tcPr>
            <w:tcW w:w="2245" w:type="dxa"/>
            <w:vAlign w:val="center"/>
          </w:tcPr>
          <w:p>
            <w:pPr>
              <w:tabs>
                <w:tab w:val="left" w:pos="720"/>
              </w:tabs>
              <w:snapToGrid w:val="0"/>
              <w:spacing w:line="360" w:lineRule="auto"/>
              <w:jc w:val="center"/>
              <w:rPr>
                <w:rFonts w:ascii="宋体" w:hAnsi="宋体"/>
                <w:color w:val="auto"/>
                <w:sz w:val="24"/>
                <w:highlight w:val="none"/>
              </w:rPr>
            </w:pPr>
          </w:p>
        </w:tc>
        <w:tc>
          <w:tcPr>
            <w:tcW w:w="2304" w:type="dxa"/>
            <w:vAlign w:val="center"/>
          </w:tcPr>
          <w:p>
            <w:pPr>
              <w:tabs>
                <w:tab w:val="left" w:pos="720"/>
              </w:tabs>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宋体" w:hAnsi="宋体"/>
                <w:color w:val="auto"/>
                <w:sz w:val="24"/>
                <w:highlight w:val="none"/>
              </w:rPr>
            </w:pPr>
          </w:p>
        </w:tc>
        <w:tc>
          <w:tcPr>
            <w:tcW w:w="1382" w:type="dxa"/>
            <w:vAlign w:val="center"/>
          </w:tcPr>
          <w:p>
            <w:pPr>
              <w:tabs>
                <w:tab w:val="left" w:pos="720"/>
              </w:tabs>
              <w:snapToGrid w:val="0"/>
              <w:spacing w:line="360" w:lineRule="auto"/>
              <w:jc w:val="center"/>
              <w:rPr>
                <w:rFonts w:ascii="宋体" w:hAnsi="宋体"/>
                <w:color w:val="auto"/>
                <w:sz w:val="24"/>
                <w:highlight w:val="none"/>
              </w:rPr>
            </w:pPr>
          </w:p>
        </w:tc>
        <w:tc>
          <w:tcPr>
            <w:tcW w:w="2341" w:type="dxa"/>
            <w:vAlign w:val="center"/>
          </w:tcPr>
          <w:p>
            <w:pPr>
              <w:tabs>
                <w:tab w:val="left" w:pos="720"/>
              </w:tabs>
              <w:snapToGrid w:val="0"/>
              <w:spacing w:line="360" w:lineRule="auto"/>
              <w:jc w:val="center"/>
              <w:rPr>
                <w:rFonts w:ascii="宋体" w:hAnsi="宋体"/>
                <w:color w:val="auto"/>
                <w:sz w:val="24"/>
                <w:highlight w:val="none"/>
              </w:rPr>
            </w:pPr>
          </w:p>
        </w:tc>
        <w:tc>
          <w:tcPr>
            <w:tcW w:w="2245" w:type="dxa"/>
            <w:vAlign w:val="center"/>
          </w:tcPr>
          <w:p>
            <w:pPr>
              <w:tabs>
                <w:tab w:val="left" w:pos="720"/>
              </w:tabs>
              <w:snapToGrid w:val="0"/>
              <w:spacing w:line="360" w:lineRule="auto"/>
              <w:jc w:val="center"/>
              <w:rPr>
                <w:rFonts w:ascii="宋体" w:hAnsi="宋体"/>
                <w:color w:val="auto"/>
                <w:sz w:val="24"/>
                <w:highlight w:val="none"/>
              </w:rPr>
            </w:pPr>
          </w:p>
        </w:tc>
        <w:tc>
          <w:tcPr>
            <w:tcW w:w="2304" w:type="dxa"/>
            <w:vAlign w:val="center"/>
          </w:tcPr>
          <w:p>
            <w:pPr>
              <w:tabs>
                <w:tab w:val="left" w:pos="720"/>
              </w:tabs>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宋体" w:hAnsi="宋体"/>
                <w:color w:val="auto"/>
                <w:sz w:val="24"/>
                <w:highlight w:val="none"/>
              </w:rPr>
            </w:pPr>
          </w:p>
        </w:tc>
        <w:tc>
          <w:tcPr>
            <w:tcW w:w="1382" w:type="dxa"/>
            <w:vAlign w:val="center"/>
          </w:tcPr>
          <w:p>
            <w:pPr>
              <w:tabs>
                <w:tab w:val="left" w:pos="720"/>
              </w:tabs>
              <w:snapToGrid w:val="0"/>
              <w:spacing w:line="360" w:lineRule="auto"/>
              <w:jc w:val="center"/>
              <w:rPr>
                <w:rFonts w:ascii="宋体" w:hAnsi="宋体"/>
                <w:color w:val="auto"/>
                <w:sz w:val="24"/>
                <w:highlight w:val="none"/>
              </w:rPr>
            </w:pPr>
          </w:p>
        </w:tc>
        <w:tc>
          <w:tcPr>
            <w:tcW w:w="2341" w:type="dxa"/>
            <w:vAlign w:val="center"/>
          </w:tcPr>
          <w:p>
            <w:pPr>
              <w:tabs>
                <w:tab w:val="left" w:pos="720"/>
              </w:tabs>
              <w:snapToGrid w:val="0"/>
              <w:spacing w:line="360" w:lineRule="auto"/>
              <w:jc w:val="center"/>
              <w:rPr>
                <w:rFonts w:ascii="宋体" w:hAnsi="宋体"/>
                <w:color w:val="auto"/>
                <w:sz w:val="24"/>
                <w:highlight w:val="none"/>
              </w:rPr>
            </w:pPr>
          </w:p>
        </w:tc>
        <w:tc>
          <w:tcPr>
            <w:tcW w:w="2245" w:type="dxa"/>
            <w:vAlign w:val="center"/>
          </w:tcPr>
          <w:p>
            <w:pPr>
              <w:tabs>
                <w:tab w:val="left" w:pos="720"/>
              </w:tabs>
              <w:snapToGrid w:val="0"/>
              <w:spacing w:line="360" w:lineRule="auto"/>
              <w:jc w:val="center"/>
              <w:rPr>
                <w:rFonts w:ascii="宋体" w:hAnsi="宋体"/>
                <w:color w:val="auto"/>
                <w:sz w:val="24"/>
                <w:highlight w:val="none"/>
              </w:rPr>
            </w:pPr>
          </w:p>
        </w:tc>
        <w:tc>
          <w:tcPr>
            <w:tcW w:w="2304" w:type="dxa"/>
            <w:vAlign w:val="center"/>
          </w:tcPr>
          <w:p>
            <w:pPr>
              <w:tabs>
                <w:tab w:val="left" w:pos="720"/>
              </w:tabs>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宋体" w:hAnsi="宋体"/>
                <w:color w:val="auto"/>
                <w:sz w:val="24"/>
                <w:highlight w:val="none"/>
              </w:rPr>
            </w:pPr>
          </w:p>
        </w:tc>
        <w:tc>
          <w:tcPr>
            <w:tcW w:w="1382" w:type="dxa"/>
            <w:vAlign w:val="center"/>
          </w:tcPr>
          <w:p>
            <w:pPr>
              <w:tabs>
                <w:tab w:val="left" w:pos="720"/>
              </w:tabs>
              <w:snapToGrid w:val="0"/>
              <w:spacing w:line="360" w:lineRule="auto"/>
              <w:jc w:val="center"/>
              <w:rPr>
                <w:rFonts w:ascii="宋体" w:hAnsi="宋体"/>
                <w:color w:val="auto"/>
                <w:sz w:val="24"/>
                <w:highlight w:val="none"/>
              </w:rPr>
            </w:pPr>
          </w:p>
        </w:tc>
        <w:tc>
          <w:tcPr>
            <w:tcW w:w="2341" w:type="dxa"/>
            <w:vAlign w:val="center"/>
          </w:tcPr>
          <w:p>
            <w:pPr>
              <w:tabs>
                <w:tab w:val="left" w:pos="720"/>
              </w:tabs>
              <w:snapToGrid w:val="0"/>
              <w:spacing w:line="360" w:lineRule="auto"/>
              <w:jc w:val="center"/>
              <w:rPr>
                <w:rFonts w:ascii="宋体" w:hAnsi="宋体"/>
                <w:color w:val="auto"/>
                <w:sz w:val="24"/>
                <w:highlight w:val="none"/>
              </w:rPr>
            </w:pPr>
          </w:p>
        </w:tc>
        <w:tc>
          <w:tcPr>
            <w:tcW w:w="2245" w:type="dxa"/>
            <w:vAlign w:val="center"/>
          </w:tcPr>
          <w:p>
            <w:pPr>
              <w:tabs>
                <w:tab w:val="left" w:pos="720"/>
              </w:tabs>
              <w:snapToGrid w:val="0"/>
              <w:spacing w:line="360" w:lineRule="auto"/>
              <w:jc w:val="center"/>
              <w:rPr>
                <w:rFonts w:ascii="宋体" w:hAnsi="宋体"/>
                <w:color w:val="auto"/>
                <w:sz w:val="24"/>
                <w:highlight w:val="none"/>
              </w:rPr>
            </w:pPr>
          </w:p>
        </w:tc>
        <w:tc>
          <w:tcPr>
            <w:tcW w:w="2304" w:type="dxa"/>
            <w:vAlign w:val="center"/>
          </w:tcPr>
          <w:p>
            <w:pPr>
              <w:tabs>
                <w:tab w:val="left" w:pos="720"/>
              </w:tabs>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vAlign w:val="center"/>
          </w:tcPr>
          <w:p>
            <w:pPr>
              <w:tabs>
                <w:tab w:val="left" w:pos="720"/>
              </w:tabs>
              <w:snapToGrid w:val="0"/>
              <w:spacing w:line="360" w:lineRule="auto"/>
              <w:jc w:val="center"/>
              <w:rPr>
                <w:rFonts w:ascii="宋体" w:hAnsi="宋体"/>
                <w:color w:val="auto"/>
                <w:sz w:val="24"/>
                <w:highlight w:val="none"/>
              </w:rPr>
            </w:pPr>
          </w:p>
        </w:tc>
        <w:tc>
          <w:tcPr>
            <w:tcW w:w="1382" w:type="dxa"/>
            <w:vAlign w:val="center"/>
          </w:tcPr>
          <w:p>
            <w:pPr>
              <w:tabs>
                <w:tab w:val="left" w:pos="720"/>
              </w:tabs>
              <w:snapToGrid w:val="0"/>
              <w:spacing w:line="360" w:lineRule="auto"/>
              <w:jc w:val="center"/>
              <w:rPr>
                <w:rFonts w:ascii="宋体" w:hAnsi="宋体"/>
                <w:color w:val="auto"/>
                <w:sz w:val="24"/>
                <w:highlight w:val="none"/>
              </w:rPr>
            </w:pPr>
          </w:p>
        </w:tc>
        <w:tc>
          <w:tcPr>
            <w:tcW w:w="2341" w:type="dxa"/>
            <w:vAlign w:val="center"/>
          </w:tcPr>
          <w:p>
            <w:pPr>
              <w:tabs>
                <w:tab w:val="left" w:pos="720"/>
              </w:tabs>
              <w:snapToGrid w:val="0"/>
              <w:spacing w:line="360" w:lineRule="auto"/>
              <w:jc w:val="center"/>
              <w:rPr>
                <w:rFonts w:ascii="宋体" w:hAnsi="宋体"/>
                <w:color w:val="auto"/>
                <w:sz w:val="24"/>
                <w:highlight w:val="none"/>
              </w:rPr>
            </w:pPr>
          </w:p>
        </w:tc>
        <w:tc>
          <w:tcPr>
            <w:tcW w:w="2245" w:type="dxa"/>
            <w:vAlign w:val="center"/>
          </w:tcPr>
          <w:p>
            <w:pPr>
              <w:tabs>
                <w:tab w:val="left" w:pos="720"/>
              </w:tabs>
              <w:snapToGrid w:val="0"/>
              <w:spacing w:line="360" w:lineRule="auto"/>
              <w:jc w:val="center"/>
              <w:rPr>
                <w:rFonts w:ascii="宋体" w:hAnsi="宋体"/>
                <w:color w:val="auto"/>
                <w:sz w:val="24"/>
                <w:highlight w:val="none"/>
              </w:rPr>
            </w:pPr>
          </w:p>
        </w:tc>
        <w:tc>
          <w:tcPr>
            <w:tcW w:w="2304" w:type="dxa"/>
            <w:vAlign w:val="center"/>
          </w:tcPr>
          <w:p>
            <w:pPr>
              <w:tabs>
                <w:tab w:val="left" w:pos="720"/>
              </w:tabs>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vAlign w:val="center"/>
          </w:tcPr>
          <w:p>
            <w:pPr>
              <w:tabs>
                <w:tab w:val="left" w:pos="720"/>
              </w:tabs>
              <w:snapToGrid w:val="0"/>
              <w:spacing w:line="360" w:lineRule="auto"/>
              <w:jc w:val="center"/>
              <w:rPr>
                <w:rFonts w:ascii="宋体" w:hAnsi="宋体"/>
                <w:color w:val="auto"/>
                <w:sz w:val="24"/>
                <w:highlight w:val="none"/>
              </w:rPr>
            </w:pPr>
          </w:p>
        </w:tc>
        <w:tc>
          <w:tcPr>
            <w:tcW w:w="1382" w:type="dxa"/>
            <w:vAlign w:val="center"/>
          </w:tcPr>
          <w:p>
            <w:pPr>
              <w:tabs>
                <w:tab w:val="left" w:pos="720"/>
              </w:tabs>
              <w:snapToGrid w:val="0"/>
              <w:spacing w:line="360" w:lineRule="auto"/>
              <w:jc w:val="center"/>
              <w:rPr>
                <w:rFonts w:ascii="宋体" w:hAnsi="宋体"/>
                <w:color w:val="auto"/>
                <w:sz w:val="24"/>
                <w:highlight w:val="none"/>
              </w:rPr>
            </w:pPr>
          </w:p>
        </w:tc>
        <w:tc>
          <w:tcPr>
            <w:tcW w:w="2341" w:type="dxa"/>
            <w:vAlign w:val="center"/>
          </w:tcPr>
          <w:p>
            <w:pPr>
              <w:tabs>
                <w:tab w:val="left" w:pos="720"/>
              </w:tabs>
              <w:snapToGrid w:val="0"/>
              <w:spacing w:line="360" w:lineRule="auto"/>
              <w:jc w:val="center"/>
              <w:rPr>
                <w:rFonts w:ascii="宋体" w:hAnsi="宋体"/>
                <w:color w:val="auto"/>
                <w:sz w:val="24"/>
                <w:highlight w:val="none"/>
              </w:rPr>
            </w:pPr>
          </w:p>
        </w:tc>
        <w:tc>
          <w:tcPr>
            <w:tcW w:w="2245" w:type="dxa"/>
            <w:vAlign w:val="center"/>
          </w:tcPr>
          <w:p>
            <w:pPr>
              <w:tabs>
                <w:tab w:val="left" w:pos="720"/>
              </w:tabs>
              <w:snapToGrid w:val="0"/>
              <w:spacing w:line="360" w:lineRule="auto"/>
              <w:jc w:val="center"/>
              <w:rPr>
                <w:rFonts w:ascii="宋体" w:hAnsi="宋体"/>
                <w:color w:val="auto"/>
                <w:sz w:val="24"/>
                <w:highlight w:val="none"/>
              </w:rPr>
            </w:pPr>
          </w:p>
        </w:tc>
        <w:tc>
          <w:tcPr>
            <w:tcW w:w="2304" w:type="dxa"/>
            <w:vAlign w:val="center"/>
          </w:tcPr>
          <w:p>
            <w:pPr>
              <w:tabs>
                <w:tab w:val="left" w:pos="720"/>
              </w:tabs>
              <w:snapToGrid w:val="0"/>
              <w:spacing w:line="360" w:lineRule="auto"/>
              <w:jc w:val="center"/>
              <w:rPr>
                <w:rFonts w:ascii="宋体" w:hAnsi="宋体"/>
                <w:color w:val="auto"/>
                <w:sz w:val="24"/>
                <w:highlight w:val="none"/>
              </w:rPr>
            </w:pPr>
          </w:p>
        </w:tc>
      </w:tr>
    </w:tbl>
    <w:p>
      <w:pPr>
        <w:tabs>
          <w:tab w:val="left" w:pos="720"/>
        </w:tabs>
        <w:snapToGrid w:val="0"/>
        <w:spacing w:line="360" w:lineRule="auto"/>
        <w:rPr>
          <w:rFonts w:ascii="宋体" w:hAnsi="宋体"/>
          <w:color w:val="auto"/>
          <w:sz w:val="24"/>
          <w:highlight w:val="none"/>
        </w:rPr>
      </w:pPr>
    </w:p>
    <w:p>
      <w:pPr>
        <w:autoSpaceDE w:val="0"/>
        <w:autoSpaceDN w:val="0"/>
        <w:adjustRightInd w:val="0"/>
        <w:spacing w:line="360" w:lineRule="auto"/>
        <w:ind w:firstLine="368"/>
        <w:rPr>
          <w:rFonts w:ascii="宋体" w:hAnsi="宋体"/>
          <w:color w:val="auto"/>
          <w:szCs w:val="21"/>
          <w:highlight w:val="none"/>
        </w:rPr>
      </w:pPr>
      <w:r>
        <w:rPr>
          <w:rFonts w:hint="eastAsia" w:ascii="宋体" w:hAnsi="宋体"/>
          <w:color w:val="auto"/>
          <w:highlight w:val="none"/>
        </w:rPr>
        <w:t>注：参与编制经济标书所有人员名单应包括如编制各种专业工程量清单投标报价、负责清样校对、负责打印及复印等所有人员在内的人员名单。</w:t>
      </w:r>
    </w:p>
    <w:p>
      <w:pPr>
        <w:autoSpaceDE w:val="0"/>
        <w:autoSpaceDN w:val="0"/>
        <w:adjustRightInd w:val="0"/>
        <w:rPr>
          <w:rFonts w:ascii="宋体" w:hAnsi="宋体"/>
          <w:color w:val="auto"/>
          <w:sz w:val="24"/>
          <w:highlight w:val="none"/>
        </w:rPr>
      </w:pPr>
      <w:r>
        <w:rPr>
          <w:rFonts w:ascii="宋体" w:hAnsi="宋体"/>
          <w:color w:val="auto"/>
          <w:sz w:val="24"/>
          <w:highlight w:val="none"/>
        </w:rPr>
        <w:br w:type="page"/>
      </w:r>
    </w:p>
    <w:p>
      <w:pPr>
        <w:pStyle w:val="124"/>
        <w:spacing w:beforeLines="0" w:afterLines="0" w:line="360" w:lineRule="auto"/>
        <w:rPr>
          <w:rFonts w:ascii="宋体" w:eastAsia="宋体"/>
          <w:color w:val="auto"/>
          <w:highlight w:val="none"/>
        </w:rPr>
      </w:pPr>
      <w:bookmarkStart w:id="69" w:name="_Toc80289097"/>
      <w:r>
        <w:rPr>
          <w:rFonts w:hint="eastAsia" w:ascii="宋体" w:eastAsia="宋体"/>
          <w:color w:val="auto"/>
          <w:highlight w:val="none"/>
        </w:rPr>
        <w:t>格式四：对投标文件编制的承诺、投标文件编制情况</w:t>
      </w:r>
      <w:bookmarkEnd w:id="69"/>
    </w:p>
    <w:p>
      <w:pPr>
        <w:pStyle w:val="5"/>
        <w:spacing w:after="0" w:line="360" w:lineRule="auto"/>
        <w:ind w:firstLine="0"/>
        <w:jc w:val="center"/>
        <w:rPr>
          <w:rFonts w:ascii="宋体" w:hAnsi="宋体"/>
          <w:b/>
          <w:color w:val="auto"/>
          <w:sz w:val="32"/>
          <w:szCs w:val="32"/>
          <w:highlight w:val="none"/>
        </w:rPr>
      </w:pPr>
    </w:p>
    <w:p>
      <w:pPr>
        <w:pStyle w:val="5"/>
        <w:spacing w:after="0" w:line="360" w:lineRule="auto"/>
        <w:ind w:firstLine="0"/>
        <w:jc w:val="center"/>
        <w:rPr>
          <w:rFonts w:ascii="宋体" w:hAnsi="宋体"/>
          <w:color w:val="auto"/>
          <w:sz w:val="32"/>
          <w:szCs w:val="32"/>
          <w:highlight w:val="none"/>
        </w:rPr>
      </w:pPr>
      <w:r>
        <w:rPr>
          <w:rFonts w:hint="eastAsia" w:ascii="宋体" w:hAnsi="宋体"/>
          <w:b/>
          <w:color w:val="auto"/>
          <w:sz w:val="32"/>
          <w:szCs w:val="32"/>
          <w:highlight w:val="none"/>
        </w:rPr>
        <w:t>对投标文件编制的承诺</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pPr>
        <w:pStyle w:val="5"/>
        <w:spacing w:after="0" w:line="360" w:lineRule="auto"/>
        <w:ind w:firstLine="360" w:firstLineChars="150"/>
        <w:rPr>
          <w:rFonts w:ascii="宋体" w:hAnsi="宋体"/>
          <w:color w:val="auto"/>
          <w:sz w:val="24"/>
          <w:szCs w:val="24"/>
          <w:highlight w:val="none"/>
        </w:rPr>
      </w:pPr>
    </w:p>
    <w:p>
      <w:pPr>
        <w:pStyle w:val="5"/>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附件：《投标文件编制情况》</w:t>
      </w:r>
    </w:p>
    <w:p>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投标人名称（盖法人公章）：</w:t>
      </w:r>
    </w:p>
    <w:p>
      <w:pPr>
        <w:spacing w:line="360" w:lineRule="auto"/>
        <w:ind w:firstLine="2160" w:firstLineChars="900"/>
        <w:rPr>
          <w:rFonts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p>
    <w:p>
      <w:pPr>
        <w:spacing w:line="360" w:lineRule="auto"/>
        <w:ind w:firstLine="4440" w:firstLineChars="1850"/>
        <w:jc w:val="center"/>
        <w:rPr>
          <w:rFonts w:ascii="宋体" w:hAnsi="宋体"/>
          <w:color w:val="auto"/>
          <w:sz w:val="24"/>
          <w:szCs w:val="24"/>
          <w:highlight w:val="none"/>
        </w:rPr>
      </w:pPr>
      <w:r>
        <w:rPr>
          <w:rFonts w:hint="eastAsia" w:ascii="宋体" w:hAnsi="宋体"/>
          <w:color w:val="auto"/>
          <w:sz w:val="24"/>
          <w:szCs w:val="24"/>
          <w:highlight w:val="none"/>
        </w:rPr>
        <w:t xml:space="preserve"> 日期：      年   月   日 </w:t>
      </w:r>
    </w:p>
    <w:p>
      <w:pPr>
        <w:pStyle w:val="5"/>
        <w:spacing w:after="0" w:line="360" w:lineRule="auto"/>
        <w:ind w:firstLine="0"/>
        <w:rPr>
          <w:rFonts w:ascii="宋体" w:hAnsi="宋体"/>
          <w:b/>
          <w:color w:val="auto"/>
          <w:sz w:val="32"/>
          <w:szCs w:val="32"/>
          <w:highlight w:val="none"/>
        </w:rPr>
      </w:pPr>
    </w:p>
    <w:p>
      <w:pPr>
        <w:pStyle w:val="5"/>
        <w:spacing w:after="0" w:line="360" w:lineRule="auto"/>
        <w:ind w:firstLine="643" w:firstLineChars="200"/>
        <w:jc w:val="center"/>
        <w:rPr>
          <w:rFonts w:ascii="宋体" w:hAnsi="宋体"/>
          <w:color w:val="auto"/>
          <w:sz w:val="18"/>
          <w:szCs w:val="18"/>
          <w:highlight w:val="none"/>
        </w:rPr>
      </w:pPr>
      <w:r>
        <w:rPr>
          <w:rFonts w:hint="eastAsia" w:ascii="宋体" w:hAnsi="宋体"/>
          <w:b/>
          <w:color w:val="auto"/>
          <w:sz w:val="32"/>
          <w:szCs w:val="32"/>
          <w:highlight w:val="none"/>
        </w:rPr>
        <w:t>投标文件编制情况</w:t>
      </w:r>
    </w:p>
    <w:p>
      <w:pPr>
        <w:pStyle w:val="5"/>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（盖造价工程师执业专用章，执业单位应与投标人一致） </w:t>
      </w:r>
      <w:r>
        <w:rPr>
          <w:rFonts w:hint="eastAsia" w:ascii="宋体" w:hAnsi="宋体"/>
          <w:color w:val="auto"/>
          <w:sz w:val="24"/>
          <w:szCs w:val="24"/>
          <w:highlight w:val="none"/>
        </w:rPr>
        <w:t>。□委托编制的，受委托单位，编制的负责人：</w:t>
      </w:r>
      <w:r>
        <w:rPr>
          <w:rFonts w:hint="eastAsia" w:ascii="宋体" w:hAnsi="宋体"/>
          <w:color w:val="auto"/>
          <w:sz w:val="24"/>
          <w:szCs w:val="24"/>
          <w:highlight w:val="none"/>
          <w:u w:val="single"/>
        </w:rPr>
        <w:t xml:space="preserve"> （盖造价工程师执业专用章，执业单位应与受委托单位一致） </w:t>
      </w:r>
      <w:r>
        <w:rPr>
          <w:rFonts w:hint="eastAsia" w:ascii="宋体" w:hAnsi="宋体"/>
          <w:color w:val="auto"/>
          <w:sz w:val="24"/>
          <w:szCs w:val="24"/>
          <w:highlight w:val="none"/>
        </w:rPr>
        <w:t>。</w:t>
      </w:r>
    </w:p>
    <w:p>
      <w:pPr>
        <w:pStyle w:val="5"/>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2.投标文件加密打包的电脑情况</w:t>
      </w:r>
    </w:p>
    <w:p>
      <w:pPr>
        <w:pStyle w:val="5"/>
        <w:spacing w:after="0" w:line="360" w:lineRule="auto"/>
        <w:ind w:firstLine="0"/>
        <w:rPr>
          <w:rFonts w:ascii="宋体" w:hAnsi="宋体"/>
          <w:color w:val="auto"/>
          <w:kern w:val="2"/>
          <w:sz w:val="24"/>
          <w:highlight w:val="none"/>
        </w:rPr>
      </w:pPr>
      <w:r>
        <w:rPr>
          <w:rFonts w:hint="eastAsia" w:ascii="宋体" w:hAnsi="宋体"/>
          <w:color w:val="auto"/>
          <w:kern w:val="2"/>
          <w:sz w:val="24"/>
          <w:highlight w:val="none"/>
        </w:rPr>
        <w:t>投标文件加密打包的电脑     自有</w:t>
      </w:r>
      <w:r>
        <w:rPr>
          <w:rFonts w:ascii="宋体" w:hAnsi="宋体"/>
          <w:color w:val="auto"/>
          <w:kern w:val="2"/>
          <w:sz w:val="24"/>
          <w:highlight w:val="none"/>
        </w:rPr>
        <w:t xml:space="preserve">    □      外包    □     其他    □</w:t>
      </w:r>
    </w:p>
    <w:p>
      <w:pPr>
        <w:pStyle w:val="5"/>
        <w:spacing w:after="0" w:line="360" w:lineRule="auto"/>
        <w:ind w:firstLine="0"/>
        <w:rPr>
          <w:rFonts w:ascii="宋体" w:hAnsi="宋体"/>
          <w:color w:val="auto"/>
          <w:kern w:val="2"/>
          <w:sz w:val="24"/>
          <w:highlight w:val="none"/>
        </w:rPr>
      </w:pPr>
      <w:r>
        <w:rPr>
          <w:rFonts w:hint="eastAsia" w:ascii="宋体" w:hAnsi="宋体"/>
          <w:color w:val="auto"/>
          <w:kern w:val="2"/>
          <w:sz w:val="24"/>
          <w:highlight w:val="none"/>
        </w:rPr>
        <w:t>电脑类型</w:t>
      </w:r>
    </w:p>
    <w:p>
      <w:pPr>
        <w:pStyle w:val="5"/>
        <w:spacing w:after="0" w:line="360" w:lineRule="auto"/>
        <w:ind w:firstLine="0"/>
        <w:rPr>
          <w:rFonts w:ascii="宋体" w:hAnsi="宋体"/>
          <w:color w:val="auto"/>
          <w:kern w:val="2"/>
          <w:sz w:val="24"/>
          <w:highlight w:val="none"/>
        </w:rPr>
      </w:pPr>
      <w:r>
        <w:rPr>
          <w:rFonts w:hint="eastAsia" w:ascii="宋体" w:hAnsi="宋体"/>
          <w:color w:val="auto"/>
          <w:kern w:val="2"/>
          <w:sz w:val="24"/>
          <w:highlight w:val="none"/>
        </w:rPr>
        <w:t>电脑所属单位</w:t>
      </w:r>
    </w:p>
    <w:p>
      <w:pPr>
        <w:pStyle w:val="5"/>
        <w:spacing w:after="0" w:line="360" w:lineRule="auto"/>
        <w:ind w:firstLine="480" w:firstLineChars="200"/>
        <w:rPr>
          <w:rFonts w:ascii="宋体" w:hAnsi="宋体"/>
          <w:color w:val="auto"/>
          <w:kern w:val="2"/>
          <w:sz w:val="24"/>
          <w:highlight w:val="none"/>
        </w:rPr>
      </w:pPr>
      <w:r>
        <w:rPr>
          <w:rFonts w:hint="eastAsia" w:ascii="宋体" w:hAnsi="宋体"/>
          <w:color w:val="auto"/>
          <w:kern w:val="2"/>
          <w:sz w:val="24"/>
          <w:highlight w:val="none"/>
        </w:rPr>
        <w:t>电脑所在地址（如××市××区</w:t>
      </w:r>
      <w:r>
        <w:rPr>
          <w:rFonts w:ascii="宋体" w:hAnsi="宋体"/>
          <w:color w:val="auto"/>
          <w:kern w:val="2"/>
          <w:sz w:val="24"/>
          <w:highlight w:val="none"/>
        </w:rPr>
        <w:t xml:space="preserve">(县) </w:t>
      </w:r>
      <w:r>
        <w:rPr>
          <w:rFonts w:hint="eastAsia" w:ascii="宋体" w:hAnsi="宋体"/>
          <w:color w:val="auto"/>
          <w:kern w:val="2"/>
          <w:sz w:val="24"/>
          <w:highlight w:val="none"/>
        </w:rPr>
        <w:t>××街（路）××号××大厦××房）</w:t>
      </w:r>
    </w:p>
    <w:p>
      <w:pPr>
        <w:pStyle w:val="124"/>
        <w:spacing w:beforeLines="0" w:afterLines="0" w:line="360" w:lineRule="auto"/>
        <w:rPr>
          <w:rFonts w:ascii="宋体" w:eastAsia="宋体"/>
          <w:color w:val="auto"/>
          <w:highlight w:val="none"/>
        </w:rPr>
      </w:pPr>
      <w:r>
        <w:rPr>
          <w:color w:val="auto"/>
          <w:highlight w:val="none"/>
        </w:rPr>
        <w:br w:type="page"/>
      </w:r>
      <w:bookmarkStart w:id="70" w:name="_Toc80289098"/>
      <w:r>
        <w:rPr>
          <w:rFonts w:hint="eastAsia" w:ascii="宋体" w:eastAsia="宋体"/>
          <w:color w:val="auto"/>
          <w:highlight w:val="none"/>
        </w:rPr>
        <w:t>格式五：施工投标承诺函</w:t>
      </w:r>
      <w:bookmarkEnd w:id="70"/>
    </w:p>
    <w:p>
      <w:pPr>
        <w:pStyle w:val="113"/>
        <w:rPr>
          <w:rFonts w:ascii="宋体" w:hAnsi="宋体" w:eastAsia="宋体" w:cs="宋体"/>
          <w:color w:val="auto"/>
          <w:highlight w:val="none"/>
        </w:rPr>
      </w:pPr>
      <w:r>
        <w:rPr>
          <w:rFonts w:hint="eastAsia" w:ascii="宋体" w:hAnsi="宋体" w:eastAsia="宋体" w:cs="宋体"/>
          <w:color w:val="auto"/>
          <w:highlight w:val="none"/>
        </w:rPr>
        <w:t>施工投标承诺函（经济标）</w:t>
      </w:r>
    </w:p>
    <w:p>
      <w:pPr>
        <w:adjustRightInd w:val="0"/>
        <w:snapToGrid w:val="0"/>
        <w:spacing w:line="360" w:lineRule="auto"/>
        <w:rPr>
          <w:bCs/>
          <w:color w:val="auto"/>
          <w:szCs w:val="21"/>
          <w:highlight w:val="none"/>
        </w:rPr>
      </w:pPr>
      <w:r>
        <w:rPr>
          <w:rFonts w:hint="eastAsia"/>
          <w:bCs/>
          <w:color w:val="auto"/>
          <w:szCs w:val="21"/>
          <w:highlight w:val="none"/>
        </w:rPr>
        <w:t>致招标人：</w:t>
      </w:r>
      <w:r>
        <w:rPr>
          <w:rFonts w:hint="eastAsia"/>
          <w:bCs/>
          <w:color w:val="auto"/>
          <w:szCs w:val="21"/>
          <w:highlight w:val="none"/>
          <w:u w:val="single"/>
        </w:rPr>
        <w:t>肇庆华海能源投资有限公司</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为了确保本工程招标投标工作顺利进行，同时保证优质高效、文明施工，我方将严格执行建设工程管理的法律法规，并完全接受</w:t>
      </w:r>
      <w:r>
        <w:rPr>
          <w:rFonts w:hint="eastAsia"/>
          <w:bCs/>
          <w:color w:val="auto"/>
          <w:szCs w:val="21"/>
          <w:highlight w:val="none"/>
          <w:u w:val="single"/>
        </w:rPr>
        <w:t>（项目名称）</w:t>
      </w:r>
      <w:r>
        <w:rPr>
          <w:rFonts w:hint="eastAsia"/>
          <w:bCs/>
          <w:color w:val="auto"/>
          <w:szCs w:val="21"/>
          <w:highlight w:val="none"/>
        </w:rPr>
        <w:t>的招标文件所有内容，为此作出如下承诺：</w:t>
      </w:r>
    </w:p>
    <w:p>
      <w:pPr>
        <w:adjustRightInd w:val="0"/>
        <w:snapToGrid w:val="0"/>
        <w:spacing w:line="360" w:lineRule="auto"/>
        <w:ind w:firstLine="420" w:firstLineChars="200"/>
        <w:rPr>
          <w:color w:val="auto"/>
          <w:szCs w:val="21"/>
          <w:highlight w:val="none"/>
        </w:rPr>
      </w:pPr>
      <w:r>
        <w:rPr>
          <w:rFonts w:hint="eastAsia"/>
          <w:bCs/>
          <w:color w:val="auto"/>
          <w:szCs w:val="21"/>
          <w:highlight w:val="none"/>
        </w:rPr>
        <w:t>1、根</w:t>
      </w:r>
      <w:r>
        <w:rPr>
          <w:rFonts w:hint="eastAsia"/>
          <w:color w:val="auto"/>
          <w:szCs w:val="21"/>
          <w:highlight w:val="none"/>
        </w:rPr>
        <w:t>据企业自身情况理性报价，不会以低于成本的报价竞标，并愿以投标总报价</w:t>
      </w:r>
      <w:r>
        <w:rPr>
          <w:color w:val="auto"/>
          <w:szCs w:val="21"/>
          <w:highlight w:val="none"/>
          <w:u w:val="single"/>
        </w:rPr>
        <w:t>________</w:t>
      </w:r>
      <w:r>
        <w:rPr>
          <w:rFonts w:hint="eastAsia"/>
          <w:b/>
          <w:bCs/>
          <w:color w:val="auto"/>
          <w:szCs w:val="21"/>
          <w:highlight w:val="none"/>
        </w:rPr>
        <w:t>元（报价精确到“分”的单位），下浮率</w:t>
      </w:r>
      <w:r>
        <w:rPr>
          <w:rFonts w:hint="eastAsia"/>
          <w:b/>
          <w:bCs/>
          <w:color w:val="auto"/>
          <w:szCs w:val="21"/>
          <w:highlight w:val="none"/>
          <w:u w:val="single"/>
        </w:rPr>
        <w:t xml:space="preserve">     </w:t>
      </w:r>
      <w:r>
        <w:rPr>
          <w:rFonts w:hint="eastAsia"/>
          <w:b/>
          <w:bCs/>
          <w:color w:val="auto"/>
          <w:szCs w:val="21"/>
          <w:highlight w:val="none"/>
        </w:rPr>
        <w:t>%</w:t>
      </w:r>
      <w:r>
        <w:rPr>
          <w:rFonts w:hint="eastAsia"/>
          <w:color w:val="auto"/>
          <w:szCs w:val="21"/>
          <w:highlight w:val="none"/>
        </w:rPr>
        <w:t>，</w:t>
      </w:r>
      <w:r>
        <w:rPr>
          <w:rFonts w:hint="eastAsia" w:ascii="宋体" w:hAnsi="宋体" w:cs="宋体"/>
          <w:color w:val="auto"/>
          <w:kern w:val="1"/>
          <w:szCs w:val="21"/>
          <w:highlight w:val="none"/>
          <w:u w:val="single"/>
          <w:lang w:val="zh-CN"/>
        </w:rPr>
        <w:t>我方承诺以上报价不低于我方成本价，</w:t>
      </w:r>
      <w:r>
        <w:rPr>
          <w:rFonts w:hint="eastAsia"/>
          <w:color w:val="auto"/>
          <w:szCs w:val="21"/>
          <w:highlight w:val="none"/>
        </w:rPr>
        <w:t>按招标文件要求承包本工程的施工、竣工并修补其任何缺陷。否则，我方愿意承担任何风险。（投标人填写）</w:t>
      </w:r>
    </w:p>
    <w:p>
      <w:pPr>
        <w:adjustRightInd w:val="0"/>
        <w:snapToGrid w:val="0"/>
        <w:spacing w:line="360" w:lineRule="auto"/>
        <w:ind w:firstLine="420" w:firstLineChars="200"/>
        <w:rPr>
          <w:color w:val="auto"/>
          <w:szCs w:val="21"/>
          <w:highlight w:val="none"/>
        </w:rPr>
      </w:pPr>
      <w:r>
        <w:rPr>
          <w:rFonts w:hint="eastAsia"/>
          <w:bCs/>
          <w:color w:val="auto"/>
          <w:szCs w:val="21"/>
          <w:highlight w:val="none"/>
        </w:rPr>
        <w:t>2、</w:t>
      </w:r>
      <w:r>
        <w:rPr>
          <w:rFonts w:hint="eastAsia"/>
          <w:color w:val="auto"/>
          <w:szCs w:val="21"/>
          <w:highlight w:val="none"/>
        </w:rPr>
        <w:t>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adjustRightInd w:val="0"/>
        <w:snapToGrid w:val="0"/>
        <w:spacing w:line="360" w:lineRule="auto"/>
        <w:ind w:firstLine="420" w:firstLineChars="200"/>
        <w:rPr>
          <w:color w:val="auto"/>
          <w:szCs w:val="21"/>
          <w:highlight w:val="none"/>
        </w:rPr>
      </w:pPr>
      <w:r>
        <w:rPr>
          <w:rFonts w:hint="eastAsia"/>
          <w:color w:val="auto"/>
          <w:szCs w:val="21"/>
          <w:highlight w:val="none"/>
        </w:rPr>
        <w:t>3、我方保证所提交的保证金是从我公司基本账户汇出，银行保函是由我公司基本账户开户银行所在网点或其上级银行机构出具。否则，招标人有权取消我公司的中标资格或单方面终止合同，因此造成的责任由我公司承担。</w:t>
      </w:r>
    </w:p>
    <w:p>
      <w:pPr>
        <w:adjustRightInd w:val="0"/>
        <w:snapToGrid w:val="0"/>
        <w:spacing w:line="360" w:lineRule="auto"/>
        <w:ind w:firstLine="420" w:firstLineChars="200"/>
        <w:rPr>
          <w:rFonts w:cs="Courier New"/>
          <w:bCs/>
          <w:color w:val="auto"/>
          <w:szCs w:val="21"/>
          <w:highlight w:val="none"/>
        </w:rPr>
      </w:pPr>
      <w:r>
        <w:rPr>
          <w:rFonts w:cs="Courier New"/>
          <w:bCs/>
          <w:color w:val="auto"/>
          <w:szCs w:val="21"/>
          <w:highlight w:val="none"/>
        </w:rPr>
        <w:t>4</w:t>
      </w:r>
      <w:r>
        <w:rPr>
          <w:rFonts w:hint="eastAsia" w:cs="Courier New"/>
          <w:bCs/>
          <w:color w:val="auto"/>
          <w:szCs w:val="21"/>
          <w:highlight w:val="none"/>
        </w:rPr>
        <w:t>、一旦我方中标，将保证在收到中标通知书后</w:t>
      </w:r>
      <w:r>
        <w:rPr>
          <w:rFonts w:cs="Courier New"/>
          <w:bCs/>
          <w:color w:val="auto"/>
          <w:szCs w:val="21"/>
          <w:highlight w:val="none"/>
          <w:u w:val="single"/>
        </w:rPr>
        <w:t>30</w:t>
      </w:r>
      <w:r>
        <w:rPr>
          <w:rFonts w:hint="eastAsia" w:cs="Courier New"/>
          <w:bCs/>
          <w:color w:val="auto"/>
          <w:szCs w:val="21"/>
          <w:highlight w:val="none"/>
        </w:rPr>
        <w:t>日内，与贵方按招标文件、中标通知书中的内容签定施工合同，否则，视为我方自愿放弃中标资格。</w:t>
      </w:r>
    </w:p>
    <w:p>
      <w:pPr>
        <w:adjustRightInd w:val="0"/>
        <w:snapToGrid w:val="0"/>
        <w:spacing w:line="360" w:lineRule="auto"/>
        <w:ind w:firstLine="420" w:firstLineChars="200"/>
        <w:rPr>
          <w:rFonts w:cs="Courier New"/>
          <w:bCs/>
          <w:color w:val="auto"/>
          <w:szCs w:val="21"/>
          <w:highlight w:val="none"/>
        </w:rPr>
      </w:pPr>
      <w:r>
        <w:rPr>
          <w:color w:val="auto"/>
          <w:szCs w:val="21"/>
          <w:highlight w:val="none"/>
        </w:rPr>
        <w:t>5</w:t>
      </w:r>
      <w:r>
        <w:rPr>
          <w:rFonts w:hint="eastAsia"/>
          <w:color w:val="auto"/>
          <w:szCs w:val="21"/>
          <w:highlight w:val="none"/>
        </w:rPr>
        <w:t>、除非另外达成协议并生效，贵方的中标通知书和本投标文件将成为约束双方的合同文件的组成部分。</w:t>
      </w:r>
    </w:p>
    <w:p>
      <w:pPr>
        <w:adjustRightInd w:val="0"/>
        <w:snapToGrid w:val="0"/>
        <w:spacing w:line="360" w:lineRule="auto"/>
        <w:ind w:firstLine="420" w:firstLineChars="200"/>
        <w:rPr>
          <w:bCs/>
          <w:color w:val="auto"/>
          <w:szCs w:val="21"/>
          <w:highlight w:val="none"/>
        </w:rPr>
      </w:pPr>
      <w:r>
        <w:rPr>
          <w:bCs/>
          <w:color w:val="auto"/>
          <w:szCs w:val="21"/>
          <w:highlight w:val="none"/>
        </w:rPr>
        <w:t>6</w:t>
      </w:r>
      <w:r>
        <w:rPr>
          <w:rFonts w:hint="eastAsia"/>
          <w:bCs/>
          <w:color w:val="auto"/>
          <w:szCs w:val="21"/>
          <w:highlight w:val="none"/>
        </w:rPr>
        <w:t>、按规定完成施工合同</w:t>
      </w:r>
      <w:r>
        <w:rPr>
          <w:rFonts w:hint="eastAsia"/>
          <w:bCs/>
          <w:color w:val="auto"/>
          <w:szCs w:val="21"/>
          <w:highlight w:val="none"/>
          <w:u w:val="single"/>
        </w:rPr>
        <w:t>第一部分协议书第二款工程承包范围</w:t>
      </w:r>
      <w:r>
        <w:rPr>
          <w:rFonts w:hint="eastAsia"/>
          <w:bCs/>
          <w:color w:val="auto"/>
          <w:szCs w:val="21"/>
          <w:highlight w:val="none"/>
        </w:rPr>
        <w:t>（与招标范围一致）的全部内容，质量达到合格标准的要求，质量目标为</w:t>
      </w:r>
      <w:r>
        <w:rPr>
          <w:rFonts w:hint="eastAsia"/>
          <w:bCs/>
          <w:color w:val="auto"/>
          <w:szCs w:val="21"/>
          <w:highlight w:val="none"/>
          <w:u w:val="single"/>
        </w:rPr>
        <w:t>按招标文件要求</w:t>
      </w:r>
      <w:r>
        <w:rPr>
          <w:rFonts w:hint="eastAsia"/>
          <w:bCs/>
          <w:color w:val="auto"/>
          <w:szCs w:val="21"/>
          <w:highlight w:val="none"/>
        </w:rPr>
        <w:t>。</w:t>
      </w:r>
    </w:p>
    <w:p>
      <w:pPr>
        <w:adjustRightInd w:val="0"/>
        <w:snapToGrid w:val="0"/>
        <w:spacing w:line="360" w:lineRule="auto"/>
        <w:ind w:firstLine="420" w:firstLineChars="200"/>
        <w:rPr>
          <w:bCs/>
          <w:color w:val="auto"/>
          <w:szCs w:val="21"/>
          <w:highlight w:val="none"/>
        </w:rPr>
      </w:pPr>
      <w:r>
        <w:rPr>
          <w:bCs/>
          <w:color w:val="auto"/>
          <w:szCs w:val="21"/>
          <w:highlight w:val="none"/>
        </w:rPr>
        <w:t>7</w:t>
      </w:r>
      <w:r>
        <w:rPr>
          <w:rFonts w:hint="eastAsia"/>
          <w:bCs/>
          <w:color w:val="auto"/>
          <w:szCs w:val="21"/>
          <w:highlight w:val="none"/>
        </w:rPr>
        <w:t>、建立完善的质量安全保证体系，配备与投标文件相一致且满足工程建设规模、技术要求、安全要求的项目管理机构和项目管理人员，并确保常驻现场。我方在本工程中配备的项目管理机构和项目管理人员详见《施工项目管理团队人员信息表》（投标人填写）。撤换上述人员前，必须征得贵方及建设行政主管部门批准同意。否则，招标人有权取消我公司的中标资格或单方面终止合同，由此造成的违约责任由我公司承担。</w:t>
      </w:r>
    </w:p>
    <w:p>
      <w:pPr>
        <w:adjustRightInd w:val="0"/>
        <w:snapToGrid w:val="0"/>
        <w:spacing w:line="360" w:lineRule="auto"/>
        <w:ind w:firstLine="420" w:firstLineChars="200"/>
        <w:rPr>
          <w:bCs/>
          <w:color w:val="auto"/>
          <w:szCs w:val="21"/>
          <w:highlight w:val="none"/>
        </w:rPr>
      </w:pPr>
      <w:r>
        <w:rPr>
          <w:bCs/>
          <w:color w:val="auto"/>
          <w:szCs w:val="21"/>
          <w:highlight w:val="none"/>
        </w:rPr>
        <w:t>8</w:t>
      </w:r>
      <w:r>
        <w:rPr>
          <w:rFonts w:hint="eastAsia"/>
          <w:bCs/>
          <w:color w:val="auto"/>
          <w:szCs w:val="21"/>
          <w:highlight w:val="none"/>
        </w:rPr>
        <w:t>、我方在本工程中投入的主要机械设备详见附件《主要机械设备表》。所使用的工程机械、装卸机械满足国家现阶段非道路移动机械用柴油机排放标准。（投标人填写）</w:t>
      </w:r>
    </w:p>
    <w:p>
      <w:pPr>
        <w:adjustRightInd w:val="0"/>
        <w:snapToGrid w:val="0"/>
        <w:spacing w:line="360" w:lineRule="auto"/>
        <w:ind w:firstLine="420" w:firstLineChars="200"/>
        <w:rPr>
          <w:bCs/>
          <w:color w:val="auto"/>
          <w:szCs w:val="21"/>
          <w:highlight w:val="none"/>
        </w:rPr>
      </w:pPr>
      <w:r>
        <w:rPr>
          <w:bCs/>
          <w:color w:val="auto"/>
          <w:szCs w:val="21"/>
          <w:highlight w:val="none"/>
        </w:rPr>
        <w:t>9</w:t>
      </w:r>
      <w:r>
        <w:rPr>
          <w:rFonts w:hint="eastAsia"/>
          <w:bCs/>
          <w:color w:val="auto"/>
          <w:szCs w:val="21"/>
          <w:highlight w:val="none"/>
        </w:rPr>
        <w:t>、为确保施工安全，我方保证落实安全防护、环境保护、安全培训和信息化管理等要求，安全文明施工措施费专款专用。</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1</w:t>
      </w:r>
      <w:r>
        <w:rPr>
          <w:bCs/>
          <w:color w:val="auto"/>
          <w:szCs w:val="21"/>
          <w:highlight w:val="none"/>
        </w:rPr>
        <w:t>0</w:t>
      </w:r>
      <w:r>
        <w:rPr>
          <w:rFonts w:hint="eastAsia"/>
          <w:bCs/>
          <w:color w:val="auto"/>
          <w:szCs w:val="21"/>
          <w:highlight w:val="none"/>
        </w:rPr>
        <w:t>、我方保证在</w:t>
      </w:r>
      <w:r>
        <w:rPr>
          <w:bCs/>
          <w:color w:val="auto"/>
          <w:szCs w:val="21"/>
          <w:highlight w:val="none"/>
          <w:u w:val="single"/>
        </w:rPr>
        <w:t>____</w:t>
      </w:r>
      <w:r>
        <w:rPr>
          <w:rFonts w:hint="eastAsia"/>
          <w:bCs/>
          <w:color w:val="auto"/>
          <w:szCs w:val="21"/>
          <w:highlight w:val="none"/>
        </w:rPr>
        <w:t>日内（或于</w:t>
      </w:r>
      <w:r>
        <w:rPr>
          <w:bCs/>
          <w:color w:val="auto"/>
          <w:szCs w:val="21"/>
          <w:highlight w:val="none"/>
          <w:u w:val="single"/>
        </w:rPr>
        <w:t>_____</w:t>
      </w:r>
      <w:r>
        <w:rPr>
          <w:rFonts w:hint="eastAsia"/>
          <w:bCs/>
          <w:color w:val="auto"/>
          <w:szCs w:val="21"/>
          <w:highlight w:val="none"/>
        </w:rPr>
        <w:t>年</w:t>
      </w:r>
      <w:r>
        <w:rPr>
          <w:bCs/>
          <w:color w:val="auto"/>
          <w:szCs w:val="21"/>
          <w:highlight w:val="none"/>
          <w:u w:val="single"/>
        </w:rPr>
        <w:t>____</w:t>
      </w:r>
      <w:r>
        <w:rPr>
          <w:rFonts w:hint="eastAsia"/>
          <w:bCs/>
          <w:color w:val="auto"/>
          <w:szCs w:val="21"/>
          <w:highlight w:val="none"/>
        </w:rPr>
        <w:t>月</w:t>
      </w:r>
      <w:r>
        <w:rPr>
          <w:bCs/>
          <w:color w:val="auto"/>
          <w:szCs w:val="21"/>
          <w:highlight w:val="none"/>
          <w:u w:val="single"/>
        </w:rPr>
        <w:t>____</w:t>
      </w:r>
      <w:r>
        <w:rPr>
          <w:rFonts w:hint="eastAsia"/>
          <w:bCs/>
          <w:color w:val="auto"/>
          <w:szCs w:val="21"/>
          <w:highlight w:val="none"/>
        </w:rPr>
        <w:t>日前）完成并移交本工程（非我方造成的工期延误除外）。（投标人填写）</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1</w:t>
      </w:r>
      <w:r>
        <w:rPr>
          <w:bCs/>
          <w:color w:val="auto"/>
          <w:szCs w:val="21"/>
          <w:highlight w:val="none"/>
        </w:rPr>
        <w:t>1</w:t>
      </w:r>
      <w:r>
        <w:rPr>
          <w:rFonts w:hint="eastAsia"/>
          <w:bCs/>
          <w:color w:val="auto"/>
          <w:szCs w:val="21"/>
          <w:highlight w:val="none"/>
        </w:rPr>
        <w:t>、对在工程实施过程中发生的工程变更，严格按照双方合同的有关规定计量和计价，并保证接受贵方要求完成变更的工程内容。</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1</w:t>
      </w:r>
      <w:r>
        <w:rPr>
          <w:bCs/>
          <w:color w:val="auto"/>
          <w:szCs w:val="21"/>
          <w:highlight w:val="none"/>
        </w:rPr>
        <w:t>2</w:t>
      </w:r>
      <w:r>
        <w:rPr>
          <w:rFonts w:hint="eastAsia"/>
          <w:bCs/>
          <w:color w:val="auto"/>
          <w:szCs w:val="21"/>
          <w:highlight w:val="none"/>
        </w:rPr>
        <w:t>、我方在本次投标中无弄虚作假行为，且未与其他投标人、招标人及评标专家串通投标等违规行为。否则，将接受取消投标资格、取消中标资格、解除合同、已进场施工的无条件退场、清出预选承包商名录、记录不良行为红色警示、暂停一年至三年在我市参加建设工程投标的资格等处理，涉嫌构成犯罪的，将依法追究刑事责任并移送公安机关查处。</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1</w:t>
      </w:r>
      <w:r>
        <w:rPr>
          <w:bCs/>
          <w:color w:val="auto"/>
          <w:szCs w:val="21"/>
          <w:highlight w:val="none"/>
        </w:rPr>
        <w:t>3</w:t>
      </w:r>
      <w:r>
        <w:rPr>
          <w:rFonts w:hint="eastAsia"/>
          <w:bCs/>
          <w:color w:val="auto"/>
          <w:szCs w:val="21"/>
          <w:highlight w:val="none"/>
        </w:rPr>
        <w:t>、如果违反本承诺书中任何条款，我方愿意接受：</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(1)视作我方单方面违约，并按照合同规定向贵方支付违约金或解除合同；</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(2)履约评价评定为合格及以下；</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(3)本工程招标人今后可拒绝我方参与投标；</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(4)建设行政主管部门或相关主管部门的不良行为记录、行政处罚。</w:t>
      </w:r>
    </w:p>
    <w:p>
      <w:pPr>
        <w:adjustRightInd w:val="0"/>
        <w:snapToGrid w:val="0"/>
        <w:spacing w:line="360" w:lineRule="auto"/>
        <w:rPr>
          <w:bCs/>
          <w:color w:val="auto"/>
          <w:szCs w:val="21"/>
          <w:highlight w:val="none"/>
        </w:rPr>
      </w:pPr>
    </w:p>
    <w:p>
      <w:pPr>
        <w:adjustRightInd w:val="0"/>
        <w:snapToGrid w:val="0"/>
        <w:spacing w:line="360" w:lineRule="auto"/>
        <w:rPr>
          <w:color w:val="auto"/>
          <w:szCs w:val="21"/>
          <w:highlight w:val="none"/>
        </w:rPr>
      </w:pPr>
      <w:r>
        <w:rPr>
          <w:rFonts w:hint="eastAsia"/>
          <w:color w:val="auto"/>
          <w:szCs w:val="21"/>
          <w:highlight w:val="none"/>
        </w:rPr>
        <w:t>投标人（单位公章）：</w:t>
      </w:r>
      <w:r>
        <w:rPr>
          <w:color w:val="auto"/>
          <w:szCs w:val="21"/>
          <w:highlight w:val="none"/>
          <w:u w:val="single"/>
        </w:rPr>
        <w:t>__________________________________________</w:t>
      </w:r>
    </w:p>
    <w:p>
      <w:pPr>
        <w:adjustRightInd w:val="0"/>
        <w:snapToGrid w:val="0"/>
        <w:spacing w:line="360" w:lineRule="auto"/>
        <w:rPr>
          <w:color w:val="auto"/>
          <w:szCs w:val="21"/>
          <w:highlight w:val="none"/>
        </w:rPr>
      </w:pPr>
      <w:r>
        <w:rPr>
          <w:rFonts w:hint="eastAsia"/>
          <w:color w:val="auto"/>
          <w:szCs w:val="21"/>
          <w:highlight w:val="none"/>
        </w:rPr>
        <w:t>单位地址：</w:t>
      </w:r>
      <w:r>
        <w:rPr>
          <w:color w:val="auto"/>
          <w:szCs w:val="21"/>
          <w:highlight w:val="none"/>
          <w:u w:val="single"/>
        </w:rPr>
        <w:t>___________________________________________________</w:t>
      </w:r>
    </w:p>
    <w:p>
      <w:pPr>
        <w:adjustRightInd w:val="0"/>
        <w:snapToGrid w:val="0"/>
        <w:spacing w:line="360" w:lineRule="auto"/>
        <w:rPr>
          <w:color w:val="auto"/>
          <w:szCs w:val="21"/>
          <w:highlight w:val="none"/>
        </w:rPr>
      </w:pPr>
      <w:r>
        <w:rPr>
          <w:rFonts w:hint="eastAsia"/>
          <w:color w:val="auto"/>
          <w:szCs w:val="21"/>
          <w:highlight w:val="none"/>
        </w:rPr>
        <w:t>邮政编码：</w:t>
      </w:r>
      <w:r>
        <w:rPr>
          <w:color w:val="auto"/>
          <w:szCs w:val="21"/>
          <w:highlight w:val="none"/>
          <w:u w:val="single"/>
        </w:rPr>
        <w:t>______________</w:t>
      </w:r>
      <w:r>
        <w:rPr>
          <w:rFonts w:hint="eastAsia"/>
          <w:color w:val="auto"/>
          <w:szCs w:val="21"/>
          <w:highlight w:val="none"/>
        </w:rPr>
        <w:t>电话：</w:t>
      </w:r>
      <w:r>
        <w:rPr>
          <w:color w:val="auto"/>
          <w:szCs w:val="21"/>
          <w:highlight w:val="none"/>
          <w:u w:val="single"/>
        </w:rPr>
        <w:t>____________</w:t>
      </w:r>
      <w:r>
        <w:rPr>
          <w:rFonts w:hint="eastAsia"/>
          <w:color w:val="auto"/>
          <w:szCs w:val="21"/>
          <w:highlight w:val="none"/>
        </w:rPr>
        <w:t>传真：</w:t>
      </w:r>
      <w:r>
        <w:rPr>
          <w:color w:val="auto"/>
          <w:szCs w:val="21"/>
          <w:highlight w:val="none"/>
          <w:u w:val="single"/>
        </w:rPr>
        <w:t>____________</w:t>
      </w:r>
    </w:p>
    <w:p>
      <w:pPr>
        <w:adjustRightInd w:val="0"/>
        <w:snapToGrid w:val="0"/>
        <w:spacing w:line="360" w:lineRule="auto"/>
        <w:rPr>
          <w:bCs/>
          <w:color w:val="auto"/>
          <w:szCs w:val="21"/>
          <w:highlight w:val="none"/>
        </w:rPr>
      </w:pPr>
    </w:p>
    <w:p>
      <w:pPr>
        <w:adjustRightInd w:val="0"/>
        <w:snapToGrid w:val="0"/>
        <w:spacing w:line="360" w:lineRule="auto"/>
        <w:ind w:firstLine="4200" w:firstLineChars="2000"/>
        <w:rPr>
          <w:bCs/>
          <w:color w:val="auto"/>
          <w:szCs w:val="21"/>
          <w:highlight w:val="none"/>
        </w:rPr>
      </w:pPr>
      <w:r>
        <w:rPr>
          <w:rFonts w:hint="eastAsia"/>
          <w:bCs/>
          <w:color w:val="auto"/>
          <w:szCs w:val="21"/>
          <w:highlight w:val="none"/>
        </w:rPr>
        <w:t>年月日</w:t>
      </w:r>
    </w:p>
    <w:p>
      <w:pPr>
        <w:rPr>
          <w:color w:val="auto"/>
          <w:highlight w:val="none"/>
        </w:rPr>
      </w:pPr>
    </w:p>
    <w:p>
      <w:pPr>
        <w:spacing w:line="320" w:lineRule="exact"/>
        <w:rPr>
          <w:rFonts w:ascii="宋体" w:hAnsi="宋体"/>
          <w:color w:val="auto"/>
          <w:szCs w:val="21"/>
          <w:highlight w:val="none"/>
        </w:rPr>
      </w:pPr>
    </w:p>
    <w:p>
      <w:pPr>
        <w:tabs>
          <w:tab w:val="left" w:pos="720"/>
        </w:tabs>
        <w:snapToGrid w:val="0"/>
        <w:spacing w:line="360" w:lineRule="auto"/>
        <w:rPr>
          <w:rFonts w:ascii="宋体" w:hAnsi="宋体"/>
          <w:color w:val="auto"/>
          <w:sz w:val="24"/>
          <w:szCs w:val="24"/>
          <w:highlight w:val="none"/>
        </w:rPr>
      </w:pPr>
      <w:r>
        <w:rPr>
          <w:rFonts w:ascii="宋体" w:hAnsi="宋体"/>
          <w:color w:val="auto"/>
          <w:sz w:val="24"/>
          <w:szCs w:val="24"/>
          <w:highlight w:val="none"/>
        </w:rPr>
        <w:br w:type="page"/>
      </w:r>
    </w:p>
    <w:p>
      <w:pPr>
        <w:pStyle w:val="3"/>
        <w:rPr>
          <w:rFonts w:ascii="宋体" w:hAnsi="宋体"/>
          <w:color w:val="auto"/>
          <w:highlight w:val="none"/>
        </w:rPr>
      </w:pPr>
      <w:bookmarkStart w:id="71" w:name="_Toc80289099"/>
      <w:r>
        <w:rPr>
          <w:rFonts w:hint="eastAsia" w:ascii="宋体" w:hAnsi="宋体"/>
          <w:color w:val="auto"/>
          <w:highlight w:val="none"/>
        </w:rPr>
        <w:t>第五章技术条件（工程建设标准）</w:t>
      </w:r>
      <w:bookmarkEnd w:id="71"/>
    </w:p>
    <w:p>
      <w:pPr>
        <w:spacing w:line="360" w:lineRule="auto"/>
        <w:rPr>
          <w:rFonts w:ascii="宋体" w:hAnsi="宋体"/>
          <w:b/>
          <w:color w:val="auto"/>
          <w:spacing w:val="4"/>
          <w:kern w:val="0"/>
          <w:sz w:val="24"/>
          <w:szCs w:val="24"/>
          <w:highlight w:val="none"/>
        </w:rPr>
      </w:pPr>
      <w:bookmarkStart w:id="72" w:name="_（一）土建综合要求"/>
      <w:bookmarkEnd w:id="72"/>
      <w:r>
        <w:rPr>
          <w:rFonts w:hint="eastAsia" w:ascii="宋体" w:hAnsi="宋体"/>
          <w:b/>
          <w:color w:val="auto"/>
          <w:spacing w:val="4"/>
          <w:kern w:val="0"/>
          <w:sz w:val="24"/>
          <w:szCs w:val="24"/>
          <w:highlight w:val="none"/>
        </w:rPr>
        <w:t>一、采用中华人民共和国现行技术和验收规范</w:t>
      </w:r>
    </w:p>
    <w:p>
      <w:pPr>
        <w:pStyle w:val="3"/>
        <w:rPr>
          <w:rFonts w:ascii="宋体" w:hAnsi="宋体"/>
          <w:color w:val="auto"/>
          <w:highlight w:val="none"/>
        </w:rPr>
      </w:pPr>
      <w:r>
        <w:rPr>
          <w:rFonts w:ascii="宋体" w:hAnsi="宋体"/>
          <w:color w:val="auto"/>
          <w:sz w:val="24"/>
          <w:szCs w:val="24"/>
          <w:highlight w:val="none"/>
        </w:rPr>
        <w:br w:type="page"/>
      </w:r>
      <w:bookmarkStart w:id="73" w:name="_Toc80289100"/>
      <w:r>
        <w:rPr>
          <w:rFonts w:hint="eastAsia" w:ascii="宋体" w:hAnsi="宋体"/>
          <w:color w:val="auto"/>
          <w:highlight w:val="none"/>
        </w:rPr>
        <w:t>第六章图纸及勘察资料</w:t>
      </w:r>
      <w:bookmarkEnd w:id="73"/>
    </w:p>
    <w:p>
      <w:pPr>
        <w:rPr>
          <w:rFonts w:ascii="宋体" w:hAnsi="宋体"/>
          <w:b/>
          <w:color w:val="auto"/>
          <w:sz w:val="24"/>
          <w:szCs w:val="24"/>
          <w:highlight w:val="none"/>
        </w:rPr>
      </w:pPr>
      <w:r>
        <w:rPr>
          <w:rFonts w:hint="eastAsia" w:ascii="宋体" w:hAnsi="宋体"/>
          <w:color w:val="auto"/>
          <w:sz w:val="24"/>
          <w:szCs w:val="24"/>
          <w:highlight w:val="none"/>
        </w:rPr>
        <w:t>注：另册。</w:t>
      </w:r>
    </w:p>
    <w:p>
      <w:pPr>
        <w:pStyle w:val="3"/>
        <w:rPr>
          <w:rFonts w:ascii="宋体" w:hAnsi="宋体"/>
          <w:color w:val="auto"/>
          <w:highlight w:val="none"/>
        </w:rPr>
      </w:pPr>
      <w:r>
        <w:rPr>
          <w:rFonts w:ascii="宋体" w:hAnsi="宋体"/>
          <w:color w:val="auto"/>
          <w:sz w:val="24"/>
          <w:szCs w:val="24"/>
          <w:highlight w:val="none"/>
        </w:rPr>
        <w:br w:type="page"/>
      </w:r>
      <w:bookmarkStart w:id="74" w:name="_Toc80289101"/>
      <w:r>
        <w:rPr>
          <w:rFonts w:hint="eastAsia" w:ascii="宋体" w:hAnsi="宋体"/>
          <w:color w:val="auto"/>
          <w:highlight w:val="none"/>
        </w:rPr>
        <w:t>第七章工程量清单</w:t>
      </w:r>
      <w:bookmarkEnd w:id="74"/>
    </w:p>
    <w:p>
      <w:pPr>
        <w:jc w:val="center"/>
        <w:rPr>
          <w:rFonts w:ascii="宋体" w:hAnsi="宋体"/>
          <w:b/>
          <w:color w:val="auto"/>
          <w:sz w:val="24"/>
          <w:szCs w:val="24"/>
          <w:highlight w:val="none"/>
        </w:rPr>
      </w:pPr>
      <w:r>
        <w:rPr>
          <w:rFonts w:hint="eastAsia" w:ascii="宋体" w:hAnsi="宋体"/>
          <w:color w:val="auto"/>
          <w:sz w:val="24"/>
          <w:szCs w:val="24"/>
          <w:highlight w:val="none"/>
        </w:rPr>
        <w:t>无</w:t>
      </w:r>
    </w:p>
    <w:p>
      <w:pPr>
        <w:pStyle w:val="5"/>
        <w:spacing w:after="0" w:line="360" w:lineRule="auto"/>
        <w:ind w:left="-2" w:leftChars="-1" w:firstLine="960" w:firstLineChars="400"/>
        <w:rPr>
          <w:rFonts w:ascii="宋体" w:hAnsi="宋体"/>
          <w:color w:val="auto"/>
          <w:sz w:val="24"/>
          <w:highlight w:val="none"/>
        </w:rPr>
      </w:pPr>
    </w:p>
    <w:p>
      <w:pPr>
        <w:rPr>
          <w:rFonts w:ascii="宋体" w:hAnsi="宋体"/>
          <w:color w:val="auto"/>
          <w:highlight w:val="none"/>
        </w:rPr>
      </w:pPr>
    </w:p>
    <w:p>
      <w:pPr>
        <w:pStyle w:val="3"/>
        <w:rPr>
          <w:rFonts w:ascii="宋体" w:hAnsi="宋体"/>
          <w:color w:val="auto"/>
          <w:highlight w:val="none"/>
        </w:rPr>
      </w:pPr>
      <w:r>
        <w:rPr>
          <w:rFonts w:ascii="宋体" w:hAnsi="宋体"/>
          <w:color w:val="auto"/>
          <w:sz w:val="24"/>
          <w:szCs w:val="24"/>
          <w:highlight w:val="none"/>
        </w:rPr>
        <w:br w:type="page"/>
      </w:r>
      <w:bookmarkStart w:id="75" w:name="_Toc80289102"/>
      <w:r>
        <w:rPr>
          <w:rFonts w:hint="eastAsia" w:ascii="宋体" w:hAnsi="宋体"/>
          <w:color w:val="auto"/>
          <w:highlight w:val="none"/>
        </w:rPr>
        <w:t>第八章最高投标限价</w:t>
      </w:r>
      <w:bookmarkEnd w:id="75"/>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详见《最高投标限价公布函》</w:t>
      </w:r>
    </w:p>
    <w:p>
      <w:pPr>
        <w:pStyle w:val="3"/>
        <w:rPr>
          <w:color w:val="auto"/>
          <w:highlight w:val="none"/>
        </w:rPr>
      </w:pPr>
      <w:r>
        <w:rPr>
          <w:color w:val="auto"/>
          <w:highlight w:val="none"/>
        </w:rPr>
        <w:br w:type="page"/>
      </w:r>
      <w:bookmarkStart w:id="76" w:name="_Toc80289103"/>
      <w:r>
        <w:rPr>
          <w:rFonts w:hint="eastAsia" w:ascii="宋体" w:hAnsi="宋体"/>
          <w:color w:val="auto"/>
          <w:highlight w:val="none"/>
        </w:rPr>
        <w:t>第九章投标风险提示</w:t>
      </w:r>
      <w:bookmarkEnd w:id="76"/>
    </w:p>
    <w:p>
      <w:pPr>
        <w:rPr>
          <w:color w:val="auto"/>
          <w:highlight w:val="none"/>
        </w:rPr>
      </w:pPr>
    </w:p>
    <w:p>
      <w:pPr>
        <w:spacing w:line="360" w:lineRule="auto"/>
        <w:ind w:firstLine="482" w:firstLineChars="200"/>
        <w:rPr>
          <w:rFonts w:ascii="宋体" w:hAnsi="宋体"/>
          <w:color w:val="auto"/>
          <w:kern w:val="0"/>
          <w:sz w:val="24"/>
          <w:szCs w:val="24"/>
          <w:highlight w:val="none"/>
        </w:rPr>
      </w:pPr>
      <w:r>
        <w:rPr>
          <w:rFonts w:hint="eastAsia" w:ascii="黑体" w:hAnsi="黑体" w:eastAsia="黑体"/>
          <w:b/>
          <w:bCs/>
          <w:color w:val="auto"/>
          <w:sz w:val="24"/>
          <w:szCs w:val="32"/>
          <w:highlight w:val="none"/>
        </w:rPr>
        <w:t>相关风险提示详见合同</w:t>
      </w:r>
    </w:p>
    <w:p>
      <w:pPr>
        <w:pStyle w:val="130"/>
        <w:widowControl/>
        <w:snapToGrid w:val="0"/>
        <w:spacing w:before="156" w:after="156" w:line="360" w:lineRule="auto"/>
        <w:ind w:firstLine="480" w:firstLineChars="200"/>
        <w:jc w:val="left"/>
        <w:rPr>
          <w:rFonts w:ascii="宋体" w:hAnsi="宋体"/>
          <w:color w:val="auto"/>
          <w:kern w:val="0"/>
          <w:sz w:val="24"/>
          <w:szCs w:val="24"/>
          <w:highlight w:val="none"/>
        </w:rPr>
      </w:pPr>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7</w:t>
    </w:r>
    <w:r>
      <w:rPr>
        <w:lang w:val="zh-CN"/>
      </w:rPr>
      <w:fldChar w:fldCharType="end"/>
    </w:r>
  </w:p>
  <w:p>
    <w:pPr>
      <w:pStyle w:val="28"/>
      <w:ind w:firstLine="392"/>
      <w:jc w:val="right"/>
      <w:rPr>
        <w:rStyle w:val="4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2"/>
      <w:rPr>
        <w:rStyle w:val="45"/>
      </w:rPr>
    </w:pPr>
    <w:r>
      <w:fldChar w:fldCharType="begin"/>
    </w:r>
    <w:r>
      <w:rPr>
        <w:rStyle w:val="45"/>
      </w:rPr>
      <w:instrText xml:space="preserve">PAGE  </w:instrText>
    </w:r>
    <w:r>
      <w:fldChar w:fldCharType="separate"/>
    </w:r>
    <w:r>
      <w:rPr>
        <w:rStyle w:val="45"/>
        <w:rFonts w:hint="eastAsia"/>
      </w:rPr>
      <w:t>一</w:t>
    </w:r>
    <w:r>
      <w:rPr>
        <w:rStyle w:val="45"/>
      </w:rPr>
      <w:t>–2</w:t>
    </w:r>
    <w:r>
      <w:fldChar w:fldCharType="end"/>
    </w:r>
  </w:p>
  <w:p>
    <w:pPr>
      <w:pStyle w:val="28"/>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jc w:val="center"/>
      <w:rPr>
        <w:rStyle w:val="45"/>
      </w:rPr>
    </w:pPr>
    <w:r>
      <w:fldChar w:fldCharType="begin"/>
    </w:r>
    <w:r>
      <w:rPr>
        <w:rStyle w:val="45"/>
      </w:rPr>
      <w:instrText xml:space="preserve">PAGE  </w:instrText>
    </w:r>
    <w:r>
      <w:fldChar w:fldCharType="separate"/>
    </w:r>
    <w:r>
      <w:rPr>
        <w:rStyle w:val="45"/>
      </w:rPr>
      <w:t>61</w:t>
    </w:r>
    <w:r>
      <w:fldChar w:fldCharType="end"/>
    </w:r>
  </w:p>
  <w:p>
    <w:pPr>
      <w:pStyle w:val="28"/>
      <w:framePr w:wrap="around" w:vAnchor="text" w:hAnchor="margin" w:xAlign="outside" w:y="1"/>
      <w:ind w:left="-4410" w:leftChars="-2100" w:right="-4439" w:rightChars="-2114"/>
      <w:rPr>
        <w:rStyle w:val="45"/>
      </w:rPr>
    </w:pPr>
  </w:p>
  <w:p>
    <w:pPr>
      <w:pStyle w:val="28"/>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5"/>
      </w:rPr>
    </w:pPr>
    <w:r>
      <w:fldChar w:fldCharType="begin"/>
    </w:r>
    <w:r>
      <w:rPr>
        <w:rStyle w:val="45"/>
      </w:rPr>
      <w:instrText xml:space="preserve">PAGE  </w:instrText>
    </w:r>
    <w:r>
      <w:fldChar w:fldCharType="separate"/>
    </w:r>
    <w:r>
      <w:rPr>
        <w:rStyle w:val="45"/>
        <w:rFonts w:hint="eastAsia"/>
      </w:rPr>
      <w:t>一</w:t>
    </w:r>
    <w:r>
      <w:rPr>
        <w:rStyle w:val="45"/>
      </w:rPr>
      <w:t>–2</w:t>
    </w:r>
    <w:r>
      <w:fldChar w:fldCharType="end"/>
    </w:r>
  </w:p>
  <w:p>
    <w:pPr>
      <w:pStyle w:val="28"/>
      <w:ind w:right="360" w:firstLine="360"/>
      <w:jc w:val="center"/>
    </w:pPr>
    <w:r>
      <w:rPr>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5"/>
      </w:rPr>
      <w:instrText xml:space="preserve"> PAGE </w:instrText>
    </w:r>
    <w:r>
      <w:fldChar w:fldCharType="separate"/>
    </w:r>
    <w:r>
      <w:rPr>
        <w:rStyle w:val="45"/>
      </w:rPr>
      <w:t>56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i/>
        <w:iCs/>
      </w:rPr>
    </w:pPr>
    <w:r>
      <w:rPr>
        <w:rFonts w:hint="eastAsia"/>
        <w:i/>
        <w:iCs/>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D0052"/>
    <w:multiLevelType w:val="multilevel"/>
    <w:tmpl w:val="001D0052"/>
    <w:lvl w:ilvl="0" w:tentative="0">
      <w:start w:val="1"/>
      <w:numFmt w:val="decimalEnclosedCircle"/>
      <w:lvlText w:val="%1"/>
      <w:lvlJc w:val="left"/>
      <w:pPr>
        <w:ind w:left="365" w:hanging="360"/>
      </w:pPr>
      <w:rPr>
        <w:rFonts w:hint="default"/>
      </w:rPr>
    </w:lvl>
    <w:lvl w:ilvl="1" w:tentative="0">
      <w:start w:val="1"/>
      <w:numFmt w:val="lowerLetter"/>
      <w:lvlText w:val="%2)"/>
      <w:lvlJc w:val="left"/>
      <w:pPr>
        <w:ind w:left="845" w:hanging="420"/>
      </w:pPr>
    </w:lvl>
    <w:lvl w:ilvl="2" w:tentative="0">
      <w:start w:val="1"/>
      <w:numFmt w:val="lowerRoman"/>
      <w:lvlText w:val="%3."/>
      <w:lvlJc w:val="right"/>
      <w:pPr>
        <w:ind w:left="1265" w:hanging="420"/>
      </w:pPr>
    </w:lvl>
    <w:lvl w:ilvl="3" w:tentative="0">
      <w:start w:val="1"/>
      <w:numFmt w:val="decimal"/>
      <w:lvlText w:val="%4."/>
      <w:lvlJc w:val="left"/>
      <w:pPr>
        <w:ind w:left="1685" w:hanging="420"/>
      </w:pPr>
    </w:lvl>
    <w:lvl w:ilvl="4" w:tentative="0">
      <w:start w:val="1"/>
      <w:numFmt w:val="lowerLetter"/>
      <w:lvlText w:val="%5)"/>
      <w:lvlJc w:val="left"/>
      <w:pPr>
        <w:ind w:left="2105" w:hanging="420"/>
      </w:pPr>
    </w:lvl>
    <w:lvl w:ilvl="5" w:tentative="0">
      <w:start w:val="1"/>
      <w:numFmt w:val="lowerRoman"/>
      <w:lvlText w:val="%6."/>
      <w:lvlJc w:val="right"/>
      <w:pPr>
        <w:ind w:left="2525" w:hanging="420"/>
      </w:pPr>
    </w:lvl>
    <w:lvl w:ilvl="6" w:tentative="0">
      <w:start w:val="1"/>
      <w:numFmt w:val="decimal"/>
      <w:lvlText w:val="%7."/>
      <w:lvlJc w:val="left"/>
      <w:pPr>
        <w:ind w:left="2945" w:hanging="420"/>
      </w:pPr>
    </w:lvl>
    <w:lvl w:ilvl="7" w:tentative="0">
      <w:start w:val="1"/>
      <w:numFmt w:val="lowerLetter"/>
      <w:lvlText w:val="%8)"/>
      <w:lvlJc w:val="left"/>
      <w:pPr>
        <w:ind w:left="3365" w:hanging="420"/>
      </w:pPr>
    </w:lvl>
    <w:lvl w:ilvl="8" w:tentative="0">
      <w:start w:val="1"/>
      <w:numFmt w:val="lowerRoman"/>
      <w:lvlText w:val="%9."/>
      <w:lvlJc w:val="right"/>
      <w:pPr>
        <w:ind w:left="3785" w:hanging="420"/>
      </w:pPr>
    </w:lvl>
  </w:abstractNum>
  <w:abstractNum w:abstractNumId="1">
    <w:nsid w:val="062561F7"/>
    <w:multiLevelType w:val="multilevel"/>
    <w:tmpl w:val="062561F7"/>
    <w:lvl w:ilvl="0" w:tentative="0">
      <w:start w:val="1"/>
      <w:numFmt w:val="decimalEnclosedCircle"/>
      <w:lvlText w:val="%1"/>
      <w:lvlJc w:val="left"/>
      <w:pPr>
        <w:ind w:left="365" w:hanging="360"/>
      </w:pPr>
      <w:rPr>
        <w:rFonts w:hint="default"/>
      </w:rPr>
    </w:lvl>
    <w:lvl w:ilvl="1" w:tentative="0">
      <w:start w:val="1"/>
      <w:numFmt w:val="lowerLetter"/>
      <w:lvlText w:val="%2)"/>
      <w:lvlJc w:val="left"/>
      <w:pPr>
        <w:ind w:left="845" w:hanging="420"/>
      </w:pPr>
    </w:lvl>
    <w:lvl w:ilvl="2" w:tentative="0">
      <w:start w:val="1"/>
      <w:numFmt w:val="lowerRoman"/>
      <w:lvlText w:val="%3."/>
      <w:lvlJc w:val="right"/>
      <w:pPr>
        <w:ind w:left="1265" w:hanging="420"/>
      </w:pPr>
    </w:lvl>
    <w:lvl w:ilvl="3" w:tentative="0">
      <w:start w:val="1"/>
      <w:numFmt w:val="decimal"/>
      <w:lvlText w:val="%4."/>
      <w:lvlJc w:val="left"/>
      <w:pPr>
        <w:ind w:left="1685" w:hanging="420"/>
      </w:pPr>
    </w:lvl>
    <w:lvl w:ilvl="4" w:tentative="0">
      <w:start w:val="1"/>
      <w:numFmt w:val="lowerLetter"/>
      <w:lvlText w:val="%5)"/>
      <w:lvlJc w:val="left"/>
      <w:pPr>
        <w:ind w:left="2105" w:hanging="420"/>
      </w:pPr>
    </w:lvl>
    <w:lvl w:ilvl="5" w:tentative="0">
      <w:start w:val="1"/>
      <w:numFmt w:val="lowerRoman"/>
      <w:lvlText w:val="%6."/>
      <w:lvlJc w:val="right"/>
      <w:pPr>
        <w:ind w:left="2525" w:hanging="420"/>
      </w:pPr>
    </w:lvl>
    <w:lvl w:ilvl="6" w:tentative="0">
      <w:start w:val="1"/>
      <w:numFmt w:val="decimal"/>
      <w:lvlText w:val="%7."/>
      <w:lvlJc w:val="left"/>
      <w:pPr>
        <w:ind w:left="2945" w:hanging="420"/>
      </w:pPr>
    </w:lvl>
    <w:lvl w:ilvl="7" w:tentative="0">
      <w:start w:val="1"/>
      <w:numFmt w:val="lowerLetter"/>
      <w:lvlText w:val="%8)"/>
      <w:lvlJc w:val="left"/>
      <w:pPr>
        <w:ind w:left="3365" w:hanging="420"/>
      </w:pPr>
    </w:lvl>
    <w:lvl w:ilvl="8" w:tentative="0">
      <w:start w:val="1"/>
      <w:numFmt w:val="lowerRoman"/>
      <w:lvlText w:val="%9."/>
      <w:lvlJc w:val="right"/>
      <w:pPr>
        <w:ind w:left="3785" w:hanging="420"/>
      </w:pPr>
    </w:lvl>
  </w:abstractNum>
  <w:abstractNum w:abstractNumId="2">
    <w:nsid w:val="22607BF1"/>
    <w:multiLevelType w:val="multilevel"/>
    <w:tmpl w:val="22607BF1"/>
    <w:lvl w:ilvl="0" w:tentative="0">
      <w:start w:val="1"/>
      <w:numFmt w:val="decimal"/>
      <w:lvlText w:val="（%1）"/>
      <w:lvlJc w:val="left"/>
      <w:pPr>
        <w:ind w:left="1080" w:hanging="720"/>
      </w:pPr>
      <w:rPr>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586317C6"/>
    <w:multiLevelType w:val="multilevel"/>
    <w:tmpl w:val="586317C6"/>
    <w:lvl w:ilvl="0" w:tentative="0">
      <w:start w:val="1"/>
      <w:numFmt w:val="decimal"/>
      <w:lvlText w:val="%1)"/>
      <w:lvlJc w:val="left"/>
      <w:pPr>
        <w:ind w:left="600" w:hanging="420"/>
      </w:p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4">
    <w:nsid w:val="607B0AB2"/>
    <w:multiLevelType w:val="singleLevel"/>
    <w:tmpl w:val="607B0AB2"/>
    <w:lvl w:ilvl="0" w:tentative="0">
      <w:start w:val="2"/>
      <w:numFmt w:val="decimal"/>
      <w:suff w:val="nothing"/>
      <w:lvlText w:val="（%1）"/>
      <w:lvlJc w:val="left"/>
    </w:lvl>
  </w:abstractNum>
  <w:abstractNum w:abstractNumId="5">
    <w:nsid w:val="66830454"/>
    <w:multiLevelType w:val="multilevel"/>
    <w:tmpl w:val="6683045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BE"/>
    <w:rsid w:val="00000595"/>
    <w:rsid w:val="00003064"/>
    <w:rsid w:val="000047DA"/>
    <w:rsid w:val="00007148"/>
    <w:rsid w:val="000121EA"/>
    <w:rsid w:val="000136E6"/>
    <w:rsid w:val="00013880"/>
    <w:rsid w:val="00013A0B"/>
    <w:rsid w:val="00014345"/>
    <w:rsid w:val="00014352"/>
    <w:rsid w:val="0001793C"/>
    <w:rsid w:val="00025063"/>
    <w:rsid w:val="00032851"/>
    <w:rsid w:val="00032C74"/>
    <w:rsid w:val="00032E6C"/>
    <w:rsid w:val="0003781A"/>
    <w:rsid w:val="00041164"/>
    <w:rsid w:val="00041AAB"/>
    <w:rsid w:val="0004314D"/>
    <w:rsid w:val="0004665E"/>
    <w:rsid w:val="00046860"/>
    <w:rsid w:val="00047717"/>
    <w:rsid w:val="00050369"/>
    <w:rsid w:val="0005229E"/>
    <w:rsid w:val="0005449A"/>
    <w:rsid w:val="00056FD1"/>
    <w:rsid w:val="00057D34"/>
    <w:rsid w:val="000600B9"/>
    <w:rsid w:val="00060A50"/>
    <w:rsid w:val="0006166E"/>
    <w:rsid w:val="0006253B"/>
    <w:rsid w:val="00065F07"/>
    <w:rsid w:val="000663A3"/>
    <w:rsid w:val="0006657C"/>
    <w:rsid w:val="000671D1"/>
    <w:rsid w:val="00067C98"/>
    <w:rsid w:val="000704EF"/>
    <w:rsid w:val="00071D63"/>
    <w:rsid w:val="000810AE"/>
    <w:rsid w:val="00084463"/>
    <w:rsid w:val="00085F44"/>
    <w:rsid w:val="00086191"/>
    <w:rsid w:val="00086338"/>
    <w:rsid w:val="0009073E"/>
    <w:rsid w:val="00091637"/>
    <w:rsid w:val="00092949"/>
    <w:rsid w:val="00095743"/>
    <w:rsid w:val="000959DA"/>
    <w:rsid w:val="00096B6E"/>
    <w:rsid w:val="000A053C"/>
    <w:rsid w:val="000A5184"/>
    <w:rsid w:val="000A6FD9"/>
    <w:rsid w:val="000B1A5A"/>
    <w:rsid w:val="000B27FF"/>
    <w:rsid w:val="000B48B0"/>
    <w:rsid w:val="000B7CD9"/>
    <w:rsid w:val="000C0018"/>
    <w:rsid w:val="000C088F"/>
    <w:rsid w:val="000C120E"/>
    <w:rsid w:val="000C14A3"/>
    <w:rsid w:val="000C1DC0"/>
    <w:rsid w:val="000C2FD1"/>
    <w:rsid w:val="000C3580"/>
    <w:rsid w:val="000C438B"/>
    <w:rsid w:val="000D232E"/>
    <w:rsid w:val="000D341F"/>
    <w:rsid w:val="000D5438"/>
    <w:rsid w:val="000D595A"/>
    <w:rsid w:val="000D7DD7"/>
    <w:rsid w:val="000E2656"/>
    <w:rsid w:val="000E2C6D"/>
    <w:rsid w:val="000E384B"/>
    <w:rsid w:val="000E3A94"/>
    <w:rsid w:val="000E3F2A"/>
    <w:rsid w:val="000E4066"/>
    <w:rsid w:val="000E4420"/>
    <w:rsid w:val="000E482F"/>
    <w:rsid w:val="000F00B7"/>
    <w:rsid w:val="000F0A9B"/>
    <w:rsid w:val="000F0DAC"/>
    <w:rsid w:val="000F2BFC"/>
    <w:rsid w:val="000F6858"/>
    <w:rsid w:val="000F6923"/>
    <w:rsid w:val="00101CAB"/>
    <w:rsid w:val="00101D00"/>
    <w:rsid w:val="001075E3"/>
    <w:rsid w:val="00107937"/>
    <w:rsid w:val="0011203F"/>
    <w:rsid w:val="00112C1E"/>
    <w:rsid w:val="00113629"/>
    <w:rsid w:val="001144DC"/>
    <w:rsid w:val="00115204"/>
    <w:rsid w:val="001216FF"/>
    <w:rsid w:val="00123876"/>
    <w:rsid w:val="0013315E"/>
    <w:rsid w:val="0013336F"/>
    <w:rsid w:val="001357CD"/>
    <w:rsid w:val="001379E5"/>
    <w:rsid w:val="0014048D"/>
    <w:rsid w:val="00140549"/>
    <w:rsid w:val="00142A17"/>
    <w:rsid w:val="001447B3"/>
    <w:rsid w:val="00144E17"/>
    <w:rsid w:val="0014593D"/>
    <w:rsid w:val="001469E6"/>
    <w:rsid w:val="00146DF1"/>
    <w:rsid w:val="00147236"/>
    <w:rsid w:val="001479BE"/>
    <w:rsid w:val="001517A1"/>
    <w:rsid w:val="0015338D"/>
    <w:rsid w:val="00155690"/>
    <w:rsid w:val="00155A8C"/>
    <w:rsid w:val="00155B05"/>
    <w:rsid w:val="00155DA1"/>
    <w:rsid w:val="001577E7"/>
    <w:rsid w:val="00160085"/>
    <w:rsid w:val="0016211E"/>
    <w:rsid w:val="0016457F"/>
    <w:rsid w:val="00166051"/>
    <w:rsid w:val="00167AD1"/>
    <w:rsid w:val="001703FD"/>
    <w:rsid w:val="00170571"/>
    <w:rsid w:val="00170658"/>
    <w:rsid w:val="001709A6"/>
    <w:rsid w:val="00171601"/>
    <w:rsid w:val="00173112"/>
    <w:rsid w:val="001734F9"/>
    <w:rsid w:val="00175ABC"/>
    <w:rsid w:val="001765F1"/>
    <w:rsid w:val="00180E14"/>
    <w:rsid w:val="00180FA5"/>
    <w:rsid w:val="00181B42"/>
    <w:rsid w:val="001826A7"/>
    <w:rsid w:val="00184818"/>
    <w:rsid w:val="00185962"/>
    <w:rsid w:val="00190375"/>
    <w:rsid w:val="00191EC1"/>
    <w:rsid w:val="00191FE1"/>
    <w:rsid w:val="001950A3"/>
    <w:rsid w:val="001950A5"/>
    <w:rsid w:val="0019516E"/>
    <w:rsid w:val="00197106"/>
    <w:rsid w:val="001A290D"/>
    <w:rsid w:val="001A378E"/>
    <w:rsid w:val="001A3B36"/>
    <w:rsid w:val="001A5232"/>
    <w:rsid w:val="001A534D"/>
    <w:rsid w:val="001A5434"/>
    <w:rsid w:val="001A5CDB"/>
    <w:rsid w:val="001A5D65"/>
    <w:rsid w:val="001B1301"/>
    <w:rsid w:val="001B1C03"/>
    <w:rsid w:val="001B291E"/>
    <w:rsid w:val="001B418C"/>
    <w:rsid w:val="001B4AE4"/>
    <w:rsid w:val="001C1CBA"/>
    <w:rsid w:val="001C22FA"/>
    <w:rsid w:val="001C378A"/>
    <w:rsid w:val="001C4192"/>
    <w:rsid w:val="001C506E"/>
    <w:rsid w:val="001D1B67"/>
    <w:rsid w:val="001D1F60"/>
    <w:rsid w:val="001E116F"/>
    <w:rsid w:val="001E22E1"/>
    <w:rsid w:val="001E78CD"/>
    <w:rsid w:val="001F0900"/>
    <w:rsid w:val="001F2929"/>
    <w:rsid w:val="001F39A8"/>
    <w:rsid w:val="001F61D6"/>
    <w:rsid w:val="002001CD"/>
    <w:rsid w:val="00202ADA"/>
    <w:rsid w:val="0020376F"/>
    <w:rsid w:val="00204937"/>
    <w:rsid w:val="00205EB3"/>
    <w:rsid w:val="00206838"/>
    <w:rsid w:val="0021406C"/>
    <w:rsid w:val="002147E0"/>
    <w:rsid w:val="00215FC7"/>
    <w:rsid w:val="002209AE"/>
    <w:rsid w:val="00221148"/>
    <w:rsid w:val="002219B9"/>
    <w:rsid w:val="00221DA2"/>
    <w:rsid w:val="00225351"/>
    <w:rsid w:val="00231DBF"/>
    <w:rsid w:val="002323D5"/>
    <w:rsid w:val="002323DB"/>
    <w:rsid w:val="002344D6"/>
    <w:rsid w:val="002367C0"/>
    <w:rsid w:val="00241B92"/>
    <w:rsid w:val="002423C9"/>
    <w:rsid w:val="00242844"/>
    <w:rsid w:val="00242901"/>
    <w:rsid w:val="0024309D"/>
    <w:rsid w:val="00243BDF"/>
    <w:rsid w:val="00244011"/>
    <w:rsid w:val="002460B7"/>
    <w:rsid w:val="00247644"/>
    <w:rsid w:val="00247C67"/>
    <w:rsid w:val="0025041F"/>
    <w:rsid w:val="0025247C"/>
    <w:rsid w:val="0025680F"/>
    <w:rsid w:val="00256CF8"/>
    <w:rsid w:val="00257B70"/>
    <w:rsid w:val="00260EAF"/>
    <w:rsid w:val="002634D4"/>
    <w:rsid w:val="00264A7E"/>
    <w:rsid w:val="00265312"/>
    <w:rsid w:val="00271BBF"/>
    <w:rsid w:val="00272E0C"/>
    <w:rsid w:val="00274199"/>
    <w:rsid w:val="00274A76"/>
    <w:rsid w:val="00276AFC"/>
    <w:rsid w:val="00276BC1"/>
    <w:rsid w:val="00277128"/>
    <w:rsid w:val="00280322"/>
    <w:rsid w:val="002828E9"/>
    <w:rsid w:val="002863A0"/>
    <w:rsid w:val="00290AA5"/>
    <w:rsid w:val="00293226"/>
    <w:rsid w:val="00293343"/>
    <w:rsid w:val="002954FE"/>
    <w:rsid w:val="00296443"/>
    <w:rsid w:val="00297590"/>
    <w:rsid w:val="002A03A4"/>
    <w:rsid w:val="002A16F8"/>
    <w:rsid w:val="002A1702"/>
    <w:rsid w:val="002A220D"/>
    <w:rsid w:val="002A2545"/>
    <w:rsid w:val="002A3D07"/>
    <w:rsid w:val="002A4E89"/>
    <w:rsid w:val="002A505C"/>
    <w:rsid w:val="002A65D1"/>
    <w:rsid w:val="002B0915"/>
    <w:rsid w:val="002B4873"/>
    <w:rsid w:val="002B57D5"/>
    <w:rsid w:val="002B59BC"/>
    <w:rsid w:val="002B59FC"/>
    <w:rsid w:val="002B662D"/>
    <w:rsid w:val="002C095F"/>
    <w:rsid w:val="002C1933"/>
    <w:rsid w:val="002C1DA4"/>
    <w:rsid w:val="002C1DEE"/>
    <w:rsid w:val="002C3335"/>
    <w:rsid w:val="002C3A4E"/>
    <w:rsid w:val="002C58B8"/>
    <w:rsid w:val="002C67D9"/>
    <w:rsid w:val="002D1DD8"/>
    <w:rsid w:val="002D31D8"/>
    <w:rsid w:val="002D3844"/>
    <w:rsid w:val="002D38C2"/>
    <w:rsid w:val="002D68C4"/>
    <w:rsid w:val="002D68D1"/>
    <w:rsid w:val="002D69C2"/>
    <w:rsid w:val="002E0026"/>
    <w:rsid w:val="002E19BA"/>
    <w:rsid w:val="002E2C93"/>
    <w:rsid w:val="002F06B0"/>
    <w:rsid w:val="002F0932"/>
    <w:rsid w:val="002F1679"/>
    <w:rsid w:val="002F4060"/>
    <w:rsid w:val="003022B4"/>
    <w:rsid w:val="0030285D"/>
    <w:rsid w:val="00303D18"/>
    <w:rsid w:val="00304E6F"/>
    <w:rsid w:val="003051F0"/>
    <w:rsid w:val="003132CA"/>
    <w:rsid w:val="003144EF"/>
    <w:rsid w:val="003170E4"/>
    <w:rsid w:val="00322BA9"/>
    <w:rsid w:val="0032478F"/>
    <w:rsid w:val="00330CB0"/>
    <w:rsid w:val="0033162D"/>
    <w:rsid w:val="0033179D"/>
    <w:rsid w:val="00331CAC"/>
    <w:rsid w:val="00335D63"/>
    <w:rsid w:val="00344FF7"/>
    <w:rsid w:val="0034542A"/>
    <w:rsid w:val="00350561"/>
    <w:rsid w:val="00354186"/>
    <w:rsid w:val="003549FE"/>
    <w:rsid w:val="00355904"/>
    <w:rsid w:val="0036000E"/>
    <w:rsid w:val="003607BE"/>
    <w:rsid w:val="00361448"/>
    <w:rsid w:val="00364571"/>
    <w:rsid w:val="003662F2"/>
    <w:rsid w:val="0036669C"/>
    <w:rsid w:val="003668CF"/>
    <w:rsid w:val="00370FED"/>
    <w:rsid w:val="00371313"/>
    <w:rsid w:val="00371B2F"/>
    <w:rsid w:val="00374146"/>
    <w:rsid w:val="003757EE"/>
    <w:rsid w:val="003759CD"/>
    <w:rsid w:val="003769C0"/>
    <w:rsid w:val="003771C9"/>
    <w:rsid w:val="00377E66"/>
    <w:rsid w:val="00381BC7"/>
    <w:rsid w:val="003913DA"/>
    <w:rsid w:val="003947F7"/>
    <w:rsid w:val="003958B6"/>
    <w:rsid w:val="00395D85"/>
    <w:rsid w:val="003963F6"/>
    <w:rsid w:val="003966E1"/>
    <w:rsid w:val="00396D06"/>
    <w:rsid w:val="003972F0"/>
    <w:rsid w:val="003979CA"/>
    <w:rsid w:val="003A0DC5"/>
    <w:rsid w:val="003A2555"/>
    <w:rsid w:val="003A2958"/>
    <w:rsid w:val="003A4FDF"/>
    <w:rsid w:val="003A63FC"/>
    <w:rsid w:val="003A6D66"/>
    <w:rsid w:val="003A7188"/>
    <w:rsid w:val="003A7AA1"/>
    <w:rsid w:val="003B0499"/>
    <w:rsid w:val="003B0643"/>
    <w:rsid w:val="003B7FDC"/>
    <w:rsid w:val="003C43E3"/>
    <w:rsid w:val="003C44A0"/>
    <w:rsid w:val="003C6851"/>
    <w:rsid w:val="003C68D1"/>
    <w:rsid w:val="003C6B6F"/>
    <w:rsid w:val="003C74C8"/>
    <w:rsid w:val="003D29C0"/>
    <w:rsid w:val="003D6133"/>
    <w:rsid w:val="003D65D2"/>
    <w:rsid w:val="003E26A0"/>
    <w:rsid w:val="003E2F73"/>
    <w:rsid w:val="003E3B14"/>
    <w:rsid w:val="003E5EA2"/>
    <w:rsid w:val="003E5F7E"/>
    <w:rsid w:val="003E708B"/>
    <w:rsid w:val="003F0935"/>
    <w:rsid w:val="003F0CB6"/>
    <w:rsid w:val="003F363B"/>
    <w:rsid w:val="003F3E38"/>
    <w:rsid w:val="003F5288"/>
    <w:rsid w:val="003F62D7"/>
    <w:rsid w:val="003F6B15"/>
    <w:rsid w:val="00400913"/>
    <w:rsid w:val="00401011"/>
    <w:rsid w:val="00402671"/>
    <w:rsid w:val="0040461E"/>
    <w:rsid w:val="004050F1"/>
    <w:rsid w:val="00407692"/>
    <w:rsid w:val="004145FD"/>
    <w:rsid w:val="004147D1"/>
    <w:rsid w:val="00415203"/>
    <w:rsid w:val="004154DE"/>
    <w:rsid w:val="00415D25"/>
    <w:rsid w:val="00417018"/>
    <w:rsid w:val="004172A9"/>
    <w:rsid w:val="0041797C"/>
    <w:rsid w:val="00417BD1"/>
    <w:rsid w:val="004200B5"/>
    <w:rsid w:val="00420A76"/>
    <w:rsid w:val="00421153"/>
    <w:rsid w:val="004228C2"/>
    <w:rsid w:val="00423EFA"/>
    <w:rsid w:val="004240AD"/>
    <w:rsid w:val="004251CE"/>
    <w:rsid w:val="00425BC4"/>
    <w:rsid w:val="00426279"/>
    <w:rsid w:val="00432B97"/>
    <w:rsid w:val="004344D2"/>
    <w:rsid w:val="004355DF"/>
    <w:rsid w:val="00435D8D"/>
    <w:rsid w:val="00441BCE"/>
    <w:rsid w:val="004437F8"/>
    <w:rsid w:val="0044381A"/>
    <w:rsid w:val="004441C9"/>
    <w:rsid w:val="00444DCE"/>
    <w:rsid w:val="0044539D"/>
    <w:rsid w:val="004453F5"/>
    <w:rsid w:val="00445478"/>
    <w:rsid w:val="00452A15"/>
    <w:rsid w:val="004534A0"/>
    <w:rsid w:val="0045538B"/>
    <w:rsid w:val="00456944"/>
    <w:rsid w:val="00457202"/>
    <w:rsid w:val="00457DF5"/>
    <w:rsid w:val="00461054"/>
    <w:rsid w:val="00461763"/>
    <w:rsid w:val="00466BE4"/>
    <w:rsid w:val="004678D4"/>
    <w:rsid w:val="004704A9"/>
    <w:rsid w:val="00472203"/>
    <w:rsid w:val="004765D2"/>
    <w:rsid w:val="0048341D"/>
    <w:rsid w:val="004851C3"/>
    <w:rsid w:val="00492476"/>
    <w:rsid w:val="00492A46"/>
    <w:rsid w:val="004942D2"/>
    <w:rsid w:val="00494558"/>
    <w:rsid w:val="00494B32"/>
    <w:rsid w:val="004963FA"/>
    <w:rsid w:val="004A0F7E"/>
    <w:rsid w:val="004A33E1"/>
    <w:rsid w:val="004A64DE"/>
    <w:rsid w:val="004A6D15"/>
    <w:rsid w:val="004A7DED"/>
    <w:rsid w:val="004B0943"/>
    <w:rsid w:val="004B2433"/>
    <w:rsid w:val="004B2F89"/>
    <w:rsid w:val="004B6621"/>
    <w:rsid w:val="004B6BE7"/>
    <w:rsid w:val="004B7D34"/>
    <w:rsid w:val="004C0B8C"/>
    <w:rsid w:val="004C23F8"/>
    <w:rsid w:val="004C3682"/>
    <w:rsid w:val="004C3EBB"/>
    <w:rsid w:val="004C456A"/>
    <w:rsid w:val="004C4B34"/>
    <w:rsid w:val="004C4CF1"/>
    <w:rsid w:val="004C6A12"/>
    <w:rsid w:val="004C7291"/>
    <w:rsid w:val="004C7AC3"/>
    <w:rsid w:val="004D001D"/>
    <w:rsid w:val="004D0F79"/>
    <w:rsid w:val="004D0FD0"/>
    <w:rsid w:val="004D4C7B"/>
    <w:rsid w:val="004D54D7"/>
    <w:rsid w:val="004D664E"/>
    <w:rsid w:val="004D7DBF"/>
    <w:rsid w:val="004E146F"/>
    <w:rsid w:val="004E36B4"/>
    <w:rsid w:val="004E43BF"/>
    <w:rsid w:val="004E4779"/>
    <w:rsid w:val="004E78F6"/>
    <w:rsid w:val="004E7B1D"/>
    <w:rsid w:val="004E7D3D"/>
    <w:rsid w:val="004F1492"/>
    <w:rsid w:val="004F15E0"/>
    <w:rsid w:val="004F1DE4"/>
    <w:rsid w:val="004F20D1"/>
    <w:rsid w:val="004F23A7"/>
    <w:rsid w:val="004F7272"/>
    <w:rsid w:val="004F7BFB"/>
    <w:rsid w:val="005003FC"/>
    <w:rsid w:val="005079B3"/>
    <w:rsid w:val="00507DF2"/>
    <w:rsid w:val="0051096C"/>
    <w:rsid w:val="005110C2"/>
    <w:rsid w:val="00511E96"/>
    <w:rsid w:val="00513B54"/>
    <w:rsid w:val="00520DEC"/>
    <w:rsid w:val="0052227B"/>
    <w:rsid w:val="00527DA0"/>
    <w:rsid w:val="005326F8"/>
    <w:rsid w:val="00535DE3"/>
    <w:rsid w:val="00537A6A"/>
    <w:rsid w:val="00540CED"/>
    <w:rsid w:val="00541EE8"/>
    <w:rsid w:val="005441A6"/>
    <w:rsid w:val="00550780"/>
    <w:rsid w:val="0055285D"/>
    <w:rsid w:val="00553600"/>
    <w:rsid w:val="00553DAA"/>
    <w:rsid w:val="00554B68"/>
    <w:rsid w:val="00555FC9"/>
    <w:rsid w:val="00556A7D"/>
    <w:rsid w:val="005572A9"/>
    <w:rsid w:val="00560F93"/>
    <w:rsid w:val="00562DC9"/>
    <w:rsid w:val="00565145"/>
    <w:rsid w:val="005656CE"/>
    <w:rsid w:val="00566854"/>
    <w:rsid w:val="00566B8A"/>
    <w:rsid w:val="00570DBB"/>
    <w:rsid w:val="0057514B"/>
    <w:rsid w:val="00575586"/>
    <w:rsid w:val="005809D0"/>
    <w:rsid w:val="0058260E"/>
    <w:rsid w:val="00583012"/>
    <w:rsid w:val="00583016"/>
    <w:rsid w:val="00583F88"/>
    <w:rsid w:val="00583FDD"/>
    <w:rsid w:val="00585DC4"/>
    <w:rsid w:val="00587AF7"/>
    <w:rsid w:val="005902F1"/>
    <w:rsid w:val="00590361"/>
    <w:rsid w:val="00593477"/>
    <w:rsid w:val="0059390A"/>
    <w:rsid w:val="0059556C"/>
    <w:rsid w:val="00596327"/>
    <w:rsid w:val="00597F29"/>
    <w:rsid w:val="005A06A4"/>
    <w:rsid w:val="005A0722"/>
    <w:rsid w:val="005A5825"/>
    <w:rsid w:val="005A5DAA"/>
    <w:rsid w:val="005B018B"/>
    <w:rsid w:val="005B1421"/>
    <w:rsid w:val="005B1612"/>
    <w:rsid w:val="005B1DE8"/>
    <w:rsid w:val="005B4D2C"/>
    <w:rsid w:val="005C1C2E"/>
    <w:rsid w:val="005C2A4C"/>
    <w:rsid w:val="005C2F3F"/>
    <w:rsid w:val="005C3158"/>
    <w:rsid w:val="005C36BE"/>
    <w:rsid w:val="005C36FB"/>
    <w:rsid w:val="005C384B"/>
    <w:rsid w:val="005C3F67"/>
    <w:rsid w:val="005C755F"/>
    <w:rsid w:val="005D15AA"/>
    <w:rsid w:val="005D44BA"/>
    <w:rsid w:val="005D4CCA"/>
    <w:rsid w:val="005D79BF"/>
    <w:rsid w:val="005D7DA7"/>
    <w:rsid w:val="005E01AB"/>
    <w:rsid w:val="005E04C3"/>
    <w:rsid w:val="005E10C7"/>
    <w:rsid w:val="005E2412"/>
    <w:rsid w:val="005E2B97"/>
    <w:rsid w:val="005E422C"/>
    <w:rsid w:val="005E5C26"/>
    <w:rsid w:val="005E7E8A"/>
    <w:rsid w:val="005F2949"/>
    <w:rsid w:val="005F2B06"/>
    <w:rsid w:val="005F2C6F"/>
    <w:rsid w:val="005F2EFE"/>
    <w:rsid w:val="005F383F"/>
    <w:rsid w:val="005F471D"/>
    <w:rsid w:val="005F4B98"/>
    <w:rsid w:val="005F57C7"/>
    <w:rsid w:val="005F5E85"/>
    <w:rsid w:val="005F7830"/>
    <w:rsid w:val="005F7E28"/>
    <w:rsid w:val="006004BF"/>
    <w:rsid w:val="0060514A"/>
    <w:rsid w:val="0060782B"/>
    <w:rsid w:val="00610C6D"/>
    <w:rsid w:val="00610E74"/>
    <w:rsid w:val="00611803"/>
    <w:rsid w:val="00614D60"/>
    <w:rsid w:val="00615F87"/>
    <w:rsid w:val="00621CC6"/>
    <w:rsid w:val="00627421"/>
    <w:rsid w:val="00631C7C"/>
    <w:rsid w:val="00633B09"/>
    <w:rsid w:val="00633EC3"/>
    <w:rsid w:val="0063516A"/>
    <w:rsid w:val="00635A48"/>
    <w:rsid w:val="00636A2D"/>
    <w:rsid w:val="00636C72"/>
    <w:rsid w:val="0063706F"/>
    <w:rsid w:val="00637C0F"/>
    <w:rsid w:val="0064292D"/>
    <w:rsid w:val="00642A53"/>
    <w:rsid w:val="00643AA9"/>
    <w:rsid w:val="00644CE6"/>
    <w:rsid w:val="00647B0C"/>
    <w:rsid w:val="00652B63"/>
    <w:rsid w:val="00653EF4"/>
    <w:rsid w:val="00653F7A"/>
    <w:rsid w:val="0066103D"/>
    <w:rsid w:val="0066210B"/>
    <w:rsid w:val="006626F0"/>
    <w:rsid w:val="00662BAF"/>
    <w:rsid w:val="00662C9B"/>
    <w:rsid w:val="00663036"/>
    <w:rsid w:val="00664D5F"/>
    <w:rsid w:val="0066618B"/>
    <w:rsid w:val="0066678F"/>
    <w:rsid w:val="006676D9"/>
    <w:rsid w:val="0067199A"/>
    <w:rsid w:val="0067446B"/>
    <w:rsid w:val="006754C2"/>
    <w:rsid w:val="00680D12"/>
    <w:rsid w:val="006846E5"/>
    <w:rsid w:val="00684722"/>
    <w:rsid w:val="00687088"/>
    <w:rsid w:val="00687BA2"/>
    <w:rsid w:val="00687D8F"/>
    <w:rsid w:val="0069221D"/>
    <w:rsid w:val="00695B6B"/>
    <w:rsid w:val="00696CBD"/>
    <w:rsid w:val="006A1DE9"/>
    <w:rsid w:val="006A3D8F"/>
    <w:rsid w:val="006A6301"/>
    <w:rsid w:val="006A79D3"/>
    <w:rsid w:val="006B04E1"/>
    <w:rsid w:val="006B2AB7"/>
    <w:rsid w:val="006B3045"/>
    <w:rsid w:val="006B3CA6"/>
    <w:rsid w:val="006B67AF"/>
    <w:rsid w:val="006B6B0D"/>
    <w:rsid w:val="006B7140"/>
    <w:rsid w:val="006C009F"/>
    <w:rsid w:val="006C023B"/>
    <w:rsid w:val="006C18B6"/>
    <w:rsid w:val="006C3040"/>
    <w:rsid w:val="006C5B36"/>
    <w:rsid w:val="006C6A54"/>
    <w:rsid w:val="006D21AB"/>
    <w:rsid w:val="006D320B"/>
    <w:rsid w:val="006D3D5A"/>
    <w:rsid w:val="006D542C"/>
    <w:rsid w:val="006D6122"/>
    <w:rsid w:val="006D6551"/>
    <w:rsid w:val="006E3791"/>
    <w:rsid w:val="006E558B"/>
    <w:rsid w:val="006F1931"/>
    <w:rsid w:val="006F2734"/>
    <w:rsid w:val="006F6E21"/>
    <w:rsid w:val="00700AF2"/>
    <w:rsid w:val="00700E23"/>
    <w:rsid w:val="007012AE"/>
    <w:rsid w:val="00701502"/>
    <w:rsid w:val="00704D2B"/>
    <w:rsid w:val="0070560F"/>
    <w:rsid w:val="007075D5"/>
    <w:rsid w:val="00711AA0"/>
    <w:rsid w:val="00713B65"/>
    <w:rsid w:val="0071755A"/>
    <w:rsid w:val="00717941"/>
    <w:rsid w:val="00717C75"/>
    <w:rsid w:val="00720364"/>
    <w:rsid w:val="00722CC0"/>
    <w:rsid w:val="00724933"/>
    <w:rsid w:val="00724D7B"/>
    <w:rsid w:val="00726905"/>
    <w:rsid w:val="00727FE8"/>
    <w:rsid w:val="0073205C"/>
    <w:rsid w:val="00733DAE"/>
    <w:rsid w:val="007348A9"/>
    <w:rsid w:val="00737F67"/>
    <w:rsid w:val="00737FBE"/>
    <w:rsid w:val="007420A9"/>
    <w:rsid w:val="00742650"/>
    <w:rsid w:val="0074475C"/>
    <w:rsid w:val="00745983"/>
    <w:rsid w:val="007478B4"/>
    <w:rsid w:val="007507F7"/>
    <w:rsid w:val="00750EEE"/>
    <w:rsid w:val="0075342B"/>
    <w:rsid w:val="00754CF8"/>
    <w:rsid w:val="00756AD2"/>
    <w:rsid w:val="007572BA"/>
    <w:rsid w:val="00757705"/>
    <w:rsid w:val="00757DDC"/>
    <w:rsid w:val="007628AE"/>
    <w:rsid w:val="00763904"/>
    <w:rsid w:val="00764BD5"/>
    <w:rsid w:val="00764D49"/>
    <w:rsid w:val="007672EE"/>
    <w:rsid w:val="00771068"/>
    <w:rsid w:val="00771C45"/>
    <w:rsid w:val="00772173"/>
    <w:rsid w:val="00773A8E"/>
    <w:rsid w:val="00775246"/>
    <w:rsid w:val="00777884"/>
    <w:rsid w:val="00781B0A"/>
    <w:rsid w:val="007823E7"/>
    <w:rsid w:val="007861ED"/>
    <w:rsid w:val="0079143A"/>
    <w:rsid w:val="00791AAD"/>
    <w:rsid w:val="007A00A6"/>
    <w:rsid w:val="007A02FC"/>
    <w:rsid w:val="007A126B"/>
    <w:rsid w:val="007A36BA"/>
    <w:rsid w:val="007A37E4"/>
    <w:rsid w:val="007A4FD6"/>
    <w:rsid w:val="007A55AA"/>
    <w:rsid w:val="007A60C2"/>
    <w:rsid w:val="007B0CBE"/>
    <w:rsid w:val="007B41BE"/>
    <w:rsid w:val="007C16D6"/>
    <w:rsid w:val="007C2C9A"/>
    <w:rsid w:val="007C3256"/>
    <w:rsid w:val="007C53CA"/>
    <w:rsid w:val="007C78A4"/>
    <w:rsid w:val="007D0072"/>
    <w:rsid w:val="007D1E0F"/>
    <w:rsid w:val="007D3611"/>
    <w:rsid w:val="007D6787"/>
    <w:rsid w:val="007D6A86"/>
    <w:rsid w:val="007D7E0D"/>
    <w:rsid w:val="007E1974"/>
    <w:rsid w:val="007E4A28"/>
    <w:rsid w:val="007E4C20"/>
    <w:rsid w:val="007E61D7"/>
    <w:rsid w:val="007F0D03"/>
    <w:rsid w:val="007F512F"/>
    <w:rsid w:val="007F5324"/>
    <w:rsid w:val="007F55A0"/>
    <w:rsid w:val="007F5ECC"/>
    <w:rsid w:val="007F60C2"/>
    <w:rsid w:val="007F70C3"/>
    <w:rsid w:val="00802B41"/>
    <w:rsid w:val="0080614D"/>
    <w:rsid w:val="00810CB6"/>
    <w:rsid w:val="00811D5C"/>
    <w:rsid w:val="00812C30"/>
    <w:rsid w:val="00815320"/>
    <w:rsid w:val="00816696"/>
    <w:rsid w:val="00816FDF"/>
    <w:rsid w:val="00820C5C"/>
    <w:rsid w:val="00825D4A"/>
    <w:rsid w:val="00827008"/>
    <w:rsid w:val="0083177E"/>
    <w:rsid w:val="00832CFB"/>
    <w:rsid w:val="00833712"/>
    <w:rsid w:val="00833731"/>
    <w:rsid w:val="00834770"/>
    <w:rsid w:val="0083581C"/>
    <w:rsid w:val="00836170"/>
    <w:rsid w:val="00842574"/>
    <w:rsid w:val="00842E81"/>
    <w:rsid w:val="00842E9A"/>
    <w:rsid w:val="008534AA"/>
    <w:rsid w:val="0085387A"/>
    <w:rsid w:val="0085427D"/>
    <w:rsid w:val="00855A90"/>
    <w:rsid w:val="008605A1"/>
    <w:rsid w:val="00860AFE"/>
    <w:rsid w:val="008611D3"/>
    <w:rsid w:val="00861D37"/>
    <w:rsid w:val="00863F33"/>
    <w:rsid w:val="0086414C"/>
    <w:rsid w:val="0086761D"/>
    <w:rsid w:val="00870F4F"/>
    <w:rsid w:val="0087239D"/>
    <w:rsid w:val="00874E48"/>
    <w:rsid w:val="00874EAA"/>
    <w:rsid w:val="008764AE"/>
    <w:rsid w:val="00881EDE"/>
    <w:rsid w:val="00882566"/>
    <w:rsid w:val="0088317A"/>
    <w:rsid w:val="00883AF1"/>
    <w:rsid w:val="00883E93"/>
    <w:rsid w:val="008879D5"/>
    <w:rsid w:val="00887A94"/>
    <w:rsid w:val="00887C7B"/>
    <w:rsid w:val="00892A90"/>
    <w:rsid w:val="00892B62"/>
    <w:rsid w:val="00896603"/>
    <w:rsid w:val="008968B8"/>
    <w:rsid w:val="00897B12"/>
    <w:rsid w:val="008A0E09"/>
    <w:rsid w:val="008A247A"/>
    <w:rsid w:val="008A4388"/>
    <w:rsid w:val="008A4FA0"/>
    <w:rsid w:val="008A5C25"/>
    <w:rsid w:val="008A6D6E"/>
    <w:rsid w:val="008A735F"/>
    <w:rsid w:val="008B051C"/>
    <w:rsid w:val="008B1AD7"/>
    <w:rsid w:val="008B1E43"/>
    <w:rsid w:val="008B314E"/>
    <w:rsid w:val="008B3B51"/>
    <w:rsid w:val="008B50AD"/>
    <w:rsid w:val="008B71C7"/>
    <w:rsid w:val="008C0601"/>
    <w:rsid w:val="008C17A9"/>
    <w:rsid w:val="008C1FC3"/>
    <w:rsid w:val="008C2A94"/>
    <w:rsid w:val="008C5008"/>
    <w:rsid w:val="008C709D"/>
    <w:rsid w:val="008C7839"/>
    <w:rsid w:val="008D1F22"/>
    <w:rsid w:val="008D296C"/>
    <w:rsid w:val="008E18A6"/>
    <w:rsid w:val="008E4590"/>
    <w:rsid w:val="008E4805"/>
    <w:rsid w:val="008E4B2D"/>
    <w:rsid w:val="008E6F5B"/>
    <w:rsid w:val="008E7513"/>
    <w:rsid w:val="008E7FD1"/>
    <w:rsid w:val="008F099E"/>
    <w:rsid w:val="008F0F2B"/>
    <w:rsid w:val="008F3011"/>
    <w:rsid w:val="008F3FC2"/>
    <w:rsid w:val="008F7AA9"/>
    <w:rsid w:val="009003A1"/>
    <w:rsid w:val="009037EA"/>
    <w:rsid w:val="00904AD4"/>
    <w:rsid w:val="009075E1"/>
    <w:rsid w:val="009079F9"/>
    <w:rsid w:val="00912B30"/>
    <w:rsid w:val="00914E44"/>
    <w:rsid w:val="00916E90"/>
    <w:rsid w:val="00916FB9"/>
    <w:rsid w:val="00917674"/>
    <w:rsid w:val="00917B97"/>
    <w:rsid w:val="009205E4"/>
    <w:rsid w:val="00921FC7"/>
    <w:rsid w:val="009228A1"/>
    <w:rsid w:val="00922D6B"/>
    <w:rsid w:val="00924209"/>
    <w:rsid w:val="00924BCA"/>
    <w:rsid w:val="00925106"/>
    <w:rsid w:val="00925F49"/>
    <w:rsid w:val="00927446"/>
    <w:rsid w:val="009303DD"/>
    <w:rsid w:val="00930453"/>
    <w:rsid w:val="0093275A"/>
    <w:rsid w:val="00936763"/>
    <w:rsid w:val="0093702C"/>
    <w:rsid w:val="009406C8"/>
    <w:rsid w:val="00940834"/>
    <w:rsid w:val="009433B1"/>
    <w:rsid w:val="00944689"/>
    <w:rsid w:val="009507A7"/>
    <w:rsid w:val="0095292E"/>
    <w:rsid w:val="009548A4"/>
    <w:rsid w:val="00955F59"/>
    <w:rsid w:val="00961B31"/>
    <w:rsid w:val="00962AE8"/>
    <w:rsid w:val="009633C7"/>
    <w:rsid w:val="009635CD"/>
    <w:rsid w:val="009645F8"/>
    <w:rsid w:val="00964ED3"/>
    <w:rsid w:val="009665A2"/>
    <w:rsid w:val="00970261"/>
    <w:rsid w:val="009718EE"/>
    <w:rsid w:val="00973F12"/>
    <w:rsid w:val="009749C6"/>
    <w:rsid w:val="00975752"/>
    <w:rsid w:val="00976C74"/>
    <w:rsid w:val="0097703C"/>
    <w:rsid w:val="009775DC"/>
    <w:rsid w:val="009776F2"/>
    <w:rsid w:val="00977EA3"/>
    <w:rsid w:val="009807C9"/>
    <w:rsid w:val="009829C8"/>
    <w:rsid w:val="0098345F"/>
    <w:rsid w:val="00986B16"/>
    <w:rsid w:val="00986B21"/>
    <w:rsid w:val="00990DD0"/>
    <w:rsid w:val="00991AC6"/>
    <w:rsid w:val="00992F6B"/>
    <w:rsid w:val="0099341B"/>
    <w:rsid w:val="00994377"/>
    <w:rsid w:val="00994CF0"/>
    <w:rsid w:val="00995ABF"/>
    <w:rsid w:val="00996D1E"/>
    <w:rsid w:val="009977F5"/>
    <w:rsid w:val="009A0646"/>
    <w:rsid w:val="009A263A"/>
    <w:rsid w:val="009A2EEC"/>
    <w:rsid w:val="009A39AC"/>
    <w:rsid w:val="009A3C6F"/>
    <w:rsid w:val="009A52C4"/>
    <w:rsid w:val="009A5E37"/>
    <w:rsid w:val="009A6A99"/>
    <w:rsid w:val="009A6C08"/>
    <w:rsid w:val="009A75FE"/>
    <w:rsid w:val="009A7B31"/>
    <w:rsid w:val="009B1152"/>
    <w:rsid w:val="009B1682"/>
    <w:rsid w:val="009B1A4F"/>
    <w:rsid w:val="009B3BF7"/>
    <w:rsid w:val="009B5945"/>
    <w:rsid w:val="009B5A40"/>
    <w:rsid w:val="009B632C"/>
    <w:rsid w:val="009C101E"/>
    <w:rsid w:val="009C2248"/>
    <w:rsid w:val="009C2C1F"/>
    <w:rsid w:val="009C4CF5"/>
    <w:rsid w:val="009C66B9"/>
    <w:rsid w:val="009C71BC"/>
    <w:rsid w:val="009D0878"/>
    <w:rsid w:val="009D1E96"/>
    <w:rsid w:val="009D7898"/>
    <w:rsid w:val="009E3467"/>
    <w:rsid w:val="009E3A44"/>
    <w:rsid w:val="009E41A5"/>
    <w:rsid w:val="009E427C"/>
    <w:rsid w:val="009E60F2"/>
    <w:rsid w:val="009F2004"/>
    <w:rsid w:val="009F4572"/>
    <w:rsid w:val="009F5226"/>
    <w:rsid w:val="009F5E50"/>
    <w:rsid w:val="00A01806"/>
    <w:rsid w:val="00A0188C"/>
    <w:rsid w:val="00A02A24"/>
    <w:rsid w:val="00A03250"/>
    <w:rsid w:val="00A03EEC"/>
    <w:rsid w:val="00A0466C"/>
    <w:rsid w:val="00A04F70"/>
    <w:rsid w:val="00A050EE"/>
    <w:rsid w:val="00A07786"/>
    <w:rsid w:val="00A07E6C"/>
    <w:rsid w:val="00A11CC3"/>
    <w:rsid w:val="00A129BC"/>
    <w:rsid w:val="00A13F00"/>
    <w:rsid w:val="00A154A0"/>
    <w:rsid w:val="00A16368"/>
    <w:rsid w:val="00A205A4"/>
    <w:rsid w:val="00A2073F"/>
    <w:rsid w:val="00A23D31"/>
    <w:rsid w:val="00A25A48"/>
    <w:rsid w:val="00A25D96"/>
    <w:rsid w:val="00A266B6"/>
    <w:rsid w:val="00A2704C"/>
    <w:rsid w:val="00A30E20"/>
    <w:rsid w:val="00A31127"/>
    <w:rsid w:val="00A32838"/>
    <w:rsid w:val="00A33C2D"/>
    <w:rsid w:val="00A4379B"/>
    <w:rsid w:val="00A44148"/>
    <w:rsid w:val="00A4442F"/>
    <w:rsid w:val="00A45AB2"/>
    <w:rsid w:val="00A4619E"/>
    <w:rsid w:val="00A50A5A"/>
    <w:rsid w:val="00A51EBC"/>
    <w:rsid w:val="00A53CB6"/>
    <w:rsid w:val="00A54A82"/>
    <w:rsid w:val="00A54FD6"/>
    <w:rsid w:val="00A55B8D"/>
    <w:rsid w:val="00A56DBA"/>
    <w:rsid w:val="00A57E63"/>
    <w:rsid w:val="00A60CE4"/>
    <w:rsid w:val="00A61899"/>
    <w:rsid w:val="00A66167"/>
    <w:rsid w:val="00A6711A"/>
    <w:rsid w:val="00A67998"/>
    <w:rsid w:val="00A700E9"/>
    <w:rsid w:val="00A70732"/>
    <w:rsid w:val="00A718C3"/>
    <w:rsid w:val="00A7397B"/>
    <w:rsid w:val="00A7595E"/>
    <w:rsid w:val="00A75CAF"/>
    <w:rsid w:val="00A76554"/>
    <w:rsid w:val="00A770C2"/>
    <w:rsid w:val="00A80291"/>
    <w:rsid w:val="00A819DB"/>
    <w:rsid w:val="00A83046"/>
    <w:rsid w:val="00A83AEC"/>
    <w:rsid w:val="00A84452"/>
    <w:rsid w:val="00A8597A"/>
    <w:rsid w:val="00A86320"/>
    <w:rsid w:val="00A866F3"/>
    <w:rsid w:val="00A8784E"/>
    <w:rsid w:val="00A926B6"/>
    <w:rsid w:val="00A943DE"/>
    <w:rsid w:val="00A9469C"/>
    <w:rsid w:val="00A958FA"/>
    <w:rsid w:val="00A95DAC"/>
    <w:rsid w:val="00A97945"/>
    <w:rsid w:val="00AA3EB8"/>
    <w:rsid w:val="00AA5B8E"/>
    <w:rsid w:val="00AA6898"/>
    <w:rsid w:val="00AA7314"/>
    <w:rsid w:val="00AA7F04"/>
    <w:rsid w:val="00AB2450"/>
    <w:rsid w:val="00AB279C"/>
    <w:rsid w:val="00AB7042"/>
    <w:rsid w:val="00AB7713"/>
    <w:rsid w:val="00AC00B9"/>
    <w:rsid w:val="00AC2DFC"/>
    <w:rsid w:val="00AC4BBB"/>
    <w:rsid w:val="00AC6774"/>
    <w:rsid w:val="00AD1389"/>
    <w:rsid w:val="00AD17AD"/>
    <w:rsid w:val="00AD2B08"/>
    <w:rsid w:val="00AD2B50"/>
    <w:rsid w:val="00AD2EE2"/>
    <w:rsid w:val="00AD51CB"/>
    <w:rsid w:val="00AD53B0"/>
    <w:rsid w:val="00AD756C"/>
    <w:rsid w:val="00AE162B"/>
    <w:rsid w:val="00AE5266"/>
    <w:rsid w:val="00AE691D"/>
    <w:rsid w:val="00AE6E5A"/>
    <w:rsid w:val="00AE6EFE"/>
    <w:rsid w:val="00AF26AD"/>
    <w:rsid w:val="00AF3364"/>
    <w:rsid w:val="00AF421E"/>
    <w:rsid w:val="00AF5E57"/>
    <w:rsid w:val="00AF6054"/>
    <w:rsid w:val="00AF6365"/>
    <w:rsid w:val="00AF65B0"/>
    <w:rsid w:val="00AF7014"/>
    <w:rsid w:val="00B03A2B"/>
    <w:rsid w:val="00B040D4"/>
    <w:rsid w:val="00B0590A"/>
    <w:rsid w:val="00B07C52"/>
    <w:rsid w:val="00B10314"/>
    <w:rsid w:val="00B1066A"/>
    <w:rsid w:val="00B111BD"/>
    <w:rsid w:val="00B11F2E"/>
    <w:rsid w:val="00B12173"/>
    <w:rsid w:val="00B12B65"/>
    <w:rsid w:val="00B16EBE"/>
    <w:rsid w:val="00B17C80"/>
    <w:rsid w:val="00B204C6"/>
    <w:rsid w:val="00B21948"/>
    <w:rsid w:val="00B248CD"/>
    <w:rsid w:val="00B2553F"/>
    <w:rsid w:val="00B26D79"/>
    <w:rsid w:val="00B423A4"/>
    <w:rsid w:val="00B4375D"/>
    <w:rsid w:val="00B43B68"/>
    <w:rsid w:val="00B45F6B"/>
    <w:rsid w:val="00B50FEC"/>
    <w:rsid w:val="00B5102A"/>
    <w:rsid w:val="00B51125"/>
    <w:rsid w:val="00B52E4F"/>
    <w:rsid w:val="00B53B4F"/>
    <w:rsid w:val="00B5477E"/>
    <w:rsid w:val="00B56B83"/>
    <w:rsid w:val="00B57E27"/>
    <w:rsid w:val="00B6080A"/>
    <w:rsid w:val="00B652EE"/>
    <w:rsid w:val="00B66249"/>
    <w:rsid w:val="00B6625A"/>
    <w:rsid w:val="00B671B2"/>
    <w:rsid w:val="00B72FD0"/>
    <w:rsid w:val="00B77C66"/>
    <w:rsid w:val="00B8008A"/>
    <w:rsid w:val="00B80A8C"/>
    <w:rsid w:val="00B82720"/>
    <w:rsid w:val="00B82A86"/>
    <w:rsid w:val="00B87BE8"/>
    <w:rsid w:val="00B92854"/>
    <w:rsid w:val="00B9340C"/>
    <w:rsid w:val="00B937B3"/>
    <w:rsid w:val="00B93DCD"/>
    <w:rsid w:val="00B94204"/>
    <w:rsid w:val="00B95DC6"/>
    <w:rsid w:val="00B967EE"/>
    <w:rsid w:val="00B970A2"/>
    <w:rsid w:val="00B97D32"/>
    <w:rsid w:val="00BA046E"/>
    <w:rsid w:val="00BA43EC"/>
    <w:rsid w:val="00BA4C6F"/>
    <w:rsid w:val="00BA4E34"/>
    <w:rsid w:val="00BA7855"/>
    <w:rsid w:val="00BA78AA"/>
    <w:rsid w:val="00BB0679"/>
    <w:rsid w:val="00BB2C07"/>
    <w:rsid w:val="00BB3816"/>
    <w:rsid w:val="00BB5EA4"/>
    <w:rsid w:val="00BB7D3C"/>
    <w:rsid w:val="00BB7E1B"/>
    <w:rsid w:val="00BC06F4"/>
    <w:rsid w:val="00BC089A"/>
    <w:rsid w:val="00BC089E"/>
    <w:rsid w:val="00BC0AC8"/>
    <w:rsid w:val="00BC4551"/>
    <w:rsid w:val="00BC4B9E"/>
    <w:rsid w:val="00BC6E87"/>
    <w:rsid w:val="00BD128E"/>
    <w:rsid w:val="00BD5B7E"/>
    <w:rsid w:val="00BE05A7"/>
    <w:rsid w:val="00BE0D4E"/>
    <w:rsid w:val="00BE15F5"/>
    <w:rsid w:val="00BE30C1"/>
    <w:rsid w:val="00BE3626"/>
    <w:rsid w:val="00BE4589"/>
    <w:rsid w:val="00BF0858"/>
    <w:rsid w:val="00BF0CB2"/>
    <w:rsid w:val="00BF19F2"/>
    <w:rsid w:val="00BF3231"/>
    <w:rsid w:val="00BF621C"/>
    <w:rsid w:val="00BF6AB6"/>
    <w:rsid w:val="00C02B64"/>
    <w:rsid w:val="00C03D04"/>
    <w:rsid w:val="00C04DBC"/>
    <w:rsid w:val="00C07F52"/>
    <w:rsid w:val="00C10091"/>
    <w:rsid w:val="00C14447"/>
    <w:rsid w:val="00C14B59"/>
    <w:rsid w:val="00C16F8B"/>
    <w:rsid w:val="00C1793E"/>
    <w:rsid w:val="00C20ED1"/>
    <w:rsid w:val="00C244FA"/>
    <w:rsid w:val="00C34A7A"/>
    <w:rsid w:val="00C34D54"/>
    <w:rsid w:val="00C350D7"/>
    <w:rsid w:val="00C3517D"/>
    <w:rsid w:val="00C378EC"/>
    <w:rsid w:val="00C37AB6"/>
    <w:rsid w:val="00C408D3"/>
    <w:rsid w:val="00C40B7A"/>
    <w:rsid w:val="00C41D32"/>
    <w:rsid w:val="00C422EA"/>
    <w:rsid w:val="00C4674E"/>
    <w:rsid w:val="00C47B93"/>
    <w:rsid w:val="00C47DDF"/>
    <w:rsid w:val="00C50B18"/>
    <w:rsid w:val="00C51446"/>
    <w:rsid w:val="00C51DB3"/>
    <w:rsid w:val="00C5425D"/>
    <w:rsid w:val="00C55289"/>
    <w:rsid w:val="00C56A62"/>
    <w:rsid w:val="00C6260E"/>
    <w:rsid w:val="00C63A6A"/>
    <w:rsid w:val="00C671D8"/>
    <w:rsid w:val="00C67570"/>
    <w:rsid w:val="00C70017"/>
    <w:rsid w:val="00C70876"/>
    <w:rsid w:val="00C71C13"/>
    <w:rsid w:val="00C71F69"/>
    <w:rsid w:val="00C72F06"/>
    <w:rsid w:val="00C73474"/>
    <w:rsid w:val="00C745F2"/>
    <w:rsid w:val="00C76C65"/>
    <w:rsid w:val="00C775CE"/>
    <w:rsid w:val="00C80551"/>
    <w:rsid w:val="00C82838"/>
    <w:rsid w:val="00C82B3F"/>
    <w:rsid w:val="00C855F9"/>
    <w:rsid w:val="00C869BD"/>
    <w:rsid w:val="00C86B9B"/>
    <w:rsid w:val="00C91EA3"/>
    <w:rsid w:val="00C93980"/>
    <w:rsid w:val="00C94813"/>
    <w:rsid w:val="00C953F9"/>
    <w:rsid w:val="00C963A0"/>
    <w:rsid w:val="00CA1C5C"/>
    <w:rsid w:val="00CA2C02"/>
    <w:rsid w:val="00CA3376"/>
    <w:rsid w:val="00CA3611"/>
    <w:rsid w:val="00CA47F6"/>
    <w:rsid w:val="00CA6CB1"/>
    <w:rsid w:val="00CB0B72"/>
    <w:rsid w:val="00CB51EA"/>
    <w:rsid w:val="00CB5E03"/>
    <w:rsid w:val="00CB7E49"/>
    <w:rsid w:val="00CB7E60"/>
    <w:rsid w:val="00CC0B6C"/>
    <w:rsid w:val="00CC2529"/>
    <w:rsid w:val="00CC2687"/>
    <w:rsid w:val="00CC33CC"/>
    <w:rsid w:val="00CC6103"/>
    <w:rsid w:val="00CC715C"/>
    <w:rsid w:val="00CD257D"/>
    <w:rsid w:val="00CD298C"/>
    <w:rsid w:val="00CD2F0A"/>
    <w:rsid w:val="00CD434C"/>
    <w:rsid w:val="00CD587C"/>
    <w:rsid w:val="00CD755D"/>
    <w:rsid w:val="00CE13EE"/>
    <w:rsid w:val="00CE1626"/>
    <w:rsid w:val="00CE1E04"/>
    <w:rsid w:val="00CE1E5A"/>
    <w:rsid w:val="00CE24B2"/>
    <w:rsid w:val="00CE3018"/>
    <w:rsid w:val="00CE4A8A"/>
    <w:rsid w:val="00CE7E70"/>
    <w:rsid w:val="00CF002E"/>
    <w:rsid w:val="00CF1C0E"/>
    <w:rsid w:val="00CF52EB"/>
    <w:rsid w:val="00CF72BB"/>
    <w:rsid w:val="00D004BE"/>
    <w:rsid w:val="00D0221F"/>
    <w:rsid w:val="00D03FCB"/>
    <w:rsid w:val="00D0701A"/>
    <w:rsid w:val="00D106DD"/>
    <w:rsid w:val="00D11660"/>
    <w:rsid w:val="00D13EB0"/>
    <w:rsid w:val="00D13F96"/>
    <w:rsid w:val="00D14444"/>
    <w:rsid w:val="00D1487E"/>
    <w:rsid w:val="00D14F23"/>
    <w:rsid w:val="00D16F12"/>
    <w:rsid w:val="00D17587"/>
    <w:rsid w:val="00D24B0C"/>
    <w:rsid w:val="00D24C3C"/>
    <w:rsid w:val="00D2726C"/>
    <w:rsid w:val="00D27F39"/>
    <w:rsid w:val="00D307EA"/>
    <w:rsid w:val="00D30BA5"/>
    <w:rsid w:val="00D339AF"/>
    <w:rsid w:val="00D33A1B"/>
    <w:rsid w:val="00D34F78"/>
    <w:rsid w:val="00D351C3"/>
    <w:rsid w:val="00D35908"/>
    <w:rsid w:val="00D377B9"/>
    <w:rsid w:val="00D42A53"/>
    <w:rsid w:val="00D448BC"/>
    <w:rsid w:val="00D45BAE"/>
    <w:rsid w:val="00D50EF6"/>
    <w:rsid w:val="00D60058"/>
    <w:rsid w:val="00D6013B"/>
    <w:rsid w:val="00D62EE2"/>
    <w:rsid w:val="00D6606A"/>
    <w:rsid w:val="00D6654E"/>
    <w:rsid w:val="00D73232"/>
    <w:rsid w:val="00D74A58"/>
    <w:rsid w:val="00D75396"/>
    <w:rsid w:val="00D7651B"/>
    <w:rsid w:val="00D77CC4"/>
    <w:rsid w:val="00D83A3B"/>
    <w:rsid w:val="00D91F24"/>
    <w:rsid w:val="00D92CBD"/>
    <w:rsid w:val="00D93DCB"/>
    <w:rsid w:val="00D9417F"/>
    <w:rsid w:val="00D94A3B"/>
    <w:rsid w:val="00D94E7E"/>
    <w:rsid w:val="00D94F10"/>
    <w:rsid w:val="00D95EBA"/>
    <w:rsid w:val="00D95FB1"/>
    <w:rsid w:val="00D96199"/>
    <w:rsid w:val="00D96CC0"/>
    <w:rsid w:val="00DA0373"/>
    <w:rsid w:val="00DA1840"/>
    <w:rsid w:val="00DA325A"/>
    <w:rsid w:val="00DA4742"/>
    <w:rsid w:val="00DA6FAF"/>
    <w:rsid w:val="00DA708A"/>
    <w:rsid w:val="00DB08EE"/>
    <w:rsid w:val="00DB0A3F"/>
    <w:rsid w:val="00DB1183"/>
    <w:rsid w:val="00DB2B48"/>
    <w:rsid w:val="00DB2C28"/>
    <w:rsid w:val="00DB2EAF"/>
    <w:rsid w:val="00DB3666"/>
    <w:rsid w:val="00DB373E"/>
    <w:rsid w:val="00DB3D73"/>
    <w:rsid w:val="00DB3DE5"/>
    <w:rsid w:val="00DB5F86"/>
    <w:rsid w:val="00DC1945"/>
    <w:rsid w:val="00DC219F"/>
    <w:rsid w:val="00DC2CC4"/>
    <w:rsid w:val="00DC5BF2"/>
    <w:rsid w:val="00DD0635"/>
    <w:rsid w:val="00DD1FD6"/>
    <w:rsid w:val="00DD216A"/>
    <w:rsid w:val="00DD2AB8"/>
    <w:rsid w:val="00DD3874"/>
    <w:rsid w:val="00DD4162"/>
    <w:rsid w:val="00DE00EC"/>
    <w:rsid w:val="00DE3D75"/>
    <w:rsid w:val="00DE5F3E"/>
    <w:rsid w:val="00DE72A8"/>
    <w:rsid w:val="00DE7CAF"/>
    <w:rsid w:val="00DF2D5C"/>
    <w:rsid w:val="00DF420D"/>
    <w:rsid w:val="00E00D38"/>
    <w:rsid w:val="00E011D4"/>
    <w:rsid w:val="00E02863"/>
    <w:rsid w:val="00E02FBF"/>
    <w:rsid w:val="00E056DA"/>
    <w:rsid w:val="00E05CD4"/>
    <w:rsid w:val="00E0707E"/>
    <w:rsid w:val="00E118FB"/>
    <w:rsid w:val="00E12FA8"/>
    <w:rsid w:val="00E12FFB"/>
    <w:rsid w:val="00E134B7"/>
    <w:rsid w:val="00E1491F"/>
    <w:rsid w:val="00E1577F"/>
    <w:rsid w:val="00E16B9C"/>
    <w:rsid w:val="00E225D2"/>
    <w:rsid w:val="00E261EF"/>
    <w:rsid w:val="00E27A6E"/>
    <w:rsid w:val="00E31C99"/>
    <w:rsid w:val="00E33709"/>
    <w:rsid w:val="00E35DAF"/>
    <w:rsid w:val="00E37ABD"/>
    <w:rsid w:val="00E41338"/>
    <w:rsid w:val="00E41500"/>
    <w:rsid w:val="00E417A8"/>
    <w:rsid w:val="00E4183C"/>
    <w:rsid w:val="00E44498"/>
    <w:rsid w:val="00E448F1"/>
    <w:rsid w:val="00E46AA0"/>
    <w:rsid w:val="00E50700"/>
    <w:rsid w:val="00E52D86"/>
    <w:rsid w:val="00E547AF"/>
    <w:rsid w:val="00E55168"/>
    <w:rsid w:val="00E56B51"/>
    <w:rsid w:val="00E57503"/>
    <w:rsid w:val="00E5798B"/>
    <w:rsid w:val="00E62A60"/>
    <w:rsid w:val="00E647D7"/>
    <w:rsid w:val="00E70E70"/>
    <w:rsid w:val="00E72439"/>
    <w:rsid w:val="00E73543"/>
    <w:rsid w:val="00E73827"/>
    <w:rsid w:val="00E762F4"/>
    <w:rsid w:val="00E8172D"/>
    <w:rsid w:val="00E8502C"/>
    <w:rsid w:val="00E90FF2"/>
    <w:rsid w:val="00E9537B"/>
    <w:rsid w:val="00E953EB"/>
    <w:rsid w:val="00E95B02"/>
    <w:rsid w:val="00E96334"/>
    <w:rsid w:val="00E965E4"/>
    <w:rsid w:val="00E97847"/>
    <w:rsid w:val="00EA0489"/>
    <w:rsid w:val="00EA14A1"/>
    <w:rsid w:val="00EA1FCB"/>
    <w:rsid w:val="00EA2CD4"/>
    <w:rsid w:val="00EA39DE"/>
    <w:rsid w:val="00EA3C89"/>
    <w:rsid w:val="00EB15F1"/>
    <w:rsid w:val="00EB2489"/>
    <w:rsid w:val="00EB41AE"/>
    <w:rsid w:val="00EB624C"/>
    <w:rsid w:val="00EC0DC4"/>
    <w:rsid w:val="00EC202C"/>
    <w:rsid w:val="00EC2EF1"/>
    <w:rsid w:val="00EC4D56"/>
    <w:rsid w:val="00EC5618"/>
    <w:rsid w:val="00EC65E4"/>
    <w:rsid w:val="00EC78C2"/>
    <w:rsid w:val="00ED09C6"/>
    <w:rsid w:val="00ED3F05"/>
    <w:rsid w:val="00ED47D2"/>
    <w:rsid w:val="00ED5B6C"/>
    <w:rsid w:val="00ED65FD"/>
    <w:rsid w:val="00EE0CD7"/>
    <w:rsid w:val="00EE2793"/>
    <w:rsid w:val="00EE3B01"/>
    <w:rsid w:val="00EE79F4"/>
    <w:rsid w:val="00EF14F0"/>
    <w:rsid w:val="00F00474"/>
    <w:rsid w:val="00F00B83"/>
    <w:rsid w:val="00F00CE8"/>
    <w:rsid w:val="00F012F6"/>
    <w:rsid w:val="00F02668"/>
    <w:rsid w:val="00F04E2E"/>
    <w:rsid w:val="00F06952"/>
    <w:rsid w:val="00F07C7E"/>
    <w:rsid w:val="00F103EF"/>
    <w:rsid w:val="00F1138A"/>
    <w:rsid w:val="00F133B7"/>
    <w:rsid w:val="00F14D54"/>
    <w:rsid w:val="00F14E9A"/>
    <w:rsid w:val="00F16646"/>
    <w:rsid w:val="00F219E3"/>
    <w:rsid w:val="00F21FD5"/>
    <w:rsid w:val="00F220D0"/>
    <w:rsid w:val="00F22E0D"/>
    <w:rsid w:val="00F246D5"/>
    <w:rsid w:val="00F33C5E"/>
    <w:rsid w:val="00F35398"/>
    <w:rsid w:val="00F357F9"/>
    <w:rsid w:val="00F40547"/>
    <w:rsid w:val="00F410A2"/>
    <w:rsid w:val="00F4210D"/>
    <w:rsid w:val="00F47423"/>
    <w:rsid w:val="00F47E14"/>
    <w:rsid w:val="00F47EF3"/>
    <w:rsid w:val="00F50229"/>
    <w:rsid w:val="00F50D3C"/>
    <w:rsid w:val="00F50E4E"/>
    <w:rsid w:val="00F524B2"/>
    <w:rsid w:val="00F52ACA"/>
    <w:rsid w:val="00F61DD8"/>
    <w:rsid w:val="00F62030"/>
    <w:rsid w:val="00F62474"/>
    <w:rsid w:val="00F625DD"/>
    <w:rsid w:val="00F640E2"/>
    <w:rsid w:val="00F648AC"/>
    <w:rsid w:val="00F663E4"/>
    <w:rsid w:val="00F66413"/>
    <w:rsid w:val="00F665A7"/>
    <w:rsid w:val="00F66685"/>
    <w:rsid w:val="00F71561"/>
    <w:rsid w:val="00F72639"/>
    <w:rsid w:val="00F728A2"/>
    <w:rsid w:val="00F7478B"/>
    <w:rsid w:val="00F74945"/>
    <w:rsid w:val="00F75202"/>
    <w:rsid w:val="00F76097"/>
    <w:rsid w:val="00F76FAF"/>
    <w:rsid w:val="00F77CC7"/>
    <w:rsid w:val="00F803FA"/>
    <w:rsid w:val="00F81395"/>
    <w:rsid w:val="00F85ED8"/>
    <w:rsid w:val="00F87B57"/>
    <w:rsid w:val="00F90CF6"/>
    <w:rsid w:val="00F91497"/>
    <w:rsid w:val="00F91A8D"/>
    <w:rsid w:val="00F92A0D"/>
    <w:rsid w:val="00F92C37"/>
    <w:rsid w:val="00F94C0C"/>
    <w:rsid w:val="00F94DDB"/>
    <w:rsid w:val="00F95E47"/>
    <w:rsid w:val="00FA1D47"/>
    <w:rsid w:val="00FA3352"/>
    <w:rsid w:val="00FA37B2"/>
    <w:rsid w:val="00FA5414"/>
    <w:rsid w:val="00FA5793"/>
    <w:rsid w:val="00FA5D86"/>
    <w:rsid w:val="00FA73E7"/>
    <w:rsid w:val="00FB03EA"/>
    <w:rsid w:val="00FB0AC7"/>
    <w:rsid w:val="00FB4CCF"/>
    <w:rsid w:val="00FB4F71"/>
    <w:rsid w:val="00FC077C"/>
    <w:rsid w:val="00FC1962"/>
    <w:rsid w:val="00FC1981"/>
    <w:rsid w:val="00FC36F4"/>
    <w:rsid w:val="00FC3702"/>
    <w:rsid w:val="00FC379B"/>
    <w:rsid w:val="00FC450F"/>
    <w:rsid w:val="00FC63BD"/>
    <w:rsid w:val="00FD0F26"/>
    <w:rsid w:val="00FD1C7A"/>
    <w:rsid w:val="00FD6DD6"/>
    <w:rsid w:val="00FD7876"/>
    <w:rsid w:val="00FD79B8"/>
    <w:rsid w:val="00FE16C6"/>
    <w:rsid w:val="00FE23FD"/>
    <w:rsid w:val="00FE4B46"/>
    <w:rsid w:val="00FE5316"/>
    <w:rsid w:val="00FE5918"/>
    <w:rsid w:val="00FE59A6"/>
    <w:rsid w:val="00FE61C4"/>
    <w:rsid w:val="00FE6EB5"/>
    <w:rsid w:val="00FF27B6"/>
    <w:rsid w:val="00FF3715"/>
    <w:rsid w:val="00FF384D"/>
    <w:rsid w:val="00FF4AFE"/>
    <w:rsid w:val="00FF4BAB"/>
    <w:rsid w:val="00FF55C7"/>
    <w:rsid w:val="00FF5EFF"/>
    <w:rsid w:val="02AC7AEF"/>
    <w:rsid w:val="05CA2625"/>
    <w:rsid w:val="0B1D3BA8"/>
    <w:rsid w:val="0DB047C6"/>
    <w:rsid w:val="16DE7E16"/>
    <w:rsid w:val="1AC61E22"/>
    <w:rsid w:val="1D3C0ACA"/>
    <w:rsid w:val="203E7C52"/>
    <w:rsid w:val="254958A8"/>
    <w:rsid w:val="26114F50"/>
    <w:rsid w:val="26AE5078"/>
    <w:rsid w:val="2E3B21C8"/>
    <w:rsid w:val="35CF49F8"/>
    <w:rsid w:val="392C00B0"/>
    <w:rsid w:val="39CA7178"/>
    <w:rsid w:val="3E6F6E6D"/>
    <w:rsid w:val="42D03F07"/>
    <w:rsid w:val="4311037D"/>
    <w:rsid w:val="485F5ECD"/>
    <w:rsid w:val="49977B5E"/>
    <w:rsid w:val="49D537CC"/>
    <w:rsid w:val="4A2A774A"/>
    <w:rsid w:val="4BD12EBF"/>
    <w:rsid w:val="4C57708C"/>
    <w:rsid w:val="4FC6782D"/>
    <w:rsid w:val="4FF46A79"/>
    <w:rsid w:val="517639FB"/>
    <w:rsid w:val="577A1D81"/>
    <w:rsid w:val="57C50C5B"/>
    <w:rsid w:val="590134CE"/>
    <w:rsid w:val="5F4147B1"/>
    <w:rsid w:val="61A06371"/>
    <w:rsid w:val="61E41B2B"/>
    <w:rsid w:val="633A728B"/>
    <w:rsid w:val="6AAD12E9"/>
    <w:rsid w:val="6D772592"/>
    <w:rsid w:val="6FC61A2A"/>
    <w:rsid w:val="76D56383"/>
    <w:rsid w:val="77EF053E"/>
    <w:rsid w:val="78FA4541"/>
    <w:rsid w:val="7A7132C2"/>
    <w:rsid w:val="7C0059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58"/>
    <w:qFormat/>
    <w:uiPriority w:val="0"/>
    <w:pPr>
      <w:keepNext/>
      <w:keepLines/>
      <w:spacing w:after="120" w:line="360" w:lineRule="auto"/>
      <w:outlineLvl w:val="0"/>
    </w:pPr>
    <w:rPr>
      <w:kern w:val="44"/>
      <w:sz w:val="28"/>
      <w:szCs w:val="28"/>
    </w:rPr>
  </w:style>
  <w:style w:type="paragraph" w:styleId="7">
    <w:name w:val="heading 2"/>
    <w:basedOn w:val="1"/>
    <w:next w:val="8"/>
    <w:link w:val="62"/>
    <w:qFormat/>
    <w:uiPriority w:val="0"/>
    <w:pPr>
      <w:keepNext/>
      <w:keepLines/>
      <w:spacing w:before="120" w:after="120" w:line="415" w:lineRule="auto"/>
      <w:jc w:val="center"/>
      <w:outlineLvl w:val="1"/>
    </w:pPr>
    <w:rPr>
      <w:rFonts w:ascii="Arial" w:hAnsi="Arial"/>
      <w:b/>
      <w:color w:val="000000"/>
      <w:kern w:val="0"/>
      <w:sz w:val="24"/>
      <w:szCs w:val="24"/>
    </w:rPr>
  </w:style>
  <w:style w:type="paragraph" w:styleId="9">
    <w:name w:val="heading 3"/>
    <w:basedOn w:val="1"/>
    <w:next w:val="1"/>
    <w:link w:val="94"/>
    <w:qFormat/>
    <w:uiPriority w:val="0"/>
    <w:pPr>
      <w:widowControl/>
      <w:spacing w:before="100" w:beforeAutospacing="1" w:after="100" w:afterAutospacing="1"/>
      <w:jc w:val="left"/>
      <w:outlineLvl w:val="2"/>
    </w:pPr>
    <w:rPr>
      <w:rFonts w:ascii="宋体" w:hAnsi="宋体"/>
      <w:kern w:val="0"/>
      <w:sz w:val="27"/>
      <w:szCs w:val="27"/>
    </w:rPr>
  </w:style>
  <w:style w:type="paragraph" w:styleId="10">
    <w:name w:val="heading 4"/>
    <w:basedOn w:val="9"/>
    <w:next w:val="8"/>
    <w:link w:val="93"/>
    <w:qFormat/>
    <w:uiPriority w:val="0"/>
    <w:pPr>
      <w:keepNext/>
      <w:keepLines/>
      <w:widowControl w:val="0"/>
      <w:spacing w:beforeLines="50" w:beforeAutospacing="0" w:afterLines="50" w:afterAutospacing="0" w:line="360" w:lineRule="auto"/>
      <w:ind w:left="284" w:hanging="284"/>
      <w:outlineLvl w:val="3"/>
    </w:pPr>
    <w:rPr>
      <w:rFonts w:ascii="Arial" w:hAnsi="Arial"/>
      <w:color w:val="000000"/>
      <w:sz w:val="20"/>
      <w:szCs w:val="21"/>
    </w:rPr>
  </w:style>
  <w:style w:type="paragraph" w:styleId="11">
    <w:name w:val="heading 5"/>
    <w:basedOn w:val="10"/>
    <w:next w:val="8"/>
    <w:link w:val="49"/>
    <w:qFormat/>
    <w:uiPriority w:val="0"/>
    <w:pPr>
      <w:spacing w:line="240" w:lineRule="exact"/>
      <w:outlineLvl w:val="4"/>
    </w:pPr>
  </w:style>
  <w:style w:type="paragraph" w:styleId="12">
    <w:name w:val="heading 6"/>
    <w:basedOn w:val="1"/>
    <w:next w:val="1"/>
    <w:link w:val="63"/>
    <w:qFormat/>
    <w:uiPriority w:val="0"/>
    <w:pPr>
      <w:keepNext/>
      <w:keepLines/>
      <w:spacing w:before="240" w:after="64" w:line="320" w:lineRule="auto"/>
      <w:outlineLvl w:val="5"/>
    </w:pPr>
    <w:rPr>
      <w:rFonts w:ascii="Arial" w:hAnsi="Arial" w:eastAsia="黑体"/>
      <w:b/>
      <w:bCs/>
      <w:kern w:val="0"/>
      <w:sz w:val="24"/>
      <w:szCs w:val="24"/>
    </w:rPr>
  </w:style>
  <w:style w:type="paragraph" w:styleId="13">
    <w:name w:val="heading 7"/>
    <w:basedOn w:val="1"/>
    <w:next w:val="8"/>
    <w:link w:val="75"/>
    <w:qFormat/>
    <w:uiPriority w:val="0"/>
    <w:pPr>
      <w:keepNext/>
      <w:keepLines/>
      <w:spacing w:before="240" w:after="64" w:line="320" w:lineRule="auto"/>
      <w:outlineLvl w:val="6"/>
    </w:pPr>
    <w:rPr>
      <w:rFonts w:ascii="Times New Roman" w:hAnsi="Times New Roman"/>
      <w:b/>
      <w:kern w:val="0"/>
      <w:sz w:val="24"/>
      <w:szCs w:val="20"/>
    </w:rPr>
  </w:style>
  <w:style w:type="paragraph" w:styleId="14">
    <w:name w:val="heading 8"/>
    <w:basedOn w:val="1"/>
    <w:next w:val="8"/>
    <w:link w:val="97"/>
    <w:qFormat/>
    <w:uiPriority w:val="0"/>
    <w:pPr>
      <w:keepNext/>
      <w:keepLines/>
      <w:spacing w:before="240" w:after="64" w:line="320" w:lineRule="auto"/>
      <w:outlineLvl w:val="7"/>
    </w:pPr>
    <w:rPr>
      <w:rFonts w:ascii="Arial" w:hAnsi="Arial" w:eastAsia="黑体"/>
      <w:kern w:val="0"/>
      <w:sz w:val="24"/>
      <w:szCs w:val="20"/>
    </w:rPr>
  </w:style>
  <w:style w:type="paragraph" w:styleId="15">
    <w:name w:val="heading 9"/>
    <w:basedOn w:val="1"/>
    <w:next w:val="8"/>
    <w:link w:val="90"/>
    <w:qFormat/>
    <w:uiPriority w:val="0"/>
    <w:pPr>
      <w:keepNext/>
      <w:keepLines/>
      <w:spacing w:before="240" w:after="64" w:line="320" w:lineRule="auto"/>
      <w:outlineLvl w:val="8"/>
    </w:pPr>
    <w:rPr>
      <w:rFonts w:ascii="Arial" w:hAnsi="Arial" w:eastAsia="黑体"/>
      <w:kern w:val="0"/>
      <w:sz w:val="20"/>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1"/>
    <w:qFormat/>
    <w:uiPriority w:val="0"/>
    <w:rPr>
      <w:rFonts w:ascii="宋体" w:hAnsi="Courier New"/>
      <w:kern w:val="0"/>
      <w:sz w:val="20"/>
      <w:szCs w:val="20"/>
    </w:rPr>
  </w:style>
  <w:style w:type="paragraph" w:styleId="4">
    <w:name w:val="Title"/>
    <w:basedOn w:val="1"/>
    <w:link w:val="65"/>
    <w:qFormat/>
    <w:uiPriority w:val="0"/>
    <w:pPr>
      <w:spacing w:before="120" w:after="60"/>
      <w:jc w:val="center"/>
    </w:pPr>
    <w:rPr>
      <w:rFonts w:ascii="Arial" w:hAnsi="Arial"/>
      <w:b/>
      <w:kern w:val="0"/>
      <w:sz w:val="44"/>
      <w:szCs w:val="20"/>
    </w:rPr>
  </w:style>
  <w:style w:type="paragraph" w:styleId="5">
    <w:name w:val="Body Text First Indent"/>
    <w:basedOn w:val="6"/>
    <w:link w:val="55"/>
    <w:qFormat/>
    <w:uiPriority w:val="0"/>
    <w:pPr>
      <w:ind w:firstLine="420"/>
    </w:pPr>
  </w:style>
  <w:style w:type="paragraph" w:styleId="6">
    <w:name w:val="Body Text"/>
    <w:basedOn w:val="1"/>
    <w:link w:val="74"/>
    <w:qFormat/>
    <w:uiPriority w:val="0"/>
    <w:pPr>
      <w:spacing w:after="120"/>
    </w:pPr>
    <w:rPr>
      <w:rFonts w:ascii="Times New Roman" w:hAnsi="Times New Roman"/>
      <w:kern w:val="0"/>
      <w:sz w:val="20"/>
      <w:szCs w:val="20"/>
    </w:rPr>
  </w:style>
  <w:style w:type="paragraph" w:styleId="8">
    <w:name w:val="Normal Indent"/>
    <w:basedOn w:val="1"/>
    <w:next w:val="1"/>
    <w:qFormat/>
    <w:uiPriority w:val="0"/>
    <w:pPr>
      <w:ind w:firstLine="420"/>
    </w:pPr>
    <w:rPr>
      <w:rFonts w:ascii="Times New Roman" w:hAnsi="Times New Roman"/>
      <w:szCs w:val="20"/>
    </w:rPr>
  </w:style>
  <w:style w:type="paragraph" w:styleId="16">
    <w:name w:val="toc 7"/>
    <w:basedOn w:val="1"/>
    <w:next w:val="1"/>
    <w:unhideWhenUsed/>
    <w:qFormat/>
    <w:uiPriority w:val="39"/>
    <w:pPr>
      <w:ind w:left="1260"/>
      <w:jc w:val="left"/>
    </w:pPr>
    <w:rPr>
      <w:rFonts w:cs="Calibri"/>
      <w:sz w:val="18"/>
      <w:szCs w:val="18"/>
    </w:rPr>
  </w:style>
  <w:style w:type="paragraph" w:styleId="17">
    <w:name w:val="Document Map"/>
    <w:basedOn w:val="1"/>
    <w:link w:val="67"/>
    <w:qFormat/>
    <w:uiPriority w:val="0"/>
    <w:pPr>
      <w:shd w:val="clear" w:color="auto" w:fill="000080"/>
    </w:pPr>
    <w:rPr>
      <w:rFonts w:ascii="Times New Roman" w:hAnsi="Times New Roman"/>
      <w:kern w:val="0"/>
      <w:sz w:val="20"/>
      <w:szCs w:val="20"/>
    </w:rPr>
  </w:style>
  <w:style w:type="paragraph" w:styleId="18">
    <w:name w:val="annotation text"/>
    <w:basedOn w:val="1"/>
    <w:link w:val="105"/>
    <w:qFormat/>
    <w:uiPriority w:val="99"/>
    <w:pPr>
      <w:spacing w:line="360" w:lineRule="auto"/>
      <w:ind w:firstLine="523" w:firstLineChars="218"/>
      <w:jc w:val="left"/>
    </w:pPr>
    <w:rPr>
      <w:rFonts w:ascii="宋体" w:hAnsi="宋体"/>
      <w:kern w:val="0"/>
      <w:sz w:val="24"/>
      <w:szCs w:val="24"/>
    </w:rPr>
  </w:style>
  <w:style w:type="paragraph" w:styleId="19">
    <w:name w:val="Body Text 3"/>
    <w:basedOn w:val="1"/>
    <w:link w:val="68"/>
    <w:unhideWhenUsed/>
    <w:qFormat/>
    <w:uiPriority w:val="99"/>
    <w:pPr>
      <w:spacing w:after="120"/>
    </w:pPr>
    <w:rPr>
      <w:sz w:val="16"/>
      <w:szCs w:val="16"/>
    </w:rPr>
  </w:style>
  <w:style w:type="paragraph" w:styleId="20">
    <w:name w:val="Body Text Indent"/>
    <w:basedOn w:val="1"/>
    <w:link w:val="57"/>
    <w:qFormat/>
    <w:uiPriority w:val="0"/>
    <w:pPr>
      <w:ind w:firstLine="570"/>
    </w:pPr>
    <w:rPr>
      <w:rFonts w:ascii="Times New Roman" w:hAnsi="Times New Roman"/>
      <w:kern w:val="0"/>
      <w:sz w:val="28"/>
      <w:szCs w:val="20"/>
    </w:rPr>
  </w:style>
  <w:style w:type="paragraph" w:styleId="21">
    <w:name w:val="toc 5"/>
    <w:basedOn w:val="1"/>
    <w:next w:val="1"/>
    <w:unhideWhenUsed/>
    <w:qFormat/>
    <w:uiPriority w:val="39"/>
    <w:pPr>
      <w:ind w:left="840"/>
      <w:jc w:val="left"/>
    </w:pPr>
    <w:rPr>
      <w:rFonts w:cs="Calibri"/>
      <w:sz w:val="18"/>
      <w:szCs w:val="18"/>
    </w:rPr>
  </w:style>
  <w:style w:type="paragraph" w:styleId="22">
    <w:name w:val="toc 3"/>
    <w:basedOn w:val="1"/>
    <w:next w:val="1"/>
    <w:qFormat/>
    <w:uiPriority w:val="39"/>
    <w:pPr>
      <w:ind w:left="420"/>
      <w:jc w:val="left"/>
    </w:pPr>
    <w:rPr>
      <w:rFonts w:cs="Calibri"/>
      <w:i/>
      <w:iCs/>
      <w:sz w:val="20"/>
      <w:szCs w:val="20"/>
    </w:rPr>
  </w:style>
  <w:style w:type="paragraph" w:styleId="23">
    <w:name w:val="toc 8"/>
    <w:basedOn w:val="1"/>
    <w:next w:val="1"/>
    <w:unhideWhenUsed/>
    <w:qFormat/>
    <w:uiPriority w:val="39"/>
    <w:pPr>
      <w:ind w:left="1470"/>
      <w:jc w:val="left"/>
    </w:pPr>
    <w:rPr>
      <w:rFonts w:cs="Calibri"/>
      <w:sz w:val="18"/>
      <w:szCs w:val="18"/>
    </w:rPr>
  </w:style>
  <w:style w:type="paragraph" w:styleId="24">
    <w:name w:val="Date"/>
    <w:basedOn w:val="1"/>
    <w:next w:val="1"/>
    <w:link w:val="85"/>
    <w:qFormat/>
    <w:uiPriority w:val="0"/>
    <w:rPr>
      <w:rFonts w:ascii="Times New Roman" w:hAnsi="Times New Roman"/>
      <w:kern w:val="0"/>
      <w:sz w:val="20"/>
      <w:szCs w:val="20"/>
    </w:rPr>
  </w:style>
  <w:style w:type="paragraph" w:styleId="25">
    <w:name w:val="Body Text Indent 2"/>
    <w:basedOn w:val="1"/>
    <w:link w:val="77"/>
    <w:qFormat/>
    <w:uiPriority w:val="0"/>
    <w:pPr>
      <w:spacing w:line="400" w:lineRule="exact"/>
      <w:ind w:left="425"/>
    </w:pPr>
    <w:rPr>
      <w:rFonts w:ascii="Times New Roman" w:hAnsi="Times New Roman"/>
      <w:color w:val="000000"/>
      <w:kern w:val="0"/>
      <w:sz w:val="24"/>
      <w:szCs w:val="20"/>
    </w:rPr>
  </w:style>
  <w:style w:type="paragraph" w:styleId="26">
    <w:name w:val="endnote text"/>
    <w:basedOn w:val="1"/>
    <w:link w:val="59"/>
    <w:qFormat/>
    <w:uiPriority w:val="0"/>
    <w:pPr>
      <w:snapToGrid w:val="0"/>
      <w:jc w:val="left"/>
    </w:pPr>
    <w:rPr>
      <w:rFonts w:ascii="Times New Roman" w:hAnsi="Times New Roman"/>
      <w:kern w:val="0"/>
      <w:sz w:val="20"/>
      <w:szCs w:val="20"/>
    </w:rPr>
  </w:style>
  <w:style w:type="paragraph" w:styleId="27">
    <w:name w:val="Balloon Text"/>
    <w:basedOn w:val="1"/>
    <w:link w:val="51"/>
    <w:qFormat/>
    <w:uiPriority w:val="0"/>
    <w:rPr>
      <w:rFonts w:ascii="Times New Roman" w:hAnsi="Times New Roman"/>
      <w:kern w:val="0"/>
      <w:sz w:val="18"/>
      <w:szCs w:val="18"/>
    </w:rPr>
  </w:style>
  <w:style w:type="paragraph" w:styleId="28">
    <w:name w:val="footer"/>
    <w:basedOn w:val="1"/>
    <w:link w:val="89"/>
    <w:unhideWhenUsed/>
    <w:qFormat/>
    <w:uiPriority w:val="99"/>
    <w:pPr>
      <w:tabs>
        <w:tab w:val="center" w:pos="4153"/>
        <w:tab w:val="right" w:pos="8306"/>
      </w:tabs>
      <w:snapToGrid w:val="0"/>
      <w:jc w:val="left"/>
    </w:pPr>
    <w:rPr>
      <w:kern w:val="0"/>
      <w:sz w:val="18"/>
      <w:szCs w:val="18"/>
    </w:rPr>
  </w:style>
  <w:style w:type="paragraph" w:styleId="29">
    <w:name w:val="header"/>
    <w:basedOn w:val="1"/>
    <w:link w:val="7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rFonts w:cs="Calibri"/>
      <w:b/>
      <w:bCs/>
      <w:caps/>
      <w:sz w:val="20"/>
      <w:szCs w:val="20"/>
    </w:rPr>
  </w:style>
  <w:style w:type="paragraph" w:styleId="31">
    <w:name w:val="toc 4"/>
    <w:basedOn w:val="1"/>
    <w:next w:val="1"/>
    <w:unhideWhenUsed/>
    <w:qFormat/>
    <w:uiPriority w:val="39"/>
    <w:pPr>
      <w:ind w:left="630"/>
      <w:jc w:val="left"/>
    </w:pPr>
    <w:rPr>
      <w:rFonts w:cs="Calibri"/>
      <w:sz w:val="18"/>
      <w:szCs w:val="18"/>
    </w:rPr>
  </w:style>
  <w:style w:type="paragraph" w:styleId="32">
    <w:name w:val="footnote text"/>
    <w:basedOn w:val="1"/>
    <w:link w:val="73"/>
    <w:qFormat/>
    <w:uiPriority w:val="0"/>
    <w:pPr>
      <w:snapToGrid w:val="0"/>
      <w:spacing w:line="360" w:lineRule="auto"/>
      <w:ind w:firstLine="523" w:firstLineChars="218"/>
      <w:jc w:val="left"/>
    </w:pPr>
    <w:rPr>
      <w:rFonts w:ascii="宋体" w:hAnsi="宋体"/>
      <w:kern w:val="0"/>
      <w:sz w:val="18"/>
      <w:szCs w:val="18"/>
    </w:rPr>
  </w:style>
  <w:style w:type="paragraph" w:styleId="33">
    <w:name w:val="toc 6"/>
    <w:basedOn w:val="1"/>
    <w:next w:val="1"/>
    <w:unhideWhenUsed/>
    <w:qFormat/>
    <w:uiPriority w:val="39"/>
    <w:pPr>
      <w:ind w:left="1050"/>
      <w:jc w:val="left"/>
    </w:pPr>
    <w:rPr>
      <w:rFonts w:cs="Calibri"/>
      <w:sz w:val="18"/>
      <w:szCs w:val="18"/>
    </w:rPr>
  </w:style>
  <w:style w:type="paragraph" w:styleId="34">
    <w:name w:val="Body Text Indent 3"/>
    <w:basedOn w:val="1"/>
    <w:link w:val="69"/>
    <w:qFormat/>
    <w:uiPriority w:val="0"/>
    <w:pPr>
      <w:tabs>
        <w:tab w:val="left" w:pos="0"/>
      </w:tabs>
      <w:spacing w:line="400" w:lineRule="exact"/>
      <w:ind w:left="563" w:leftChars="228" w:hanging="84" w:hangingChars="35"/>
    </w:pPr>
    <w:rPr>
      <w:rFonts w:ascii="Times New Roman" w:hAnsi="Times New Roman"/>
      <w:color w:val="000000"/>
      <w:kern w:val="0"/>
      <w:sz w:val="24"/>
      <w:szCs w:val="20"/>
    </w:rPr>
  </w:style>
  <w:style w:type="paragraph" w:styleId="35">
    <w:name w:val="toc 2"/>
    <w:basedOn w:val="1"/>
    <w:next w:val="1"/>
    <w:qFormat/>
    <w:uiPriority w:val="39"/>
    <w:pPr>
      <w:ind w:left="210"/>
      <w:jc w:val="left"/>
    </w:pPr>
    <w:rPr>
      <w:rFonts w:cs="Calibri"/>
      <w:smallCaps/>
      <w:sz w:val="20"/>
      <w:szCs w:val="20"/>
    </w:rPr>
  </w:style>
  <w:style w:type="paragraph" w:styleId="36">
    <w:name w:val="toc 9"/>
    <w:basedOn w:val="1"/>
    <w:next w:val="1"/>
    <w:unhideWhenUsed/>
    <w:qFormat/>
    <w:uiPriority w:val="39"/>
    <w:pPr>
      <w:ind w:left="1680"/>
      <w:jc w:val="left"/>
    </w:pPr>
    <w:rPr>
      <w:rFonts w:cs="Calibri"/>
      <w:sz w:val="18"/>
      <w:szCs w:val="18"/>
    </w:rPr>
  </w:style>
  <w:style w:type="paragraph" w:styleId="37">
    <w:name w:val="Body Text 2"/>
    <w:basedOn w:val="1"/>
    <w:link w:val="79"/>
    <w:qFormat/>
    <w:uiPriority w:val="0"/>
    <w:rPr>
      <w:rFonts w:ascii="宋体" w:hAnsi="宋体"/>
      <w:kern w:val="0"/>
      <w:sz w:val="20"/>
      <w:szCs w:val="24"/>
      <w:u w:val="single"/>
    </w:rPr>
  </w:style>
  <w:style w:type="paragraph" w:styleId="38">
    <w:name w:val="index 1"/>
    <w:basedOn w:val="1"/>
    <w:next w:val="1"/>
    <w:qFormat/>
    <w:uiPriority w:val="0"/>
    <w:rPr>
      <w:rFonts w:ascii="Times New Roman" w:hAnsi="Times New Roman" w:eastAsia="仿宋_GB2312"/>
      <w:sz w:val="28"/>
      <w:szCs w:val="20"/>
    </w:rPr>
  </w:style>
  <w:style w:type="paragraph" w:styleId="39">
    <w:name w:val="annotation subject"/>
    <w:basedOn w:val="18"/>
    <w:next w:val="18"/>
    <w:link w:val="54"/>
    <w:qFormat/>
    <w:uiPriority w:val="0"/>
    <w:rPr>
      <w:b/>
      <w:bCs/>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cs="Times New Roman"/>
    </w:rPr>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character" w:styleId="48">
    <w:name w:val="footnote reference"/>
    <w:qFormat/>
    <w:uiPriority w:val="0"/>
    <w:rPr>
      <w:vertAlign w:val="superscript"/>
    </w:rPr>
  </w:style>
  <w:style w:type="character" w:customStyle="1" w:styleId="49">
    <w:name w:val="标题 5 Char"/>
    <w:link w:val="11"/>
    <w:qFormat/>
    <w:uiPriority w:val="0"/>
    <w:rPr>
      <w:rFonts w:ascii="Arial" w:hAnsi="Arial" w:eastAsia="宋体"/>
      <w:color w:val="000000"/>
      <w:szCs w:val="21"/>
    </w:rPr>
  </w:style>
  <w:style w:type="character" w:customStyle="1" w:styleId="50">
    <w:name w:val="标题 9 字符"/>
    <w:semiHidden/>
    <w:qFormat/>
    <w:uiPriority w:val="9"/>
    <w:rPr>
      <w:rFonts w:ascii="等线 Light" w:hAnsi="等线 Light" w:eastAsia="等线 Light" w:cs="Times New Roman"/>
      <w:szCs w:val="21"/>
    </w:rPr>
  </w:style>
  <w:style w:type="character" w:customStyle="1" w:styleId="51">
    <w:name w:val="批注框文本 Char"/>
    <w:link w:val="27"/>
    <w:qFormat/>
    <w:uiPriority w:val="0"/>
    <w:rPr>
      <w:rFonts w:ascii="Times New Roman" w:hAnsi="Times New Roman" w:eastAsia="宋体" w:cs="Times New Roman"/>
      <w:sz w:val="18"/>
      <w:szCs w:val="18"/>
    </w:rPr>
  </w:style>
  <w:style w:type="character" w:customStyle="1" w:styleId="52">
    <w:name w:val="正文首行缩进 字符"/>
    <w:basedOn w:val="53"/>
    <w:semiHidden/>
    <w:qFormat/>
    <w:uiPriority w:val="99"/>
    <w:rPr>
      <w:rFonts w:ascii="Calibri" w:hAnsi="Calibri" w:eastAsia="宋体" w:cs="Times New Roman"/>
    </w:rPr>
  </w:style>
  <w:style w:type="character" w:customStyle="1" w:styleId="53">
    <w:name w:val="正文文本 字符"/>
    <w:semiHidden/>
    <w:qFormat/>
    <w:uiPriority w:val="99"/>
    <w:rPr>
      <w:rFonts w:ascii="Calibri" w:hAnsi="Calibri" w:eastAsia="宋体" w:cs="Times New Roman"/>
    </w:rPr>
  </w:style>
  <w:style w:type="character" w:customStyle="1" w:styleId="54">
    <w:name w:val="批注主题 Char"/>
    <w:link w:val="39"/>
    <w:qFormat/>
    <w:uiPriority w:val="0"/>
    <w:rPr>
      <w:rFonts w:ascii="宋体" w:hAnsi="宋体" w:eastAsia="宋体" w:cs="Times New Roman"/>
      <w:b/>
      <w:bCs/>
      <w:sz w:val="24"/>
      <w:szCs w:val="24"/>
    </w:rPr>
  </w:style>
  <w:style w:type="character" w:customStyle="1" w:styleId="55">
    <w:name w:val="正文首行缩进 Char"/>
    <w:link w:val="5"/>
    <w:qFormat/>
    <w:uiPriority w:val="0"/>
  </w:style>
  <w:style w:type="character" w:customStyle="1" w:styleId="56">
    <w:name w:val="已访问的超链接1"/>
    <w:unhideWhenUsed/>
    <w:qFormat/>
    <w:uiPriority w:val="99"/>
    <w:rPr>
      <w:color w:val="954F72"/>
      <w:u w:val="single"/>
    </w:rPr>
  </w:style>
  <w:style w:type="character" w:customStyle="1" w:styleId="57">
    <w:name w:val="正文文本缩进 Char"/>
    <w:link w:val="20"/>
    <w:qFormat/>
    <w:uiPriority w:val="0"/>
    <w:rPr>
      <w:rFonts w:ascii="Times New Roman" w:hAnsi="Times New Roman" w:eastAsia="宋体" w:cs="Times New Roman"/>
      <w:sz w:val="28"/>
      <w:szCs w:val="20"/>
    </w:rPr>
  </w:style>
  <w:style w:type="character" w:customStyle="1" w:styleId="58">
    <w:name w:val="标题 1 Char"/>
    <w:link w:val="3"/>
    <w:qFormat/>
    <w:uiPriority w:val="0"/>
    <w:rPr>
      <w:rFonts w:ascii="Arial" w:hAnsi="Arial" w:eastAsia="宋体"/>
      <w:b/>
      <w:kern w:val="44"/>
      <w:sz w:val="28"/>
      <w:szCs w:val="28"/>
    </w:rPr>
  </w:style>
  <w:style w:type="character" w:customStyle="1" w:styleId="59">
    <w:name w:val="尾注文本 Char"/>
    <w:link w:val="26"/>
    <w:qFormat/>
    <w:uiPriority w:val="0"/>
    <w:rPr>
      <w:rFonts w:ascii="Times New Roman" w:hAnsi="Times New Roman" w:eastAsia="宋体" w:cs="Times New Roman"/>
      <w:szCs w:val="20"/>
    </w:rPr>
  </w:style>
  <w:style w:type="character" w:customStyle="1" w:styleId="60">
    <w:name w:val="标题 6 字符"/>
    <w:semiHidden/>
    <w:qFormat/>
    <w:uiPriority w:val="9"/>
    <w:rPr>
      <w:rFonts w:ascii="等线 Light" w:hAnsi="等线 Light" w:eastAsia="等线 Light" w:cs="Times New Roman"/>
      <w:b/>
      <w:bCs/>
      <w:sz w:val="24"/>
      <w:szCs w:val="24"/>
    </w:rPr>
  </w:style>
  <w:style w:type="character" w:customStyle="1" w:styleId="61">
    <w:name w:val="脚注文本 字符"/>
    <w:semiHidden/>
    <w:qFormat/>
    <w:uiPriority w:val="99"/>
    <w:rPr>
      <w:rFonts w:ascii="Calibri" w:hAnsi="Calibri" w:eastAsia="宋体" w:cs="Times New Roman"/>
      <w:sz w:val="18"/>
      <w:szCs w:val="18"/>
    </w:rPr>
  </w:style>
  <w:style w:type="character" w:customStyle="1" w:styleId="62">
    <w:name w:val="标题 2 Char"/>
    <w:link w:val="7"/>
    <w:qFormat/>
    <w:uiPriority w:val="0"/>
    <w:rPr>
      <w:rFonts w:ascii="Arial" w:hAnsi="Arial" w:eastAsia="宋体"/>
      <w:b/>
      <w:color w:val="000000"/>
      <w:sz w:val="24"/>
      <w:szCs w:val="24"/>
    </w:rPr>
  </w:style>
  <w:style w:type="character" w:customStyle="1" w:styleId="63">
    <w:name w:val="标题 6 Char"/>
    <w:link w:val="12"/>
    <w:qFormat/>
    <w:uiPriority w:val="0"/>
    <w:rPr>
      <w:rFonts w:ascii="Arial" w:hAnsi="Arial" w:eastAsia="黑体"/>
      <w:b/>
      <w:bCs/>
      <w:sz w:val="24"/>
      <w:szCs w:val="24"/>
    </w:rPr>
  </w:style>
  <w:style w:type="character" w:customStyle="1" w:styleId="64">
    <w:name w:val="标题 1 字符"/>
    <w:qFormat/>
    <w:uiPriority w:val="9"/>
    <w:rPr>
      <w:rFonts w:ascii="Calibri" w:hAnsi="Calibri" w:eastAsia="宋体" w:cs="Times New Roman"/>
      <w:b/>
      <w:bCs/>
      <w:kern w:val="44"/>
      <w:sz w:val="44"/>
      <w:szCs w:val="44"/>
    </w:rPr>
  </w:style>
  <w:style w:type="character" w:customStyle="1" w:styleId="65">
    <w:name w:val="标题 Char"/>
    <w:link w:val="4"/>
    <w:qFormat/>
    <w:uiPriority w:val="0"/>
    <w:rPr>
      <w:rFonts w:ascii="Arial" w:hAnsi="Arial" w:eastAsia="宋体" w:cs="Times New Roman"/>
      <w:b/>
      <w:sz w:val="44"/>
      <w:szCs w:val="20"/>
    </w:rPr>
  </w:style>
  <w:style w:type="character" w:customStyle="1" w:styleId="66">
    <w:name w:val="标题 4 字符"/>
    <w:semiHidden/>
    <w:qFormat/>
    <w:uiPriority w:val="9"/>
    <w:rPr>
      <w:rFonts w:ascii="等线 Light" w:hAnsi="等线 Light" w:eastAsia="等线 Light" w:cs="Times New Roman"/>
      <w:b/>
      <w:bCs/>
      <w:sz w:val="28"/>
      <w:szCs w:val="28"/>
    </w:rPr>
  </w:style>
  <w:style w:type="character" w:customStyle="1" w:styleId="67">
    <w:name w:val="文档结构图 Char"/>
    <w:link w:val="17"/>
    <w:qFormat/>
    <w:uiPriority w:val="0"/>
    <w:rPr>
      <w:rFonts w:ascii="Times New Roman" w:hAnsi="Times New Roman" w:eastAsia="宋体" w:cs="Times New Roman"/>
      <w:szCs w:val="20"/>
      <w:shd w:val="clear" w:color="auto" w:fill="000080"/>
    </w:rPr>
  </w:style>
  <w:style w:type="character" w:customStyle="1" w:styleId="68">
    <w:name w:val="正文文本 3 Char"/>
    <w:link w:val="19"/>
    <w:semiHidden/>
    <w:qFormat/>
    <w:uiPriority w:val="99"/>
    <w:rPr>
      <w:rFonts w:ascii="Calibri" w:hAnsi="Calibri" w:eastAsia="宋体"/>
      <w:kern w:val="2"/>
      <w:sz w:val="16"/>
      <w:szCs w:val="16"/>
    </w:rPr>
  </w:style>
  <w:style w:type="character" w:customStyle="1" w:styleId="69">
    <w:name w:val="正文文本缩进 3 Char"/>
    <w:link w:val="34"/>
    <w:qFormat/>
    <w:uiPriority w:val="0"/>
    <w:rPr>
      <w:rFonts w:ascii="Times New Roman" w:hAnsi="Times New Roman" w:eastAsia="宋体" w:cs="Times New Roman"/>
      <w:color w:val="000000"/>
      <w:sz w:val="24"/>
      <w:szCs w:val="20"/>
    </w:rPr>
  </w:style>
  <w:style w:type="character" w:customStyle="1" w:styleId="70">
    <w:name w:val="正文文本 2 字符"/>
    <w:semiHidden/>
    <w:qFormat/>
    <w:uiPriority w:val="99"/>
    <w:rPr>
      <w:rFonts w:ascii="Calibri" w:hAnsi="Calibri" w:eastAsia="宋体" w:cs="Times New Roman"/>
    </w:rPr>
  </w:style>
  <w:style w:type="character" w:customStyle="1" w:styleId="71">
    <w:name w:val="纯文本 Char"/>
    <w:link w:val="2"/>
    <w:qFormat/>
    <w:uiPriority w:val="0"/>
    <w:rPr>
      <w:rFonts w:ascii="宋体" w:hAnsi="Courier New" w:eastAsia="宋体" w:cs="Times New Roman"/>
      <w:szCs w:val="20"/>
    </w:rPr>
  </w:style>
  <w:style w:type="character" w:customStyle="1" w:styleId="72">
    <w:name w:val="日期 字符"/>
    <w:semiHidden/>
    <w:qFormat/>
    <w:uiPriority w:val="99"/>
    <w:rPr>
      <w:rFonts w:ascii="Calibri" w:hAnsi="Calibri" w:eastAsia="宋体" w:cs="Times New Roman"/>
    </w:rPr>
  </w:style>
  <w:style w:type="character" w:customStyle="1" w:styleId="73">
    <w:name w:val="脚注文本 Char"/>
    <w:link w:val="32"/>
    <w:qFormat/>
    <w:uiPriority w:val="0"/>
    <w:rPr>
      <w:rFonts w:ascii="宋体" w:hAnsi="宋体" w:eastAsia="宋体" w:cs="Times New Roman"/>
      <w:sz w:val="18"/>
      <w:szCs w:val="18"/>
    </w:rPr>
  </w:style>
  <w:style w:type="character" w:customStyle="1" w:styleId="74">
    <w:name w:val="正文文本 Char"/>
    <w:link w:val="6"/>
    <w:qFormat/>
    <w:uiPriority w:val="0"/>
    <w:rPr>
      <w:rFonts w:ascii="Times New Roman" w:hAnsi="Times New Roman" w:eastAsia="宋体" w:cs="Times New Roman"/>
      <w:szCs w:val="20"/>
    </w:rPr>
  </w:style>
  <w:style w:type="character" w:customStyle="1" w:styleId="75">
    <w:name w:val="标题 7 Char"/>
    <w:link w:val="13"/>
    <w:qFormat/>
    <w:uiPriority w:val="0"/>
    <w:rPr>
      <w:rFonts w:ascii="Times New Roman" w:hAnsi="Times New Roman" w:eastAsia="宋体"/>
      <w:b/>
      <w:sz w:val="24"/>
    </w:rPr>
  </w:style>
  <w:style w:type="character" w:customStyle="1" w:styleId="76">
    <w:name w:val="17"/>
    <w:qFormat/>
    <w:uiPriority w:val="0"/>
    <w:rPr>
      <w:rFonts w:hint="default" w:ascii="Times New Roman" w:hAnsi="Times New Roman" w:cs="Times New Roman"/>
      <w:sz w:val="21"/>
      <w:szCs w:val="21"/>
    </w:rPr>
  </w:style>
  <w:style w:type="character" w:customStyle="1" w:styleId="77">
    <w:name w:val="正文文本缩进 2 Char"/>
    <w:link w:val="25"/>
    <w:qFormat/>
    <w:uiPriority w:val="0"/>
    <w:rPr>
      <w:rFonts w:ascii="Times New Roman" w:hAnsi="Times New Roman" w:eastAsia="宋体" w:cs="Times New Roman"/>
      <w:color w:val="000000"/>
      <w:sz w:val="24"/>
      <w:szCs w:val="20"/>
    </w:rPr>
  </w:style>
  <w:style w:type="character" w:customStyle="1" w:styleId="78">
    <w:name w:val="页眉 Char"/>
    <w:link w:val="29"/>
    <w:qFormat/>
    <w:uiPriority w:val="0"/>
    <w:rPr>
      <w:rFonts w:ascii="Calibri" w:hAnsi="Calibri" w:eastAsia="宋体" w:cs="Times New Roman"/>
      <w:sz w:val="18"/>
      <w:szCs w:val="18"/>
    </w:rPr>
  </w:style>
  <w:style w:type="character" w:customStyle="1" w:styleId="79">
    <w:name w:val="正文文本 2 Char"/>
    <w:link w:val="37"/>
    <w:qFormat/>
    <w:uiPriority w:val="0"/>
    <w:rPr>
      <w:rFonts w:ascii="宋体" w:hAnsi="宋体" w:eastAsia="宋体" w:cs="Times New Roman"/>
      <w:szCs w:val="24"/>
      <w:u w:val="single"/>
    </w:rPr>
  </w:style>
  <w:style w:type="character" w:customStyle="1" w:styleId="80">
    <w:name w:val="批注文字 字符"/>
    <w:semiHidden/>
    <w:qFormat/>
    <w:uiPriority w:val="99"/>
    <w:rPr>
      <w:rFonts w:ascii="Calibri" w:hAnsi="Calibri" w:eastAsia="宋体" w:cs="Times New Roman"/>
    </w:rPr>
  </w:style>
  <w:style w:type="character" w:customStyle="1" w:styleId="81">
    <w:name w:val="文一 Char"/>
    <w:link w:val="82"/>
    <w:qFormat/>
    <w:uiPriority w:val="0"/>
    <w:rPr>
      <w:rFonts w:eastAsia="宋体"/>
      <w:snapToGrid/>
      <w:spacing w:val="4"/>
      <w:sz w:val="24"/>
      <w:szCs w:val="24"/>
    </w:rPr>
  </w:style>
  <w:style w:type="paragraph" w:customStyle="1" w:styleId="82">
    <w:name w:val="文一"/>
    <w:basedOn w:val="1"/>
    <w:link w:val="8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character" w:customStyle="1" w:styleId="83">
    <w:name w:val="批注主题 字符"/>
    <w:semiHidden/>
    <w:qFormat/>
    <w:uiPriority w:val="99"/>
    <w:rPr>
      <w:rFonts w:ascii="Calibri" w:hAnsi="Calibri" w:eastAsia="宋体" w:cs="Times New Roman"/>
      <w:b/>
      <w:bCs/>
    </w:rPr>
  </w:style>
  <w:style w:type="character" w:customStyle="1" w:styleId="84">
    <w:name w:val="标题 3 字符"/>
    <w:semiHidden/>
    <w:qFormat/>
    <w:uiPriority w:val="9"/>
    <w:rPr>
      <w:rFonts w:ascii="Calibri" w:hAnsi="Calibri" w:eastAsia="宋体" w:cs="Times New Roman"/>
      <w:b/>
      <w:bCs/>
      <w:sz w:val="32"/>
      <w:szCs w:val="32"/>
    </w:rPr>
  </w:style>
  <w:style w:type="character" w:customStyle="1" w:styleId="85">
    <w:name w:val="日期 Char"/>
    <w:link w:val="24"/>
    <w:qFormat/>
    <w:uiPriority w:val="0"/>
    <w:rPr>
      <w:rFonts w:ascii="Times New Roman" w:hAnsi="Times New Roman" w:eastAsia="宋体" w:cs="Times New Roman"/>
      <w:szCs w:val="20"/>
    </w:rPr>
  </w:style>
  <w:style w:type="character" w:customStyle="1" w:styleId="86">
    <w:name w:val="标题 2 字符"/>
    <w:semiHidden/>
    <w:qFormat/>
    <w:uiPriority w:val="9"/>
    <w:rPr>
      <w:rFonts w:ascii="等线 Light" w:hAnsi="等线 Light" w:eastAsia="等线 Light" w:cs="Times New Roman"/>
      <w:b/>
      <w:bCs/>
      <w:sz w:val="32"/>
      <w:szCs w:val="32"/>
    </w:rPr>
  </w:style>
  <w:style w:type="character" w:customStyle="1" w:styleId="87">
    <w:name w:val="纯文本 字符"/>
    <w:semiHidden/>
    <w:qFormat/>
    <w:uiPriority w:val="99"/>
    <w:rPr>
      <w:rFonts w:ascii="等线" w:hAnsi="Courier New" w:cs="Courier New"/>
    </w:rPr>
  </w:style>
  <w:style w:type="character" w:customStyle="1" w:styleId="88">
    <w:name w:val="标题 5 字符"/>
    <w:semiHidden/>
    <w:qFormat/>
    <w:uiPriority w:val="9"/>
    <w:rPr>
      <w:rFonts w:ascii="Calibri" w:hAnsi="Calibri" w:eastAsia="宋体" w:cs="Times New Roman"/>
      <w:b/>
      <w:bCs/>
      <w:sz w:val="28"/>
      <w:szCs w:val="28"/>
    </w:rPr>
  </w:style>
  <w:style w:type="character" w:customStyle="1" w:styleId="89">
    <w:name w:val="页脚 Char"/>
    <w:link w:val="28"/>
    <w:qFormat/>
    <w:uiPriority w:val="99"/>
    <w:rPr>
      <w:rFonts w:ascii="Calibri" w:hAnsi="Calibri" w:eastAsia="宋体" w:cs="Times New Roman"/>
      <w:sz w:val="18"/>
      <w:szCs w:val="18"/>
    </w:rPr>
  </w:style>
  <w:style w:type="character" w:customStyle="1" w:styleId="90">
    <w:name w:val="标题 9 Char"/>
    <w:link w:val="15"/>
    <w:qFormat/>
    <w:uiPriority w:val="0"/>
    <w:rPr>
      <w:rFonts w:ascii="Arial" w:hAnsi="Arial" w:eastAsia="黑体"/>
    </w:rPr>
  </w:style>
  <w:style w:type="character" w:customStyle="1" w:styleId="91">
    <w:name w:val="页眉 字符"/>
    <w:semiHidden/>
    <w:qFormat/>
    <w:uiPriority w:val="99"/>
    <w:rPr>
      <w:rFonts w:ascii="Calibri" w:hAnsi="Calibri" w:eastAsia="宋体" w:cs="Times New Roman"/>
      <w:sz w:val="18"/>
      <w:szCs w:val="18"/>
    </w:rPr>
  </w:style>
  <w:style w:type="character" w:customStyle="1" w:styleId="92">
    <w:name w:val="正文文本缩进 字符"/>
    <w:semiHidden/>
    <w:qFormat/>
    <w:uiPriority w:val="99"/>
    <w:rPr>
      <w:rFonts w:ascii="Calibri" w:hAnsi="Calibri" w:eastAsia="宋体" w:cs="Times New Roman"/>
    </w:rPr>
  </w:style>
  <w:style w:type="character" w:customStyle="1" w:styleId="93">
    <w:name w:val="标题 4 Char"/>
    <w:link w:val="10"/>
    <w:qFormat/>
    <w:uiPriority w:val="0"/>
    <w:rPr>
      <w:rFonts w:ascii="Arial" w:hAnsi="Arial" w:eastAsia="宋体"/>
      <w:color w:val="000000"/>
      <w:szCs w:val="21"/>
    </w:rPr>
  </w:style>
  <w:style w:type="character" w:customStyle="1" w:styleId="94">
    <w:name w:val="标题 3 Char"/>
    <w:link w:val="9"/>
    <w:qFormat/>
    <w:uiPriority w:val="0"/>
    <w:rPr>
      <w:rFonts w:ascii="宋体" w:hAnsi="宋体" w:eastAsia="宋体" w:cs="宋体"/>
      <w:kern w:val="0"/>
      <w:sz w:val="27"/>
      <w:szCs w:val="27"/>
    </w:rPr>
  </w:style>
  <w:style w:type="character" w:customStyle="1" w:styleId="95">
    <w:name w:val="文档结构图 字符"/>
    <w:semiHidden/>
    <w:qFormat/>
    <w:uiPriority w:val="99"/>
    <w:rPr>
      <w:rFonts w:ascii="Microsoft YaHei UI" w:hAnsi="Calibri" w:eastAsia="Microsoft YaHei UI" w:cs="Times New Roman"/>
      <w:sz w:val="18"/>
      <w:szCs w:val="18"/>
    </w:rPr>
  </w:style>
  <w:style w:type="character" w:customStyle="1" w:styleId="96">
    <w:name w:val="批注框文本 字符"/>
    <w:semiHidden/>
    <w:qFormat/>
    <w:uiPriority w:val="99"/>
    <w:rPr>
      <w:rFonts w:ascii="Calibri" w:hAnsi="Calibri" w:eastAsia="宋体" w:cs="Times New Roman"/>
      <w:sz w:val="18"/>
      <w:szCs w:val="18"/>
    </w:rPr>
  </w:style>
  <w:style w:type="character" w:customStyle="1" w:styleId="97">
    <w:name w:val="标题 8 Char"/>
    <w:link w:val="14"/>
    <w:qFormat/>
    <w:uiPriority w:val="0"/>
    <w:rPr>
      <w:rFonts w:ascii="Arial" w:hAnsi="Arial" w:eastAsia="黑体"/>
      <w:sz w:val="24"/>
    </w:rPr>
  </w:style>
  <w:style w:type="character" w:customStyle="1" w:styleId="98">
    <w:name w:val="标题 7 字符"/>
    <w:semiHidden/>
    <w:qFormat/>
    <w:uiPriority w:val="9"/>
    <w:rPr>
      <w:rFonts w:ascii="Calibri" w:hAnsi="Calibri" w:eastAsia="宋体" w:cs="Times New Roman"/>
      <w:b/>
      <w:bCs/>
      <w:sz w:val="24"/>
      <w:szCs w:val="24"/>
    </w:rPr>
  </w:style>
  <w:style w:type="character" w:customStyle="1" w:styleId="99">
    <w:name w:val="尾注文本 字符"/>
    <w:semiHidden/>
    <w:qFormat/>
    <w:uiPriority w:val="99"/>
    <w:rPr>
      <w:rFonts w:ascii="Calibri" w:hAnsi="Calibri" w:eastAsia="宋体" w:cs="Times New Roman"/>
    </w:rPr>
  </w:style>
  <w:style w:type="character" w:customStyle="1" w:styleId="100">
    <w:name w:val="标题 8 字符"/>
    <w:semiHidden/>
    <w:qFormat/>
    <w:uiPriority w:val="9"/>
    <w:rPr>
      <w:rFonts w:ascii="等线 Light" w:hAnsi="等线 Light" w:eastAsia="等线 Light" w:cs="Times New Roman"/>
      <w:sz w:val="24"/>
      <w:szCs w:val="24"/>
    </w:rPr>
  </w:style>
  <w:style w:type="character" w:customStyle="1" w:styleId="101">
    <w:name w:val="正文文本缩进 3 字符"/>
    <w:semiHidden/>
    <w:qFormat/>
    <w:uiPriority w:val="99"/>
    <w:rPr>
      <w:rFonts w:ascii="Calibri" w:hAnsi="Calibri" w:eastAsia="宋体" w:cs="Times New Roman"/>
      <w:sz w:val="16"/>
      <w:szCs w:val="16"/>
    </w:rPr>
  </w:style>
  <w:style w:type="character" w:customStyle="1" w:styleId="102">
    <w:name w:val="页脚 字符"/>
    <w:semiHidden/>
    <w:qFormat/>
    <w:uiPriority w:val="99"/>
    <w:rPr>
      <w:rFonts w:ascii="Calibri" w:hAnsi="Calibri" w:eastAsia="宋体" w:cs="Times New Roman"/>
      <w:sz w:val="18"/>
      <w:szCs w:val="18"/>
    </w:rPr>
  </w:style>
  <w:style w:type="character" w:customStyle="1" w:styleId="103">
    <w:name w:val="正文文本缩进 2 字符"/>
    <w:semiHidden/>
    <w:qFormat/>
    <w:uiPriority w:val="99"/>
    <w:rPr>
      <w:rFonts w:ascii="Calibri" w:hAnsi="Calibri" w:eastAsia="宋体" w:cs="Times New Roman"/>
    </w:rPr>
  </w:style>
  <w:style w:type="character" w:customStyle="1" w:styleId="104">
    <w:name w:val="标题 字符"/>
    <w:qFormat/>
    <w:uiPriority w:val="10"/>
    <w:rPr>
      <w:rFonts w:ascii="等线 Light" w:hAnsi="等线 Light" w:eastAsia="等线 Light" w:cs="Times New Roman"/>
      <w:b/>
      <w:bCs/>
      <w:sz w:val="32"/>
      <w:szCs w:val="32"/>
    </w:rPr>
  </w:style>
  <w:style w:type="character" w:customStyle="1" w:styleId="105">
    <w:name w:val="批注文字 Char"/>
    <w:link w:val="18"/>
    <w:qFormat/>
    <w:uiPriority w:val="99"/>
    <w:rPr>
      <w:rFonts w:ascii="宋体" w:hAnsi="宋体" w:eastAsia="宋体" w:cs="Times New Roman"/>
      <w:sz w:val="24"/>
      <w:szCs w:val="24"/>
    </w:rPr>
  </w:style>
  <w:style w:type="paragraph" w:customStyle="1" w:styleId="106">
    <w:name w:val="发文落款"/>
    <w:basedOn w:val="107"/>
    <w:qFormat/>
    <w:uiPriority w:val="0"/>
    <w:pPr>
      <w:ind w:left="4094" w:right="607" w:firstLine="0"/>
      <w:jc w:val="center"/>
    </w:pPr>
  </w:style>
  <w:style w:type="paragraph" w:customStyle="1" w:styleId="10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公文抬头"/>
    <w:basedOn w:val="8"/>
    <w:qFormat/>
    <w:uiPriority w:val="0"/>
    <w:pPr>
      <w:ind w:firstLine="0"/>
    </w:pPr>
    <w:rPr>
      <w:rFonts w:ascii="仿宋_GB2312" w:eastAsia="仿宋_GB2312"/>
      <w:sz w:val="30"/>
      <w:szCs w:val="24"/>
    </w:rPr>
  </w:style>
  <w:style w:type="paragraph" w:customStyle="1" w:styleId="110">
    <w:name w:val="Char Char Char Char"/>
    <w:basedOn w:val="1"/>
    <w:qFormat/>
    <w:uiPriority w:val="0"/>
    <w:rPr>
      <w:rFonts w:ascii="Times New Roman" w:hAnsi="Times New Roman"/>
      <w:sz w:val="30"/>
      <w:szCs w:val="24"/>
    </w:rPr>
  </w:style>
  <w:style w:type="paragraph" w:styleId="11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2">
    <w:name w:val="修订1"/>
    <w:semiHidden/>
    <w:qFormat/>
    <w:uiPriority w:val="99"/>
    <w:rPr>
      <w:rFonts w:ascii="Times New Roman" w:hAnsi="Times New Roman" w:eastAsia="宋体" w:cs="Times New Roman"/>
      <w:kern w:val="2"/>
      <w:sz w:val="21"/>
      <w:lang w:val="en-US" w:eastAsia="zh-CN" w:bidi="ar-SA"/>
    </w:rPr>
  </w:style>
  <w:style w:type="paragraph" w:customStyle="1" w:styleId="113">
    <w:name w:val="正题"/>
    <w:basedOn w:val="82"/>
    <w:next w:val="82"/>
    <w:qFormat/>
    <w:uiPriority w:val="0"/>
    <w:pPr>
      <w:ind w:firstLine="0" w:firstLineChars="0"/>
      <w:jc w:val="center"/>
    </w:pPr>
    <w:rPr>
      <w:rFonts w:eastAsia="黑体"/>
      <w:b/>
      <w:sz w:val="36"/>
      <w:szCs w:val="36"/>
    </w:rPr>
  </w:style>
  <w:style w:type="paragraph" w:customStyle="1" w:styleId="114">
    <w:name w:val="公文标题"/>
    <w:basedOn w:val="9"/>
    <w:qFormat/>
    <w:uiPriority w:val="0"/>
    <w:pPr>
      <w:keepNext/>
      <w:keepLines/>
      <w:widowControl w:val="0"/>
      <w:spacing w:before="0" w:beforeAutospacing="0" w:after="0" w:afterAutospacing="0"/>
      <w:ind w:left="1469" w:right="1542"/>
    </w:pPr>
    <w:rPr>
      <w:rFonts w:hAnsi="Times New Roman"/>
      <w:b/>
      <w:kern w:val="2"/>
      <w:sz w:val="44"/>
      <w:szCs w:val="21"/>
    </w:rPr>
  </w:style>
  <w:style w:type="paragraph" w:customStyle="1" w:styleId="115">
    <w:name w:val="文二"/>
    <w:basedOn w:val="1"/>
    <w:qFormat/>
    <w:uiPriority w:val="0"/>
    <w:pPr>
      <w:jc w:val="left"/>
    </w:pPr>
    <w:rPr>
      <w:rFonts w:ascii="宋体" w:hAnsi="宋体"/>
      <w:szCs w:val="21"/>
    </w:rPr>
  </w:style>
  <w:style w:type="paragraph" w:styleId="116">
    <w:name w:val="List Paragraph"/>
    <w:basedOn w:val="1"/>
    <w:link w:val="129"/>
    <w:qFormat/>
    <w:uiPriority w:val="34"/>
    <w:pPr>
      <w:ind w:firstLine="420" w:firstLineChars="200"/>
    </w:pPr>
    <w:rPr>
      <w:rFonts w:ascii="Times New Roman" w:hAnsi="Times New Roman"/>
      <w:szCs w:val="20"/>
    </w:rPr>
  </w:style>
  <w:style w:type="paragraph" w:customStyle="1" w:styleId="117">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18">
    <w:name w:val="Char1"/>
    <w:basedOn w:val="1"/>
    <w:qFormat/>
    <w:uiPriority w:val="0"/>
    <w:pPr>
      <w:ind w:left="567" w:hanging="279"/>
    </w:pPr>
    <w:rPr>
      <w:rFonts w:ascii="Times New Roman" w:hAnsi="Times New Roman"/>
      <w:sz w:val="24"/>
      <w:szCs w:val="24"/>
    </w:rPr>
  </w:style>
  <w:style w:type="paragraph" w:customStyle="1" w:styleId="11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20">
    <w:name w:val="封二"/>
    <w:basedOn w:val="82"/>
    <w:next w:val="82"/>
    <w:qFormat/>
    <w:uiPriority w:val="0"/>
    <w:pPr>
      <w:ind w:firstLine="0" w:firstLineChars="0"/>
      <w:jc w:val="center"/>
    </w:pPr>
    <w:rPr>
      <w:rFonts w:eastAsia="黑体"/>
      <w:b/>
      <w:sz w:val="36"/>
      <w:szCs w:val="36"/>
    </w:rPr>
  </w:style>
  <w:style w:type="paragraph" w:customStyle="1" w:styleId="121">
    <w:name w:val="_Style 25"/>
    <w:basedOn w:val="1"/>
    <w:next w:val="1"/>
    <w:qFormat/>
    <w:uiPriority w:val="0"/>
  </w:style>
  <w:style w:type="paragraph" w:customStyle="1" w:styleId="122">
    <w:name w:val="TOC 标题1"/>
    <w:basedOn w:val="3"/>
    <w:next w:val="1"/>
    <w:qFormat/>
    <w:uiPriority w:val="39"/>
    <w:pPr>
      <w:widowControl/>
      <w:spacing w:before="480" w:after="0" w:line="276" w:lineRule="auto"/>
      <w:outlineLvl w:val="9"/>
    </w:pPr>
    <w:rPr>
      <w:rFonts w:ascii="Cambria" w:hAnsi="Cambria"/>
      <w:color w:val="365F91"/>
      <w:kern w:val="0"/>
    </w:rPr>
  </w:style>
  <w:style w:type="paragraph" w:customStyle="1" w:styleId="123">
    <w:name w:val="表头"/>
    <w:basedOn w:val="1"/>
    <w:qFormat/>
    <w:uiPriority w:val="0"/>
    <w:pPr>
      <w:spacing w:line="360" w:lineRule="auto"/>
      <w:jc w:val="center"/>
    </w:pPr>
    <w:rPr>
      <w:rFonts w:ascii="黑体" w:hAnsi="Times New Roman" w:eastAsia="黑体"/>
      <w:kern w:val="0"/>
      <w:sz w:val="24"/>
      <w:szCs w:val="20"/>
    </w:rPr>
  </w:style>
  <w:style w:type="paragraph" w:customStyle="1" w:styleId="124">
    <w:name w:val="章节三"/>
    <w:basedOn w:val="1"/>
    <w:next w:val="1"/>
    <w:qFormat/>
    <w:uiPriority w:val="0"/>
    <w:pPr>
      <w:topLinePunct/>
      <w:adjustRightInd w:val="0"/>
      <w:snapToGrid w:val="0"/>
      <w:spacing w:beforeLines="50" w:afterLines="50"/>
      <w:jc w:val="left"/>
      <w:outlineLvl w:val="2"/>
    </w:pPr>
    <w:rPr>
      <w:rFonts w:ascii="黑体" w:hAnsi="宋体" w:eastAsia="黑体"/>
      <w:b/>
      <w:snapToGrid w:val="0"/>
      <w:spacing w:val="4"/>
      <w:kern w:val="0"/>
      <w:sz w:val="24"/>
      <w:szCs w:val="24"/>
    </w:rPr>
  </w:style>
  <w:style w:type="paragraph" w:customStyle="1" w:styleId="125">
    <w:name w:val="Char Char Char1 Char"/>
    <w:basedOn w:val="17"/>
    <w:qFormat/>
    <w:uiPriority w:val="0"/>
    <w:rPr>
      <w:rFonts w:ascii="Tahoma" w:hAnsi="Tahoma"/>
      <w:sz w:val="24"/>
      <w:szCs w:val="24"/>
    </w:rPr>
  </w:style>
  <w:style w:type="paragraph" w:customStyle="1" w:styleId="126">
    <w:name w:val="封四"/>
    <w:basedOn w:val="82"/>
    <w:next w:val="82"/>
    <w:qFormat/>
    <w:uiPriority w:val="0"/>
    <w:pPr>
      <w:jc w:val="left"/>
    </w:pPr>
    <w:rPr>
      <w:rFonts w:eastAsia="等线"/>
      <w:sz w:val="30"/>
      <w:szCs w:val="30"/>
    </w:rPr>
  </w:style>
  <w:style w:type="paragraph" w:customStyle="1" w:styleId="127">
    <w:name w:val="封一"/>
    <w:basedOn w:val="82"/>
    <w:next w:val="82"/>
    <w:qFormat/>
    <w:uiPriority w:val="0"/>
    <w:pPr>
      <w:ind w:firstLine="0" w:firstLineChars="0"/>
      <w:jc w:val="center"/>
    </w:pPr>
    <w:rPr>
      <w:rFonts w:eastAsia="黑体"/>
      <w:b/>
      <w:sz w:val="84"/>
      <w:szCs w:val="84"/>
    </w:rPr>
  </w:style>
  <w:style w:type="paragraph" w:customStyle="1" w:styleId="128">
    <w:name w:val="_Style 11"/>
    <w:basedOn w:val="1"/>
    <w:qFormat/>
    <w:uiPriority w:val="0"/>
    <w:rPr>
      <w:rFonts w:ascii="Times New Roman" w:hAnsi="Times New Roman"/>
      <w:sz w:val="30"/>
      <w:szCs w:val="24"/>
    </w:rPr>
  </w:style>
  <w:style w:type="character" w:customStyle="1" w:styleId="129">
    <w:name w:val="列出段落 Char"/>
    <w:link w:val="116"/>
    <w:qFormat/>
    <w:uiPriority w:val="34"/>
    <w:rPr>
      <w:kern w:val="2"/>
      <w:sz w:val="21"/>
    </w:rPr>
  </w:style>
  <w:style w:type="paragraph" w:customStyle="1" w:styleId="130">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修订2"/>
    <w:hidden/>
    <w:unhideWhenUsed/>
    <w:qFormat/>
    <w:uiPriority w:val="99"/>
    <w:rPr>
      <w:rFonts w:ascii="Calibri" w:hAnsi="Calibri" w:eastAsia="宋体" w:cs="Times New Roman"/>
      <w:kern w:val="2"/>
      <w:sz w:val="21"/>
      <w:szCs w:val="22"/>
      <w:lang w:val="en-US" w:eastAsia="zh-CN" w:bidi="ar-SA"/>
    </w:rPr>
  </w:style>
  <w:style w:type="character" w:customStyle="1" w:styleId="133">
    <w:name w:val="列表段落 字符"/>
    <w:qFormat/>
    <w:uiPriority w:val="34"/>
    <w:rPr>
      <w:rFonts w:ascii="Calibri" w:hAnsi="Calibri" w:eastAsia="宋体" w:cs="黑体"/>
    </w:rPr>
  </w:style>
  <w:style w:type="paragraph" w:customStyle="1" w:styleId="134">
    <w:name w:val="列出段落11"/>
    <w:basedOn w:val="1"/>
    <w:qFormat/>
    <w:uiPriority w:val="0"/>
    <w:pPr>
      <w:ind w:firstLine="420" w:firstLineChars="200"/>
    </w:pPr>
  </w:style>
  <w:style w:type="character" w:customStyle="1" w:styleId="135">
    <w:name w:val="列出段落 Char1"/>
    <w:qFormat/>
    <w:uiPriority w:val="34"/>
    <w:rPr>
      <w:rFonts w:ascii="Calibri" w:hAnsi="Calibri" w:eastAsia="宋体" w:cs="黑体"/>
    </w:rPr>
  </w:style>
  <w:style w:type="paragraph" w:customStyle="1" w:styleId="136">
    <w:name w:val="Report Text"/>
    <w:link w:val="137"/>
    <w:qFormat/>
    <w:uiPriority w:val="0"/>
    <w:pPr>
      <w:spacing w:after="120" w:line="260" w:lineRule="atLeast"/>
      <w:ind w:left="1253"/>
    </w:pPr>
    <w:rPr>
      <w:rFonts w:ascii="Arial" w:hAnsi="Arial" w:eastAsia="Times New Roman" w:cs="Times New Roman"/>
      <w:lang w:val="en-GB" w:eastAsia="en-US" w:bidi="ar-SA"/>
    </w:rPr>
  </w:style>
  <w:style w:type="character" w:customStyle="1" w:styleId="137">
    <w:name w:val="Report Text Char"/>
    <w:link w:val="136"/>
    <w:qFormat/>
    <w:uiPriority w:val="0"/>
    <w:rPr>
      <w:rFonts w:ascii="Arial" w:hAnsi="Arial" w:eastAsia="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1A18DA-824F-49B2-A808-E368AB429F4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8926</Words>
  <Characters>50883</Characters>
  <Lines>424</Lines>
  <Paragraphs>119</Paragraphs>
  <TotalTime>1</TotalTime>
  <ScaleCrop>false</ScaleCrop>
  <LinksUpToDate>false</LinksUpToDate>
  <CharactersWithSpaces>59690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2021-10-20T09:29:00Z</dcterms:created>
  <dc:creator>管理员</dc:creator>
  <cp:lastModifiedBy>广州建筑工程监理有限公司</cp:lastModifiedBy>
  <cp:lastPrinted>2021-12-01T08:35:00Z</cp:lastPrinted>
  <dcterms:modified xsi:type="dcterms:W3CDTF">2022-02-14T07:06:46Z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8BE0FAA318F34DE1A20CF79965777D4C</vt:lpwstr>
  </property>
</Properties>
</file>