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olor w:val="auto"/>
          <w:sz w:val="36"/>
          <w:highlight w:val="none"/>
          <w:u w:val="single"/>
          <w:lang w:eastAsia="zh-CN"/>
        </w:rPr>
      </w:pPr>
    </w:p>
    <w:p>
      <w:pPr>
        <w:spacing w:line="360" w:lineRule="auto"/>
        <w:jc w:val="center"/>
        <w:rPr>
          <w:rFonts w:hint="default"/>
          <w:b/>
          <w:bCs/>
          <w:color w:val="auto"/>
          <w:sz w:val="48"/>
          <w:szCs w:val="48"/>
          <w:highlight w:val="none"/>
          <w:u w:val="none"/>
          <w:lang w:val="en-US"/>
        </w:rPr>
      </w:pPr>
      <w:r>
        <w:rPr>
          <w:rFonts w:hint="eastAsia"/>
          <w:b/>
          <w:bCs/>
          <w:color w:val="auto"/>
          <w:sz w:val="48"/>
          <w:szCs w:val="48"/>
          <w:highlight w:val="none"/>
          <w:u w:val="none"/>
          <w:lang w:eastAsia="zh-CN"/>
        </w:rPr>
        <w:t>粤港澳大湾区（广州）科技金融中心D栋高区及AB塔办公区精装修施工</w:t>
      </w:r>
    </w:p>
    <w:p>
      <w:pPr>
        <w:spacing w:line="360" w:lineRule="auto"/>
        <w:jc w:val="center"/>
        <w:rPr>
          <w:rFonts w:eastAsia="楷体_GB2312"/>
          <w:b/>
          <w:bCs/>
          <w:color w:val="auto"/>
          <w:spacing w:val="26"/>
          <w:sz w:val="110"/>
          <w:szCs w:val="110"/>
          <w:highlight w:val="none"/>
        </w:rPr>
      </w:pPr>
    </w:p>
    <w:p>
      <w:pPr>
        <w:spacing w:line="360" w:lineRule="auto"/>
        <w:jc w:val="center"/>
        <w:rPr>
          <w:rFonts w:eastAsia="楷体_GB2312"/>
          <w:b/>
          <w:bCs/>
          <w:color w:val="auto"/>
          <w:spacing w:val="26"/>
          <w:sz w:val="110"/>
          <w:szCs w:val="110"/>
          <w:highlight w:val="none"/>
        </w:rPr>
      </w:pPr>
    </w:p>
    <w:p>
      <w:pPr>
        <w:spacing w:line="360" w:lineRule="auto"/>
        <w:jc w:val="center"/>
        <w:rPr>
          <w:rFonts w:hint="eastAsia" w:eastAsia="楷体_GB2312"/>
          <w:b/>
          <w:bCs/>
          <w:color w:val="auto"/>
          <w:spacing w:val="26"/>
          <w:sz w:val="110"/>
          <w:szCs w:val="110"/>
          <w:highlight w:val="none"/>
          <w:lang w:eastAsia="zh-CN"/>
        </w:rPr>
      </w:pPr>
      <w:r>
        <w:rPr>
          <w:rFonts w:hint="eastAsia" w:eastAsia="楷体_GB2312"/>
          <w:b/>
          <w:bCs/>
          <w:color w:val="auto"/>
          <w:spacing w:val="26"/>
          <w:sz w:val="110"/>
          <w:szCs w:val="110"/>
          <w:highlight w:val="none"/>
        </w:rPr>
        <w:t>招标</w:t>
      </w:r>
      <w:r>
        <w:rPr>
          <w:rFonts w:hint="eastAsia" w:eastAsia="楷体_GB2312"/>
          <w:b/>
          <w:bCs/>
          <w:color w:val="auto"/>
          <w:spacing w:val="26"/>
          <w:sz w:val="110"/>
          <w:szCs w:val="110"/>
          <w:highlight w:val="none"/>
          <w:lang w:val="en-US" w:eastAsia="zh-CN"/>
        </w:rPr>
        <w:t>公告</w:t>
      </w:r>
    </w:p>
    <w:p>
      <w:pPr>
        <w:spacing w:line="360" w:lineRule="auto"/>
        <w:jc w:val="center"/>
        <w:rPr>
          <w:color w:val="auto"/>
          <w:sz w:val="32"/>
          <w:highlight w:val="none"/>
        </w:rPr>
      </w:pPr>
    </w:p>
    <w:p>
      <w:pPr>
        <w:spacing w:line="360" w:lineRule="auto"/>
        <w:ind w:firstLine="2560" w:firstLineChars="800"/>
        <w:rPr>
          <w:color w:val="auto"/>
          <w:sz w:val="32"/>
          <w:highlight w:val="none"/>
        </w:rPr>
      </w:pPr>
    </w:p>
    <w:p>
      <w:pPr>
        <w:spacing w:line="360" w:lineRule="auto"/>
        <w:rPr>
          <w:color w:val="auto"/>
          <w:sz w:val="52"/>
          <w:highlight w:val="none"/>
        </w:rPr>
      </w:pPr>
    </w:p>
    <w:p>
      <w:pPr>
        <w:spacing w:line="360" w:lineRule="auto"/>
        <w:rPr>
          <w:color w:val="auto"/>
          <w:sz w:val="52"/>
          <w:highlight w:val="none"/>
        </w:rPr>
      </w:pPr>
    </w:p>
    <w:p>
      <w:pPr>
        <w:spacing w:line="360" w:lineRule="auto"/>
        <w:ind w:firstLine="900" w:firstLineChars="300"/>
        <w:rPr>
          <w:rFonts w:hint="eastAsia" w:eastAsia="宋体"/>
          <w:color w:val="auto"/>
          <w:sz w:val="30"/>
          <w:szCs w:val="30"/>
          <w:highlight w:val="none"/>
          <w:u w:val="single"/>
          <w:lang w:eastAsia="zh-CN"/>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w:t>
      </w:r>
      <w:r>
        <w:rPr>
          <w:rFonts w:hint="eastAsia"/>
          <w:color w:val="auto"/>
          <w:sz w:val="30"/>
          <w:szCs w:val="30"/>
          <w:highlight w:val="none"/>
          <w:u w:val="single"/>
          <w:lang w:eastAsia="zh-CN"/>
        </w:rPr>
        <w:t>广州尚龙置业有限公司</w:t>
      </w:r>
    </w:p>
    <w:p>
      <w:pPr>
        <w:spacing w:line="360" w:lineRule="auto"/>
        <w:ind w:firstLine="945"/>
        <w:rPr>
          <w:rFonts w:hint="default" w:eastAsia="宋体"/>
          <w:color w:val="auto"/>
          <w:sz w:val="30"/>
          <w:szCs w:val="30"/>
          <w:highlight w:val="none"/>
          <w:u w:val="single"/>
          <w:lang w:val="en-US" w:eastAsia="zh-CN"/>
        </w:rPr>
      </w:pPr>
      <w:r>
        <w:rPr>
          <w:rFonts w:hint="eastAsia"/>
          <w:color w:val="auto"/>
          <w:sz w:val="30"/>
          <w:szCs w:val="30"/>
          <w:highlight w:val="none"/>
        </w:rPr>
        <w:t>招标代理单位：</w:t>
      </w:r>
      <w:r>
        <w:rPr>
          <w:rFonts w:hint="eastAsia" w:cs="Times New Roman"/>
          <w:color w:val="auto"/>
          <w:sz w:val="30"/>
          <w:szCs w:val="30"/>
          <w:highlight w:val="none"/>
          <w:u w:val="single"/>
          <w:lang w:val="en-US" w:eastAsia="zh-CN"/>
        </w:rPr>
        <w:t>广州珠江监理咨询集团有限公司</w:t>
      </w:r>
    </w:p>
    <w:p>
      <w:pPr>
        <w:spacing w:line="360" w:lineRule="auto"/>
        <w:ind w:firstLine="945"/>
        <w:rPr>
          <w:color w:val="auto"/>
          <w:sz w:val="32"/>
          <w:highlight w:val="none"/>
          <w:u w:val="single"/>
        </w:rPr>
      </w:pPr>
      <w:r>
        <w:rPr>
          <w:rFonts w:hint="eastAsia"/>
          <w:color w:val="auto"/>
          <w:sz w:val="32"/>
          <w:highlight w:val="none"/>
        </w:rPr>
        <w:t>日</w:t>
      </w:r>
      <w:r>
        <w:rPr>
          <w:color w:val="auto"/>
          <w:sz w:val="32"/>
          <w:highlight w:val="none"/>
        </w:rPr>
        <w:t xml:space="preserve">       </w:t>
      </w:r>
      <w:r>
        <w:rPr>
          <w:rFonts w:hint="eastAsia"/>
          <w:color w:val="auto"/>
          <w:sz w:val="32"/>
          <w:highlight w:val="none"/>
        </w:rPr>
        <w:t>期：</w:t>
      </w:r>
      <w:r>
        <w:rPr>
          <w:rFonts w:hint="eastAsia"/>
          <w:color w:val="auto"/>
          <w:sz w:val="32"/>
          <w:highlight w:val="none"/>
          <w:u w:val="single"/>
        </w:rPr>
        <w:t>202</w:t>
      </w:r>
      <w:r>
        <w:rPr>
          <w:rFonts w:hint="eastAsia"/>
          <w:color w:val="auto"/>
          <w:sz w:val="32"/>
          <w:highlight w:val="none"/>
          <w:u w:val="single"/>
          <w:lang w:val="en-US" w:eastAsia="zh-CN"/>
        </w:rPr>
        <w:t>4</w:t>
      </w:r>
      <w:r>
        <w:rPr>
          <w:rFonts w:hint="eastAsia"/>
          <w:color w:val="auto"/>
          <w:sz w:val="32"/>
          <w:highlight w:val="none"/>
          <w:u w:val="single"/>
        </w:rPr>
        <w:t>年</w:t>
      </w:r>
      <w:r>
        <w:rPr>
          <w:rFonts w:hint="eastAsia"/>
          <w:color w:val="auto"/>
          <w:sz w:val="32"/>
          <w:highlight w:val="none"/>
          <w:u w:val="single"/>
          <w:lang w:val="en-US" w:eastAsia="zh-CN"/>
        </w:rPr>
        <w:t>4</w:t>
      </w:r>
      <w:r>
        <w:rPr>
          <w:rFonts w:hint="eastAsia"/>
          <w:color w:val="auto"/>
          <w:sz w:val="32"/>
          <w:highlight w:val="none"/>
          <w:u w:val="single"/>
        </w:rPr>
        <w:t>月</w:t>
      </w:r>
    </w:p>
    <w:p>
      <w:pPr>
        <w:rPr>
          <w:rFonts w:hint="eastAsia" w:cs="宋体"/>
          <w:b/>
          <w:bCs/>
          <w:color w:val="auto"/>
          <w:sz w:val="32"/>
          <w:szCs w:val="32"/>
          <w:highlight w:val="none"/>
        </w:rPr>
      </w:pPr>
      <w:r>
        <w:rPr>
          <w:rFonts w:hint="eastAsia" w:cs="宋体"/>
          <w:b/>
          <w:bCs/>
          <w:color w:val="auto"/>
          <w:sz w:val="32"/>
          <w:szCs w:val="32"/>
          <w:highlight w:val="none"/>
        </w:rPr>
        <w:br w:type="page"/>
      </w:r>
    </w:p>
    <w:p>
      <w:pPr>
        <w:pStyle w:val="13"/>
        <w:spacing w:line="480" w:lineRule="auto"/>
        <w:jc w:val="center"/>
        <w:rPr>
          <w:rFonts w:cs="宋体"/>
          <w:b/>
          <w:bCs/>
          <w:color w:val="auto"/>
          <w:sz w:val="32"/>
          <w:szCs w:val="32"/>
          <w:highlight w:val="none"/>
        </w:rPr>
      </w:pPr>
      <w:r>
        <w:rPr>
          <w:rFonts w:hint="eastAsia" w:cs="宋体"/>
          <w:b/>
          <w:bCs/>
          <w:color w:val="auto"/>
          <w:sz w:val="32"/>
          <w:szCs w:val="32"/>
          <w:highlight w:val="none"/>
          <w:lang w:eastAsia="zh-CN"/>
        </w:rPr>
        <w:t>粤港澳大湾区（广州）科技金融中心D栋高区及AB塔办公区精装修施工</w:t>
      </w:r>
      <w:r>
        <w:rPr>
          <w:rFonts w:hint="eastAsia" w:cs="宋体"/>
          <w:b/>
          <w:bCs/>
          <w:color w:val="auto"/>
          <w:sz w:val="32"/>
          <w:szCs w:val="32"/>
          <w:highlight w:val="none"/>
        </w:rPr>
        <w:t>招标公告</w:t>
      </w:r>
    </w:p>
    <w:p>
      <w:pPr>
        <w:spacing w:line="480" w:lineRule="auto"/>
        <w:ind w:firstLine="537" w:firstLineChars="224"/>
        <w:jc w:val="center"/>
        <w:rPr>
          <w:color w:val="auto"/>
          <w:sz w:val="24"/>
          <w:highlight w:val="none"/>
        </w:rPr>
      </w:pPr>
    </w:p>
    <w:p>
      <w:pPr>
        <w:spacing w:line="360" w:lineRule="auto"/>
        <w:ind w:left="120" w:leftChars="57" w:firstLine="417" w:firstLineChars="174"/>
        <w:rPr>
          <w:color w:val="auto"/>
          <w:sz w:val="24"/>
          <w:highlight w:val="none"/>
        </w:rPr>
      </w:pPr>
      <w:r>
        <w:rPr>
          <w:rFonts w:hint="eastAsia"/>
          <w:color w:val="auto"/>
          <w:sz w:val="24"/>
          <w:highlight w:val="none"/>
        </w:rPr>
        <w:t>根据</w:t>
      </w:r>
      <w:r>
        <w:rPr>
          <w:rFonts w:hint="eastAsia"/>
          <w:color w:val="auto"/>
          <w:sz w:val="24"/>
          <w:szCs w:val="24"/>
          <w:highlight w:val="none"/>
          <w:u w:val="single"/>
        </w:rPr>
        <w:t>广东省企业投资项目备案证（项目代码：2020-440112-70-03-048742、2020-440112-70-03-104613）</w:t>
      </w:r>
      <w:r>
        <w:rPr>
          <w:rFonts w:hint="eastAsia"/>
          <w:color w:val="auto"/>
          <w:sz w:val="24"/>
          <w:highlight w:val="none"/>
        </w:rPr>
        <w:t>批准，并且图纸和技术资料满足施工需要，</w:t>
      </w:r>
      <w:r>
        <w:rPr>
          <w:rFonts w:hint="eastAsia"/>
          <w:color w:val="auto"/>
          <w:sz w:val="24"/>
          <w:highlight w:val="none"/>
          <w:u w:val="single"/>
          <w:lang w:eastAsia="zh-CN"/>
        </w:rPr>
        <w:t>广州尚龙置业有限公司</w:t>
      </w:r>
      <w:r>
        <w:rPr>
          <w:rFonts w:hint="eastAsia"/>
          <w:color w:val="auto"/>
          <w:sz w:val="24"/>
          <w:highlight w:val="none"/>
        </w:rPr>
        <w:t>现对</w:t>
      </w:r>
      <w:r>
        <w:rPr>
          <w:rFonts w:hint="eastAsia"/>
          <w:color w:val="auto"/>
          <w:sz w:val="24"/>
          <w:highlight w:val="none"/>
          <w:u w:val="single"/>
          <w:lang w:val="en-US" w:eastAsia="zh-CN"/>
        </w:rPr>
        <w:t>粤港澳大湾区（广州）科技金融中心D栋高区及AB塔办公区精装修施工</w:t>
      </w:r>
      <w:r>
        <w:rPr>
          <w:rFonts w:hint="eastAsia"/>
          <w:color w:val="auto"/>
          <w:sz w:val="24"/>
          <w:highlight w:val="none"/>
        </w:rPr>
        <w:t>进行</w:t>
      </w:r>
      <w:r>
        <w:rPr>
          <w:rFonts w:hint="eastAsia"/>
          <w:color w:val="auto"/>
          <w:sz w:val="24"/>
          <w:highlight w:val="none"/>
          <w:u w:val="single"/>
        </w:rPr>
        <w:t>施工</w:t>
      </w:r>
      <w:r>
        <w:rPr>
          <w:rFonts w:hint="eastAsia"/>
          <w:color w:val="auto"/>
          <w:sz w:val="24"/>
          <w:highlight w:val="none"/>
        </w:rPr>
        <w:t>公开招标，选定承包人。</w:t>
      </w:r>
    </w:p>
    <w:p>
      <w:pPr>
        <w:tabs>
          <w:tab w:val="center" w:pos="4415"/>
        </w:tabs>
        <w:spacing w:line="360" w:lineRule="auto"/>
        <w:ind w:left="2030" w:leftChars="224" w:hanging="1560" w:hangingChars="650"/>
        <w:rPr>
          <w:rFonts w:hint="default"/>
          <w:color w:val="auto"/>
          <w:sz w:val="24"/>
          <w:highlight w:val="none"/>
          <w:u w:val="single"/>
          <w:lang w:val="en-US"/>
        </w:rPr>
      </w:pPr>
      <w:r>
        <w:rPr>
          <w:rFonts w:hint="eastAsia"/>
          <w:color w:val="auto"/>
          <w:sz w:val="24"/>
          <w:highlight w:val="none"/>
        </w:rPr>
        <w:t>一、工程名称：</w:t>
      </w:r>
      <w:r>
        <w:rPr>
          <w:rFonts w:hint="eastAsia"/>
          <w:color w:val="auto"/>
          <w:sz w:val="24"/>
          <w:highlight w:val="none"/>
          <w:u w:val="single"/>
          <w:lang w:eastAsia="zh-CN"/>
        </w:rPr>
        <w:t>粤港澳大湾区（广州）科技金融中心D栋高区及AB塔办公区精装修施工</w:t>
      </w:r>
    </w:p>
    <w:p>
      <w:pPr>
        <w:tabs>
          <w:tab w:val="center" w:pos="4415"/>
        </w:tabs>
        <w:spacing w:line="360" w:lineRule="auto"/>
        <w:ind w:firstLine="1017" w:firstLineChars="424"/>
        <w:rPr>
          <w:color w:val="auto"/>
          <w:sz w:val="24"/>
          <w:highlight w:val="none"/>
          <w:u w:val="single"/>
        </w:rPr>
      </w:pPr>
      <w:r>
        <w:rPr>
          <w:rFonts w:hint="eastAsia"/>
          <w:color w:val="auto"/>
          <w:sz w:val="24"/>
          <w:highlight w:val="none"/>
        </w:rPr>
        <w:t>项目代码：</w:t>
      </w:r>
      <w:r>
        <w:rPr>
          <w:rFonts w:hint="eastAsia"/>
          <w:color w:val="auto"/>
          <w:sz w:val="24"/>
          <w:szCs w:val="24"/>
          <w:highlight w:val="none"/>
          <w:u w:val="single"/>
        </w:rPr>
        <w:t>2020-440112-70-03-048742、2020-440112-70-03-104613</w:t>
      </w:r>
    </w:p>
    <w:p>
      <w:pPr>
        <w:spacing w:line="360" w:lineRule="auto"/>
        <w:ind w:firstLine="537" w:firstLineChars="224"/>
        <w:rPr>
          <w:color w:val="auto"/>
          <w:sz w:val="24"/>
          <w:highlight w:val="none"/>
          <w:u w:val="single"/>
        </w:rPr>
      </w:pPr>
      <w:r>
        <w:rPr>
          <w:rFonts w:hint="eastAsia"/>
          <w:color w:val="auto"/>
          <w:sz w:val="24"/>
          <w:highlight w:val="none"/>
        </w:rPr>
        <w:t>二、招标单位：</w:t>
      </w:r>
      <w:r>
        <w:rPr>
          <w:rFonts w:hint="eastAsia"/>
          <w:color w:val="auto"/>
          <w:sz w:val="24"/>
          <w:highlight w:val="none"/>
          <w:u w:val="single"/>
          <w:lang w:eastAsia="zh-CN"/>
        </w:rPr>
        <w:t>广州尚龙置业有限公司</w:t>
      </w:r>
    </w:p>
    <w:p>
      <w:pPr>
        <w:spacing w:line="360" w:lineRule="auto"/>
        <w:ind w:firstLine="537" w:firstLineChars="224"/>
        <w:rPr>
          <w:color w:val="auto"/>
          <w:highlight w:val="none"/>
        </w:rPr>
      </w:pPr>
      <w:r>
        <w:rPr>
          <w:color w:val="auto"/>
          <w:sz w:val="24"/>
          <w:highlight w:val="none"/>
        </w:rPr>
        <w:t xml:space="preserve">    </w:t>
      </w:r>
      <w:r>
        <w:rPr>
          <w:rFonts w:hint="eastAsia"/>
          <w:color w:val="auto"/>
          <w:sz w:val="24"/>
          <w:highlight w:val="none"/>
        </w:rPr>
        <w:t>联系人：</w:t>
      </w:r>
      <w:r>
        <w:rPr>
          <w:rFonts w:hint="eastAsia"/>
          <w:color w:val="auto"/>
          <w:sz w:val="24"/>
          <w:highlight w:val="none"/>
          <w:u w:val="single"/>
        </w:rPr>
        <w:t>黄</w:t>
      </w:r>
      <w:r>
        <w:rPr>
          <w:rFonts w:hint="eastAsia"/>
          <w:color w:val="auto"/>
          <w:sz w:val="24"/>
          <w:highlight w:val="none"/>
          <w:u w:val="single"/>
          <w:lang w:val="en-US" w:eastAsia="zh-CN"/>
        </w:rPr>
        <w:t>工</w:t>
      </w:r>
      <w:r>
        <w:rPr>
          <w:color w:val="auto"/>
          <w:sz w:val="24"/>
          <w:highlight w:val="none"/>
        </w:rPr>
        <w:t xml:space="preserve"> </w:t>
      </w:r>
      <w:r>
        <w:rPr>
          <w:rFonts w:hint="eastAsia"/>
          <w:color w:val="auto"/>
          <w:sz w:val="24"/>
          <w:highlight w:val="none"/>
        </w:rPr>
        <w:t xml:space="preserve">  联系电话：</w:t>
      </w:r>
      <w:r>
        <w:rPr>
          <w:rFonts w:hint="eastAsia"/>
          <w:color w:val="auto"/>
          <w:sz w:val="24"/>
          <w:highlight w:val="none"/>
          <w:u w:val="single"/>
        </w:rPr>
        <w:t>020-31705369</w:t>
      </w:r>
    </w:p>
    <w:p>
      <w:pPr>
        <w:pStyle w:val="6"/>
        <w:spacing w:line="360" w:lineRule="auto"/>
        <w:ind w:firstLine="1015" w:firstLineChars="423"/>
        <w:rPr>
          <w:color w:val="auto"/>
          <w:highlight w:val="none"/>
        </w:rPr>
      </w:pPr>
      <w:r>
        <w:rPr>
          <w:rFonts w:hint="eastAsia" w:cs="宋体"/>
          <w:color w:val="auto"/>
          <w:sz w:val="24"/>
          <w:highlight w:val="none"/>
        </w:rPr>
        <w:t>联系地址：</w:t>
      </w:r>
      <w:r>
        <w:rPr>
          <w:rFonts w:hint="eastAsia"/>
          <w:color w:val="auto"/>
          <w:spacing w:val="-2"/>
          <w:sz w:val="24"/>
          <w:szCs w:val="24"/>
          <w:highlight w:val="none"/>
          <w:u w:val="single"/>
        </w:rPr>
        <w:t>广州市黄埔区科学大道60号开发区控股中心28楼</w:t>
      </w:r>
    </w:p>
    <w:p>
      <w:pPr>
        <w:spacing w:line="360" w:lineRule="auto"/>
        <w:ind w:firstLine="537" w:firstLineChars="224"/>
        <w:rPr>
          <w:rFonts w:hint="eastAsia" w:eastAsia="宋体"/>
          <w:color w:val="auto"/>
          <w:sz w:val="24"/>
          <w:highlight w:val="none"/>
          <w:u w:val="single"/>
          <w:lang w:eastAsia="zh-CN"/>
        </w:rPr>
      </w:pPr>
      <w:r>
        <w:rPr>
          <w:color w:val="auto"/>
          <w:sz w:val="24"/>
          <w:highlight w:val="none"/>
        </w:rPr>
        <w:t xml:space="preserve">    </w:t>
      </w:r>
      <w:r>
        <w:rPr>
          <w:rFonts w:hint="eastAsia"/>
          <w:color w:val="auto"/>
          <w:sz w:val="24"/>
          <w:highlight w:val="none"/>
        </w:rPr>
        <w:t>招标代理机构：</w:t>
      </w:r>
      <w:r>
        <w:rPr>
          <w:rFonts w:hint="eastAsia"/>
          <w:color w:val="auto"/>
          <w:sz w:val="24"/>
          <w:highlight w:val="none"/>
          <w:u w:val="single"/>
          <w:lang w:eastAsia="zh-CN"/>
        </w:rPr>
        <w:t>广州珠江监理咨询集团有限公司</w:t>
      </w:r>
    </w:p>
    <w:p>
      <w:pPr>
        <w:spacing w:line="360" w:lineRule="auto"/>
        <w:ind w:firstLine="537" w:firstLineChars="224"/>
        <w:rPr>
          <w:color w:val="auto"/>
          <w:sz w:val="24"/>
          <w:highlight w:val="none"/>
          <w:u w:val="single"/>
        </w:rPr>
      </w:pPr>
      <w:r>
        <w:rPr>
          <w:color w:val="auto"/>
          <w:sz w:val="24"/>
          <w:highlight w:val="none"/>
        </w:rPr>
        <w:t xml:space="preserve">    </w:t>
      </w:r>
      <w:r>
        <w:rPr>
          <w:rFonts w:hint="eastAsia"/>
          <w:color w:val="auto"/>
          <w:sz w:val="24"/>
          <w:highlight w:val="none"/>
        </w:rPr>
        <w:t>联系人：</w:t>
      </w:r>
      <w:r>
        <w:rPr>
          <w:rFonts w:hint="eastAsia"/>
          <w:color w:val="auto"/>
          <w:sz w:val="24"/>
          <w:highlight w:val="none"/>
          <w:u w:val="single"/>
          <w:lang w:val="en-US" w:eastAsia="zh-CN"/>
        </w:rPr>
        <w:t>穆工、</w:t>
      </w:r>
      <w:r>
        <w:rPr>
          <w:rFonts w:hint="eastAsia"/>
          <w:color w:val="auto"/>
          <w:sz w:val="24"/>
          <w:highlight w:val="none"/>
          <w:u w:val="single"/>
        </w:rPr>
        <w:t>陈工</w:t>
      </w:r>
      <w:r>
        <w:rPr>
          <w:color w:val="auto"/>
          <w:sz w:val="24"/>
          <w:highlight w:val="none"/>
        </w:rPr>
        <w:t xml:space="preserve">     </w:t>
      </w:r>
      <w:r>
        <w:rPr>
          <w:rFonts w:hint="eastAsia"/>
          <w:color w:val="auto"/>
          <w:sz w:val="24"/>
          <w:highlight w:val="none"/>
        </w:rPr>
        <w:t>联系电话：</w:t>
      </w:r>
      <w:r>
        <w:rPr>
          <w:rFonts w:hint="eastAsia" w:ascii="宋体" w:hAnsi="宋体" w:eastAsia="宋体" w:cs="宋体"/>
          <w:color w:val="auto"/>
          <w:sz w:val="24"/>
          <w:szCs w:val="24"/>
          <w:highlight w:val="none"/>
          <w:u w:val="single"/>
          <w:shd w:val="clear" w:color="auto" w:fill="auto"/>
          <w:lang w:val="en-US" w:eastAsia="zh-CN"/>
        </w:rPr>
        <w:t>020-83492175</w:t>
      </w:r>
    </w:p>
    <w:p>
      <w:pPr>
        <w:pStyle w:val="6"/>
        <w:spacing w:line="360" w:lineRule="auto"/>
        <w:ind w:firstLine="1015" w:firstLineChars="423"/>
        <w:rPr>
          <w:color w:val="auto"/>
          <w:highlight w:val="none"/>
        </w:rPr>
      </w:pPr>
      <w:r>
        <w:rPr>
          <w:rFonts w:hint="eastAsia"/>
          <w:color w:val="auto"/>
          <w:sz w:val="24"/>
          <w:highlight w:val="none"/>
        </w:rPr>
        <w:t>联系地址：</w:t>
      </w:r>
      <w:r>
        <w:rPr>
          <w:rFonts w:hint="eastAsia" w:ascii="宋体" w:hAnsi="宋体" w:eastAsia="宋体" w:cs="宋体"/>
          <w:color w:val="auto"/>
          <w:sz w:val="24"/>
          <w:szCs w:val="24"/>
          <w:highlight w:val="none"/>
          <w:u w:val="single"/>
          <w:shd w:val="clear" w:color="auto" w:fill="auto"/>
        </w:rPr>
        <w:t>广州市越秀区永泰路50号之一首层</w:t>
      </w:r>
    </w:p>
    <w:p>
      <w:pPr>
        <w:widowControl/>
        <w:spacing w:line="360" w:lineRule="auto"/>
        <w:ind w:left="1055" w:leftChars="255" w:hanging="520" w:hangingChars="217"/>
        <w:jc w:val="left"/>
        <w:rPr>
          <w:color w:val="auto"/>
          <w:sz w:val="24"/>
          <w:highlight w:val="none"/>
          <w:u w:val="single"/>
        </w:rPr>
      </w:pPr>
      <w:r>
        <w:rPr>
          <w:color w:val="auto"/>
          <w:sz w:val="24"/>
          <w:highlight w:val="none"/>
        </w:rPr>
        <w:t xml:space="preserve">    </w:t>
      </w:r>
      <w:r>
        <w:rPr>
          <w:rFonts w:hint="eastAsia"/>
          <w:color w:val="auto"/>
          <w:sz w:val="24"/>
          <w:highlight w:val="none"/>
        </w:rPr>
        <w:t>招标监督机构：</w:t>
      </w:r>
      <w:r>
        <w:rPr>
          <w:rFonts w:hint="eastAsia" w:cs="宋体"/>
          <w:color w:val="auto"/>
          <w:sz w:val="24"/>
          <w:highlight w:val="none"/>
          <w:u w:val="single"/>
        </w:rPr>
        <w:t>广州开发区建设工程招投标管理办公室（广州市黄埔区建设工程招投标管理办公室）</w:t>
      </w:r>
    </w:p>
    <w:p>
      <w:pPr>
        <w:widowControl/>
        <w:spacing w:line="360" w:lineRule="auto"/>
        <w:ind w:firstLine="537" w:firstLineChars="224"/>
        <w:jc w:val="left"/>
        <w:rPr>
          <w:color w:val="auto"/>
          <w:sz w:val="24"/>
          <w:szCs w:val="24"/>
          <w:highlight w:val="none"/>
          <w:u w:val="single"/>
          <w:lang w:bidi="ar"/>
        </w:rPr>
      </w:pPr>
      <w:r>
        <w:rPr>
          <w:color w:val="auto"/>
          <w:sz w:val="24"/>
          <w:highlight w:val="none"/>
        </w:rPr>
        <w:t xml:space="preserve">    </w:t>
      </w:r>
      <w:r>
        <w:rPr>
          <w:rFonts w:hint="eastAsia"/>
          <w:color w:val="auto"/>
          <w:sz w:val="24"/>
          <w:highlight w:val="none"/>
        </w:rPr>
        <w:t>监督电话：</w:t>
      </w:r>
      <w:r>
        <w:rPr>
          <w:rFonts w:hint="eastAsia" w:ascii="宋体" w:hAnsi="宋体"/>
          <w:color w:val="auto"/>
          <w:sz w:val="24"/>
          <w:highlight w:val="none"/>
          <w:u w:val="single"/>
        </w:rPr>
        <w:t>020-82112206、020-82116676</w:t>
      </w:r>
    </w:p>
    <w:p>
      <w:pPr>
        <w:adjustRightInd w:val="0"/>
        <w:snapToGrid w:val="0"/>
        <w:spacing w:line="360" w:lineRule="auto"/>
        <w:ind w:firstLine="1015" w:firstLineChars="423"/>
        <w:rPr>
          <w:color w:val="auto"/>
          <w:highlight w:val="none"/>
        </w:rPr>
      </w:pPr>
      <w:r>
        <w:rPr>
          <w:rFonts w:hint="eastAsia" w:cs="宋体"/>
          <w:color w:val="auto"/>
          <w:sz w:val="24"/>
          <w:szCs w:val="24"/>
          <w:highlight w:val="none"/>
        </w:rPr>
        <w:t>联系地址：</w:t>
      </w:r>
      <w:r>
        <w:rPr>
          <w:rFonts w:hint="eastAsia"/>
          <w:color w:val="auto"/>
          <w:sz w:val="24"/>
          <w:highlight w:val="none"/>
          <w:u w:val="single"/>
        </w:rPr>
        <w:t>广州市黄埔区水西路30号汇丽写字楼4楼</w:t>
      </w:r>
    </w:p>
    <w:p>
      <w:pPr>
        <w:spacing w:line="360" w:lineRule="auto"/>
        <w:ind w:firstLine="537" w:firstLineChars="224"/>
        <w:rPr>
          <w:rFonts w:cs="宋体"/>
          <w:color w:val="auto"/>
          <w:sz w:val="24"/>
          <w:highlight w:val="none"/>
          <w:u w:val="single"/>
        </w:rPr>
      </w:pPr>
      <w:r>
        <w:rPr>
          <w:rFonts w:hint="eastAsia" w:cs="宋体"/>
          <w:color w:val="auto"/>
          <w:sz w:val="24"/>
          <w:highlight w:val="none"/>
        </w:rPr>
        <w:t>三、建设地点：</w:t>
      </w:r>
      <w:r>
        <w:rPr>
          <w:rFonts w:hint="eastAsia"/>
          <w:color w:val="auto"/>
          <w:sz w:val="24"/>
          <w:szCs w:val="24"/>
          <w:highlight w:val="none"/>
          <w:u w:val="single"/>
        </w:rPr>
        <w:t>广州市黄埔区科学大道以南，神舟路以东。</w:t>
      </w:r>
    </w:p>
    <w:p>
      <w:pPr>
        <w:spacing w:line="360" w:lineRule="auto"/>
        <w:ind w:firstLine="537" w:firstLineChars="224"/>
        <w:rPr>
          <w:rFonts w:hint="eastAsia" w:eastAsia="宋体"/>
          <w:color w:val="auto"/>
          <w:sz w:val="24"/>
          <w:highlight w:val="none"/>
          <w:lang w:eastAsia="zh-CN"/>
        </w:rPr>
      </w:pPr>
      <w:r>
        <w:rPr>
          <w:rFonts w:hint="eastAsia" w:cs="宋体"/>
          <w:color w:val="auto"/>
          <w:sz w:val="24"/>
          <w:highlight w:val="none"/>
        </w:rPr>
        <w:t>四、项目概况：</w:t>
      </w:r>
      <w:r>
        <w:rPr>
          <w:rFonts w:hint="eastAsia" w:cs="宋体"/>
          <w:color w:val="auto"/>
          <w:sz w:val="24"/>
          <w:highlight w:val="none"/>
          <w:u w:val="single"/>
        </w:rPr>
        <w:t>项目位于科学大道以南，神舟路以东，用地面积为 46788 平方米，二期工程为地下3层，地上为2栋34 层和 33 层约 150 米的超高层公寓，1栋4层的商业配套裙楼;三期工程为地下3 层，地上为2栋45 层超高办公楼，2栋4层的商业配套裙楼。</w:t>
      </w:r>
    </w:p>
    <w:p>
      <w:pPr>
        <w:spacing w:line="360" w:lineRule="auto"/>
        <w:ind w:firstLine="537" w:firstLineChars="224"/>
        <w:rPr>
          <w:color w:val="auto"/>
          <w:sz w:val="24"/>
          <w:highlight w:val="none"/>
        </w:rPr>
      </w:pPr>
      <w:r>
        <w:rPr>
          <w:rFonts w:hint="eastAsia"/>
          <w:color w:val="auto"/>
          <w:sz w:val="24"/>
          <w:highlight w:val="none"/>
        </w:rPr>
        <w:t>五、标段划分及各标段招标内容、规模和最高投标限价：</w:t>
      </w:r>
    </w:p>
    <w:p>
      <w:pPr>
        <w:spacing w:line="360" w:lineRule="auto"/>
        <w:ind w:firstLine="537" w:firstLineChars="224"/>
        <w:rPr>
          <w:color w:val="auto"/>
          <w:sz w:val="24"/>
          <w:szCs w:val="24"/>
          <w:highlight w:val="none"/>
          <w:u w:val="single"/>
        </w:rPr>
      </w:pPr>
      <w:r>
        <w:rPr>
          <w:rFonts w:hint="eastAsia"/>
          <w:color w:val="auto"/>
          <w:sz w:val="24"/>
          <w:szCs w:val="24"/>
          <w:highlight w:val="none"/>
        </w:rPr>
        <w:t>1、标段划分：本工程划分为</w:t>
      </w:r>
      <w:r>
        <w:rPr>
          <w:rFonts w:hint="eastAsia"/>
          <w:color w:val="auto"/>
          <w:sz w:val="24"/>
          <w:szCs w:val="24"/>
          <w:highlight w:val="none"/>
          <w:u w:val="single"/>
        </w:rPr>
        <w:t xml:space="preserve"> 1 </w:t>
      </w:r>
      <w:r>
        <w:rPr>
          <w:rFonts w:hint="eastAsia"/>
          <w:color w:val="auto"/>
          <w:sz w:val="24"/>
          <w:szCs w:val="24"/>
          <w:highlight w:val="none"/>
        </w:rPr>
        <w:t>个标段。</w:t>
      </w:r>
    </w:p>
    <w:p>
      <w:pPr>
        <w:spacing w:line="360" w:lineRule="auto"/>
        <w:ind w:firstLine="537" w:firstLineChars="224"/>
        <w:rPr>
          <w:rFonts w:hint="eastAsia" w:eastAsia="宋体" w:cs="宋体"/>
          <w:color w:val="auto"/>
          <w:sz w:val="24"/>
          <w:highlight w:val="none"/>
          <w:lang w:val="en-US" w:eastAsia="zh-CN"/>
        </w:rPr>
      </w:pPr>
      <w:r>
        <w:rPr>
          <w:rFonts w:hint="eastAsia" w:cs="宋体"/>
          <w:color w:val="auto"/>
          <w:sz w:val="24"/>
          <w:highlight w:val="none"/>
          <w:lang w:val="en-US" w:eastAsia="zh-CN"/>
        </w:rPr>
        <w:t>2</w:t>
      </w:r>
      <w:r>
        <w:rPr>
          <w:rFonts w:hint="eastAsia" w:cs="宋体"/>
          <w:color w:val="auto"/>
          <w:sz w:val="24"/>
          <w:highlight w:val="none"/>
        </w:rPr>
        <w:t>、招标范围/</w:t>
      </w:r>
      <w:r>
        <w:rPr>
          <w:rFonts w:hint="eastAsia"/>
          <w:color w:val="auto"/>
          <w:sz w:val="24"/>
          <w:szCs w:val="24"/>
          <w:highlight w:val="none"/>
        </w:rPr>
        <w:t>招标内容</w:t>
      </w:r>
      <w:r>
        <w:rPr>
          <w:rFonts w:hint="eastAsia" w:cs="宋体"/>
          <w:color w:val="auto"/>
          <w:sz w:val="24"/>
          <w:highlight w:val="none"/>
        </w:rPr>
        <w:t>：</w:t>
      </w:r>
      <w:r>
        <w:rPr>
          <w:rFonts w:hint="eastAsia" w:cs="宋体"/>
          <w:color w:val="auto"/>
          <w:sz w:val="24"/>
          <w:highlight w:val="none"/>
          <w:u w:val="single"/>
        </w:rPr>
        <w:t>D栋高区精装修和A 栋、B 栋办公公区</w:t>
      </w:r>
      <w:r>
        <w:rPr>
          <w:rFonts w:hint="eastAsia" w:cs="宋体"/>
          <w:color w:val="auto"/>
          <w:sz w:val="24"/>
          <w:highlight w:val="none"/>
          <w:u w:val="single"/>
          <w:lang w:val="en-US" w:eastAsia="zh-CN"/>
        </w:rPr>
        <w:t>精装修</w:t>
      </w:r>
      <w:r>
        <w:rPr>
          <w:rFonts w:hint="eastAsia" w:cs="宋体"/>
          <w:color w:val="auto"/>
          <w:sz w:val="24"/>
          <w:highlight w:val="none"/>
          <w:u w:val="single"/>
        </w:rPr>
        <w:t>，包括但不限于本项目公区精装修工程、户内批量精装修工程以及附属的防火门及入户门等(</w:t>
      </w:r>
      <w:r>
        <w:rPr>
          <w:rFonts w:hint="eastAsia" w:cs="宋体"/>
          <w:color w:val="auto"/>
          <w:sz w:val="24"/>
          <w:highlight w:val="none"/>
          <w:u w:val="single"/>
          <w:lang w:val="en-US" w:eastAsia="zh-CN"/>
        </w:rPr>
        <w:t>具体</w:t>
      </w:r>
      <w:r>
        <w:rPr>
          <w:rFonts w:hint="eastAsia" w:cs="宋体"/>
          <w:color w:val="auto"/>
          <w:sz w:val="24"/>
          <w:highlight w:val="none"/>
          <w:u w:val="single"/>
        </w:rPr>
        <w:t>详见</w:t>
      </w:r>
      <w:r>
        <w:rPr>
          <w:rFonts w:hint="eastAsia" w:cs="宋体"/>
          <w:color w:val="auto"/>
          <w:sz w:val="24"/>
          <w:highlight w:val="none"/>
          <w:u w:val="single"/>
          <w:lang w:val="en-US" w:eastAsia="zh-CN"/>
        </w:rPr>
        <w:t>施工合同、工程量清单以及图纸</w:t>
      </w:r>
      <w:r>
        <w:rPr>
          <w:rFonts w:hint="eastAsia" w:cs="宋体"/>
          <w:color w:val="auto"/>
          <w:sz w:val="24"/>
          <w:highlight w:val="none"/>
          <w:u w:val="single"/>
        </w:rPr>
        <w:t>)</w:t>
      </w:r>
      <w:r>
        <w:rPr>
          <w:rFonts w:hint="eastAsia" w:ascii="宋体" w:hAnsi="宋体" w:cs="宋体"/>
          <w:color w:val="auto"/>
          <w:sz w:val="24"/>
          <w:szCs w:val="21"/>
          <w:highlight w:val="none"/>
          <w:u w:val="single"/>
        </w:rPr>
        <w:t>。</w:t>
      </w:r>
    </w:p>
    <w:p>
      <w:pPr>
        <w:spacing w:line="360" w:lineRule="auto"/>
        <w:ind w:firstLine="537" w:firstLineChars="224"/>
        <w:rPr>
          <w:color w:val="auto"/>
          <w:sz w:val="24"/>
          <w:szCs w:val="24"/>
          <w:highlight w:val="none"/>
          <w:u w:val="single"/>
        </w:rPr>
      </w:pPr>
      <w:r>
        <w:rPr>
          <w:rFonts w:hint="eastAsia"/>
          <w:color w:val="auto"/>
          <w:sz w:val="24"/>
          <w:highlight w:val="none"/>
          <w:lang w:val="en-US" w:eastAsia="zh-CN"/>
        </w:rPr>
        <w:t>3</w:t>
      </w:r>
      <w:r>
        <w:rPr>
          <w:rFonts w:hint="eastAsia"/>
          <w:color w:val="auto"/>
          <w:sz w:val="24"/>
          <w:highlight w:val="none"/>
        </w:rPr>
        <w:t>、最高投标限价</w:t>
      </w:r>
      <w:r>
        <w:rPr>
          <w:rFonts w:hint="eastAsia"/>
          <w:color w:val="auto"/>
          <w:sz w:val="24"/>
          <w:szCs w:val="24"/>
          <w:highlight w:val="none"/>
        </w:rPr>
        <w:t>：</w:t>
      </w:r>
      <w:r>
        <w:rPr>
          <w:rFonts w:hint="eastAsia"/>
          <w:color w:val="auto"/>
          <w:sz w:val="24"/>
          <w:szCs w:val="24"/>
          <w:highlight w:val="none"/>
          <w:u w:val="single"/>
        </w:rPr>
        <w:t>人民币</w:t>
      </w:r>
      <w:r>
        <w:rPr>
          <w:rFonts w:hint="eastAsia"/>
          <w:color w:val="auto"/>
          <w:sz w:val="24"/>
          <w:szCs w:val="24"/>
          <w:highlight w:val="none"/>
          <w:u w:val="single"/>
          <w:lang w:val="en-US" w:eastAsia="zh-CN"/>
        </w:rPr>
        <w:t>157167698.73</w:t>
      </w:r>
      <w:r>
        <w:rPr>
          <w:rFonts w:hint="eastAsia"/>
          <w:color w:val="auto"/>
          <w:sz w:val="24"/>
          <w:szCs w:val="24"/>
          <w:highlight w:val="none"/>
          <w:u w:val="single"/>
        </w:rPr>
        <w:t>元。</w:t>
      </w:r>
    </w:p>
    <w:p>
      <w:pPr>
        <w:spacing w:line="360" w:lineRule="auto"/>
        <w:ind w:firstLine="537" w:firstLineChars="224"/>
        <w:rPr>
          <w:color w:val="auto"/>
          <w:sz w:val="24"/>
          <w:highlight w:val="none"/>
        </w:rPr>
      </w:pPr>
      <w:r>
        <w:rPr>
          <w:rFonts w:hint="eastAsia"/>
          <w:color w:val="auto"/>
          <w:sz w:val="24"/>
          <w:highlight w:val="none"/>
        </w:rPr>
        <w:t>六、资金来源：</w:t>
      </w:r>
      <w:r>
        <w:rPr>
          <w:rFonts w:hint="eastAsia"/>
          <w:color w:val="auto"/>
          <w:sz w:val="24"/>
          <w:highlight w:val="none"/>
          <w:u w:val="single"/>
        </w:rPr>
        <w:t>企业自筹。</w:t>
      </w:r>
    </w:p>
    <w:p>
      <w:pPr>
        <w:spacing w:line="360" w:lineRule="auto"/>
        <w:ind w:firstLine="537" w:firstLineChars="224"/>
        <w:rPr>
          <w:color w:val="auto"/>
          <w:sz w:val="24"/>
          <w:highlight w:val="none"/>
        </w:rPr>
      </w:pPr>
      <w:r>
        <w:rPr>
          <w:rFonts w:hint="eastAsia" w:cs="宋体"/>
          <w:color w:val="auto"/>
          <w:kern w:val="0"/>
          <w:sz w:val="24"/>
          <w:szCs w:val="24"/>
          <w:highlight w:val="none"/>
        </w:rPr>
        <w:t>七、</w:t>
      </w:r>
      <w:r>
        <w:rPr>
          <w:rFonts w:hint="eastAsia"/>
          <w:color w:val="auto"/>
          <w:sz w:val="24"/>
          <w:highlight w:val="none"/>
        </w:rPr>
        <w:t>发布招标公告、递交投标文件时间、开标时间：</w:t>
      </w:r>
    </w:p>
    <w:p>
      <w:pPr>
        <w:spacing w:line="360" w:lineRule="auto"/>
        <w:ind w:left="239" w:leftChars="114" w:firstLine="297" w:firstLineChars="124"/>
        <w:rPr>
          <w:color w:val="auto"/>
          <w:sz w:val="24"/>
          <w:highlight w:val="none"/>
        </w:rPr>
      </w:pPr>
      <w:r>
        <w:rPr>
          <w:rFonts w:hint="eastAsia" w:cs="宋体"/>
          <w:color w:val="auto"/>
          <w:sz w:val="24"/>
          <w:szCs w:val="24"/>
          <w:highlight w:val="none"/>
        </w:rPr>
        <w:t>1、</w:t>
      </w:r>
      <w:r>
        <w:rPr>
          <w:rFonts w:hint="eastAsia"/>
          <w:color w:val="auto"/>
          <w:sz w:val="24"/>
          <w:highlight w:val="none"/>
        </w:rPr>
        <w:t>发布招标公告时间（含本日）：</w:t>
      </w:r>
      <w:r>
        <w:rPr>
          <w:rFonts w:hint="eastAsia"/>
          <w:color w:val="auto"/>
          <w:sz w:val="24"/>
          <w:highlight w:val="none"/>
          <w:u w:val="single"/>
        </w:rPr>
        <w:t>202</w:t>
      </w:r>
      <w:r>
        <w:rPr>
          <w:rFonts w:hint="eastAsia"/>
          <w:color w:val="auto"/>
          <w:sz w:val="24"/>
          <w:highlight w:val="none"/>
          <w:u w:val="single"/>
          <w:lang w:val="en-US" w:eastAsia="zh-CN"/>
        </w:rPr>
        <w:t>4</w:t>
      </w:r>
      <w:r>
        <w:rPr>
          <w:rFonts w:hint="eastAsia"/>
          <w:color w:val="auto"/>
          <w:sz w:val="24"/>
          <w:highlight w:val="none"/>
          <w:u w:val="single"/>
        </w:rPr>
        <w:t>年</w:t>
      </w:r>
      <w:r>
        <w:rPr>
          <w:rFonts w:hint="eastAsia"/>
          <w:color w:val="auto"/>
          <w:sz w:val="24"/>
          <w:highlight w:val="none"/>
          <w:u w:val="single"/>
          <w:lang w:val="en-US" w:eastAsia="zh-CN"/>
        </w:rPr>
        <w:t xml:space="preserve">  </w:t>
      </w:r>
      <w:r>
        <w:rPr>
          <w:rFonts w:hint="eastAsia"/>
          <w:color w:val="auto"/>
          <w:sz w:val="24"/>
          <w:highlight w:val="none"/>
          <w:u w:val="single"/>
        </w:rPr>
        <w:t>月</w:t>
      </w:r>
      <w:r>
        <w:rPr>
          <w:rFonts w:hint="eastAsia"/>
          <w:color w:val="auto"/>
          <w:sz w:val="24"/>
          <w:highlight w:val="none"/>
          <w:u w:val="single"/>
          <w:lang w:val="en-US" w:eastAsia="zh-CN"/>
        </w:rPr>
        <w:t xml:space="preserve"> </w:t>
      </w:r>
      <w:r>
        <w:rPr>
          <w:rFonts w:hint="eastAsia"/>
          <w:color w:val="auto"/>
          <w:sz w:val="24"/>
          <w:highlight w:val="none"/>
          <w:u w:val="single"/>
        </w:rPr>
        <w:t>日</w:t>
      </w:r>
      <w:r>
        <w:rPr>
          <w:rFonts w:hint="eastAsia"/>
          <w:color w:val="auto"/>
          <w:sz w:val="24"/>
          <w:highlight w:val="none"/>
          <w:u w:val="single"/>
          <w:lang w:val="en-US" w:eastAsia="zh-CN"/>
        </w:rPr>
        <w:t xml:space="preserve">  </w:t>
      </w:r>
      <w:r>
        <w:rPr>
          <w:rFonts w:hint="eastAsia"/>
          <w:color w:val="auto"/>
          <w:sz w:val="24"/>
          <w:highlight w:val="none"/>
          <w:u w:val="single"/>
        </w:rPr>
        <w:t>时</w:t>
      </w:r>
      <w:r>
        <w:rPr>
          <w:rFonts w:hint="eastAsia"/>
          <w:color w:val="auto"/>
          <w:sz w:val="24"/>
          <w:highlight w:val="none"/>
          <w:u w:val="single"/>
          <w:lang w:val="en-US" w:eastAsia="zh-CN"/>
        </w:rPr>
        <w:t xml:space="preserve">  </w:t>
      </w:r>
      <w:r>
        <w:rPr>
          <w:rFonts w:hint="eastAsia"/>
          <w:color w:val="auto"/>
          <w:sz w:val="24"/>
          <w:highlight w:val="none"/>
          <w:u w:val="single"/>
        </w:rPr>
        <w:t>分至202</w:t>
      </w:r>
      <w:r>
        <w:rPr>
          <w:rFonts w:hint="eastAsia"/>
          <w:color w:val="auto"/>
          <w:sz w:val="24"/>
          <w:highlight w:val="none"/>
          <w:u w:val="single"/>
          <w:lang w:val="en-US" w:eastAsia="zh-CN"/>
        </w:rPr>
        <w:t>4</w:t>
      </w:r>
      <w:r>
        <w:rPr>
          <w:rFonts w:hint="eastAsia"/>
          <w:color w:val="auto"/>
          <w:sz w:val="24"/>
          <w:highlight w:val="none"/>
          <w:u w:val="single"/>
        </w:rPr>
        <w:t>年</w:t>
      </w:r>
      <w:r>
        <w:rPr>
          <w:rFonts w:hint="eastAsia"/>
          <w:color w:val="auto"/>
          <w:sz w:val="24"/>
          <w:highlight w:val="none"/>
          <w:u w:val="single"/>
          <w:lang w:val="en-US" w:eastAsia="zh-CN"/>
        </w:rPr>
        <w:t xml:space="preserve">  </w:t>
      </w:r>
      <w:r>
        <w:rPr>
          <w:rFonts w:hint="eastAsia"/>
          <w:color w:val="auto"/>
          <w:sz w:val="24"/>
          <w:highlight w:val="none"/>
          <w:u w:val="single"/>
        </w:rPr>
        <w:t>月</w:t>
      </w:r>
      <w:r>
        <w:rPr>
          <w:rFonts w:hint="eastAsia"/>
          <w:color w:val="auto"/>
          <w:sz w:val="24"/>
          <w:highlight w:val="none"/>
          <w:u w:val="single"/>
          <w:lang w:val="en-US" w:eastAsia="zh-CN"/>
        </w:rPr>
        <w:t xml:space="preserve"> </w:t>
      </w:r>
      <w:r>
        <w:rPr>
          <w:rFonts w:hint="eastAsia"/>
          <w:color w:val="auto"/>
          <w:sz w:val="24"/>
          <w:highlight w:val="none"/>
          <w:u w:val="single"/>
        </w:rPr>
        <w:t>日</w:t>
      </w:r>
      <w:r>
        <w:rPr>
          <w:rFonts w:hint="eastAsia"/>
          <w:color w:val="auto"/>
          <w:sz w:val="24"/>
          <w:highlight w:val="none"/>
          <w:u w:val="single"/>
          <w:lang w:val="en-US" w:eastAsia="zh-CN"/>
        </w:rPr>
        <w:t xml:space="preserve">  </w:t>
      </w:r>
      <w:r>
        <w:rPr>
          <w:rFonts w:hint="eastAsia"/>
          <w:color w:val="auto"/>
          <w:sz w:val="24"/>
          <w:highlight w:val="none"/>
          <w:u w:val="single"/>
        </w:rPr>
        <w:t>时</w:t>
      </w:r>
      <w:r>
        <w:rPr>
          <w:rFonts w:hint="eastAsia"/>
          <w:color w:val="auto"/>
          <w:sz w:val="24"/>
          <w:highlight w:val="none"/>
          <w:u w:val="single"/>
          <w:lang w:val="en-US" w:eastAsia="zh-CN"/>
        </w:rPr>
        <w:t xml:space="preserve">  </w:t>
      </w:r>
      <w:r>
        <w:rPr>
          <w:rFonts w:hint="eastAsia"/>
          <w:color w:val="auto"/>
          <w:sz w:val="24"/>
          <w:highlight w:val="none"/>
          <w:u w:val="single"/>
        </w:rPr>
        <w:t>分</w:t>
      </w:r>
      <w:r>
        <w:rPr>
          <w:rFonts w:hint="eastAsia"/>
          <w:color w:val="auto"/>
          <w:sz w:val="24"/>
          <w:highlight w:val="none"/>
        </w:rPr>
        <w:t>。</w:t>
      </w:r>
      <w:r>
        <w:rPr>
          <w:rFonts w:hint="eastAsia" w:cs="宋体"/>
          <w:color w:val="auto"/>
          <w:kern w:val="0"/>
          <w:sz w:val="24"/>
          <w:szCs w:val="24"/>
          <w:highlight w:val="none"/>
        </w:rPr>
        <w:t>凡有意参加投标者，请登录广州交易集团有限公司（广州公共资源交易中心）交易平台网站下载电子招标文件。</w:t>
      </w:r>
    </w:p>
    <w:p>
      <w:pPr>
        <w:spacing w:line="360" w:lineRule="auto"/>
        <w:ind w:firstLine="537" w:firstLineChars="224"/>
        <w:rPr>
          <w:color w:val="auto"/>
          <w:sz w:val="24"/>
          <w:highlight w:val="none"/>
        </w:rPr>
      </w:pPr>
      <w:r>
        <w:rPr>
          <w:rFonts w:hint="eastAsia" w:cs="宋体"/>
          <w:color w:val="auto"/>
          <w:kern w:val="0"/>
          <w:sz w:val="24"/>
          <w:szCs w:val="24"/>
          <w:highlight w:val="none"/>
        </w:rPr>
        <w:t>注：发布招标公告的时间为招标公告发出之日起至递交投标文件截止时间止。</w:t>
      </w:r>
    </w:p>
    <w:p>
      <w:pPr>
        <w:spacing w:line="360" w:lineRule="auto"/>
        <w:ind w:firstLine="537" w:firstLineChars="224"/>
        <w:rPr>
          <w:rFonts w:cs="宋体"/>
          <w:color w:val="auto"/>
          <w:kern w:val="0"/>
          <w:sz w:val="24"/>
          <w:szCs w:val="24"/>
          <w:highlight w:val="none"/>
        </w:rPr>
      </w:pPr>
      <w:r>
        <w:rPr>
          <w:rFonts w:hint="eastAsia" w:cs="宋体"/>
          <w:color w:val="auto"/>
          <w:kern w:val="0"/>
          <w:sz w:val="24"/>
          <w:szCs w:val="24"/>
          <w:highlight w:val="none"/>
        </w:rPr>
        <w:t>2、递交投标文件起始时间：</w:t>
      </w:r>
      <w:r>
        <w:rPr>
          <w:rFonts w:hint="eastAsia"/>
          <w:color w:val="auto"/>
          <w:sz w:val="24"/>
          <w:highlight w:val="none"/>
          <w:u w:val="single"/>
        </w:rPr>
        <w:t>202</w:t>
      </w:r>
      <w:r>
        <w:rPr>
          <w:rFonts w:hint="eastAsia"/>
          <w:color w:val="auto"/>
          <w:sz w:val="24"/>
          <w:highlight w:val="none"/>
          <w:u w:val="single"/>
          <w:lang w:val="en-US" w:eastAsia="zh-CN"/>
        </w:rPr>
        <w:t>4</w:t>
      </w:r>
      <w:r>
        <w:rPr>
          <w:rFonts w:hint="eastAsia"/>
          <w:color w:val="auto"/>
          <w:sz w:val="24"/>
          <w:highlight w:val="none"/>
          <w:u w:val="single"/>
        </w:rPr>
        <w:t>年</w:t>
      </w:r>
      <w:r>
        <w:rPr>
          <w:rFonts w:hint="eastAsia"/>
          <w:color w:val="auto"/>
          <w:sz w:val="24"/>
          <w:highlight w:val="none"/>
          <w:u w:val="single"/>
          <w:lang w:val="en-US" w:eastAsia="zh-CN"/>
        </w:rPr>
        <w:t xml:space="preserve">  </w:t>
      </w:r>
      <w:r>
        <w:rPr>
          <w:rFonts w:hint="eastAsia"/>
          <w:color w:val="auto"/>
          <w:sz w:val="24"/>
          <w:highlight w:val="none"/>
          <w:u w:val="single"/>
        </w:rPr>
        <w:t>月</w:t>
      </w:r>
      <w:r>
        <w:rPr>
          <w:rFonts w:hint="eastAsia"/>
          <w:color w:val="auto"/>
          <w:sz w:val="24"/>
          <w:highlight w:val="none"/>
          <w:u w:val="single"/>
          <w:lang w:val="en-US" w:eastAsia="zh-CN"/>
        </w:rPr>
        <w:t xml:space="preserve"> </w:t>
      </w:r>
      <w:r>
        <w:rPr>
          <w:rFonts w:hint="eastAsia"/>
          <w:color w:val="auto"/>
          <w:sz w:val="24"/>
          <w:highlight w:val="none"/>
          <w:u w:val="single"/>
        </w:rPr>
        <w:t>日</w:t>
      </w:r>
      <w:r>
        <w:rPr>
          <w:rFonts w:hint="eastAsia"/>
          <w:color w:val="auto"/>
          <w:sz w:val="24"/>
          <w:highlight w:val="none"/>
          <w:u w:val="single"/>
          <w:lang w:val="en-US" w:eastAsia="zh-CN"/>
        </w:rPr>
        <w:t xml:space="preserve">  </w:t>
      </w:r>
      <w:r>
        <w:rPr>
          <w:rFonts w:hint="eastAsia"/>
          <w:color w:val="auto"/>
          <w:sz w:val="24"/>
          <w:highlight w:val="none"/>
          <w:u w:val="single"/>
        </w:rPr>
        <w:t>时</w:t>
      </w:r>
      <w:r>
        <w:rPr>
          <w:rFonts w:hint="eastAsia"/>
          <w:color w:val="auto"/>
          <w:sz w:val="24"/>
          <w:highlight w:val="none"/>
          <w:u w:val="single"/>
          <w:lang w:val="en-US" w:eastAsia="zh-CN"/>
        </w:rPr>
        <w:t xml:space="preserve">  </w:t>
      </w:r>
      <w:r>
        <w:rPr>
          <w:rFonts w:hint="eastAsia"/>
          <w:color w:val="auto"/>
          <w:sz w:val="24"/>
          <w:highlight w:val="none"/>
          <w:u w:val="single"/>
        </w:rPr>
        <w:t>分</w:t>
      </w:r>
      <w:r>
        <w:rPr>
          <w:rFonts w:hint="eastAsia" w:cs="宋体"/>
          <w:color w:val="auto"/>
          <w:kern w:val="0"/>
          <w:sz w:val="24"/>
          <w:szCs w:val="24"/>
          <w:highlight w:val="none"/>
        </w:rPr>
        <w:t>；</w:t>
      </w:r>
    </w:p>
    <w:p>
      <w:pPr>
        <w:spacing w:line="360" w:lineRule="auto"/>
        <w:ind w:firstLine="2318" w:firstLineChars="966"/>
        <w:rPr>
          <w:rFonts w:cs="宋体"/>
          <w:color w:val="auto"/>
          <w:kern w:val="0"/>
          <w:sz w:val="24"/>
          <w:szCs w:val="24"/>
          <w:highlight w:val="none"/>
        </w:rPr>
      </w:pPr>
      <w:r>
        <w:rPr>
          <w:rFonts w:hint="eastAsia" w:cs="宋体"/>
          <w:color w:val="auto"/>
          <w:kern w:val="0"/>
          <w:sz w:val="24"/>
          <w:szCs w:val="24"/>
          <w:highlight w:val="none"/>
        </w:rPr>
        <w:t>截止时间：</w:t>
      </w:r>
      <w:r>
        <w:rPr>
          <w:rFonts w:hint="eastAsia"/>
          <w:color w:val="auto"/>
          <w:sz w:val="24"/>
          <w:highlight w:val="none"/>
          <w:u w:val="single"/>
        </w:rPr>
        <w:t>202</w:t>
      </w:r>
      <w:r>
        <w:rPr>
          <w:rFonts w:hint="eastAsia"/>
          <w:color w:val="auto"/>
          <w:sz w:val="24"/>
          <w:highlight w:val="none"/>
          <w:u w:val="single"/>
          <w:lang w:val="en-US" w:eastAsia="zh-CN"/>
        </w:rPr>
        <w:t>4</w:t>
      </w:r>
      <w:r>
        <w:rPr>
          <w:rFonts w:hint="eastAsia"/>
          <w:color w:val="auto"/>
          <w:sz w:val="24"/>
          <w:highlight w:val="none"/>
          <w:u w:val="single"/>
        </w:rPr>
        <w:t>年</w:t>
      </w:r>
      <w:r>
        <w:rPr>
          <w:rFonts w:hint="eastAsia"/>
          <w:color w:val="auto"/>
          <w:sz w:val="24"/>
          <w:highlight w:val="none"/>
          <w:u w:val="single"/>
          <w:lang w:val="en-US" w:eastAsia="zh-CN"/>
        </w:rPr>
        <w:t xml:space="preserve">  </w:t>
      </w:r>
      <w:r>
        <w:rPr>
          <w:rFonts w:hint="eastAsia"/>
          <w:color w:val="auto"/>
          <w:sz w:val="24"/>
          <w:highlight w:val="none"/>
          <w:u w:val="single"/>
        </w:rPr>
        <w:t>月</w:t>
      </w:r>
      <w:r>
        <w:rPr>
          <w:rFonts w:hint="eastAsia"/>
          <w:color w:val="auto"/>
          <w:sz w:val="24"/>
          <w:highlight w:val="none"/>
          <w:u w:val="single"/>
          <w:lang w:val="en-US" w:eastAsia="zh-CN"/>
        </w:rPr>
        <w:t xml:space="preserve"> </w:t>
      </w:r>
      <w:r>
        <w:rPr>
          <w:rFonts w:hint="eastAsia"/>
          <w:color w:val="auto"/>
          <w:sz w:val="24"/>
          <w:highlight w:val="none"/>
          <w:u w:val="single"/>
        </w:rPr>
        <w:t>日</w:t>
      </w:r>
      <w:r>
        <w:rPr>
          <w:rFonts w:hint="eastAsia"/>
          <w:color w:val="auto"/>
          <w:sz w:val="24"/>
          <w:highlight w:val="none"/>
          <w:u w:val="single"/>
          <w:lang w:val="en-US" w:eastAsia="zh-CN"/>
        </w:rPr>
        <w:t xml:space="preserve">  </w:t>
      </w:r>
      <w:r>
        <w:rPr>
          <w:rFonts w:hint="eastAsia"/>
          <w:color w:val="auto"/>
          <w:sz w:val="24"/>
          <w:highlight w:val="none"/>
          <w:u w:val="single"/>
        </w:rPr>
        <w:t>时</w:t>
      </w:r>
      <w:r>
        <w:rPr>
          <w:rFonts w:hint="eastAsia"/>
          <w:color w:val="auto"/>
          <w:sz w:val="24"/>
          <w:highlight w:val="none"/>
          <w:u w:val="single"/>
          <w:lang w:val="en-US" w:eastAsia="zh-CN"/>
        </w:rPr>
        <w:t xml:space="preserve">  </w:t>
      </w:r>
      <w:r>
        <w:rPr>
          <w:rFonts w:hint="eastAsia"/>
          <w:color w:val="auto"/>
          <w:sz w:val="24"/>
          <w:highlight w:val="none"/>
          <w:u w:val="single"/>
        </w:rPr>
        <w:t>分</w:t>
      </w:r>
      <w:r>
        <w:rPr>
          <w:rFonts w:hint="eastAsia" w:cs="宋体"/>
          <w:color w:val="auto"/>
          <w:kern w:val="0"/>
          <w:sz w:val="24"/>
          <w:szCs w:val="24"/>
          <w:highlight w:val="none"/>
        </w:rPr>
        <w:t>。</w:t>
      </w:r>
    </w:p>
    <w:p>
      <w:pPr>
        <w:spacing w:line="360" w:lineRule="auto"/>
        <w:ind w:firstLine="537" w:firstLineChars="224"/>
        <w:rPr>
          <w:rFonts w:cs="宋体"/>
          <w:color w:val="auto"/>
          <w:kern w:val="0"/>
          <w:sz w:val="24"/>
          <w:szCs w:val="24"/>
          <w:highlight w:val="none"/>
        </w:rPr>
      </w:pPr>
      <w:r>
        <w:rPr>
          <w:rFonts w:hint="eastAsia" w:cs="宋体"/>
          <w:color w:val="auto"/>
          <w:sz w:val="24"/>
          <w:szCs w:val="24"/>
          <w:highlight w:val="none"/>
        </w:rPr>
        <w:t>3、开标时间：</w:t>
      </w:r>
      <w:r>
        <w:rPr>
          <w:rFonts w:hint="eastAsia"/>
          <w:color w:val="auto"/>
          <w:sz w:val="24"/>
          <w:highlight w:val="none"/>
          <w:u w:val="single"/>
        </w:rPr>
        <w:t>202</w:t>
      </w:r>
      <w:r>
        <w:rPr>
          <w:rFonts w:hint="eastAsia"/>
          <w:color w:val="auto"/>
          <w:sz w:val="24"/>
          <w:highlight w:val="none"/>
          <w:u w:val="single"/>
          <w:lang w:val="en-US" w:eastAsia="zh-CN"/>
        </w:rPr>
        <w:t>4</w:t>
      </w:r>
      <w:r>
        <w:rPr>
          <w:rFonts w:hint="eastAsia"/>
          <w:color w:val="auto"/>
          <w:sz w:val="24"/>
          <w:highlight w:val="none"/>
          <w:u w:val="single"/>
        </w:rPr>
        <w:t>年</w:t>
      </w:r>
      <w:r>
        <w:rPr>
          <w:rFonts w:hint="eastAsia"/>
          <w:color w:val="auto"/>
          <w:sz w:val="24"/>
          <w:highlight w:val="none"/>
          <w:u w:val="single"/>
          <w:lang w:val="en-US" w:eastAsia="zh-CN"/>
        </w:rPr>
        <w:t xml:space="preserve">  </w:t>
      </w:r>
      <w:r>
        <w:rPr>
          <w:rFonts w:hint="eastAsia"/>
          <w:color w:val="auto"/>
          <w:sz w:val="24"/>
          <w:highlight w:val="none"/>
          <w:u w:val="single"/>
        </w:rPr>
        <w:t>月</w:t>
      </w:r>
      <w:r>
        <w:rPr>
          <w:rFonts w:hint="eastAsia"/>
          <w:color w:val="auto"/>
          <w:sz w:val="24"/>
          <w:highlight w:val="none"/>
          <w:u w:val="single"/>
          <w:lang w:val="en-US" w:eastAsia="zh-CN"/>
        </w:rPr>
        <w:t xml:space="preserve"> </w:t>
      </w:r>
      <w:r>
        <w:rPr>
          <w:rFonts w:hint="eastAsia"/>
          <w:color w:val="auto"/>
          <w:sz w:val="24"/>
          <w:highlight w:val="none"/>
          <w:u w:val="single"/>
        </w:rPr>
        <w:t>日</w:t>
      </w:r>
      <w:r>
        <w:rPr>
          <w:rFonts w:hint="eastAsia"/>
          <w:color w:val="auto"/>
          <w:sz w:val="24"/>
          <w:highlight w:val="none"/>
          <w:u w:val="single"/>
          <w:lang w:val="en-US" w:eastAsia="zh-CN"/>
        </w:rPr>
        <w:t xml:space="preserve">  </w:t>
      </w:r>
      <w:r>
        <w:rPr>
          <w:rFonts w:hint="eastAsia"/>
          <w:color w:val="auto"/>
          <w:sz w:val="24"/>
          <w:highlight w:val="none"/>
          <w:u w:val="single"/>
        </w:rPr>
        <w:t>时</w:t>
      </w:r>
      <w:r>
        <w:rPr>
          <w:rFonts w:hint="eastAsia"/>
          <w:color w:val="auto"/>
          <w:sz w:val="24"/>
          <w:highlight w:val="none"/>
          <w:u w:val="single"/>
          <w:lang w:val="en-US" w:eastAsia="zh-CN"/>
        </w:rPr>
        <w:t xml:space="preserve">  </w:t>
      </w:r>
      <w:r>
        <w:rPr>
          <w:rFonts w:hint="eastAsia"/>
          <w:color w:val="auto"/>
          <w:sz w:val="24"/>
          <w:highlight w:val="none"/>
          <w:u w:val="single"/>
        </w:rPr>
        <w:t>分</w:t>
      </w:r>
      <w:r>
        <w:rPr>
          <w:rFonts w:hint="eastAsia" w:cs="宋体"/>
          <w:color w:val="auto"/>
          <w:sz w:val="24"/>
          <w:szCs w:val="24"/>
          <w:highlight w:val="none"/>
        </w:rPr>
        <w:t>。</w:t>
      </w:r>
    </w:p>
    <w:p>
      <w:pPr>
        <w:spacing w:line="360" w:lineRule="auto"/>
        <w:ind w:firstLine="537" w:firstLineChars="224"/>
        <w:rPr>
          <w:rFonts w:cs="宋体"/>
          <w:color w:val="auto"/>
          <w:kern w:val="0"/>
          <w:sz w:val="24"/>
          <w:szCs w:val="24"/>
          <w:highlight w:val="none"/>
        </w:rPr>
      </w:pPr>
      <w:r>
        <w:rPr>
          <w:rFonts w:hint="eastAsia"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spacing w:line="360" w:lineRule="auto"/>
        <w:ind w:firstLine="537" w:firstLineChars="224"/>
        <w:rPr>
          <w:rFonts w:hint="eastAsia" w:cs="宋体"/>
          <w:color w:val="auto"/>
          <w:sz w:val="24"/>
          <w:szCs w:val="24"/>
          <w:highlight w:val="none"/>
        </w:rPr>
      </w:pPr>
      <w:r>
        <w:rPr>
          <w:rFonts w:hint="eastAsia" w:cs="宋体"/>
          <w:color w:val="auto"/>
          <w:sz w:val="24"/>
          <w:szCs w:val="24"/>
          <w:highlight w:val="none"/>
        </w:rPr>
        <w:t>5、投标人通过</w:t>
      </w:r>
      <w:r>
        <w:rPr>
          <w:rFonts w:hint="eastAsia"/>
          <w:color w:val="auto"/>
          <w:sz w:val="24"/>
          <w:szCs w:val="24"/>
          <w:highlight w:val="none"/>
          <w:u w:val="single"/>
        </w:rPr>
        <w:t>广州交易集团有限公司（广州公共资源交易中心）</w:t>
      </w:r>
      <w:r>
        <w:rPr>
          <w:rFonts w:hint="eastAsia" w:cs="宋体"/>
          <w:color w:val="auto"/>
          <w:sz w:val="24"/>
          <w:szCs w:val="24"/>
          <w:highlight w:val="none"/>
        </w:rPr>
        <w:t>交易平台递交电子投标文件。投标人应在递交投标文件截止时间前，登录</w:t>
      </w:r>
      <w:r>
        <w:rPr>
          <w:rFonts w:hint="eastAsia"/>
          <w:color w:val="auto"/>
          <w:sz w:val="24"/>
          <w:szCs w:val="24"/>
          <w:highlight w:val="none"/>
          <w:u w:val="single"/>
        </w:rPr>
        <w:t>广州交易集团有限公司（广州公共资源交易中心）</w:t>
      </w:r>
      <w:r>
        <w:rPr>
          <w:rFonts w:hint="eastAsia" w:cs="宋体"/>
          <w:color w:val="auto"/>
          <w:sz w:val="24"/>
          <w:szCs w:val="24"/>
          <w:highlight w:val="none"/>
        </w:rPr>
        <w:t>交易平台网站办理网上投标登记手续。按照交易平台关于全流程电子化项目的相关指南进行操作。详见：</w:t>
      </w:r>
      <w:r>
        <w:rPr>
          <w:rFonts w:hint="eastAsia" w:cs="仿宋_GB2312"/>
          <w:color w:val="auto"/>
          <w:sz w:val="24"/>
          <w:szCs w:val="24"/>
          <w:highlight w:val="none"/>
          <w:u w:val="single"/>
        </w:rPr>
        <w:t>广州交易集团有限公司（广州公共资源交易中心）网站发布的最新版操作指引</w:t>
      </w:r>
      <w:r>
        <w:rPr>
          <w:rFonts w:hint="eastAsia" w:cs="宋体"/>
          <w:color w:val="auto"/>
          <w:sz w:val="24"/>
          <w:szCs w:val="24"/>
          <w:highlight w:val="none"/>
        </w:rPr>
        <w:t>。</w:t>
      </w:r>
    </w:p>
    <w:p>
      <w:pPr>
        <w:widowControl/>
        <w:shd w:val="clear" w:color="auto" w:fill="FFFFFF"/>
        <w:spacing w:line="360" w:lineRule="auto"/>
        <w:ind w:firstLine="480" w:firstLineChars="200"/>
        <w:jc w:val="left"/>
        <w:rPr>
          <w:rFonts w:cs="宋体"/>
          <w:color w:val="auto"/>
          <w:kern w:val="0"/>
          <w:sz w:val="24"/>
          <w:szCs w:val="24"/>
          <w:highlight w:val="none"/>
        </w:rPr>
      </w:pPr>
      <w:r>
        <w:rPr>
          <w:rFonts w:hint="eastAsia" w:cs="宋体"/>
          <w:color w:val="auto"/>
          <w:kern w:val="0"/>
          <w:sz w:val="24"/>
          <w:szCs w:val="24"/>
          <w:highlight w:val="none"/>
        </w:rPr>
        <w:t>八、招标文件获取方式：</w:t>
      </w:r>
    </w:p>
    <w:p>
      <w:pPr>
        <w:widowControl/>
        <w:shd w:val="clear" w:color="auto" w:fill="FFFFFF"/>
        <w:spacing w:line="360" w:lineRule="auto"/>
        <w:ind w:firstLine="480" w:firstLineChars="200"/>
        <w:jc w:val="left"/>
        <w:rPr>
          <w:rFonts w:cs="宋体"/>
          <w:color w:val="auto"/>
          <w:kern w:val="0"/>
          <w:sz w:val="24"/>
          <w:szCs w:val="24"/>
          <w:highlight w:val="none"/>
        </w:rPr>
      </w:pPr>
      <w:r>
        <w:rPr>
          <w:rFonts w:hint="eastAsia" w:cs="宋体"/>
          <w:color w:val="auto"/>
          <w:kern w:val="0"/>
          <w:sz w:val="24"/>
          <w:szCs w:val="24"/>
          <w:highlight w:val="none"/>
        </w:rPr>
        <w:t>本项目招标文件随招标公告一并在</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olor w:val="auto"/>
          <w:sz w:val="24"/>
          <w:highlight w:val="none"/>
        </w:rPr>
        <w:t>网站发布。招标文件</w:t>
      </w:r>
      <w:r>
        <w:rPr>
          <w:rFonts w:hint="eastAsia" w:cs="宋体"/>
          <w:color w:val="auto"/>
          <w:kern w:val="0"/>
          <w:sz w:val="24"/>
          <w:szCs w:val="24"/>
          <w:highlight w:val="none"/>
        </w:rPr>
        <w:t>一经在</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s="宋体"/>
          <w:color w:val="auto"/>
          <w:kern w:val="0"/>
          <w:sz w:val="24"/>
          <w:szCs w:val="24"/>
          <w:highlight w:val="none"/>
        </w:rPr>
        <w:t>发布，视为发售给投标人，招标文件由投标人自行在</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s="宋体"/>
          <w:color w:val="auto"/>
          <w:kern w:val="0"/>
          <w:sz w:val="24"/>
          <w:szCs w:val="24"/>
          <w:highlight w:val="none"/>
        </w:rPr>
        <w:t>网站下载。</w:t>
      </w:r>
    </w:p>
    <w:p>
      <w:pPr>
        <w:spacing w:line="360" w:lineRule="auto"/>
        <w:ind w:firstLine="537" w:firstLineChars="224"/>
        <w:rPr>
          <w:color w:val="auto"/>
          <w:sz w:val="24"/>
          <w:highlight w:val="none"/>
        </w:rPr>
      </w:pPr>
      <w:r>
        <w:rPr>
          <w:rFonts w:hint="eastAsia"/>
          <w:color w:val="auto"/>
          <w:sz w:val="24"/>
          <w:highlight w:val="none"/>
        </w:rPr>
        <w:t>九、投标人合格条件：</w:t>
      </w:r>
    </w:p>
    <w:p>
      <w:pPr>
        <w:spacing w:line="360" w:lineRule="auto"/>
        <w:ind w:firstLine="537" w:firstLineChars="224"/>
        <w:rPr>
          <w:rFonts w:cs="宋体"/>
          <w:color w:val="auto"/>
          <w:sz w:val="24"/>
          <w:szCs w:val="24"/>
          <w:highlight w:val="none"/>
        </w:rPr>
      </w:pPr>
      <w:r>
        <w:rPr>
          <w:rFonts w:hint="eastAsia" w:cs="宋体"/>
          <w:color w:val="auto"/>
          <w:sz w:val="24"/>
          <w:szCs w:val="24"/>
          <w:highlight w:val="none"/>
        </w:rPr>
        <w:t>1、投标人参加投标的意思表达清楚，投标人代表被授权有效。</w:t>
      </w:r>
    </w:p>
    <w:p>
      <w:pPr>
        <w:spacing w:line="360" w:lineRule="auto"/>
        <w:ind w:firstLine="537" w:firstLineChars="224"/>
        <w:rPr>
          <w:rFonts w:cs="宋体"/>
          <w:color w:val="auto"/>
          <w:sz w:val="24"/>
          <w:szCs w:val="24"/>
          <w:highlight w:val="none"/>
        </w:rPr>
      </w:pPr>
      <w:r>
        <w:rPr>
          <w:rFonts w:hint="eastAsia" w:cs="宋体"/>
          <w:color w:val="auto"/>
          <w:sz w:val="24"/>
          <w:szCs w:val="24"/>
          <w:highlight w:val="none"/>
        </w:rPr>
        <w:t>2、投标人均具有独立法人资格，按国家法律经营。</w:t>
      </w:r>
    </w:p>
    <w:p>
      <w:pPr>
        <w:spacing w:line="360" w:lineRule="auto"/>
        <w:ind w:firstLine="537" w:firstLineChars="224"/>
        <w:rPr>
          <w:rFonts w:cs="宋体"/>
          <w:color w:val="auto"/>
          <w:sz w:val="24"/>
          <w:szCs w:val="24"/>
          <w:highlight w:val="none"/>
        </w:rPr>
      </w:pPr>
      <w:r>
        <w:rPr>
          <w:rFonts w:hint="eastAsia" w:cs="宋体"/>
          <w:color w:val="auto"/>
          <w:sz w:val="24"/>
          <w:szCs w:val="24"/>
          <w:highlight w:val="none"/>
        </w:rPr>
        <w:t>3、投标人均持有建设行政主管部门颁发的有效期内的企业资质证书及安全生产许可证。</w:t>
      </w:r>
    </w:p>
    <w:p>
      <w:pPr>
        <w:pStyle w:val="19"/>
        <w:ind w:firstLine="566" w:firstLineChars="236"/>
        <w:rPr>
          <w:rFonts w:ascii="宋体" w:hAnsi="宋体" w:eastAsia="宋体" w:cs="宋体"/>
          <w:i/>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2"/>
          <w:sz w:val="24"/>
          <w:szCs w:val="24"/>
          <w:highlight w:val="none"/>
        </w:rPr>
        <w:t>投标人应具</w:t>
      </w:r>
      <w:r>
        <w:rPr>
          <w:rFonts w:hint="eastAsia" w:ascii="宋体" w:hAnsi="宋体" w:eastAsia="宋体" w:cs="宋体"/>
          <w:color w:val="auto"/>
          <w:sz w:val="24"/>
          <w:szCs w:val="24"/>
          <w:highlight w:val="none"/>
        </w:rPr>
        <w:t>备以下资质：</w:t>
      </w:r>
    </w:p>
    <w:p>
      <w:pPr>
        <w:spacing w:line="360"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投标人具有承接本工程所需的</w:t>
      </w:r>
      <w:r>
        <w:rPr>
          <w:rFonts w:hint="eastAsia" w:ascii="宋体" w:hAnsi="宋体" w:cs="宋体"/>
          <w:color w:val="auto"/>
          <w:sz w:val="24"/>
          <w:szCs w:val="24"/>
          <w:highlight w:val="none"/>
          <w:u w:val="single"/>
        </w:rPr>
        <w:t>建筑装修装饰工程专业承包一级资质，或</w:t>
      </w:r>
      <w:r>
        <w:rPr>
          <w:rFonts w:hint="eastAsia" w:cs="宋体"/>
          <w:color w:val="auto"/>
          <w:sz w:val="24"/>
          <w:szCs w:val="24"/>
          <w:highlight w:val="none"/>
          <w:u w:val="single"/>
          <w:lang w:val="en-US" w:eastAsia="zh-CN"/>
        </w:rPr>
        <w:t>相应的</w:t>
      </w:r>
      <w:r>
        <w:rPr>
          <w:rFonts w:hint="eastAsia" w:ascii="宋体" w:hAnsi="宋体" w:cs="宋体"/>
          <w:color w:val="auto"/>
          <w:sz w:val="24"/>
          <w:szCs w:val="24"/>
          <w:highlight w:val="none"/>
          <w:u w:val="single"/>
        </w:rPr>
        <w:t>建筑装饰装修工程设计与施工资质（以资质证书许可范围为准，须在有效期内）；</w:t>
      </w:r>
    </w:p>
    <w:p>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投标人拟担任本工程项目负责人的人员为：</w:t>
      </w:r>
      <w:r>
        <w:rPr>
          <w:rFonts w:hint="eastAsia" w:cs="宋体"/>
          <w:color w:val="auto"/>
          <w:sz w:val="24"/>
          <w:szCs w:val="24"/>
          <w:highlight w:val="none"/>
          <w:u w:val="single"/>
          <w:lang w:val="en-US" w:eastAsia="zh-CN"/>
        </w:rPr>
        <w:t>建筑工程</w:t>
      </w:r>
      <w:r>
        <w:rPr>
          <w:rFonts w:hint="eastAsia" w:ascii="宋体" w:hAnsi="宋体" w:cs="宋体"/>
          <w:color w:val="auto"/>
          <w:sz w:val="24"/>
          <w:szCs w:val="24"/>
          <w:highlight w:val="none"/>
          <w:u w:val="single"/>
        </w:rPr>
        <w:t>专业一级注册建造师。</w:t>
      </w:r>
    </w:p>
    <w:p>
      <w:pPr>
        <w:spacing w:line="360" w:lineRule="auto"/>
        <w:ind w:firstLine="537" w:firstLineChars="224"/>
        <w:rPr>
          <w:rFonts w:hint="eastAsia" w:ascii="宋体" w:hAnsi="宋体" w:cs="宋体"/>
          <w:color w:val="auto"/>
          <w:sz w:val="24"/>
          <w:highlight w:val="none"/>
        </w:rPr>
      </w:pPr>
      <w:r>
        <w:rPr>
          <w:rFonts w:hint="eastAsia" w:ascii="宋体" w:hAnsi="宋体" w:cs="宋体"/>
          <w:color w:val="auto"/>
          <w:sz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pacing w:line="360" w:lineRule="auto"/>
        <w:ind w:firstLine="537" w:firstLineChars="224"/>
        <w:rPr>
          <w:rFonts w:hint="eastAsia" w:ascii="宋体" w:hAnsi="宋体" w:cs="宋体"/>
          <w:color w:val="auto"/>
          <w:sz w:val="24"/>
          <w:highlight w:val="none"/>
        </w:rPr>
      </w:pPr>
      <w:r>
        <w:rPr>
          <w:rFonts w:hint="eastAsia" w:ascii="宋体" w:hAnsi="宋体" w:cs="宋体"/>
          <w:color w:val="auto"/>
          <w:sz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360" w:lineRule="auto"/>
        <w:ind w:firstLine="537" w:firstLineChars="224"/>
        <w:rPr>
          <w:rFonts w:hint="eastAsia" w:ascii="宋体" w:hAnsi="宋体" w:cs="宋体"/>
          <w:color w:val="auto"/>
          <w:sz w:val="24"/>
          <w:highlight w:val="none"/>
        </w:rPr>
      </w:pPr>
      <w:r>
        <w:rPr>
          <w:rFonts w:hint="eastAsia" w:ascii="宋体" w:hAnsi="宋体" w:cs="宋体"/>
          <w:color w:val="auto"/>
          <w:sz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537" w:firstLineChars="224"/>
        <w:rPr>
          <w:rFonts w:hint="eastAsia" w:ascii="宋体" w:hAnsi="宋体" w:cs="宋体"/>
          <w:color w:val="auto"/>
          <w:sz w:val="24"/>
          <w:highlight w:val="none"/>
        </w:rPr>
      </w:pPr>
      <w:r>
        <w:rPr>
          <w:rFonts w:hint="eastAsia" w:ascii="宋体" w:hAnsi="宋体" w:cs="宋体"/>
          <w:color w:val="auto"/>
          <w:sz w:val="24"/>
          <w:highlight w:val="none"/>
        </w:rPr>
        <w:t>若投标人提供的注册建造师电子证书超过使用有效期、未在个人签名处手写签名或手写签名</w:t>
      </w:r>
      <w:bookmarkStart w:id="0" w:name="_GoBack"/>
      <w:bookmarkEnd w:id="0"/>
      <w:r>
        <w:rPr>
          <w:rFonts w:hint="eastAsia" w:ascii="宋体" w:hAnsi="宋体" w:cs="宋体"/>
          <w:color w:val="auto"/>
          <w:sz w:val="24"/>
          <w:highlight w:val="none"/>
        </w:rPr>
        <w:t>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537" w:firstLineChars="224"/>
        <w:rPr>
          <w:rFonts w:ascii="宋体" w:hAnsi="宋体" w:cs="宋体"/>
          <w:color w:val="auto"/>
          <w:spacing w:val="-5"/>
          <w:sz w:val="24"/>
          <w:highlight w:val="none"/>
        </w:rPr>
      </w:pPr>
      <w:r>
        <w:rPr>
          <w:rFonts w:hint="eastAsia" w:ascii="宋体" w:hAnsi="宋体" w:cs="宋体"/>
          <w:color w:val="auto"/>
          <w:sz w:val="24"/>
          <w:highlight w:val="none"/>
        </w:rPr>
        <w:t>③项目负责人在任职期间不得担任专职安全员，项目专职安全员在任职期间也不得担任项目负责人，项目负责人和专职安全员不为同一人。</w:t>
      </w:r>
    </w:p>
    <w:p>
      <w:pPr>
        <w:pStyle w:val="19"/>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5、项目负责人持有安全生产考核合格证（B类）或建筑施工企业项目负责人安全生产考核合格证书； </w:t>
      </w:r>
    </w:p>
    <w:p>
      <w:pPr>
        <w:pStyle w:val="19"/>
        <w:ind w:firstLine="566" w:firstLineChars="236"/>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6、投标人拟担任本工程技术负责人的资格要求为：</w:t>
      </w:r>
      <w:r>
        <w:rPr>
          <w:rFonts w:hint="eastAsia" w:ascii="宋体" w:hAnsi="宋体" w:eastAsia="宋体" w:cs="宋体"/>
          <w:color w:val="auto"/>
          <w:sz w:val="24"/>
          <w:szCs w:val="24"/>
          <w:highlight w:val="none"/>
          <w:u w:val="single"/>
          <w:lang w:val="en-US" w:eastAsia="zh-CN"/>
        </w:rPr>
        <w:t>建筑装饰施工类专业高级工程师</w:t>
      </w:r>
      <w:r>
        <w:rPr>
          <w:rFonts w:hint="eastAsia" w:ascii="宋体" w:hAnsi="宋体" w:eastAsia="宋体" w:cs="宋体"/>
          <w:color w:val="auto"/>
          <w:sz w:val="24"/>
          <w:szCs w:val="24"/>
          <w:highlight w:val="none"/>
          <w:u w:val="single"/>
        </w:rPr>
        <w:t>或以上职称。</w:t>
      </w:r>
    </w:p>
    <w:p>
      <w:pPr>
        <w:spacing w:line="360" w:lineRule="auto"/>
        <w:ind w:firstLine="566" w:firstLineChars="236"/>
        <w:rPr>
          <w:rFonts w:hint="eastAsia" w:cs="宋体"/>
          <w:color w:val="auto"/>
          <w:kern w:val="0"/>
          <w:sz w:val="24"/>
          <w:szCs w:val="24"/>
          <w:highlight w:val="none"/>
        </w:rPr>
      </w:pPr>
      <w:r>
        <w:rPr>
          <w:rFonts w:hint="eastAsia" w:cs="宋体"/>
          <w:color w:val="auto"/>
          <w:kern w:val="0"/>
          <w:sz w:val="24"/>
          <w:szCs w:val="24"/>
          <w:highlight w:val="none"/>
        </w:rPr>
        <w:t>7、</w:t>
      </w:r>
      <w:r>
        <w:rPr>
          <w:rFonts w:hint="eastAsia" w:ascii="宋体" w:hAnsi="宋体" w:eastAsia="宋体" w:cs="宋体"/>
          <w:color w:val="auto"/>
          <w:sz w:val="24"/>
          <w:szCs w:val="24"/>
          <w:highlight w:val="none"/>
        </w:rPr>
        <w:t>专职安全员须具有在有效期内的安全生产考核合格证（C类）或在有效期内的建筑施工企业专职安全生产管理人员安全生产考核合格证（C3）</w:t>
      </w:r>
      <w:r>
        <w:rPr>
          <w:rFonts w:hint="eastAsia" w:cs="宋体"/>
          <w:color w:val="auto"/>
          <w:kern w:val="0"/>
          <w:sz w:val="24"/>
          <w:szCs w:val="24"/>
          <w:highlight w:val="none"/>
        </w:rPr>
        <w:t>。</w:t>
      </w:r>
    </w:p>
    <w:p>
      <w:pPr>
        <w:spacing w:line="360" w:lineRule="auto"/>
        <w:ind w:firstLine="566" w:firstLineChars="236"/>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8、投标人自2021年1月1日至今完成过质量合格的类似工程业绩（类似工程是指金额大于或等于7000万元的建筑装修装饰工程施工）</w:t>
      </w:r>
      <w:r>
        <w:rPr>
          <w:rFonts w:hint="eastAsia" w:ascii="宋体" w:hAnsi="宋体" w:eastAsia="宋体" w:cs="宋体"/>
          <w:color w:val="auto"/>
          <w:sz w:val="24"/>
          <w:szCs w:val="24"/>
          <w:highlight w:val="none"/>
          <w:lang w:val="en-US" w:eastAsia="zh-CN"/>
        </w:rPr>
        <w:t>。</w:t>
      </w:r>
    </w:p>
    <w:p>
      <w:pPr>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lang w:val="zh-CN" w:eastAsia="zh-CN"/>
        </w:rPr>
        <w:t>业绩取自广州市住建行业信用管理平台。投标人须提供项目名称、广州市住建行业信用管理平台内的项目业绩编号及业绩在广州市住建行业信用管理平台的网页信息截图（网页信息截图须能清晰显示带有“住建行业信用管理平台”名称，并至少包含“项目基本信息”等信息的页面）以供核对（业绩相关附件的上传件取广州市住建行业信用管理平台，投标阶段可不重复提交）。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pPr>
        <w:numPr>
          <w:ilvl w:val="0"/>
          <w:numId w:val="1"/>
        </w:numPr>
        <w:spacing w:line="360" w:lineRule="auto"/>
        <w:ind w:firstLine="566" w:firstLineChars="236"/>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技术指标【</w:t>
      </w:r>
      <w:r>
        <w:rPr>
          <w:rFonts w:hint="eastAsia" w:ascii="宋体" w:hAnsi="宋体" w:eastAsia="宋体" w:cs="Times New Roman"/>
          <w:color w:val="auto"/>
          <w:sz w:val="24"/>
          <w:szCs w:val="24"/>
          <w:highlight w:val="none"/>
        </w:rPr>
        <w:t>建筑装修装饰工程金额</w:t>
      </w:r>
      <w:r>
        <w:rPr>
          <w:rFonts w:hint="eastAsia" w:ascii="宋体" w:hAnsi="宋体" w:eastAsia="宋体" w:cs="宋体"/>
          <w:color w:val="auto"/>
          <w:sz w:val="24"/>
          <w:szCs w:val="24"/>
          <w:highlight w:val="none"/>
        </w:rPr>
        <w:t>大于</w:t>
      </w:r>
      <w:r>
        <w:rPr>
          <w:rFonts w:hint="eastAsia" w:ascii="宋体" w:hAnsi="宋体" w:eastAsia="宋体" w:cs="Times New Roman"/>
          <w:color w:val="auto"/>
          <w:sz w:val="24"/>
          <w:szCs w:val="24"/>
          <w:highlight w:val="none"/>
          <w:lang w:val="en-US" w:eastAsia="zh-CN"/>
        </w:rPr>
        <w:t>或等于</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000</w:t>
      </w:r>
      <w:r>
        <w:rPr>
          <w:rFonts w:hint="eastAsia" w:ascii="宋体" w:hAnsi="宋体" w:eastAsia="宋体" w:cs="宋体"/>
          <w:color w:val="auto"/>
          <w:sz w:val="24"/>
          <w:szCs w:val="24"/>
          <w:highlight w:val="none"/>
        </w:rPr>
        <w:t>万元</w:t>
      </w:r>
      <w:r>
        <w:rPr>
          <w:rFonts w:hint="eastAsia" w:ascii="宋体" w:hAnsi="宋体" w:eastAsia="宋体" w:cs="宋体"/>
          <w:color w:val="auto"/>
          <w:kern w:val="0"/>
          <w:sz w:val="24"/>
          <w:szCs w:val="24"/>
          <w:highlight w:val="none"/>
        </w:rPr>
        <w:t>】需在广州市住建行业信用管理平台中项目业绩页面的“工程规模”栏中所记录“建筑装修装饰工程”的工程造价为准</w:t>
      </w:r>
      <w:r>
        <w:rPr>
          <w:rFonts w:hint="eastAsia" w:ascii="宋体" w:hAnsi="宋体"/>
          <w:b w:val="0"/>
          <w:bCs/>
          <w:color w:val="auto"/>
          <w:sz w:val="24"/>
          <w:szCs w:val="24"/>
          <w:highlight w:val="none"/>
          <w:lang w:val="en-US" w:eastAsia="zh-CN"/>
        </w:rPr>
        <w:t>。用于本项目投标的业绩，在广州市住建行业信用管理平台“工程对应的企业资质”栏中登记的资质须为“建筑装修装饰工程”。不符合上述要求的，该项业绩不予认定。</w:t>
      </w:r>
    </w:p>
    <w:p>
      <w:pPr>
        <w:numPr>
          <w:ilvl w:val="0"/>
          <w:numId w:val="1"/>
        </w:numPr>
        <w:spacing w:line="360" w:lineRule="auto"/>
        <w:ind w:firstLine="566" w:firstLineChars="23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完成时间以</w:t>
      </w:r>
      <w:r>
        <w:rPr>
          <w:rFonts w:hint="eastAsia" w:ascii="宋体" w:hAnsi="宋体" w:cs="宋体"/>
          <w:color w:val="auto"/>
          <w:sz w:val="24"/>
          <w:szCs w:val="24"/>
          <w:highlight w:val="none"/>
        </w:rPr>
        <w:t>平台中项目业绩页面的“验收材料”栏中的验收日期所记录的日期为准。</w:t>
      </w:r>
    </w:p>
    <w:p>
      <w:pPr>
        <w:numPr>
          <w:ilvl w:val="0"/>
          <w:numId w:val="1"/>
        </w:numPr>
        <w:spacing w:line="360" w:lineRule="auto"/>
        <w:ind w:firstLine="566" w:firstLineChars="23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广州市住建行业信用管理平台内业绩上传件不符合上述要求的，该项业绩不予认定。</w:t>
      </w:r>
    </w:p>
    <w:p>
      <w:pPr>
        <w:spacing w:line="360" w:lineRule="auto"/>
        <w:ind w:firstLine="566" w:firstLineChars="236"/>
        <w:rPr>
          <w:rFonts w:cs="宋体"/>
          <w:color w:val="auto"/>
          <w:sz w:val="24"/>
          <w:szCs w:val="24"/>
          <w:highlight w:val="none"/>
        </w:rPr>
      </w:pPr>
      <w:r>
        <w:rPr>
          <w:rFonts w:hint="eastAsia" w:cs="宋体"/>
          <w:color w:val="auto"/>
          <w:sz w:val="24"/>
          <w:szCs w:val="24"/>
          <w:highlight w:val="none"/>
          <w:lang w:val="en-US" w:eastAsia="zh-CN"/>
        </w:rPr>
        <w:t>9</w:t>
      </w:r>
      <w:r>
        <w:rPr>
          <w:rFonts w:hint="eastAsia" w:cs="宋体"/>
          <w:color w:val="auto"/>
          <w:sz w:val="24"/>
          <w:szCs w:val="24"/>
          <w:highlight w:val="none"/>
        </w:rPr>
        <w:t>、投标人已按照</w:t>
      </w:r>
      <w:r>
        <w:rPr>
          <w:rFonts w:hint="eastAsia" w:ascii="宋体" w:hAnsi="宋体" w:cs="宋体"/>
          <w:color w:val="auto"/>
          <w:sz w:val="24"/>
          <w:highlight w:val="none"/>
          <w:u w:val="single"/>
        </w:rPr>
        <w:t>招标公</w:t>
      </w:r>
      <w:r>
        <w:rPr>
          <w:rFonts w:hint="eastAsia" w:cs="宋体"/>
          <w:color w:val="auto"/>
          <w:sz w:val="24"/>
          <w:highlight w:val="none"/>
          <w:u w:val="single"/>
          <w:lang w:eastAsia="zh-CN"/>
        </w:rPr>
        <w:t>告</w:t>
      </w:r>
      <w:r>
        <w:rPr>
          <w:rFonts w:hint="eastAsia" w:cs="宋体"/>
          <w:color w:val="auto"/>
          <w:sz w:val="24"/>
          <w:szCs w:val="24"/>
          <w:highlight w:val="none"/>
        </w:rPr>
        <w:t>附件一的内容签署盖章的投标人声明。</w:t>
      </w:r>
    </w:p>
    <w:p>
      <w:pPr>
        <w:spacing w:line="360" w:lineRule="auto"/>
        <w:ind w:firstLine="566" w:firstLineChars="236"/>
        <w:contextualSpacing/>
        <w:rPr>
          <w:rFonts w:cs="宋体"/>
          <w:color w:val="auto"/>
          <w:sz w:val="24"/>
          <w:szCs w:val="24"/>
          <w:highlight w:val="none"/>
          <w:u w:val="single"/>
        </w:rPr>
      </w:pPr>
      <w:r>
        <w:rPr>
          <w:rFonts w:hint="eastAsia" w:cs="宋体"/>
          <w:color w:val="auto"/>
          <w:sz w:val="24"/>
          <w:szCs w:val="24"/>
          <w:highlight w:val="none"/>
          <w:lang w:val="en-US" w:eastAsia="zh-CN"/>
        </w:rPr>
        <w:t>10</w:t>
      </w:r>
      <w:r>
        <w:rPr>
          <w:rFonts w:hint="eastAsia" w:cs="宋体"/>
          <w:color w:val="auto"/>
          <w:sz w:val="24"/>
          <w:szCs w:val="24"/>
          <w:highlight w:val="none"/>
        </w:rPr>
        <w:t>、关于联合体投标：</w:t>
      </w:r>
      <w:r>
        <w:rPr>
          <w:rFonts w:hint="eastAsia" w:cs="宋体"/>
          <w:color w:val="auto"/>
          <w:sz w:val="24"/>
          <w:szCs w:val="24"/>
          <w:highlight w:val="none"/>
          <w:u w:val="single"/>
        </w:rPr>
        <w:t>本项目不接受联合体投标。</w:t>
      </w:r>
    </w:p>
    <w:p>
      <w:pPr>
        <w:spacing w:line="360" w:lineRule="auto"/>
        <w:ind w:firstLine="566" w:firstLineChars="236"/>
        <w:contextualSpacing/>
        <w:rPr>
          <w:rFonts w:cs="宋体"/>
          <w:color w:val="auto"/>
          <w:sz w:val="24"/>
          <w:szCs w:val="24"/>
          <w:highlight w:val="none"/>
        </w:rPr>
      </w:pPr>
      <w:r>
        <w:rPr>
          <w:rFonts w:hint="eastAsia" w:cs="宋体"/>
          <w:color w:val="auto"/>
          <w:sz w:val="24"/>
          <w:szCs w:val="24"/>
          <w:highlight w:val="none"/>
          <w:lang w:val="en-US" w:eastAsia="zh-CN"/>
        </w:rPr>
        <w:t>11</w:t>
      </w:r>
      <w:r>
        <w:rPr>
          <w:rFonts w:hint="eastAsia" w:cs="宋体"/>
          <w:color w:val="auto"/>
          <w:sz w:val="24"/>
          <w:szCs w:val="24"/>
          <w:highlight w:val="none"/>
        </w:rPr>
        <w:t>、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pPr>
        <w:spacing w:line="360" w:lineRule="auto"/>
        <w:contextualSpacing/>
        <w:rPr>
          <w:rFonts w:cs="宋体"/>
          <w:color w:val="auto"/>
          <w:sz w:val="24"/>
          <w:szCs w:val="24"/>
          <w:highlight w:val="none"/>
        </w:rPr>
      </w:pPr>
      <w:r>
        <w:rPr>
          <w:rFonts w:hint="eastAsia" w:ascii="宋体" w:hAnsi="宋体" w:cs="宋体"/>
          <w:color w:val="auto"/>
          <w:sz w:val="24"/>
          <w:highlight w:val="none"/>
        </w:rPr>
        <w:t>http://zfcj.gz.gov.cn/zwgk/zsdwxxgkzl/gzsjzyglfwzx/bszy/content/post_8484886.html</w:t>
      </w:r>
      <w:r>
        <w:rPr>
          <w:rFonts w:hint="eastAsia" w:cs="宋体"/>
          <w:color w:val="auto"/>
          <w:sz w:val="24"/>
          <w:szCs w:val="24"/>
          <w:highlight w:val="none"/>
        </w:rPr>
        <w:t>）</w:t>
      </w:r>
    </w:p>
    <w:p>
      <w:pPr>
        <w:spacing w:line="360" w:lineRule="auto"/>
        <w:ind w:firstLine="566" w:firstLineChars="236"/>
        <w:contextualSpacing/>
        <w:rPr>
          <w:rFonts w:hint="eastAsia" w:cs="宋体"/>
          <w:color w:val="auto"/>
          <w:sz w:val="24"/>
          <w:szCs w:val="24"/>
          <w:highlight w:val="none"/>
        </w:rPr>
      </w:pPr>
      <w:r>
        <w:rPr>
          <w:rFonts w:hint="eastAsia" w:cs="宋体"/>
          <w:color w:val="auto"/>
          <w:sz w:val="24"/>
          <w:szCs w:val="24"/>
          <w:highlight w:val="none"/>
          <w:lang w:val="en-US" w:eastAsia="zh-CN"/>
        </w:rPr>
        <w:t>12</w:t>
      </w:r>
      <w:r>
        <w:rPr>
          <w:rFonts w:hint="eastAsia" w:cs="宋体"/>
          <w:color w:val="auto"/>
          <w:sz w:val="24"/>
          <w:szCs w:val="24"/>
          <w:highlight w:val="none"/>
        </w:rPr>
        <w:t>、投标人未出现以下情形：与其它投标人的单位负责人为同一人或者存在控股、管理关系的（按投标人提供的《投标人声明》第八条内容进行评审）。如不同投标人出现单位负责人为同一人或者存在控股、管理关系的情形，则</w:t>
      </w:r>
      <w:r>
        <w:rPr>
          <w:rFonts w:hint="eastAsia" w:cs="宋体"/>
          <w:color w:val="auto"/>
          <w:sz w:val="24"/>
          <w:szCs w:val="24"/>
          <w:highlight w:val="none"/>
          <w:u w:val="single"/>
        </w:rPr>
        <w:t>判定为无效标</w:t>
      </w:r>
      <w:r>
        <w:rPr>
          <w:rFonts w:hint="eastAsia" w:cs="宋体"/>
          <w:color w:val="auto"/>
          <w:sz w:val="24"/>
          <w:szCs w:val="24"/>
          <w:highlight w:val="none"/>
        </w:rPr>
        <w:t>。</w:t>
      </w:r>
    </w:p>
    <w:p>
      <w:pPr>
        <w:pStyle w:val="9"/>
        <w:spacing w:line="360" w:lineRule="auto"/>
        <w:ind w:firstLine="480" w:firstLineChars="200"/>
        <w:rPr>
          <w:rFonts w:hint="default" w:cs="宋体"/>
          <w:color w:val="auto"/>
          <w:sz w:val="24"/>
          <w:szCs w:val="24"/>
          <w:highlight w:val="none"/>
          <w:u w:val="single"/>
          <w:lang w:val="en-US" w:eastAsia="zh-CN"/>
        </w:rPr>
      </w:pPr>
      <w:r>
        <w:rPr>
          <w:rFonts w:hint="eastAsia" w:cs="宋体"/>
          <w:color w:val="auto"/>
          <w:sz w:val="24"/>
          <w:szCs w:val="24"/>
          <w:highlight w:val="none"/>
        </w:rPr>
        <w:t>1</w:t>
      </w:r>
      <w:r>
        <w:rPr>
          <w:rFonts w:hint="eastAsia" w:cs="宋体"/>
          <w:color w:val="auto"/>
          <w:sz w:val="24"/>
          <w:szCs w:val="24"/>
          <w:highlight w:val="none"/>
          <w:lang w:val="en-US" w:eastAsia="zh-CN"/>
        </w:rPr>
        <w:t>3</w:t>
      </w:r>
      <w:r>
        <w:rPr>
          <w:rFonts w:hint="eastAsia" w:cs="宋体"/>
          <w:color w:val="auto"/>
          <w:sz w:val="24"/>
          <w:szCs w:val="24"/>
          <w:highlight w:val="none"/>
        </w:rPr>
        <w:t>、</w:t>
      </w:r>
      <w:r>
        <w:rPr>
          <w:rFonts w:hint="eastAsia" w:cs="宋体"/>
          <w:color w:val="auto"/>
          <w:sz w:val="24"/>
          <w:szCs w:val="24"/>
          <w:highlight w:val="none"/>
          <w:lang w:val="en-US" w:eastAsia="zh-CN"/>
        </w:rPr>
        <w:t>未被列入拖欠农民工工资失信联合惩戒对象名单。</w:t>
      </w:r>
      <w:r>
        <w:rPr>
          <w:rFonts w:hint="eastAsia" w:cs="宋体"/>
          <w:color w:val="auto"/>
          <w:sz w:val="24"/>
          <w:szCs w:val="24"/>
          <w:highlight w:val="none"/>
          <w:u w:val="single"/>
          <w:lang w:val="en-US" w:eastAsia="zh-CN"/>
        </w:rPr>
        <w:t>注：投标人无需提供资料，资格审查时，按广州交易集团有限公司（广州公共资源交易中心）交易系统比对的结果进行评审。</w:t>
      </w:r>
    </w:p>
    <w:p>
      <w:pPr>
        <w:widowControl/>
        <w:spacing w:line="360" w:lineRule="auto"/>
        <w:ind w:firstLine="566" w:firstLineChars="236"/>
        <w:contextualSpacing/>
        <w:rPr>
          <w:rFonts w:cs="宋体"/>
          <w:color w:val="auto"/>
          <w:kern w:val="0"/>
          <w:sz w:val="24"/>
          <w:szCs w:val="24"/>
          <w:highlight w:val="none"/>
          <w:shd w:val="clear" w:color="auto" w:fill="FFFFFF"/>
          <w:lang w:bidi="ar"/>
        </w:rPr>
      </w:pPr>
      <w:r>
        <w:rPr>
          <w:rFonts w:hint="eastAsia" w:cs="宋体"/>
          <w:color w:val="auto"/>
          <w:sz w:val="24"/>
          <w:szCs w:val="24"/>
          <w:highlight w:val="none"/>
        </w:rPr>
        <w:t>注：未在招标公告第九条单列的资审合格条件</w:t>
      </w:r>
      <w:r>
        <w:rPr>
          <w:rFonts w:hint="eastAsia" w:cs="宋体"/>
          <w:color w:val="auto"/>
          <w:sz w:val="24"/>
          <w:szCs w:val="24"/>
          <w:highlight w:val="none"/>
          <w:u w:val="single"/>
        </w:rPr>
        <w:t>（投标人合格条件）</w:t>
      </w:r>
      <w:r>
        <w:rPr>
          <w:rFonts w:hint="eastAsia" w:cs="宋体"/>
          <w:color w:val="auto"/>
          <w:sz w:val="24"/>
          <w:szCs w:val="24"/>
          <w:highlight w:val="none"/>
        </w:rPr>
        <w:t>，不作为资审不合格的依据</w:t>
      </w:r>
      <w:r>
        <w:rPr>
          <w:rFonts w:hint="eastAsia" w:cs="宋体"/>
          <w:color w:val="auto"/>
          <w:kern w:val="0"/>
          <w:sz w:val="24"/>
          <w:szCs w:val="24"/>
          <w:highlight w:val="none"/>
          <w:shd w:val="clear" w:color="auto" w:fill="FFFFFF"/>
          <w:lang w:bidi="ar"/>
        </w:rPr>
        <w:t>。</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rPr>
        <w:t>十、资格审查方式：</w:t>
      </w:r>
    </w:p>
    <w:p>
      <w:pPr>
        <w:widowControl/>
        <w:spacing w:line="360" w:lineRule="auto"/>
        <w:ind w:firstLine="480" w:firstLineChars="200"/>
        <w:rPr>
          <w:rFonts w:cs="宋体"/>
          <w:color w:val="auto"/>
          <w:sz w:val="24"/>
          <w:szCs w:val="24"/>
          <w:highlight w:val="none"/>
        </w:rPr>
      </w:pPr>
      <w:r>
        <w:rPr>
          <w:rFonts w:hint="eastAsia" w:cs="宋体"/>
          <w:color w:val="auto"/>
          <w:sz w:val="24"/>
          <w:szCs w:val="24"/>
          <w:highlight w:val="none"/>
        </w:rPr>
        <w:t>本工程采用资格后审方式，由评标委员会负责资格审查。</w:t>
      </w:r>
    </w:p>
    <w:p>
      <w:pPr>
        <w:spacing w:line="360" w:lineRule="auto"/>
        <w:ind w:firstLine="480" w:firstLineChars="200"/>
        <w:rPr>
          <w:rFonts w:cs="宋体"/>
          <w:color w:val="auto"/>
          <w:sz w:val="24"/>
          <w:szCs w:val="24"/>
          <w:highlight w:val="none"/>
        </w:rPr>
      </w:pPr>
      <w:r>
        <w:rPr>
          <w:rFonts w:hint="eastAsia"/>
          <w:color w:val="auto"/>
          <w:sz w:val="24"/>
          <w:highlight w:val="none"/>
        </w:rPr>
        <w:t>十一、资格审查结果将在</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olor w:val="auto"/>
          <w:sz w:val="24"/>
          <w:highlight w:val="none"/>
        </w:rPr>
        <w:t>和广东省招标投标监管网公示，</w:t>
      </w:r>
      <w:r>
        <w:rPr>
          <w:rFonts w:hint="eastAsia"/>
          <w:bCs/>
          <w:color w:val="auto"/>
          <w:sz w:val="24"/>
          <w:highlight w:val="none"/>
        </w:rPr>
        <w:t>公示时间不得少于3日。</w:t>
      </w:r>
    </w:p>
    <w:p>
      <w:pPr>
        <w:spacing w:line="360" w:lineRule="auto"/>
        <w:ind w:firstLine="480" w:firstLineChars="200"/>
        <w:rPr>
          <w:color w:val="auto"/>
          <w:sz w:val="24"/>
          <w:highlight w:val="none"/>
        </w:rPr>
      </w:pPr>
      <w:r>
        <w:rPr>
          <w:rFonts w:hint="eastAsia"/>
          <w:color w:val="auto"/>
          <w:sz w:val="24"/>
          <w:highlight w:val="none"/>
        </w:rPr>
        <w:t>十二、满足资格审查合格条件的投标人不足3名或通过有效性审查的投标人不足3名时为招标失败。招标人分析招标失败原因，修正招标方案，报有关管理部门核准后，重新组织招标。</w:t>
      </w:r>
    </w:p>
    <w:p>
      <w:pPr>
        <w:spacing w:line="360" w:lineRule="auto"/>
        <w:ind w:firstLine="480" w:firstLineChars="200"/>
        <w:rPr>
          <w:color w:val="auto"/>
          <w:sz w:val="24"/>
          <w:highlight w:val="none"/>
        </w:rPr>
      </w:pPr>
      <w:r>
        <w:rPr>
          <w:rFonts w:hint="eastAsia"/>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rPr>
          <w:color w:val="auto"/>
          <w:sz w:val="24"/>
          <w:highlight w:val="none"/>
        </w:rPr>
      </w:pPr>
      <w:r>
        <w:rPr>
          <w:rFonts w:hint="eastAsia"/>
          <w:color w:val="auto"/>
          <w:sz w:val="24"/>
          <w:szCs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auto"/>
        <w:ind w:firstLine="480" w:firstLineChars="200"/>
        <w:rPr>
          <w:color w:val="auto"/>
          <w:sz w:val="24"/>
          <w:highlight w:val="none"/>
        </w:rPr>
      </w:pPr>
      <w:r>
        <w:rPr>
          <w:rFonts w:hint="eastAsia"/>
          <w:color w:val="auto"/>
          <w:sz w:val="24"/>
          <w:highlight w:val="none"/>
        </w:rPr>
        <w:t>十五、潜在投标人或利害关系人对本招标公告及招标文件有异议的，应当在投标截止时间10日前向招标人书面提出。</w:t>
      </w:r>
    </w:p>
    <w:p>
      <w:pPr>
        <w:spacing w:line="360" w:lineRule="auto"/>
        <w:ind w:left="538" w:leftChars="256" w:firstLine="480" w:firstLineChars="200"/>
        <w:rPr>
          <w:color w:val="auto"/>
          <w:sz w:val="24"/>
          <w:highlight w:val="none"/>
          <w:u w:val="single"/>
        </w:rPr>
      </w:pPr>
      <w:r>
        <w:rPr>
          <w:rFonts w:hint="eastAsia"/>
          <w:color w:val="auto"/>
          <w:sz w:val="24"/>
          <w:highlight w:val="none"/>
        </w:rPr>
        <w:t>异议受理部门：</w:t>
      </w:r>
      <w:r>
        <w:rPr>
          <w:rFonts w:hint="eastAsia"/>
          <w:color w:val="auto"/>
          <w:sz w:val="24"/>
          <w:highlight w:val="none"/>
          <w:u w:val="single"/>
          <w:lang w:eastAsia="zh-CN"/>
        </w:rPr>
        <w:t>广州尚龙置业有限公司</w:t>
      </w:r>
    </w:p>
    <w:p>
      <w:pPr>
        <w:spacing w:line="360" w:lineRule="auto"/>
        <w:ind w:left="538" w:leftChars="256" w:firstLine="480" w:firstLineChars="200"/>
        <w:rPr>
          <w:color w:val="auto"/>
          <w:sz w:val="24"/>
          <w:highlight w:val="none"/>
          <w:u w:val="single"/>
        </w:rPr>
      </w:pPr>
      <w:r>
        <w:rPr>
          <w:rFonts w:hint="eastAsia" w:cs="宋体"/>
          <w:color w:val="auto"/>
          <w:sz w:val="24"/>
          <w:highlight w:val="none"/>
        </w:rPr>
        <w:t>异议受理电话：</w:t>
      </w:r>
      <w:r>
        <w:rPr>
          <w:rFonts w:hint="eastAsia"/>
          <w:color w:val="auto"/>
          <w:sz w:val="24"/>
          <w:highlight w:val="none"/>
          <w:u w:val="single"/>
        </w:rPr>
        <w:t>020-31705369</w:t>
      </w:r>
    </w:p>
    <w:p>
      <w:pPr>
        <w:spacing w:line="360" w:lineRule="auto"/>
        <w:ind w:left="538" w:leftChars="256" w:firstLine="480" w:firstLineChars="200"/>
        <w:rPr>
          <w:rFonts w:hint="eastAsia"/>
          <w:color w:val="auto"/>
          <w:spacing w:val="-2"/>
          <w:sz w:val="24"/>
          <w:szCs w:val="24"/>
          <w:highlight w:val="none"/>
          <w:u w:val="single"/>
        </w:rPr>
      </w:pPr>
      <w:r>
        <w:rPr>
          <w:rFonts w:hint="eastAsia" w:cs="宋体"/>
          <w:color w:val="auto"/>
          <w:sz w:val="24"/>
          <w:highlight w:val="none"/>
        </w:rPr>
        <w:t>地址：</w:t>
      </w:r>
      <w:r>
        <w:rPr>
          <w:rFonts w:hint="eastAsia"/>
          <w:color w:val="auto"/>
          <w:spacing w:val="-2"/>
          <w:sz w:val="24"/>
          <w:szCs w:val="24"/>
          <w:highlight w:val="none"/>
          <w:u w:val="single"/>
        </w:rPr>
        <w:t>广州市黄埔区科学大道60号开发区控股中心28楼</w:t>
      </w:r>
    </w:p>
    <w:p>
      <w:pPr>
        <w:spacing w:line="360" w:lineRule="auto"/>
        <w:ind w:firstLine="480" w:firstLineChars="200"/>
        <w:rPr>
          <w:rFonts w:hint="eastAsia" w:ascii="宋体" w:hAnsi="宋体" w:eastAsia="宋体" w:cs="Times New Roman"/>
          <w:b w:val="0"/>
          <w:bCs w:val="0"/>
          <w:color w:val="auto"/>
          <w:kern w:val="2"/>
          <w:sz w:val="24"/>
          <w:szCs w:val="24"/>
          <w:highlight w:val="none"/>
          <w:u w:val="none"/>
          <w:lang w:val="en-US" w:eastAsia="zh-CN" w:bidi="ar-SA"/>
        </w:rPr>
      </w:pPr>
      <w:r>
        <w:rPr>
          <w:rFonts w:hint="eastAsia" w:ascii="宋体" w:hAnsi="宋体" w:eastAsia="宋体" w:cs="Times New Roman"/>
          <w:b w:val="0"/>
          <w:bCs w:val="0"/>
          <w:color w:val="auto"/>
          <w:kern w:val="2"/>
          <w:sz w:val="24"/>
          <w:szCs w:val="24"/>
          <w:highlight w:val="none"/>
          <w:u w:val="none"/>
          <w:lang w:val="en-US" w:eastAsia="zh-CN" w:bidi="ar-SA"/>
        </w:rPr>
        <w:t>注：潜在投标人或利害关系人可以通过线下或线上的形式提出异议。线上提出异议的，应通过广州交易集团有限公司（广州公共资源交易中心）交易平台提交，招标人也应通过广州交易集团有限公司（广州公共资源交易中心）交易平台答复线上提出的异议。具体按照广州交易集团有限公司（广州公共资源交易中心）交易平台相关指南进行操作。作出答复前，应当暂停招标投标活动。</w:t>
      </w:r>
    </w:p>
    <w:p>
      <w:pPr>
        <w:spacing w:line="360" w:lineRule="auto"/>
        <w:ind w:firstLine="480" w:firstLineChars="200"/>
        <w:rPr>
          <w:color w:val="auto"/>
          <w:sz w:val="24"/>
          <w:highlight w:val="none"/>
        </w:rPr>
      </w:pPr>
      <w:r>
        <w:rPr>
          <w:rFonts w:hint="eastAsia"/>
          <w:color w:val="auto"/>
          <w:sz w:val="24"/>
          <w:highlight w:val="none"/>
        </w:rPr>
        <w:t>十六、本公告在广州公共资源交易网（网址：http://www.gzggzy.cn）、广东省招标投标监管网（网址：http://zbtb.gd.gov.cn/）和中国招标投标公共服务平台（网址：http://www.cebpubservice.com/）发布，本公告的修改、补充，在广州公共资源交易网发布。</w:t>
      </w:r>
    </w:p>
    <w:p>
      <w:pPr>
        <w:spacing w:line="360" w:lineRule="auto"/>
        <w:ind w:firstLine="480" w:firstLineChars="200"/>
        <w:rPr>
          <w:color w:val="auto"/>
          <w:sz w:val="24"/>
          <w:highlight w:val="none"/>
        </w:rPr>
      </w:pPr>
      <w:r>
        <w:rPr>
          <w:rFonts w:hint="eastAsia"/>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480" w:firstLineChars="200"/>
        <w:rPr>
          <w:rFonts w:hint="eastAsia" w:ascii="宋体" w:hAnsi="宋体" w:cs="宋体"/>
          <w:bCs/>
          <w:color w:val="auto"/>
          <w:sz w:val="24"/>
          <w:szCs w:val="24"/>
          <w:highlight w:val="none"/>
          <w:u w:val="single"/>
        </w:rPr>
      </w:pPr>
      <w:r>
        <w:rPr>
          <w:rFonts w:hint="eastAsia"/>
          <w:color w:val="auto"/>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s="宋体"/>
          <w:bCs/>
          <w:color w:val="auto"/>
          <w:sz w:val="24"/>
          <w:szCs w:val="24"/>
          <w:highlight w:val="none"/>
          <w:u w:val="single"/>
        </w:rPr>
        <w:t>如招标人需发布补充公告的，以最后发布的补充公告的时间起计算编制投标文件时间，并需在补充公告中明确说明。</w:t>
      </w:r>
    </w:p>
    <w:p>
      <w:pPr>
        <w:spacing w:line="360" w:lineRule="auto"/>
        <w:ind w:firstLine="480" w:firstLineChars="200"/>
        <w:rPr>
          <w:rFonts w:hint="eastAsia" w:eastAsia="宋体"/>
          <w:color w:val="auto"/>
          <w:sz w:val="24"/>
          <w:highlight w:val="none"/>
          <w:lang w:eastAsia="zh-CN"/>
        </w:rPr>
      </w:pPr>
      <w:r>
        <w:rPr>
          <w:rFonts w:hint="eastAsia"/>
          <w:color w:val="auto"/>
          <w:sz w:val="24"/>
          <w:highlight w:val="none"/>
        </w:rPr>
        <w:t>特别提示：投标人在本项目招标人的工程项目中存在下列行为的，将被拒绝一年内参与招标人后续工程投标。（注：拒绝投标时限由招标人视严重程度确定，最低三个月起，自招标人发出通知之日起计）：</w:t>
      </w:r>
      <w:r>
        <w:rPr>
          <w:rFonts w:hint="eastAsia"/>
          <w:color w:val="auto"/>
          <w:sz w:val="24"/>
          <w:highlight w:val="none"/>
          <w:lang w:eastAsia="zh-CN"/>
        </w:rPr>
        <w:t>（如有应列出企业名单：无）</w:t>
      </w:r>
    </w:p>
    <w:p>
      <w:pPr>
        <w:spacing w:line="360" w:lineRule="auto"/>
        <w:ind w:firstLine="537" w:firstLineChars="224"/>
        <w:rPr>
          <w:rFonts w:cs="宋体"/>
          <w:color w:val="auto"/>
          <w:sz w:val="24"/>
          <w:highlight w:val="none"/>
        </w:rPr>
      </w:pPr>
      <w:r>
        <w:rPr>
          <w:rFonts w:hint="eastAsia" w:cs="宋体"/>
          <w:color w:val="auto"/>
          <w:sz w:val="24"/>
          <w:highlight w:val="none"/>
        </w:rPr>
        <w:t>1.将中标工程转包或者违法分包的;</w:t>
      </w:r>
    </w:p>
    <w:p>
      <w:pPr>
        <w:spacing w:line="360" w:lineRule="auto"/>
        <w:ind w:firstLine="537" w:firstLineChars="224"/>
        <w:rPr>
          <w:rFonts w:cs="宋体"/>
          <w:color w:val="auto"/>
          <w:sz w:val="24"/>
          <w:highlight w:val="none"/>
        </w:rPr>
      </w:pPr>
      <w:r>
        <w:rPr>
          <w:rFonts w:hint="eastAsia" w:cs="宋体"/>
          <w:color w:val="auto"/>
          <w:sz w:val="24"/>
          <w:highlight w:val="none"/>
        </w:rPr>
        <w:t>2.在中标工程中不执行质量、安全生产相关规定的，造成质量或安全事故的；</w:t>
      </w:r>
    </w:p>
    <w:p>
      <w:pPr>
        <w:spacing w:line="360" w:lineRule="auto"/>
        <w:ind w:firstLine="537" w:firstLineChars="224"/>
        <w:rPr>
          <w:rFonts w:cs="宋体"/>
          <w:color w:val="auto"/>
          <w:sz w:val="24"/>
          <w:highlight w:val="none"/>
        </w:rPr>
      </w:pPr>
      <w:r>
        <w:rPr>
          <w:rFonts w:hint="eastAsia" w:cs="宋体"/>
          <w:color w:val="auto"/>
          <w:sz w:val="24"/>
          <w:highlight w:val="none"/>
        </w:rPr>
        <w:t>3.存在围标或串标情形的;</w:t>
      </w:r>
    </w:p>
    <w:p>
      <w:pPr>
        <w:spacing w:line="360" w:lineRule="auto"/>
        <w:ind w:firstLine="537" w:firstLineChars="224"/>
        <w:rPr>
          <w:rFonts w:hint="eastAsia" w:cs="宋体"/>
          <w:color w:val="auto"/>
          <w:sz w:val="24"/>
          <w:highlight w:val="none"/>
        </w:rPr>
      </w:pPr>
      <w:r>
        <w:rPr>
          <w:rFonts w:hint="eastAsia" w:cs="宋体"/>
          <w:color w:val="auto"/>
          <w:sz w:val="24"/>
          <w:highlight w:val="none"/>
        </w:rPr>
        <w:t>4.在投标文件中提供虚假材料的；</w:t>
      </w:r>
    </w:p>
    <w:p>
      <w:pPr>
        <w:spacing w:line="360" w:lineRule="auto"/>
        <w:ind w:firstLine="537" w:firstLineChars="224"/>
        <w:rPr>
          <w:rFonts w:hint="eastAsia" w:cs="宋体"/>
          <w:color w:val="auto"/>
          <w:sz w:val="24"/>
          <w:highlight w:val="none"/>
        </w:rPr>
      </w:pPr>
      <w:r>
        <w:rPr>
          <w:rFonts w:hint="eastAsia" w:cs="宋体"/>
          <w:color w:val="auto"/>
          <w:sz w:val="24"/>
          <w:highlight w:val="none"/>
        </w:rPr>
        <w:t>5.存在行贿情形的;</w:t>
      </w:r>
    </w:p>
    <w:p>
      <w:pPr>
        <w:spacing w:line="360" w:lineRule="auto"/>
        <w:ind w:firstLine="537" w:firstLineChars="224"/>
        <w:rPr>
          <w:rFonts w:hint="eastAsia" w:cs="宋体"/>
          <w:color w:val="auto"/>
          <w:sz w:val="24"/>
          <w:highlight w:val="none"/>
        </w:rPr>
      </w:pPr>
      <w:r>
        <w:rPr>
          <w:rFonts w:hint="eastAsia" w:cs="宋体"/>
          <w:color w:val="auto"/>
          <w:sz w:val="24"/>
          <w:highlight w:val="none"/>
        </w:rPr>
        <w:t>6.拖欠农民工工资的；</w:t>
      </w:r>
    </w:p>
    <w:p>
      <w:pPr>
        <w:spacing w:line="360" w:lineRule="auto"/>
        <w:ind w:firstLine="537" w:firstLineChars="224"/>
        <w:rPr>
          <w:rFonts w:hint="eastAsia" w:cs="宋体"/>
          <w:color w:val="auto"/>
          <w:sz w:val="24"/>
          <w:highlight w:val="none"/>
        </w:rPr>
      </w:pPr>
      <w:r>
        <w:rPr>
          <w:rFonts w:hint="eastAsia" w:cs="宋体"/>
          <w:color w:val="auto"/>
          <w:sz w:val="24"/>
          <w:highlight w:val="none"/>
        </w:rPr>
        <w:t>7.未按照国家、省、市有关建筑施工实名制管理和工人工资支付分账管理的规定执行，被行政监管部门处罚的。</w:t>
      </w:r>
    </w:p>
    <w:p>
      <w:pPr>
        <w:spacing w:line="360" w:lineRule="auto"/>
        <w:ind w:firstLine="537" w:firstLineChars="224"/>
        <w:rPr>
          <w:rFonts w:hint="eastAsia" w:eastAsia="宋体" w:cs="宋体"/>
          <w:color w:val="auto"/>
          <w:sz w:val="24"/>
          <w:highlight w:val="none"/>
          <w:lang w:eastAsia="zh-CN"/>
        </w:rPr>
      </w:pPr>
      <w:r>
        <w:rPr>
          <w:rFonts w:hint="eastAsia" w:cs="宋体"/>
          <w:color w:val="auto"/>
          <w:sz w:val="24"/>
          <w:highlight w:val="none"/>
        </w:rPr>
        <w:t>8.中标人在项目实施过程中选取的专业分包单位或劳务企业或劳务班组长与投标时不一致的</w:t>
      </w:r>
      <w:r>
        <w:rPr>
          <w:rFonts w:hint="eastAsia" w:cs="宋体"/>
          <w:color w:val="auto"/>
          <w:sz w:val="24"/>
          <w:highlight w:val="none"/>
          <w:lang w:eastAsia="zh-CN"/>
        </w:rPr>
        <w:t>。</w:t>
      </w:r>
    </w:p>
    <w:p>
      <w:pPr>
        <w:pStyle w:val="6"/>
        <w:rPr>
          <w:color w:val="auto"/>
          <w:highlight w:val="none"/>
        </w:rPr>
      </w:pPr>
    </w:p>
    <w:p>
      <w:pPr>
        <w:spacing w:line="360" w:lineRule="auto"/>
        <w:ind w:right="1348" w:rightChars="642"/>
        <w:rPr>
          <w:color w:val="auto"/>
          <w:sz w:val="24"/>
          <w:highlight w:val="none"/>
        </w:rPr>
      </w:pPr>
    </w:p>
    <w:p>
      <w:pPr>
        <w:spacing w:line="360" w:lineRule="auto"/>
        <w:jc w:val="right"/>
        <w:rPr>
          <w:color w:val="auto"/>
          <w:sz w:val="24"/>
          <w:highlight w:val="none"/>
        </w:rPr>
      </w:pPr>
      <w:r>
        <w:rPr>
          <w:rFonts w:hint="eastAsia"/>
          <w:color w:val="auto"/>
          <w:sz w:val="24"/>
          <w:szCs w:val="24"/>
          <w:highlight w:val="none"/>
        </w:rPr>
        <w:t>招</w:t>
      </w:r>
      <w:r>
        <w:rPr>
          <w:color w:val="auto"/>
          <w:sz w:val="24"/>
          <w:szCs w:val="24"/>
          <w:highlight w:val="none"/>
        </w:rPr>
        <w:t xml:space="preserve"> </w:t>
      </w:r>
      <w:r>
        <w:rPr>
          <w:rFonts w:hint="eastAsia"/>
          <w:color w:val="auto"/>
          <w:sz w:val="24"/>
          <w:szCs w:val="24"/>
          <w:highlight w:val="none"/>
        </w:rPr>
        <w:t>标</w:t>
      </w:r>
      <w:r>
        <w:rPr>
          <w:color w:val="auto"/>
          <w:sz w:val="24"/>
          <w:szCs w:val="24"/>
          <w:highlight w:val="none"/>
        </w:rPr>
        <w:t xml:space="preserve"> </w:t>
      </w:r>
      <w:r>
        <w:rPr>
          <w:rFonts w:hint="eastAsia"/>
          <w:color w:val="auto"/>
          <w:sz w:val="24"/>
          <w:szCs w:val="24"/>
          <w:highlight w:val="none"/>
        </w:rPr>
        <w:t>人：</w:t>
      </w:r>
      <w:r>
        <w:rPr>
          <w:rFonts w:hint="eastAsia"/>
          <w:color w:val="auto"/>
          <w:sz w:val="24"/>
          <w:highlight w:val="none"/>
          <w:u w:val="single"/>
          <w:lang w:eastAsia="zh-CN"/>
        </w:rPr>
        <w:t>广州尚龙置业有限公司</w:t>
      </w:r>
    </w:p>
    <w:p>
      <w:pPr>
        <w:spacing w:line="360" w:lineRule="auto"/>
        <w:jc w:val="right"/>
        <w:rPr>
          <w:rFonts w:hint="eastAsia" w:eastAsia="宋体"/>
          <w:color w:val="auto"/>
          <w:sz w:val="24"/>
          <w:szCs w:val="24"/>
          <w:highlight w:val="none"/>
          <w:lang w:eastAsia="zh-CN"/>
        </w:rPr>
      </w:pPr>
      <w:r>
        <w:rPr>
          <w:rFonts w:hint="eastAsia"/>
          <w:color w:val="auto"/>
          <w:sz w:val="24"/>
          <w:szCs w:val="24"/>
          <w:highlight w:val="none"/>
        </w:rPr>
        <w:t>招标代理：</w:t>
      </w:r>
      <w:r>
        <w:rPr>
          <w:rFonts w:hint="eastAsia"/>
          <w:color w:val="auto"/>
          <w:sz w:val="24"/>
          <w:szCs w:val="24"/>
          <w:highlight w:val="none"/>
          <w:u w:val="single"/>
          <w:lang w:eastAsia="zh-CN"/>
        </w:rPr>
        <w:t>广州珠江监理咨询集团有限公司</w:t>
      </w:r>
    </w:p>
    <w:p>
      <w:pPr>
        <w:spacing w:line="360" w:lineRule="auto"/>
        <w:jc w:val="right"/>
        <w:rPr>
          <w:color w:val="auto"/>
          <w:sz w:val="24"/>
          <w:szCs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r>
        <w:rPr>
          <w:rFonts w:hint="eastAsia"/>
          <w:color w:val="auto"/>
          <w:sz w:val="24"/>
          <w:szCs w:val="24"/>
          <w:highlight w:val="none"/>
          <w:u w:val="single"/>
        </w:rPr>
        <w:t>202</w:t>
      </w:r>
      <w:r>
        <w:rPr>
          <w:rFonts w:hint="eastAsia"/>
          <w:color w:val="auto"/>
          <w:sz w:val="24"/>
          <w:szCs w:val="24"/>
          <w:highlight w:val="none"/>
          <w:u w:val="single"/>
          <w:lang w:val="en-US" w:eastAsia="zh-CN"/>
        </w:rPr>
        <w:t>4</w:t>
      </w:r>
      <w:r>
        <w:rPr>
          <w:rFonts w:hint="eastAsia"/>
          <w:color w:val="auto"/>
          <w:sz w:val="24"/>
          <w:szCs w:val="24"/>
          <w:highlight w:val="none"/>
          <w:u w:val="single"/>
        </w:rPr>
        <w:t>年</w:t>
      </w:r>
      <w:r>
        <w:rPr>
          <w:rFonts w:hint="eastAsia"/>
          <w:color w:val="auto"/>
          <w:sz w:val="24"/>
          <w:szCs w:val="24"/>
          <w:highlight w:val="none"/>
          <w:u w:val="single"/>
          <w:lang w:val="en-US" w:eastAsia="zh-CN"/>
        </w:rPr>
        <w:t>4</w:t>
      </w:r>
      <w:r>
        <w:rPr>
          <w:rFonts w:hint="eastAsia"/>
          <w:color w:val="auto"/>
          <w:sz w:val="24"/>
          <w:szCs w:val="24"/>
          <w:highlight w:val="none"/>
          <w:u w:val="single"/>
        </w:rPr>
        <w:t>月</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日</w:t>
      </w:r>
    </w:p>
    <w:p>
      <w:pPr>
        <w:spacing w:line="360" w:lineRule="auto"/>
        <w:outlineLvl w:val="0"/>
        <w:rPr>
          <w:rFonts w:cs="宋体"/>
          <w:b/>
          <w:color w:val="auto"/>
          <w:sz w:val="24"/>
          <w:szCs w:val="24"/>
          <w:highlight w:val="none"/>
        </w:rPr>
      </w:pPr>
      <w:r>
        <w:rPr>
          <w:rFonts w:hint="eastAsia"/>
          <w:color w:val="auto"/>
          <w:sz w:val="24"/>
          <w:highlight w:val="none"/>
        </w:rPr>
        <w:br w:type="page"/>
      </w:r>
      <w:r>
        <w:rPr>
          <w:rFonts w:hint="eastAsia" w:cs="宋体"/>
          <w:color w:val="auto"/>
          <w:sz w:val="24"/>
          <w:szCs w:val="24"/>
          <w:highlight w:val="none"/>
        </w:rPr>
        <w:t>附件一：</w:t>
      </w:r>
    </w:p>
    <w:p>
      <w:pPr>
        <w:spacing w:line="360" w:lineRule="auto"/>
        <w:jc w:val="center"/>
        <w:outlineLvl w:val="0"/>
        <w:rPr>
          <w:rFonts w:cs="宋体"/>
          <w:b/>
          <w:color w:val="auto"/>
          <w:sz w:val="44"/>
          <w:szCs w:val="44"/>
          <w:highlight w:val="none"/>
        </w:rPr>
      </w:pPr>
      <w:r>
        <w:rPr>
          <w:rFonts w:hint="eastAsia" w:cs="宋体"/>
          <w:b/>
          <w:color w:val="auto"/>
          <w:kern w:val="0"/>
          <w:sz w:val="44"/>
          <w:szCs w:val="44"/>
          <w:highlight w:val="none"/>
        </w:rPr>
        <w:t>投标人</w:t>
      </w:r>
      <w:r>
        <w:rPr>
          <w:rFonts w:hint="eastAsia" w:cs="宋体"/>
          <w:b/>
          <w:color w:val="auto"/>
          <w:sz w:val="44"/>
          <w:szCs w:val="44"/>
          <w:highlight w:val="none"/>
        </w:rPr>
        <w:t>声明</w:t>
      </w:r>
    </w:p>
    <w:p>
      <w:pPr>
        <w:pStyle w:val="19"/>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广州市黄埔区住房和城乡建设局、广州开发区建设和交通局、</w:t>
      </w:r>
      <w:r>
        <w:rPr>
          <w:rFonts w:hint="eastAsia" w:ascii="宋体" w:hAnsi="宋体" w:eastAsia="宋体" w:cs="宋体"/>
          <w:color w:val="auto"/>
          <w:spacing w:val="-2"/>
          <w:sz w:val="24"/>
          <w:szCs w:val="24"/>
          <w:highlight w:val="none"/>
          <w:u w:val="single"/>
        </w:rPr>
        <w:t>招标人及招标监督机构</w:t>
      </w:r>
      <w:r>
        <w:rPr>
          <w:rFonts w:hint="eastAsia" w:ascii="宋体" w:hAnsi="宋体" w:eastAsia="宋体" w:cs="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本公司就参加</w:t>
      </w:r>
      <w:r>
        <w:rPr>
          <w:rFonts w:ascii="宋体" w:hAnsi="宋体"/>
          <w:color w:val="auto"/>
          <w:sz w:val="24"/>
          <w:szCs w:val="24"/>
          <w:highlight w:val="none"/>
          <w:u w:val="single"/>
        </w:rPr>
        <w:t xml:space="preserve">                        </w:t>
      </w:r>
      <w:r>
        <w:rPr>
          <w:rFonts w:hint="eastAsia" w:ascii="宋体" w:hAnsi="宋体"/>
          <w:color w:val="auto"/>
          <w:sz w:val="24"/>
          <w:szCs w:val="24"/>
          <w:highlight w:val="none"/>
        </w:rPr>
        <w:t>投标工作，作出郑重声明：</w:t>
      </w:r>
    </w:p>
    <w:p>
      <w:pPr>
        <w:spacing w:line="360" w:lineRule="auto"/>
        <w:ind w:firstLine="629"/>
        <w:rPr>
          <w:rFonts w:ascii="宋体" w:hAnsi="宋体"/>
          <w:color w:val="auto"/>
          <w:kern w:val="0"/>
          <w:sz w:val="24"/>
          <w:szCs w:val="24"/>
          <w:highlight w:val="none"/>
        </w:rPr>
      </w:pPr>
      <w:r>
        <w:rPr>
          <w:rFonts w:hint="eastAsia" w:ascii="宋体" w:hAnsi="宋体"/>
          <w:color w:val="auto"/>
          <w:kern w:val="0"/>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pPr>
        <w:spacing w:line="360" w:lineRule="auto"/>
        <w:ind w:firstLine="629"/>
        <w:rPr>
          <w:rFonts w:ascii="宋体" w:hAnsi="宋体"/>
          <w:color w:val="auto"/>
          <w:kern w:val="0"/>
          <w:sz w:val="24"/>
          <w:szCs w:val="24"/>
          <w:highlight w:val="none"/>
        </w:rPr>
      </w:pPr>
      <w:r>
        <w:rPr>
          <w:rFonts w:hint="eastAsia" w:ascii="宋体" w:hAnsi="宋体"/>
          <w:color w:val="auto"/>
          <w:kern w:val="0"/>
          <w:sz w:val="24"/>
          <w:szCs w:val="24"/>
          <w:highlight w:val="none"/>
        </w:rPr>
        <w:t>二、本公司保证在本项目投标中不与其他单位围标、串标，不出让投标资格，不向招标人或评标委员会成员行贿。</w:t>
      </w:r>
    </w:p>
    <w:p>
      <w:pPr>
        <w:spacing w:line="360" w:lineRule="auto"/>
        <w:ind w:firstLine="629"/>
        <w:rPr>
          <w:rFonts w:ascii="宋体" w:hAnsi="宋体"/>
          <w:color w:val="auto"/>
          <w:kern w:val="0"/>
          <w:sz w:val="24"/>
          <w:szCs w:val="24"/>
          <w:highlight w:val="none"/>
        </w:rPr>
      </w:pPr>
      <w:r>
        <w:rPr>
          <w:rFonts w:hint="eastAsia" w:ascii="宋体" w:hAnsi="宋体"/>
          <w:color w:val="auto"/>
          <w:kern w:val="0"/>
          <w:sz w:val="24"/>
          <w:szCs w:val="24"/>
          <w:highlight w:val="none"/>
        </w:rPr>
        <w:t>三、本公司不存在下列情形之一：</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（一）为招标人不具有独立法人资格的附属机构（单位）；</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（二）为本标段前期准备提供设计或咨询服务或者与本项目设计人或提供咨询服务的机构存在附属关系的；</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（三）为本标段监理人或者与本标段监理人存在隶属关系或者其他利害关系；</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（四）为本标段的代建人；</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（五）为本标段提供招标代理服务的；</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（六）与本标段的监理人或代建人或招标代理机构同为一个法定代表人的；</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（七）与本标段的监理人或代建人或招标代理机构互相控股或参股的；</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（八）与本标段的监理人或代建人或招标代理机构相互任职或工作的；</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（九）与本标段的检测机构有隶属关系或者其他利害关系；</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（十）与招标人存在利害关系且可能影响招标公正性；</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（十二）被责令停产停业、暂扣或者吊销许可证、暂扣或者吊销执照的（本项事实应当以根据《中华人民共和国行政处罚法》依法作出并已经生效的行政处罚决定为认定依据。）；</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（十三）进入清算程序，或被宣布破产，或其他丧失履约能力的情形；</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（十五）法律法规规定的其他情形。</w:t>
      </w:r>
    </w:p>
    <w:p>
      <w:pPr>
        <w:spacing w:line="360" w:lineRule="auto"/>
        <w:ind w:firstLine="629"/>
        <w:rPr>
          <w:rFonts w:ascii="宋体" w:hAnsi="宋体"/>
          <w:color w:val="auto"/>
          <w:kern w:val="0"/>
          <w:sz w:val="24"/>
          <w:szCs w:val="24"/>
          <w:highlight w:val="none"/>
        </w:rPr>
      </w:pPr>
      <w:r>
        <w:rPr>
          <w:rFonts w:hint="eastAsia" w:ascii="宋体" w:hAnsi="宋体"/>
          <w:color w:val="auto"/>
          <w:kern w:val="0"/>
          <w:sz w:val="24"/>
          <w:szCs w:val="24"/>
          <w:highlight w:val="none"/>
        </w:rPr>
        <w:t>四、本公司保证：本项目拟派的项目负责人没有在其他在建项目中任施工单位项目负责人，本项目拟派的专职安全员没有在其他在建项目中任职。</w:t>
      </w:r>
    </w:p>
    <w:p>
      <w:pPr>
        <w:spacing w:line="360" w:lineRule="auto"/>
        <w:ind w:firstLine="629"/>
        <w:rPr>
          <w:rFonts w:hint="eastAsia" w:ascii="宋体" w:hAnsi="宋体"/>
          <w:color w:val="auto"/>
          <w:kern w:val="0"/>
          <w:sz w:val="24"/>
          <w:szCs w:val="24"/>
          <w:highlight w:val="none"/>
        </w:rPr>
      </w:pPr>
      <w:r>
        <w:rPr>
          <w:rFonts w:hint="eastAsia" w:ascii="宋体" w:hAnsi="宋体"/>
          <w:color w:val="auto"/>
          <w:kern w:val="0"/>
          <w:sz w:val="24"/>
          <w:szCs w:val="24"/>
          <w:highlight w:val="none"/>
        </w:rPr>
        <w:t>五、本公司已经对投标时拟投入本项目的管理团队和专业技术人员进行了自查，保证拟投入的所有人员都是本公司正式人员，都在本公司缴纳社保，不存在持证人注册单位与实际工作单位不符、买卖租借（专业）资格（注册）证书等“挂证”违法违规行为。</w:t>
      </w:r>
    </w:p>
    <w:p>
      <w:pPr>
        <w:spacing w:line="360" w:lineRule="auto"/>
        <w:ind w:firstLine="629"/>
        <w:rPr>
          <w:rFonts w:ascii="宋体" w:hAnsi="宋体"/>
          <w:color w:val="auto"/>
          <w:kern w:val="0"/>
          <w:sz w:val="24"/>
          <w:szCs w:val="24"/>
          <w:highlight w:val="none"/>
        </w:rPr>
      </w:pPr>
      <w:r>
        <w:rPr>
          <w:rFonts w:hint="eastAsia" w:ascii="宋体" w:hAnsi="宋体"/>
          <w:color w:val="auto"/>
          <w:kern w:val="0"/>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spacing w:line="360" w:lineRule="auto"/>
        <w:ind w:firstLine="629"/>
        <w:rPr>
          <w:rFonts w:ascii="宋体" w:hAnsi="宋体"/>
          <w:color w:val="auto"/>
          <w:kern w:val="0"/>
          <w:sz w:val="24"/>
          <w:szCs w:val="24"/>
          <w:highlight w:val="none"/>
        </w:rPr>
      </w:pPr>
      <w:r>
        <w:rPr>
          <w:rFonts w:hint="eastAsia" w:ascii="宋体" w:hAnsi="宋体"/>
          <w:color w:val="auto"/>
          <w:kern w:val="0"/>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w:t>
      </w:r>
    </w:p>
    <w:p>
      <w:pPr>
        <w:spacing w:line="360" w:lineRule="auto"/>
        <w:ind w:firstLine="629"/>
        <w:rPr>
          <w:rFonts w:ascii="宋体" w:hAnsi="宋体"/>
          <w:color w:val="auto"/>
          <w:kern w:val="0"/>
          <w:sz w:val="24"/>
          <w:szCs w:val="24"/>
          <w:highlight w:val="none"/>
        </w:rPr>
      </w:pPr>
      <w:r>
        <w:rPr>
          <w:rFonts w:hint="eastAsia" w:ascii="宋体" w:hAnsi="宋体"/>
          <w:color w:val="auto"/>
          <w:kern w:val="0"/>
          <w:sz w:val="24"/>
          <w:szCs w:val="24"/>
          <w:highlight w:val="none"/>
        </w:rPr>
        <w:t>八、与本公司单位负责人为同一人或者与本公司存在控股、管理关系的其他单位包括：</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。（注：本条由投标人如实填写，如有，应列出全部满足招标公告资质要求的相关单位的名称；如无，则填写“无”。）</w:t>
      </w:r>
    </w:p>
    <w:p>
      <w:pPr>
        <w:spacing w:line="360" w:lineRule="auto"/>
        <w:ind w:firstLine="629"/>
        <w:rPr>
          <w:rFonts w:hint="eastAsia" w:ascii="宋体" w:hAnsi="宋体"/>
          <w:color w:val="auto"/>
          <w:kern w:val="0"/>
          <w:sz w:val="24"/>
          <w:szCs w:val="24"/>
          <w:highlight w:val="none"/>
        </w:rPr>
      </w:pPr>
      <w:r>
        <w:rPr>
          <w:rFonts w:hint="eastAsia" w:ascii="宋体" w:hAnsi="宋体"/>
          <w:color w:val="auto"/>
          <w:kern w:val="0"/>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spacing w:line="360" w:lineRule="auto"/>
        <w:ind w:firstLine="629"/>
        <w:rPr>
          <w:rFonts w:ascii="宋体" w:hAnsi="宋体"/>
          <w:color w:val="auto"/>
          <w:kern w:val="0"/>
          <w:sz w:val="24"/>
          <w:szCs w:val="24"/>
          <w:highlight w:val="none"/>
        </w:rPr>
      </w:pPr>
      <w:r>
        <w:rPr>
          <w:rFonts w:hint="eastAsia" w:ascii="宋体" w:hAnsi="宋体"/>
          <w:color w:val="auto"/>
          <w:kern w:val="0"/>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 十一、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pPr>
        <w:widowControl/>
        <w:spacing w:line="360" w:lineRule="auto"/>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     十二、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pPr>
        <w:widowControl/>
        <w:spacing w:line="360" w:lineRule="auto"/>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widowControl/>
        <w:spacing w:line="360" w:lineRule="auto"/>
        <w:jc w:val="left"/>
        <w:rPr>
          <w:rFonts w:hint="eastAsia" w:ascii="宋体" w:hAnsi="宋体"/>
          <w:color w:val="auto"/>
          <w:sz w:val="24"/>
          <w:szCs w:val="24"/>
          <w:highlight w:val="none"/>
        </w:rPr>
      </w:pPr>
      <w:r>
        <w:rPr>
          <w:rFonts w:hint="eastAsia" w:ascii="宋体" w:hAnsi="宋体"/>
          <w:color w:val="auto"/>
          <w:kern w:val="0"/>
          <w:sz w:val="24"/>
          <w:szCs w:val="24"/>
          <w:highlight w:val="none"/>
        </w:rPr>
        <w:t xml:space="preserve">    十三、本公司或拟派项目负责人、拟派专职安全员未因安全生产违法行为或失信行为被有关行政主管部门采取本行业或者职业禁入等联合惩戒措施（有效期内）。</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十四、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pStyle w:val="19"/>
        <w:rPr>
          <w:rFonts w:hint="eastAsia" w:ascii="宋体" w:hAnsi="宋体" w:eastAsia="宋体" w:cs="宋体"/>
          <w:color w:val="auto"/>
          <w:kern w:val="0"/>
          <w:sz w:val="24"/>
          <w:szCs w:val="24"/>
          <w:highlight w:val="none"/>
        </w:rPr>
      </w:pPr>
      <w:r>
        <w:rPr>
          <w:rFonts w:hint="eastAsia" w:ascii="宋体" w:hAnsi="宋体"/>
          <w:color w:val="auto"/>
          <w:kern w:val="0"/>
          <w:sz w:val="24"/>
          <w:szCs w:val="24"/>
          <w:highlight w:val="none"/>
        </w:rPr>
        <w:t>特此声明</w:t>
      </w:r>
    </w:p>
    <w:p>
      <w:pPr>
        <w:pStyle w:val="19"/>
        <w:rPr>
          <w:rFonts w:hint="eastAsia" w:ascii="宋体" w:hAnsi="宋体" w:eastAsia="宋体" w:cs="宋体"/>
          <w:color w:val="auto"/>
          <w:kern w:val="0"/>
          <w:sz w:val="24"/>
          <w:szCs w:val="24"/>
          <w:highlight w:val="none"/>
        </w:rPr>
      </w:pPr>
    </w:p>
    <w:p>
      <w:pPr>
        <w:pStyle w:val="20"/>
        <w:ind w:left="629" w:right="1449"/>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pPr>
        <w:pStyle w:val="19"/>
        <w:ind w:right="1179"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pPr>
        <w:pStyle w:val="19"/>
        <w:ind w:right="1179"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w:t>
      </w:r>
    </w:p>
    <w:p>
      <w:pPr>
        <w:pStyle w:val="19"/>
        <w:ind w:right="879" w:firstLine="2160" w:firstLineChars="9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w:t>
      </w:r>
    </w:p>
    <w:p>
      <w:pPr>
        <w:pStyle w:val="19"/>
        <w:ind w:right="70" w:firstLine="2160" w:firstLineChars="9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spacing w:line="360" w:lineRule="auto"/>
        <w:jc w:val="right"/>
        <w:rPr>
          <w:rFonts w:cs="宋体"/>
          <w:color w:val="auto"/>
          <w:kern w:val="0"/>
          <w:szCs w:val="21"/>
          <w:highlight w:val="none"/>
        </w:rPr>
      </w:pPr>
      <w:r>
        <w:rPr>
          <w:rFonts w:hint="eastAsia" w:cs="宋体"/>
          <w:color w:val="auto"/>
          <w:kern w:val="0"/>
          <w:sz w:val="24"/>
          <w:szCs w:val="24"/>
          <w:highlight w:val="none"/>
        </w:rPr>
        <w:t>（企业公章）</w:t>
      </w:r>
    </w:p>
    <w:p>
      <w:pPr>
        <w:jc w:val="right"/>
        <w:rPr>
          <w:color w:val="auto"/>
          <w:kern w:val="0"/>
          <w:szCs w:val="21"/>
          <w:highlight w:val="none"/>
        </w:rPr>
      </w:pPr>
    </w:p>
    <w:p>
      <w:pPr>
        <w:rPr>
          <w:color w:val="auto"/>
          <w:highlight w:val="none"/>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43D7B"/>
    <w:multiLevelType w:val="singleLevel"/>
    <w:tmpl w:val="FB843D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172A27"/>
    <w:rsid w:val="0046160B"/>
    <w:rsid w:val="007117E3"/>
    <w:rsid w:val="007D2D16"/>
    <w:rsid w:val="00C208F2"/>
    <w:rsid w:val="00D6581C"/>
    <w:rsid w:val="00F06BC4"/>
    <w:rsid w:val="014337F8"/>
    <w:rsid w:val="03810BDB"/>
    <w:rsid w:val="042030B6"/>
    <w:rsid w:val="04243786"/>
    <w:rsid w:val="0459529B"/>
    <w:rsid w:val="051A37F7"/>
    <w:rsid w:val="086C348B"/>
    <w:rsid w:val="09864E57"/>
    <w:rsid w:val="09954E16"/>
    <w:rsid w:val="0A1C32E6"/>
    <w:rsid w:val="0AAE001A"/>
    <w:rsid w:val="0BF26547"/>
    <w:rsid w:val="0D805C04"/>
    <w:rsid w:val="0E097D32"/>
    <w:rsid w:val="0F294AA4"/>
    <w:rsid w:val="0FF30ADF"/>
    <w:rsid w:val="113F6507"/>
    <w:rsid w:val="136B1159"/>
    <w:rsid w:val="13A363CE"/>
    <w:rsid w:val="14C30A80"/>
    <w:rsid w:val="15026859"/>
    <w:rsid w:val="150D079C"/>
    <w:rsid w:val="16BB4CBA"/>
    <w:rsid w:val="17014AE8"/>
    <w:rsid w:val="17CF3BE0"/>
    <w:rsid w:val="18CC27D8"/>
    <w:rsid w:val="198A69FB"/>
    <w:rsid w:val="1A8F0224"/>
    <w:rsid w:val="1B277D2C"/>
    <w:rsid w:val="1B917B2A"/>
    <w:rsid w:val="1C597CAD"/>
    <w:rsid w:val="1CC23D13"/>
    <w:rsid w:val="1D97597A"/>
    <w:rsid w:val="1D9D1228"/>
    <w:rsid w:val="20CE0ED9"/>
    <w:rsid w:val="21457ACA"/>
    <w:rsid w:val="22467D8B"/>
    <w:rsid w:val="265012C9"/>
    <w:rsid w:val="26CC64FC"/>
    <w:rsid w:val="276E2ACE"/>
    <w:rsid w:val="279231C2"/>
    <w:rsid w:val="27FC723C"/>
    <w:rsid w:val="28940F72"/>
    <w:rsid w:val="29385D73"/>
    <w:rsid w:val="295F6EE0"/>
    <w:rsid w:val="2C7C47B6"/>
    <w:rsid w:val="2C8927F9"/>
    <w:rsid w:val="2D6F75A0"/>
    <w:rsid w:val="2E1B14D5"/>
    <w:rsid w:val="30AA08EF"/>
    <w:rsid w:val="3129226C"/>
    <w:rsid w:val="3180558D"/>
    <w:rsid w:val="32A11E88"/>
    <w:rsid w:val="334D7189"/>
    <w:rsid w:val="33B43F5E"/>
    <w:rsid w:val="33BA709B"/>
    <w:rsid w:val="340353F4"/>
    <w:rsid w:val="345C595F"/>
    <w:rsid w:val="387709D1"/>
    <w:rsid w:val="39D51CAD"/>
    <w:rsid w:val="3C0E61D6"/>
    <w:rsid w:val="3C5F6A31"/>
    <w:rsid w:val="3E684DF2"/>
    <w:rsid w:val="3F45359C"/>
    <w:rsid w:val="40825A4A"/>
    <w:rsid w:val="40A9471F"/>
    <w:rsid w:val="41140732"/>
    <w:rsid w:val="41995432"/>
    <w:rsid w:val="425E5D9B"/>
    <w:rsid w:val="440F4D46"/>
    <w:rsid w:val="44CA0639"/>
    <w:rsid w:val="45CD16D9"/>
    <w:rsid w:val="463950A3"/>
    <w:rsid w:val="472A2740"/>
    <w:rsid w:val="492D1DBC"/>
    <w:rsid w:val="497918E8"/>
    <w:rsid w:val="4A49297A"/>
    <w:rsid w:val="4BCC518A"/>
    <w:rsid w:val="4D4E0B28"/>
    <w:rsid w:val="4E0A5DA9"/>
    <w:rsid w:val="4ED76539"/>
    <w:rsid w:val="4EDF237F"/>
    <w:rsid w:val="500B7261"/>
    <w:rsid w:val="50355FCF"/>
    <w:rsid w:val="50813947"/>
    <w:rsid w:val="51DC7E87"/>
    <w:rsid w:val="52373CC7"/>
    <w:rsid w:val="555C6C58"/>
    <w:rsid w:val="559A3FB2"/>
    <w:rsid w:val="55D94864"/>
    <w:rsid w:val="55F12998"/>
    <w:rsid w:val="563A4230"/>
    <w:rsid w:val="57201787"/>
    <w:rsid w:val="57241FEB"/>
    <w:rsid w:val="58337EAA"/>
    <w:rsid w:val="5AF45F17"/>
    <w:rsid w:val="5BEE09D6"/>
    <w:rsid w:val="5DC866D4"/>
    <w:rsid w:val="5E08087F"/>
    <w:rsid w:val="5E203186"/>
    <w:rsid w:val="5E5B480C"/>
    <w:rsid w:val="5ED25B44"/>
    <w:rsid w:val="5F5715BB"/>
    <w:rsid w:val="5F6A244E"/>
    <w:rsid w:val="60275934"/>
    <w:rsid w:val="62832BCA"/>
    <w:rsid w:val="62A36DC8"/>
    <w:rsid w:val="62D04B3C"/>
    <w:rsid w:val="62EE32A2"/>
    <w:rsid w:val="633811C8"/>
    <w:rsid w:val="637846F9"/>
    <w:rsid w:val="637C4FE4"/>
    <w:rsid w:val="65EC0A86"/>
    <w:rsid w:val="66BC6284"/>
    <w:rsid w:val="67112E9A"/>
    <w:rsid w:val="67654F94"/>
    <w:rsid w:val="68282249"/>
    <w:rsid w:val="68D6528D"/>
    <w:rsid w:val="69965EE0"/>
    <w:rsid w:val="69D02B99"/>
    <w:rsid w:val="69F55F1F"/>
    <w:rsid w:val="6A45689E"/>
    <w:rsid w:val="6B8040D7"/>
    <w:rsid w:val="6BF9506C"/>
    <w:rsid w:val="6D3F3B91"/>
    <w:rsid w:val="6D4B1FC8"/>
    <w:rsid w:val="6D7147B1"/>
    <w:rsid w:val="6DCA7C5B"/>
    <w:rsid w:val="6E091F66"/>
    <w:rsid w:val="6EF74724"/>
    <w:rsid w:val="6FA63143"/>
    <w:rsid w:val="73C95DAB"/>
    <w:rsid w:val="740022CC"/>
    <w:rsid w:val="74D379E1"/>
    <w:rsid w:val="76DA7097"/>
    <w:rsid w:val="78886D34"/>
    <w:rsid w:val="791C342D"/>
    <w:rsid w:val="79D42231"/>
    <w:rsid w:val="7A6B2BDD"/>
    <w:rsid w:val="7AD005B4"/>
    <w:rsid w:val="7CEF38D2"/>
    <w:rsid w:val="7D456DF1"/>
    <w:rsid w:val="7DD87E16"/>
    <w:rsid w:val="7EBE700C"/>
    <w:rsid w:val="7FEB1DA5"/>
    <w:rsid w:val="7FF64583"/>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kern w:val="2"/>
      <w:sz w:val="21"/>
      <w:szCs w:val="22"/>
      <w:lang w:val="en-US" w:eastAsia="zh-CN" w:bidi="ar-SA"/>
    </w:rPr>
  </w:style>
  <w:style w:type="paragraph" w:styleId="5">
    <w:name w:val="heading 2"/>
    <w:basedOn w:val="1"/>
    <w:next w:val="1"/>
    <w:autoRedefine/>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afterLines="0"/>
      <w:ind w:left="420" w:leftChars="200" w:firstLine="420" w:firstLineChars="200"/>
    </w:pPr>
    <w:rPr>
      <w:rFonts w:ascii="Calibri" w:hAnsi="Calibri"/>
      <w:sz w:val="20"/>
      <w:szCs w:val="24"/>
    </w:rPr>
  </w:style>
  <w:style w:type="paragraph" w:styleId="3">
    <w:name w:val="Body Text Indent"/>
    <w:basedOn w:val="1"/>
    <w:next w:val="4"/>
    <w:autoRedefine/>
    <w:qFormat/>
    <w:uiPriority w:val="0"/>
    <w:pPr>
      <w:ind w:firstLine="570"/>
    </w:pPr>
    <w:rPr>
      <w:kern w:val="0"/>
      <w:sz w:val="28"/>
      <w:szCs w:val="20"/>
    </w:rPr>
  </w:style>
  <w:style w:type="paragraph" w:styleId="4">
    <w:name w:val="envelope return"/>
    <w:basedOn w:val="1"/>
    <w:autoRedefine/>
    <w:qFormat/>
    <w:uiPriority w:val="0"/>
    <w:pPr>
      <w:snapToGrid w:val="0"/>
    </w:pPr>
    <w:rPr>
      <w:rFonts w:ascii="Arial" w:hAnsi="Arial"/>
      <w:szCs w:val="24"/>
    </w:rPr>
  </w:style>
  <w:style w:type="paragraph" w:styleId="6">
    <w:name w:val="Normal Indent"/>
    <w:basedOn w:val="1"/>
    <w:next w:val="1"/>
    <w:autoRedefine/>
    <w:qFormat/>
    <w:uiPriority w:val="0"/>
    <w:pPr>
      <w:ind w:firstLine="420" w:firstLineChars="200"/>
    </w:pPr>
  </w:style>
  <w:style w:type="paragraph" w:styleId="7">
    <w:name w:val="annotation text"/>
    <w:basedOn w:val="1"/>
    <w:link w:val="23"/>
    <w:autoRedefine/>
    <w:qFormat/>
    <w:uiPriority w:val="0"/>
    <w:pPr>
      <w:jc w:val="left"/>
    </w:pPr>
  </w:style>
  <w:style w:type="paragraph" w:styleId="8">
    <w:name w:val="Body Text"/>
    <w:basedOn w:val="1"/>
    <w:autoRedefine/>
    <w:qFormat/>
    <w:uiPriority w:val="0"/>
    <w:pPr>
      <w:spacing w:after="120"/>
    </w:pPr>
    <w:rPr>
      <w:rFonts w:ascii="Calibri" w:hAnsi="Calibri"/>
    </w:rPr>
  </w:style>
  <w:style w:type="paragraph" w:styleId="9">
    <w:name w:val="Plain Text"/>
    <w:basedOn w:val="1"/>
    <w:autoRedefine/>
    <w:qFormat/>
    <w:uiPriority w:val="0"/>
    <w:rPr>
      <w:rFonts w:hAnsi="Courier New"/>
      <w:szCs w:val="20"/>
    </w:rPr>
  </w:style>
  <w:style w:type="paragraph" w:styleId="10">
    <w:name w:val="Balloon Text"/>
    <w:basedOn w:val="1"/>
    <w:link w:val="25"/>
    <w:autoRedefine/>
    <w:qFormat/>
    <w:uiPriority w:val="0"/>
    <w:rPr>
      <w:sz w:val="18"/>
      <w:szCs w:val="18"/>
    </w:rPr>
  </w:style>
  <w:style w:type="paragraph" w:styleId="11">
    <w:name w:val="footer"/>
    <w:basedOn w:val="1"/>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autoRedefine/>
    <w:qFormat/>
    <w:uiPriority w:val="0"/>
    <w:rPr>
      <w:kern w:val="0"/>
      <w:sz w:val="20"/>
      <w:szCs w:val="24"/>
      <w:u w:val="single"/>
    </w:rPr>
  </w:style>
  <w:style w:type="paragraph" w:styleId="14">
    <w:name w:val="Normal (Web)"/>
    <w:basedOn w:val="1"/>
    <w:autoRedefine/>
    <w:qFormat/>
    <w:uiPriority w:val="0"/>
    <w:rPr>
      <w:sz w:val="24"/>
    </w:rPr>
  </w:style>
  <w:style w:type="paragraph" w:styleId="15">
    <w:name w:val="annotation subject"/>
    <w:basedOn w:val="7"/>
    <w:next w:val="7"/>
    <w:link w:val="24"/>
    <w:autoRedefine/>
    <w:qFormat/>
    <w:uiPriority w:val="0"/>
    <w:rPr>
      <w:b/>
      <w:bCs/>
    </w:rPr>
  </w:style>
  <w:style w:type="character" w:styleId="18">
    <w:name w:val="annotation reference"/>
    <w:basedOn w:val="17"/>
    <w:autoRedefine/>
    <w:qFormat/>
    <w:uiPriority w:val="0"/>
    <w:rPr>
      <w:sz w:val="21"/>
      <w:szCs w:val="21"/>
    </w:rPr>
  </w:style>
  <w:style w:type="paragraph" w:customStyle="1" w:styleId="1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0">
    <w:name w:val="发文落款"/>
    <w:basedOn w:val="19"/>
    <w:autoRedefine/>
    <w:qFormat/>
    <w:uiPriority w:val="0"/>
    <w:pPr>
      <w:ind w:left="4094" w:right="607" w:firstLine="0"/>
      <w:jc w:val="center"/>
    </w:pPr>
  </w:style>
  <w:style w:type="character" w:customStyle="1" w:styleId="21">
    <w:name w:val="font01"/>
    <w:autoRedefine/>
    <w:qFormat/>
    <w:uiPriority w:val="0"/>
    <w:rPr>
      <w:rFonts w:hint="eastAsia" w:ascii="仿宋" w:hAnsi="仿宋" w:eastAsia="仿宋" w:cs="仿宋"/>
      <w:color w:val="000000"/>
      <w:sz w:val="28"/>
      <w:szCs w:val="28"/>
      <w:u w:val="none"/>
    </w:rPr>
  </w:style>
  <w:style w:type="character" w:customStyle="1" w:styleId="22">
    <w:name w:val="font11"/>
    <w:autoRedefine/>
    <w:qFormat/>
    <w:uiPriority w:val="0"/>
    <w:rPr>
      <w:rFonts w:hint="eastAsia" w:ascii="仿宋" w:hAnsi="仿宋" w:eastAsia="仿宋" w:cs="仿宋"/>
      <w:b/>
      <w:color w:val="000000"/>
      <w:sz w:val="28"/>
      <w:szCs w:val="28"/>
      <w:u w:val="none"/>
    </w:rPr>
  </w:style>
  <w:style w:type="character" w:customStyle="1" w:styleId="23">
    <w:name w:val="批注文字 字符"/>
    <w:basedOn w:val="17"/>
    <w:link w:val="7"/>
    <w:autoRedefine/>
    <w:qFormat/>
    <w:uiPriority w:val="0"/>
    <w:rPr>
      <w:rFonts w:ascii="宋体" w:hAnsi="宋体"/>
      <w:kern w:val="2"/>
      <w:sz w:val="21"/>
      <w:szCs w:val="22"/>
    </w:rPr>
  </w:style>
  <w:style w:type="character" w:customStyle="1" w:styleId="24">
    <w:name w:val="批注主题 字符"/>
    <w:basedOn w:val="23"/>
    <w:link w:val="15"/>
    <w:autoRedefine/>
    <w:qFormat/>
    <w:uiPriority w:val="0"/>
    <w:rPr>
      <w:rFonts w:ascii="宋体" w:hAnsi="宋体"/>
      <w:b/>
      <w:bCs/>
      <w:kern w:val="2"/>
      <w:sz w:val="21"/>
      <w:szCs w:val="22"/>
    </w:rPr>
  </w:style>
  <w:style w:type="character" w:customStyle="1" w:styleId="25">
    <w:name w:val="批注框文本 字符"/>
    <w:basedOn w:val="17"/>
    <w:link w:val="10"/>
    <w:autoRedefine/>
    <w:qFormat/>
    <w:uiPriority w:val="0"/>
    <w:rPr>
      <w:rFonts w:ascii="宋体" w:hAnsi="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7492</Words>
  <Characters>7939</Characters>
  <Lines>55</Lines>
  <Paragraphs>15</Paragraphs>
  <TotalTime>7</TotalTime>
  <ScaleCrop>false</ScaleCrop>
  <LinksUpToDate>false</LinksUpToDate>
  <CharactersWithSpaces>8205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2021-07-16T06:09:00Z</dcterms:created>
  <dc:creator>GX</dc:creator>
  <cp:lastModifiedBy>mu</cp:lastModifiedBy>
  <dcterms:modified xsi:type="dcterms:W3CDTF">2024-04-30T06:28:07Z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C3A9887E0461455A9392900104F788CB_13</vt:lpwstr>
  </property>
</Properties>
</file>