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rStyle w:val="28"/>
          <w:b/>
          <w:bCs/>
          <w:color w:val="auto"/>
          <w:sz w:val="44"/>
          <w:szCs w:val="44"/>
          <w:highlight w:val="none"/>
        </w:rPr>
      </w:pPr>
    </w:p>
    <w:p>
      <w:pPr>
        <w:rPr>
          <w:color w:val="auto"/>
          <w:highlight w:val="none"/>
        </w:rPr>
      </w:pPr>
    </w:p>
    <w:p>
      <w:pPr>
        <w:spacing w:line="360" w:lineRule="auto"/>
        <w:jc w:val="center"/>
        <w:rPr>
          <w:rFonts w:hint="default"/>
          <w:b/>
          <w:bCs/>
          <w:color w:val="auto"/>
          <w:sz w:val="48"/>
          <w:szCs w:val="48"/>
          <w:highlight w:val="none"/>
          <w:u w:val="none"/>
          <w:lang w:val="en-US"/>
        </w:rPr>
      </w:pPr>
      <w:r>
        <w:rPr>
          <w:rFonts w:hint="eastAsia"/>
          <w:b/>
          <w:bCs/>
          <w:color w:val="auto"/>
          <w:sz w:val="48"/>
          <w:szCs w:val="48"/>
          <w:highlight w:val="none"/>
          <w:u w:val="none"/>
          <w:lang w:eastAsia="zh-CN"/>
        </w:rPr>
        <w:t>粤港澳大湾区（广州）科技金融中心D栋高区及AB塔办公区精装修施工</w:t>
      </w:r>
    </w:p>
    <w:p>
      <w:pPr>
        <w:spacing w:line="360" w:lineRule="auto"/>
        <w:jc w:val="center"/>
        <w:rPr>
          <w:rFonts w:eastAsia="楷体_GB2312"/>
          <w:b/>
          <w:bCs/>
          <w:color w:val="auto"/>
          <w:spacing w:val="26"/>
          <w:sz w:val="110"/>
          <w:szCs w:val="110"/>
          <w:highlight w:val="none"/>
        </w:rPr>
      </w:pPr>
    </w:p>
    <w:p>
      <w:pPr>
        <w:spacing w:line="360" w:lineRule="auto"/>
        <w:jc w:val="center"/>
        <w:rPr>
          <w:rFonts w:eastAsia="楷体_GB2312"/>
          <w:b/>
          <w:bCs/>
          <w:color w:val="auto"/>
          <w:spacing w:val="26"/>
          <w:sz w:val="110"/>
          <w:szCs w:val="110"/>
          <w:highlight w:val="none"/>
        </w:rPr>
      </w:pPr>
    </w:p>
    <w:p>
      <w:pPr>
        <w:spacing w:line="360" w:lineRule="auto"/>
        <w:jc w:val="center"/>
        <w:rPr>
          <w:rFonts w:hint="eastAsia" w:eastAsia="楷体_GB2312"/>
          <w:b/>
          <w:bCs/>
          <w:color w:val="auto"/>
          <w:spacing w:val="26"/>
          <w:sz w:val="110"/>
          <w:szCs w:val="110"/>
          <w:highlight w:val="none"/>
          <w:lang w:val="en-US" w:eastAsia="zh-CN"/>
        </w:rPr>
      </w:pPr>
      <w:r>
        <w:rPr>
          <w:rFonts w:hint="eastAsia" w:eastAsia="楷体_GB2312"/>
          <w:b/>
          <w:bCs/>
          <w:color w:val="auto"/>
          <w:spacing w:val="26"/>
          <w:sz w:val="110"/>
          <w:szCs w:val="110"/>
          <w:highlight w:val="none"/>
        </w:rPr>
        <w:t>招标</w:t>
      </w:r>
      <w:r>
        <w:rPr>
          <w:rFonts w:hint="eastAsia" w:eastAsia="楷体_GB2312"/>
          <w:b/>
          <w:bCs/>
          <w:color w:val="auto"/>
          <w:spacing w:val="26"/>
          <w:sz w:val="110"/>
          <w:szCs w:val="110"/>
          <w:highlight w:val="none"/>
          <w:lang w:val="en-US" w:eastAsia="zh-CN"/>
        </w:rPr>
        <w:t>文件</w:t>
      </w:r>
    </w:p>
    <w:p>
      <w:pPr>
        <w:spacing w:line="360" w:lineRule="auto"/>
        <w:jc w:val="center"/>
        <w:rPr>
          <w:color w:val="auto"/>
          <w:sz w:val="32"/>
          <w:highlight w:val="none"/>
        </w:rPr>
      </w:pPr>
    </w:p>
    <w:p>
      <w:pPr>
        <w:spacing w:line="360" w:lineRule="auto"/>
        <w:ind w:firstLine="2560" w:firstLineChars="800"/>
        <w:rPr>
          <w:color w:val="auto"/>
          <w:sz w:val="32"/>
          <w:highlight w:val="none"/>
        </w:rPr>
      </w:pPr>
    </w:p>
    <w:p>
      <w:pPr>
        <w:spacing w:line="360" w:lineRule="auto"/>
        <w:rPr>
          <w:color w:val="auto"/>
          <w:sz w:val="52"/>
          <w:highlight w:val="none"/>
        </w:rPr>
      </w:pPr>
    </w:p>
    <w:p>
      <w:pPr>
        <w:spacing w:line="360" w:lineRule="auto"/>
        <w:rPr>
          <w:color w:val="auto"/>
          <w:sz w:val="52"/>
          <w:highlight w:val="none"/>
        </w:rPr>
      </w:pPr>
    </w:p>
    <w:p>
      <w:pPr>
        <w:spacing w:line="360" w:lineRule="auto"/>
        <w:ind w:firstLine="900" w:firstLineChars="300"/>
        <w:rPr>
          <w:rFonts w:hint="eastAsia" w:eastAsia="宋体"/>
          <w:color w:val="auto"/>
          <w:sz w:val="30"/>
          <w:szCs w:val="30"/>
          <w:highlight w:val="none"/>
          <w:u w:val="single"/>
          <w:lang w:eastAsia="zh-CN"/>
        </w:rPr>
      </w:pPr>
      <w:r>
        <w:rPr>
          <w:rFonts w:hint="eastAsia"/>
          <w:color w:val="auto"/>
          <w:sz w:val="30"/>
          <w:szCs w:val="30"/>
          <w:highlight w:val="none"/>
        </w:rPr>
        <w:t>招</w:t>
      </w:r>
      <w:r>
        <w:rPr>
          <w:color w:val="auto"/>
          <w:sz w:val="30"/>
          <w:szCs w:val="30"/>
          <w:highlight w:val="none"/>
        </w:rPr>
        <w:t xml:space="preserve">  </w:t>
      </w:r>
      <w:r>
        <w:rPr>
          <w:rFonts w:hint="eastAsia"/>
          <w:color w:val="auto"/>
          <w:sz w:val="30"/>
          <w:szCs w:val="30"/>
          <w:highlight w:val="none"/>
        </w:rPr>
        <w:t>标</w:t>
      </w:r>
      <w:r>
        <w:rPr>
          <w:color w:val="auto"/>
          <w:sz w:val="30"/>
          <w:szCs w:val="30"/>
          <w:highlight w:val="none"/>
        </w:rPr>
        <w:t xml:space="preserve"> </w:t>
      </w:r>
      <w:r>
        <w:rPr>
          <w:rFonts w:hint="eastAsia"/>
          <w:color w:val="auto"/>
          <w:sz w:val="30"/>
          <w:szCs w:val="30"/>
          <w:highlight w:val="none"/>
        </w:rPr>
        <w:t>单</w:t>
      </w:r>
      <w:r>
        <w:rPr>
          <w:color w:val="auto"/>
          <w:sz w:val="30"/>
          <w:szCs w:val="30"/>
          <w:highlight w:val="none"/>
        </w:rPr>
        <w:t xml:space="preserve"> </w:t>
      </w:r>
      <w:r>
        <w:rPr>
          <w:rFonts w:hint="eastAsia"/>
          <w:color w:val="auto"/>
          <w:sz w:val="30"/>
          <w:szCs w:val="30"/>
          <w:highlight w:val="none"/>
        </w:rPr>
        <w:t>位：</w:t>
      </w:r>
      <w:r>
        <w:rPr>
          <w:rFonts w:hint="eastAsia"/>
          <w:color w:val="auto"/>
          <w:sz w:val="30"/>
          <w:szCs w:val="30"/>
          <w:highlight w:val="none"/>
          <w:u w:val="single"/>
          <w:lang w:eastAsia="zh-CN"/>
        </w:rPr>
        <w:t>广州尚龙置业有限公司</w:t>
      </w:r>
    </w:p>
    <w:p>
      <w:pPr>
        <w:spacing w:line="360" w:lineRule="auto"/>
        <w:ind w:firstLine="945"/>
        <w:rPr>
          <w:rFonts w:hint="default" w:eastAsia="宋体"/>
          <w:color w:val="auto"/>
          <w:sz w:val="30"/>
          <w:szCs w:val="30"/>
          <w:highlight w:val="none"/>
          <w:u w:val="single"/>
          <w:lang w:val="en-US" w:eastAsia="zh-CN"/>
        </w:rPr>
      </w:pPr>
      <w:r>
        <w:rPr>
          <w:rFonts w:hint="eastAsia"/>
          <w:color w:val="auto"/>
          <w:sz w:val="30"/>
          <w:szCs w:val="30"/>
          <w:highlight w:val="none"/>
        </w:rPr>
        <w:t>招标代理单位：</w:t>
      </w:r>
      <w:r>
        <w:rPr>
          <w:rFonts w:hint="eastAsia" w:cs="Times New Roman"/>
          <w:color w:val="auto"/>
          <w:sz w:val="30"/>
          <w:szCs w:val="30"/>
          <w:highlight w:val="none"/>
          <w:u w:val="single"/>
          <w:lang w:val="en-US" w:eastAsia="zh-CN"/>
        </w:rPr>
        <w:t>广州珠江监理咨询集团有限公司</w:t>
      </w:r>
    </w:p>
    <w:p>
      <w:pPr>
        <w:spacing w:line="360" w:lineRule="auto"/>
        <w:ind w:firstLine="945"/>
        <w:rPr>
          <w:color w:val="auto"/>
          <w:sz w:val="32"/>
          <w:highlight w:val="none"/>
          <w:u w:val="single"/>
        </w:rPr>
      </w:pPr>
      <w:r>
        <w:rPr>
          <w:rFonts w:hint="eastAsia"/>
          <w:color w:val="auto"/>
          <w:sz w:val="32"/>
          <w:highlight w:val="none"/>
        </w:rPr>
        <w:t>日</w:t>
      </w:r>
      <w:r>
        <w:rPr>
          <w:color w:val="auto"/>
          <w:sz w:val="32"/>
          <w:highlight w:val="none"/>
        </w:rPr>
        <w:t xml:space="preserve">       </w:t>
      </w:r>
      <w:r>
        <w:rPr>
          <w:rFonts w:hint="eastAsia"/>
          <w:color w:val="auto"/>
          <w:sz w:val="32"/>
          <w:highlight w:val="none"/>
        </w:rPr>
        <w:t>期：</w:t>
      </w:r>
      <w:r>
        <w:rPr>
          <w:rFonts w:hint="eastAsia"/>
          <w:color w:val="auto"/>
          <w:sz w:val="32"/>
          <w:highlight w:val="none"/>
          <w:u w:val="single"/>
        </w:rPr>
        <w:t>202</w:t>
      </w:r>
      <w:r>
        <w:rPr>
          <w:rFonts w:hint="eastAsia"/>
          <w:color w:val="auto"/>
          <w:sz w:val="32"/>
          <w:highlight w:val="none"/>
          <w:u w:val="single"/>
          <w:lang w:val="en-US" w:eastAsia="zh-CN"/>
        </w:rPr>
        <w:t>4</w:t>
      </w:r>
      <w:r>
        <w:rPr>
          <w:rFonts w:hint="eastAsia"/>
          <w:color w:val="auto"/>
          <w:sz w:val="32"/>
          <w:highlight w:val="none"/>
          <w:u w:val="single"/>
        </w:rPr>
        <w:t>年</w:t>
      </w:r>
      <w:r>
        <w:rPr>
          <w:rFonts w:hint="eastAsia"/>
          <w:color w:val="auto"/>
          <w:sz w:val="32"/>
          <w:highlight w:val="none"/>
          <w:u w:val="single"/>
          <w:lang w:val="en-US" w:eastAsia="zh-CN"/>
        </w:rPr>
        <w:t>4</w:t>
      </w:r>
      <w:r>
        <w:rPr>
          <w:rFonts w:hint="eastAsia"/>
          <w:color w:val="auto"/>
          <w:sz w:val="32"/>
          <w:highlight w:val="none"/>
          <w:u w:val="single"/>
        </w:rPr>
        <w:t>月</w:t>
      </w:r>
    </w:p>
    <w:p>
      <w:pPr>
        <w:jc w:val="center"/>
        <w:rPr>
          <w:rFonts w:cs="宋体"/>
          <w:b/>
          <w:caps/>
          <w:color w:val="auto"/>
          <w:kern w:val="0"/>
          <w:highlight w:val="none"/>
        </w:rPr>
      </w:pPr>
      <w:r>
        <w:rPr>
          <w:rStyle w:val="28"/>
          <w:rFonts w:hint="eastAsia"/>
          <w:b/>
          <w:bCs/>
          <w:color w:val="auto"/>
          <w:sz w:val="28"/>
          <w:szCs w:val="28"/>
          <w:highlight w:val="none"/>
        </w:rPr>
        <w:br w:type="page"/>
      </w:r>
      <w:r>
        <w:rPr>
          <w:rStyle w:val="28"/>
          <w:rFonts w:hint="eastAsia" w:cs="宋体"/>
          <w:b/>
          <w:bCs/>
          <w:color w:val="auto"/>
          <w:sz w:val="32"/>
          <w:szCs w:val="32"/>
          <w:highlight w:val="none"/>
        </w:rPr>
        <w:t>目录</w:t>
      </w:r>
    </w:p>
    <w:p>
      <w:pPr>
        <w:pStyle w:val="16"/>
        <w:tabs>
          <w:tab w:val="right" w:leader="dot" w:pos="7360"/>
          <w:tab w:val="clear" w:pos="9060"/>
        </w:tabs>
        <w:ind w:right="325" w:rightChars="155"/>
        <w:jc w:val="center"/>
        <w:rPr>
          <w:rFonts w:cs="宋体"/>
          <w:caps w:val="0"/>
          <w:color w:val="auto"/>
          <w:kern w:val="2"/>
          <w:sz w:val="21"/>
          <w:szCs w:val="24"/>
          <w:highlight w:val="none"/>
        </w:rPr>
      </w:pPr>
      <w:r>
        <w:rPr>
          <w:rFonts w:hint="eastAsia" w:cs="宋体"/>
          <w:color w:val="auto"/>
          <w:highlight w:val="none"/>
        </w:rPr>
        <w:fldChar w:fldCharType="begin"/>
      </w:r>
      <w:r>
        <w:rPr>
          <w:rFonts w:hint="eastAsia" w:cs="宋体"/>
          <w:color w:val="auto"/>
          <w:highlight w:val="none"/>
        </w:rPr>
        <w:instrText xml:space="preserve"> TOC \o "1-3" \h \z \u </w:instrText>
      </w:r>
      <w:r>
        <w:rPr>
          <w:rFonts w:hint="eastAsia" w:cs="宋体"/>
          <w:color w:val="auto"/>
          <w:highlight w:val="none"/>
        </w:rPr>
        <w:fldChar w:fldCharType="separate"/>
      </w:r>
      <w:r>
        <w:rPr>
          <w:color w:val="auto"/>
          <w:highlight w:val="none"/>
        </w:rPr>
        <w:fldChar w:fldCharType="begin"/>
      </w:r>
      <w:r>
        <w:rPr>
          <w:color w:val="auto"/>
          <w:highlight w:val="none"/>
        </w:rPr>
        <w:instrText xml:space="preserve"> HYPERLINK \l "_Toc18664057" </w:instrText>
      </w:r>
      <w:r>
        <w:rPr>
          <w:color w:val="auto"/>
          <w:highlight w:val="none"/>
        </w:rPr>
        <w:fldChar w:fldCharType="separate"/>
      </w:r>
      <w:r>
        <w:rPr>
          <w:rStyle w:val="28"/>
          <w:rFonts w:hint="eastAsia" w:cs="宋体"/>
          <w:color w:val="auto"/>
          <w:highlight w:val="none"/>
        </w:rPr>
        <w:t>第一章  投标须知</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_Toc18664057 \h </w:instrText>
      </w:r>
      <w:r>
        <w:rPr>
          <w:rFonts w:hint="eastAsia" w:cs="宋体"/>
          <w:color w:val="auto"/>
          <w:highlight w:val="none"/>
        </w:rPr>
        <w:fldChar w:fldCharType="separate"/>
      </w:r>
      <w:r>
        <w:rPr>
          <w:rFonts w:hint="eastAsia" w:cs="宋体"/>
          <w:color w:val="auto"/>
          <w:highlight w:val="none"/>
        </w:rPr>
        <w:t>3</w:t>
      </w:r>
      <w:r>
        <w:rPr>
          <w:rFonts w:hint="eastAsia" w:cs="宋体"/>
          <w:color w:val="auto"/>
          <w:highlight w:val="none"/>
        </w:rPr>
        <w:fldChar w:fldCharType="end"/>
      </w:r>
      <w:r>
        <w:rPr>
          <w:rFonts w:hint="eastAsia" w:cs="宋体"/>
          <w:color w:val="auto"/>
          <w:highlight w:val="none"/>
        </w:rPr>
        <w:fldChar w:fldCharType="end"/>
      </w:r>
    </w:p>
    <w:p>
      <w:pPr>
        <w:pStyle w:val="17"/>
        <w:tabs>
          <w:tab w:val="right" w:leader="dot" w:pos="7360"/>
          <w:tab w:val="clear" w:pos="9060"/>
        </w:tabs>
        <w:ind w:right="325" w:rightChars="155"/>
        <w:jc w:val="center"/>
        <w:rPr>
          <w:rFonts w:ascii="宋体" w:hAnsi="宋体" w:cs="宋体"/>
          <w:color w:val="auto"/>
          <w:sz w:val="21"/>
          <w:highlight w:val="none"/>
        </w:rPr>
      </w:pPr>
      <w:r>
        <w:rPr>
          <w:color w:val="auto"/>
          <w:highlight w:val="none"/>
        </w:rPr>
        <w:fldChar w:fldCharType="begin"/>
      </w:r>
      <w:r>
        <w:rPr>
          <w:color w:val="auto"/>
          <w:highlight w:val="none"/>
        </w:rPr>
        <w:instrText xml:space="preserve"> HYPERLINK \l "_Toc18664058" </w:instrText>
      </w:r>
      <w:r>
        <w:rPr>
          <w:color w:val="auto"/>
          <w:highlight w:val="none"/>
        </w:rPr>
        <w:fldChar w:fldCharType="separate"/>
      </w:r>
      <w:r>
        <w:rPr>
          <w:rStyle w:val="28"/>
          <w:rFonts w:hint="eastAsia" w:ascii="宋体" w:hAnsi="宋体" w:cs="宋体"/>
          <w:color w:val="auto"/>
          <w:highlight w:val="none"/>
        </w:rPr>
        <w:t>一、投标须知前附表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_Toc18664058 \h </w:instrText>
      </w:r>
      <w:r>
        <w:rPr>
          <w:rFonts w:hint="eastAsia" w:ascii="宋体" w:hAnsi="宋体" w:cs="宋体"/>
          <w:color w:val="auto"/>
          <w:highlight w:val="none"/>
        </w:rPr>
        <w:fldChar w:fldCharType="separate"/>
      </w:r>
      <w:r>
        <w:rPr>
          <w:rFonts w:hint="eastAsia" w:ascii="宋体" w:hAnsi="宋体" w:cs="宋体"/>
          <w:color w:val="auto"/>
          <w:highlight w:val="none"/>
        </w:rPr>
        <w:t>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7"/>
        <w:tabs>
          <w:tab w:val="right" w:leader="dot" w:pos="7360"/>
          <w:tab w:val="clear" w:pos="9060"/>
        </w:tabs>
        <w:ind w:right="325" w:rightChars="155"/>
        <w:jc w:val="center"/>
        <w:rPr>
          <w:rFonts w:ascii="宋体" w:hAnsi="宋体" w:cs="宋体"/>
          <w:color w:val="auto"/>
          <w:sz w:val="21"/>
          <w:highlight w:val="none"/>
        </w:rPr>
      </w:pPr>
      <w:r>
        <w:rPr>
          <w:color w:val="auto"/>
          <w:highlight w:val="none"/>
        </w:rPr>
        <w:fldChar w:fldCharType="begin"/>
      </w:r>
      <w:r>
        <w:rPr>
          <w:color w:val="auto"/>
          <w:highlight w:val="none"/>
        </w:rPr>
        <w:instrText xml:space="preserve"> HYPERLINK \l "_Toc18664059" </w:instrText>
      </w:r>
      <w:r>
        <w:rPr>
          <w:color w:val="auto"/>
          <w:highlight w:val="none"/>
        </w:rPr>
        <w:fldChar w:fldCharType="separate"/>
      </w:r>
      <w:r>
        <w:rPr>
          <w:rStyle w:val="28"/>
          <w:rFonts w:hint="eastAsia" w:ascii="宋体" w:hAnsi="宋体" w:cs="宋体"/>
          <w:color w:val="auto"/>
          <w:highlight w:val="none"/>
        </w:rPr>
        <w:t>二、投标须知修改表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_Toc18664059 \h </w:instrText>
      </w:r>
      <w:r>
        <w:rPr>
          <w:rFonts w:hint="eastAsia" w:ascii="宋体" w:hAnsi="宋体" w:cs="宋体"/>
          <w:color w:val="auto"/>
          <w:highlight w:val="none"/>
        </w:rPr>
        <w:fldChar w:fldCharType="separate"/>
      </w:r>
      <w:r>
        <w:rPr>
          <w:rFonts w:hint="eastAsia" w:ascii="宋体" w:hAnsi="宋体" w:cs="宋体"/>
          <w:color w:val="auto"/>
          <w:highlight w:val="none"/>
        </w:rPr>
        <w:t>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7"/>
        <w:tabs>
          <w:tab w:val="right" w:leader="dot" w:pos="7360"/>
          <w:tab w:val="clear" w:pos="9060"/>
        </w:tabs>
        <w:ind w:right="325" w:rightChars="155"/>
        <w:jc w:val="center"/>
        <w:rPr>
          <w:rFonts w:ascii="宋体" w:hAnsi="宋体" w:cs="宋体"/>
          <w:color w:val="auto"/>
          <w:sz w:val="21"/>
          <w:highlight w:val="none"/>
        </w:rPr>
      </w:pPr>
      <w:r>
        <w:rPr>
          <w:color w:val="auto"/>
          <w:highlight w:val="none"/>
        </w:rPr>
        <w:fldChar w:fldCharType="begin"/>
      </w:r>
      <w:r>
        <w:rPr>
          <w:color w:val="auto"/>
          <w:highlight w:val="none"/>
        </w:rPr>
        <w:instrText xml:space="preserve"> HYPERLINK \l "_Toc18664060" </w:instrText>
      </w:r>
      <w:r>
        <w:rPr>
          <w:color w:val="auto"/>
          <w:highlight w:val="none"/>
        </w:rPr>
        <w:fldChar w:fldCharType="separate"/>
      </w:r>
      <w:r>
        <w:rPr>
          <w:rStyle w:val="28"/>
          <w:rFonts w:hint="eastAsia" w:ascii="宋体" w:hAnsi="宋体" w:cs="宋体"/>
          <w:color w:val="auto"/>
          <w:highlight w:val="none"/>
        </w:rPr>
        <w:t>三、投标须知通用条款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_Toc18664060 \h </w:instrText>
      </w:r>
      <w:r>
        <w:rPr>
          <w:rFonts w:hint="eastAsia" w:ascii="宋体" w:hAnsi="宋体" w:cs="宋体"/>
          <w:color w:val="auto"/>
          <w:highlight w:val="none"/>
        </w:rPr>
        <w:fldChar w:fldCharType="separate"/>
      </w:r>
      <w:r>
        <w:rPr>
          <w:rFonts w:hint="eastAsia" w:ascii="宋体" w:hAnsi="宋体" w:cs="宋体"/>
          <w:color w:val="auto"/>
          <w:highlight w:val="none"/>
        </w:rPr>
        <w:t>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6"/>
        <w:tabs>
          <w:tab w:val="right" w:leader="dot" w:pos="7360"/>
          <w:tab w:val="clear" w:pos="9060"/>
        </w:tabs>
        <w:ind w:right="325" w:rightChars="155"/>
        <w:jc w:val="center"/>
        <w:rPr>
          <w:rFonts w:cs="宋体"/>
          <w:caps w:val="0"/>
          <w:color w:val="auto"/>
          <w:kern w:val="2"/>
          <w:sz w:val="21"/>
          <w:szCs w:val="24"/>
          <w:highlight w:val="none"/>
        </w:rPr>
      </w:pPr>
      <w:r>
        <w:rPr>
          <w:color w:val="auto"/>
          <w:highlight w:val="none"/>
        </w:rPr>
        <w:fldChar w:fldCharType="begin"/>
      </w:r>
      <w:r>
        <w:rPr>
          <w:color w:val="auto"/>
          <w:highlight w:val="none"/>
        </w:rPr>
        <w:instrText xml:space="preserve"> HYPERLINK \l "_Toc18664066" </w:instrText>
      </w:r>
      <w:r>
        <w:rPr>
          <w:color w:val="auto"/>
          <w:highlight w:val="none"/>
        </w:rPr>
        <w:fldChar w:fldCharType="separate"/>
      </w:r>
      <w:r>
        <w:rPr>
          <w:rStyle w:val="28"/>
          <w:rFonts w:hint="eastAsia" w:cs="宋体"/>
          <w:color w:val="auto"/>
          <w:highlight w:val="none"/>
        </w:rPr>
        <w:t>第二章  开标、评标及定标办法</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_Toc18664066 \h </w:instrText>
      </w:r>
      <w:r>
        <w:rPr>
          <w:rFonts w:hint="eastAsia" w:cs="宋体"/>
          <w:color w:val="auto"/>
          <w:highlight w:val="none"/>
        </w:rPr>
        <w:fldChar w:fldCharType="separate"/>
      </w:r>
      <w:r>
        <w:rPr>
          <w:rFonts w:hint="eastAsia" w:cs="宋体"/>
          <w:color w:val="auto"/>
          <w:highlight w:val="none"/>
        </w:rPr>
        <w:t>34</w:t>
      </w:r>
      <w:r>
        <w:rPr>
          <w:rFonts w:hint="eastAsia" w:cs="宋体"/>
          <w:color w:val="auto"/>
          <w:highlight w:val="none"/>
        </w:rPr>
        <w:fldChar w:fldCharType="end"/>
      </w:r>
      <w:r>
        <w:rPr>
          <w:rFonts w:hint="eastAsia" w:cs="宋体"/>
          <w:color w:val="auto"/>
          <w:highlight w:val="none"/>
        </w:rPr>
        <w:fldChar w:fldCharType="end"/>
      </w:r>
    </w:p>
    <w:p>
      <w:pPr>
        <w:pStyle w:val="17"/>
        <w:tabs>
          <w:tab w:val="right" w:leader="dot" w:pos="7360"/>
          <w:tab w:val="clear" w:pos="9060"/>
        </w:tabs>
        <w:ind w:right="325" w:rightChars="155"/>
        <w:jc w:val="center"/>
        <w:rPr>
          <w:rFonts w:ascii="宋体" w:hAnsi="宋体" w:cs="宋体"/>
          <w:color w:val="auto"/>
          <w:sz w:val="21"/>
          <w:highlight w:val="none"/>
        </w:rPr>
      </w:pPr>
      <w:r>
        <w:rPr>
          <w:color w:val="auto"/>
          <w:highlight w:val="none"/>
        </w:rPr>
        <w:fldChar w:fldCharType="begin"/>
      </w:r>
      <w:r>
        <w:rPr>
          <w:color w:val="auto"/>
          <w:highlight w:val="none"/>
        </w:rPr>
        <w:instrText xml:space="preserve"> HYPERLINK \l "_Toc18664067" </w:instrText>
      </w:r>
      <w:r>
        <w:rPr>
          <w:color w:val="auto"/>
          <w:highlight w:val="none"/>
        </w:rPr>
        <w:fldChar w:fldCharType="separate"/>
      </w:r>
      <w:r>
        <w:rPr>
          <w:rStyle w:val="28"/>
          <w:rFonts w:hint="eastAsia" w:ascii="宋体" w:hAnsi="宋体" w:cs="宋体"/>
          <w:color w:val="auto"/>
          <w:highlight w:val="none"/>
        </w:rPr>
        <w:t>一、开标、评标及定标办法修改表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_Toc18664067 \h </w:instrText>
      </w:r>
      <w:r>
        <w:rPr>
          <w:rFonts w:hint="eastAsia" w:ascii="宋体" w:hAnsi="宋体" w:cs="宋体"/>
          <w:color w:val="auto"/>
          <w:highlight w:val="none"/>
        </w:rPr>
        <w:fldChar w:fldCharType="separate"/>
      </w:r>
      <w:r>
        <w:rPr>
          <w:rFonts w:hint="eastAsia" w:ascii="宋体" w:hAnsi="宋体" w:cs="宋体"/>
          <w:color w:val="auto"/>
          <w:highlight w:val="none"/>
        </w:rPr>
        <w:t>34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7"/>
        <w:tabs>
          <w:tab w:val="right" w:leader="dot" w:pos="7360"/>
          <w:tab w:val="clear" w:pos="9060"/>
        </w:tabs>
        <w:ind w:right="325" w:rightChars="155"/>
        <w:jc w:val="center"/>
        <w:rPr>
          <w:rFonts w:ascii="宋体" w:hAnsi="宋体" w:cs="宋体"/>
          <w:color w:val="auto"/>
          <w:sz w:val="21"/>
          <w:highlight w:val="none"/>
        </w:rPr>
      </w:pPr>
      <w:r>
        <w:rPr>
          <w:color w:val="auto"/>
          <w:highlight w:val="none"/>
        </w:rPr>
        <w:fldChar w:fldCharType="begin"/>
      </w:r>
      <w:r>
        <w:rPr>
          <w:color w:val="auto"/>
          <w:highlight w:val="none"/>
        </w:rPr>
        <w:instrText xml:space="preserve"> HYPERLINK \l "_Toc18664068" </w:instrText>
      </w:r>
      <w:r>
        <w:rPr>
          <w:color w:val="auto"/>
          <w:highlight w:val="none"/>
        </w:rPr>
        <w:fldChar w:fldCharType="separate"/>
      </w:r>
      <w:r>
        <w:rPr>
          <w:rStyle w:val="28"/>
          <w:rFonts w:hint="eastAsia" w:ascii="宋体" w:hAnsi="宋体" w:cs="宋体"/>
          <w:color w:val="auto"/>
          <w:highlight w:val="none"/>
        </w:rPr>
        <w:t>二、开标、评标及定标办法通用条款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_Toc18664068 \h </w:instrText>
      </w:r>
      <w:r>
        <w:rPr>
          <w:rFonts w:hint="eastAsia" w:ascii="宋体" w:hAnsi="宋体" w:cs="宋体"/>
          <w:color w:val="auto"/>
          <w:highlight w:val="none"/>
        </w:rPr>
        <w:fldChar w:fldCharType="separate"/>
      </w:r>
      <w:r>
        <w:rPr>
          <w:rFonts w:hint="eastAsia" w:ascii="宋体" w:hAnsi="宋体" w:cs="宋体"/>
          <w:color w:val="auto"/>
          <w:highlight w:val="none"/>
        </w:rPr>
        <w:t>39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0"/>
        <w:tabs>
          <w:tab w:val="right" w:leader="dot" w:pos="7360"/>
        </w:tabs>
        <w:ind w:left="840" w:right="325" w:rightChars="155"/>
        <w:jc w:val="center"/>
        <w:rPr>
          <w:rFonts w:ascii="宋体" w:hAnsi="宋体" w:cs="宋体"/>
          <w:color w:val="auto"/>
          <w:sz w:val="21"/>
          <w:szCs w:val="24"/>
          <w:highlight w:val="none"/>
        </w:rPr>
      </w:pPr>
      <w:r>
        <w:rPr>
          <w:color w:val="auto"/>
          <w:highlight w:val="none"/>
        </w:rPr>
        <w:fldChar w:fldCharType="begin"/>
      </w:r>
      <w:r>
        <w:rPr>
          <w:color w:val="auto"/>
          <w:highlight w:val="none"/>
        </w:rPr>
        <w:instrText xml:space="preserve"> HYPERLINK \l "_Toc18664069" </w:instrText>
      </w:r>
      <w:r>
        <w:rPr>
          <w:color w:val="auto"/>
          <w:highlight w:val="none"/>
        </w:rPr>
        <w:fldChar w:fldCharType="separate"/>
      </w:r>
      <w:r>
        <w:rPr>
          <w:rStyle w:val="28"/>
          <w:rFonts w:hint="eastAsia" w:ascii="宋体" w:hAnsi="宋体" w:cs="宋体"/>
          <w:color w:val="auto"/>
          <w:highlight w:val="none"/>
        </w:rPr>
        <w:t>（一）总则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_Toc18664069 \h </w:instrText>
      </w:r>
      <w:r>
        <w:rPr>
          <w:rFonts w:hint="eastAsia" w:ascii="宋体" w:hAnsi="宋体" w:cs="宋体"/>
          <w:color w:val="auto"/>
          <w:highlight w:val="none"/>
        </w:rPr>
        <w:fldChar w:fldCharType="separate"/>
      </w:r>
      <w:r>
        <w:rPr>
          <w:rFonts w:hint="eastAsia" w:ascii="宋体" w:hAnsi="宋体" w:cs="宋体"/>
          <w:color w:val="auto"/>
          <w:highlight w:val="none"/>
        </w:rPr>
        <w:t>39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0"/>
        <w:tabs>
          <w:tab w:val="right" w:leader="dot" w:pos="7360"/>
        </w:tabs>
        <w:ind w:left="840" w:right="325" w:rightChars="155"/>
        <w:jc w:val="center"/>
        <w:rPr>
          <w:rFonts w:ascii="宋体" w:hAnsi="宋体" w:cs="宋体"/>
          <w:color w:val="auto"/>
          <w:sz w:val="21"/>
          <w:szCs w:val="24"/>
          <w:highlight w:val="none"/>
        </w:rPr>
      </w:pPr>
      <w:r>
        <w:rPr>
          <w:color w:val="auto"/>
          <w:highlight w:val="none"/>
        </w:rPr>
        <w:fldChar w:fldCharType="begin"/>
      </w:r>
      <w:r>
        <w:rPr>
          <w:color w:val="auto"/>
          <w:highlight w:val="none"/>
        </w:rPr>
        <w:instrText xml:space="preserve"> HYPERLINK \l "_Toc18664070" </w:instrText>
      </w:r>
      <w:r>
        <w:rPr>
          <w:color w:val="auto"/>
          <w:highlight w:val="none"/>
        </w:rPr>
        <w:fldChar w:fldCharType="separate"/>
      </w:r>
      <w:r>
        <w:rPr>
          <w:rStyle w:val="28"/>
          <w:rFonts w:hint="eastAsia" w:ascii="宋体" w:hAnsi="宋体" w:cs="宋体"/>
          <w:color w:val="auto"/>
          <w:highlight w:val="none"/>
        </w:rPr>
        <w:t>（二）开标评标办法程序和细则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_Toc18664070 \h </w:instrText>
      </w:r>
      <w:r>
        <w:rPr>
          <w:rFonts w:hint="eastAsia" w:ascii="宋体" w:hAnsi="宋体" w:cs="宋体"/>
          <w:color w:val="auto"/>
          <w:highlight w:val="none"/>
        </w:rPr>
        <w:fldChar w:fldCharType="separate"/>
      </w:r>
      <w:r>
        <w:rPr>
          <w:rFonts w:hint="eastAsia" w:ascii="宋体" w:hAnsi="宋体" w:cs="宋体"/>
          <w:color w:val="auto"/>
          <w:highlight w:val="none"/>
        </w:rPr>
        <w:t>41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6"/>
        <w:tabs>
          <w:tab w:val="right" w:leader="dot" w:pos="7360"/>
          <w:tab w:val="clear" w:pos="9060"/>
        </w:tabs>
        <w:ind w:right="325" w:rightChars="155"/>
        <w:jc w:val="center"/>
        <w:rPr>
          <w:rFonts w:cs="宋体"/>
          <w:caps w:val="0"/>
          <w:color w:val="auto"/>
          <w:kern w:val="2"/>
          <w:sz w:val="21"/>
          <w:szCs w:val="24"/>
          <w:highlight w:val="none"/>
        </w:rPr>
      </w:pPr>
      <w:r>
        <w:rPr>
          <w:color w:val="auto"/>
          <w:highlight w:val="none"/>
        </w:rPr>
        <w:fldChar w:fldCharType="begin"/>
      </w:r>
      <w:r>
        <w:rPr>
          <w:color w:val="auto"/>
          <w:highlight w:val="none"/>
        </w:rPr>
        <w:instrText xml:space="preserve"> HYPERLINK \l "_Toc18664072" </w:instrText>
      </w:r>
      <w:r>
        <w:rPr>
          <w:color w:val="auto"/>
          <w:highlight w:val="none"/>
        </w:rPr>
        <w:fldChar w:fldCharType="separate"/>
      </w:r>
      <w:r>
        <w:rPr>
          <w:rStyle w:val="28"/>
          <w:rFonts w:hint="eastAsia" w:cs="宋体"/>
          <w:color w:val="auto"/>
          <w:highlight w:val="none"/>
        </w:rPr>
        <w:t>第三章  合同条款</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_Toc18664072 \h </w:instrText>
      </w:r>
      <w:r>
        <w:rPr>
          <w:rFonts w:hint="eastAsia" w:cs="宋体"/>
          <w:color w:val="auto"/>
          <w:highlight w:val="none"/>
        </w:rPr>
        <w:fldChar w:fldCharType="separate"/>
      </w:r>
      <w:r>
        <w:rPr>
          <w:rFonts w:hint="eastAsia" w:cs="宋体"/>
          <w:color w:val="auto"/>
          <w:highlight w:val="none"/>
        </w:rPr>
        <w:t>63</w:t>
      </w:r>
      <w:r>
        <w:rPr>
          <w:rFonts w:hint="eastAsia" w:cs="宋体"/>
          <w:color w:val="auto"/>
          <w:highlight w:val="none"/>
        </w:rPr>
        <w:fldChar w:fldCharType="end"/>
      </w:r>
      <w:r>
        <w:rPr>
          <w:rFonts w:hint="eastAsia" w:cs="宋体"/>
          <w:color w:val="auto"/>
          <w:highlight w:val="none"/>
        </w:rPr>
        <w:fldChar w:fldCharType="end"/>
      </w:r>
    </w:p>
    <w:p>
      <w:pPr>
        <w:pStyle w:val="16"/>
        <w:tabs>
          <w:tab w:val="right" w:leader="dot" w:pos="7360"/>
          <w:tab w:val="clear" w:pos="9060"/>
        </w:tabs>
        <w:ind w:right="325" w:rightChars="155"/>
        <w:jc w:val="center"/>
        <w:rPr>
          <w:rFonts w:cs="宋体"/>
          <w:caps w:val="0"/>
          <w:color w:val="auto"/>
          <w:kern w:val="2"/>
          <w:sz w:val="21"/>
          <w:szCs w:val="24"/>
          <w:highlight w:val="none"/>
        </w:rPr>
      </w:pPr>
      <w:r>
        <w:rPr>
          <w:color w:val="auto"/>
          <w:highlight w:val="none"/>
        </w:rPr>
        <w:fldChar w:fldCharType="begin"/>
      </w:r>
      <w:r>
        <w:rPr>
          <w:color w:val="auto"/>
          <w:highlight w:val="none"/>
        </w:rPr>
        <w:instrText xml:space="preserve"> HYPERLINK \l "_Toc18664073" </w:instrText>
      </w:r>
      <w:r>
        <w:rPr>
          <w:color w:val="auto"/>
          <w:highlight w:val="none"/>
        </w:rPr>
        <w:fldChar w:fldCharType="separate"/>
      </w:r>
      <w:r>
        <w:rPr>
          <w:rStyle w:val="28"/>
          <w:rFonts w:hint="eastAsia" w:cs="宋体"/>
          <w:color w:val="auto"/>
          <w:highlight w:val="none"/>
        </w:rPr>
        <w:t>第四章  投标文件格式</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_Toc18664073 \h </w:instrText>
      </w:r>
      <w:r>
        <w:rPr>
          <w:rFonts w:hint="eastAsia" w:cs="宋体"/>
          <w:color w:val="auto"/>
          <w:highlight w:val="none"/>
        </w:rPr>
        <w:fldChar w:fldCharType="separate"/>
      </w:r>
      <w:r>
        <w:rPr>
          <w:rFonts w:hint="eastAsia" w:cs="宋体"/>
          <w:color w:val="auto"/>
          <w:highlight w:val="none"/>
        </w:rPr>
        <w:t>64</w:t>
      </w:r>
      <w:r>
        <w:rPr>
          <w:rFonts w:hint="eastAsia" w:cs="宋体"/>
          <w:color w:val="auto"/>
          <w:highlight w:val="none"/>
        </w:rPr>
        <w:fldChar w:fldCharType="end"/>
      </w:r>
      <w:r>
        <w:rPr>
          <w:rFonts w:hint="eastAsia" w:cs="宋体"/>
          <w:color w:val="auto"/>
          <w:highlight w:val="none"/>
        </w:rPr>
        <w:fldChar w:fldCharType="end"/>
      </w:r>
    </w:p>
    <w:p>
      <w:pPr>
        <w:pStyle w:val="16"/>
        <w:tabs>
          <w:tab w:val="right" w:leader="dot" w:pos="7360"/>
          <w:tab w:val="clear" w:pos="9060"/>
        </w:tabs>
        <w:ind w:right="325" w:rightChars="155"/>
        <w:jc w:val="center"/>
        <w:rPr>
          <w:rFonts w:cs="宋体"/>
          <w:caps w:val="0"/>
          <w:color w:val="auto"/>
          <w:kern w:val="2"/>
          <w:sz w:val="21"/>
          <w:szCs w:val="24"/>
          <w:highlight w:val="none"/>
        </w:rPr>
      </w:pPr>
      <w:r>
        <w:rPr>
          <w:color w:val="auto"/>
          <w:highlight w:val="none"/>
        </w:rPr>
        <w:fldChar w:fldCharType="begin"/>
      </w:r>
      <w:r>
        <w:rPr>
          <w:color w:val="auto"/>
          <w:highlight w:val="none"/>
        </w:rPr>
        <w:instrText xml:space="preserve"> HYPERLINK \l "_Toc18664074" </w:instrText>
      </w:r>
      <w:r>
        <w:rPr>
          <w:color w:val="auto"/>
          <w:highlight w:val="none"/>
        </w:rPr>
        <w:fldChar w:fldCharType="separate"/>
      </w:r>
      <w:r>
        <w:rPr>
          <w:rStyle w:val="28"/>
          <w:rFonts w:hint="eastAsia" w:cs="宋体"/>
          <w:color w:val="auto"/>
          <w:kern w:val="44"/>
          <w:highlight w:val="none"/>
        </w:rPr>
        <w:t>第五章  技术条件（工程建设标准）</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_Toc18664074 \h </w:instrText>
      </w:r>
      <w:r>
        <w:rPr>
          <w:rFonts w:hint="eastAsia" w:cs="宋体"/>
          <w:color w:val="auto"/>
          <w:highlight w:val="none"/>
        </w:rPr>
        <w:fldChar w:fldCharType="separate"/>
      </w:r>
      <w:r>
        <w:rPr>
          <w:rFonts w:hint="eastAsia" w:cs="宋体"/>
          <w:color w:val="auto"/>
          <w:highlight w:val="none"/>
        </w:rPr>
        <w:t>65</w:t>
      </w:r>
      <w:r>
        <w:rPr>
          <w:rFonts w:hint="eastAsia" w:cs="宋体"/>
          <w:color w:val="auto"/>
          <w:highlight w:val="none"/>
        </w:rPr>
        <w:fldChar w:fldCharType="end"/>
      </w:r>
      <w:r>
        <w:rPr>
          <w:rFonts w:hint="eastAsia" w:cs="宋体"/>
          <w:color w:val="auto"/>
          <w:highlight w:val="none"/>
        </w:rPr>
        <w:fldChar w:fldCharType="end"/>
      </w:r>
    </w:p>
    <w:p>
      <w:pPr>
        <w:pStyle w:val="16"/>
        <w:tabs>
          <w:tab w:val="right" w:leader="dot" w:pos="7360"/>
          <w:tab w:val="clear" w:pos="9060"/>
        </w:tabs>
        <w:ind w:right="325" w:rightChars="155"/>
        <w:jc w:val="center"/>
        <w:rPr>
          <w:rFonts w:cs="宋体"/>
          <w:caps w:val="0"/>
          <w:color w:val="auto"/>
          <w:kern w:val="2"/>
          <w:sz w:val="21"/>
          <w:szCs w:val="24"/>
          <w:highlight w:val="none"/>
        </w:rPr>
      </w:pPr>
      <w:r>
        <w:rPr>
          <w:color w:val="auto"/>
          <w:highlight w:val="none"/>
        </w:rPr>
        <w:fldChar w:fldCharType="begin"/>
      </w:r>
      <w:r>
        <w:rPr>
          <w:color w:val="auto"/>
          <w:highlight w:val="none"/>
        </w:rPr>
        <w:instrText xml:space="preserve"> HYPERLINK \l "_Toc18664075" </w:instrText>
      </w:r>
      <w:r>
        <w:rPr>
          <w:color w:val="auto"/>
          <w:highlight w:val="none"/>
        </w:rPr>
        <w:fldChar w:fldCharType="separate"/>
      </w:r>
      <w:r>
        <w:rPr>
          <w:rStyle w:val="28"/>
          <w:rFonts w:hint="eastAsia" w:cs="宋体"/>
          <w:color w:val="auto"/>
          <w:highlight w:val="none"/>
        </w:rPr>
        <w:t>第六章  图纸及勘察资料</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_Toc18664075 \h </w:instrText>
      </w:r>
      <w:r>
        <w:rPr>
          <w:rFonts w:hint="eastAsia" w:cs="宋体"/>
          <w:color w:val="auto"/>
          <w:highlight w:val="none"/>
        </w:rPr>
        <w:fldChar w:fldCharType="separate"/>
      </w:r>
      <w:r>
        <w:rPr>
          <w:rFonts w:hint="eastAsia" w:cs="宋体"/>
          <w:color w:val="auto"/>
          <w:highlight w:val="none"/>
        </w:rPr>
        <w:t>85</w:t>
      </w:r>
      <w:r>
        <w:rPr>
          <w:rFonts w:hint="eastAsia" w:cs="宋体"/>
          <w:color w:val="auto"/>
          <w:highlight w:val="none"/>
        </w:rPr>
        <w:fldChar w:fldCharType="end"/>
      </w:r>
      <w:r>
        <w:rPr>
          <w:rFonts w:hint="eastAsia" w:cs="宋体"/>
          <w:color w:val="auto"/>
          <w:highlight w:val="none"/>
        </w:rPr>
        <w:fldChar w:fldCharType="end"/>
      </w:r>
    </w:p>
    <w:p>
      <w:pPr>
        <w:pStyle w:val="16"/>
        <w:tabs>
          <w:tab w:val="right" w:leader="dot" w:pos="7360"/>
          <w:tab w:val="clear" w:pos="9060"/>
        </w:tabs>
        <w:ind w:right="325" w:rightChars="155"/>
        <w:jc w:val="center"/>
        <w:rPr>
          <w:rFonts w:cs="宋体"/>
          <w:caps w:val="0"/>
          <w:color w:val="auto"/>
          <w:kern w:val="2"/>
          <w:sz w:val="21"/>
          <w:szCs w:val="24"/>
          <w:highlight w:val="none"/>
        </w:rPr>
      </w:pPr>
      <w:r>
        <w:rPr>
          <w:color w:val="auto"/>
          <w:highlight w:val="none"/>
        </w:rPr>
        <w:fldChar w:fldCharType="begin"/>
      </w:r>
      <w:r>
        <w:rPr>
          <w:color w:val="auto"/>
          <w:highlight w:val="none"/>
        </w:rPr>
        <w:instrText xml:space="preserve"> HYPERLINK \l "_Toc18664076" </w:instrText>
      </w:r>
      <w:r>
        <w:rPr>
          <w:color w:val="auto"/>
          <w:highlight w:val="none"/>
        </w:rPr>
        <w:fldChar w:fldCharType="separate"/>
      </w:r>
      <w:r>
        <w:rPr>
          <w:rStyle w:val="28"/>
          <w:rFonts w:hint="eastAsia" w:cs="宋体"/>
          <w:color w:val="auto"/>
          <w:highlight w:val="none"/>
        </w:rPr>
        <w:t>第七章  工程量清单</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_Toc18664076 \h </w:instrText>
      </w:r>
      <w:r>
        <w:rPr>
          <w:rFonts w:hint="eastAsia" w:cs="宋体"/>
          <w:color w:val="auto"/>
          <w:highlight w:val="none"/>
        </w:rPr>
        <w:fldChar w:fldCharType="separate"/>
      </w:r>
      <w:r>
        <w:rPr>
          <w:rFonts w:hint="eastAsia" w:cs="宋体"/>
          <w:color w:val="auto"/>
          <w:highlight w:val="none"/>
        </w:rPr>
        <w:t>86</w:t>
      </w:r>
      <w:r>
        <w:rPr>
          <w:rFonts w:hint="eastAsia" w:cs="宋体"/>
          <w:color w:val="auto"/>
          <w:highlight w:val="none"/>
        </w:rPr>
        <w:fldChar w:fldCharType="end"/>
      </w:r>
      <w:r>
        <w:rPr>
          <w:rFonts w:hint="eastAsia" w:cs="宋体"/>
          <w:color w:val="auto"/>
          <w:highlight w:val="none"/>
        </w:rPr>
        <w:fldChar w:fldCharType="end"/>
      </w:r>
    </w:p>
    <w:p>
      <w:pPr>
        <w:pStyle w:val="16"/>
        <w:tabs>
          <w:tab w:val="right" w:leader="dot" w:pos="7360"/>
          <w:tab w:val="clear" w:pos="9060"/>
        </w:tabs>
        <w:ind w:right="325" w:rightChars="155"/>
        <w:jc w:val="center"/>
        <w:rPr>
          <w:rFonts w:cs="宋体"/>
          <w:caps w:val="0"/>
          <w:color w:val="auto"/>
          <w:kern w:val="2"/>
          <w:sz w:val="21"/>
          <w:szCs w:val="24"/>
          <w:highlight w:val="none"/>
        </w:rPr>
      </w:pPr>
      <w:r>
        <w:rPr>
          <w:color w:val="auto"/>
          <w:highlight w:val="none"/>
        </w:rPr>
        <w:fldChar w:fldCharType="begin"/>
      </w:r>
      <w:r>
        <w:rPr>
          <w:color w:val="auto"/>
          <w:highlight w:val="none"/>
        </w:rPr>
        <w:instrText xml:space="preserve"> HYPERLINK \l "_Toc18664077" </w:instrText>
      </w:r>
      <w:r>
        <w:rPr>
          <w:color w:val="auto"/>
          <w:highlight w:val="none"/>
        </w:rPr>
        <w:fldChar w:fldCharType="separate"/>
      </w:r>
      <w:r>
        <w:rPr>
          <w:rStyle w:val="28"/>
          <w:rFonts w:hint="eastAsia" w:cs="宋体"/>
          <w:color w:val="auto"/>
          <w:highlight w:val="none"/>
        </w:rPr>
        <w:t>第八章  最高投标限价</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_Toc18664077 \h </w:instrText>
      </w:r>
      <w:r>
        <w:rPr>
          <w:rFonts w:hint="eastAsia" w:cs="宋体"/>
          <w:color w:val="auto"/>
          <w:highlight w:val="none"/>
        </w:rPr>
        <w:fldChar w:fldCharType="separate"/>
      </w:r>
      <w:r>
        <w:rPr>
          <w:rFonts w:hint="eastAsia" w:cs="宋体"/>
          <w:color w:val="auto"/>
          <w:highlight w:val="none"/>
        </w:rPr>
        <w:t>87</w:t>
      </w:r>
      <w:r>
        <w:rPr>
          <w:rFonts w:hint="eastAsia" w:cs="宋体"/>
          <w:color w:val="auto"/>
          <w:highlight w:val="none"/>
        </w:rPr>
        <w:fldChar w:fldCharType="end"/>
      </w:r>
      <w:r>
        <w:rPr>
          <w:rFonts w:hint="eastAsia" w:cs="宋体"/>
          <w:color w:val="auto"/>
          <w:highlight w:val="none"/>
        </w:rPr>
        <w:fldChar w:fldCharType="end"/>
      </w:r>
    </w:p>
    <w:p>
      <w:pPr>
        <w:pStyle w:val="2"/>
        <w:ind w:right="325" w:rightChars="155"/>
        <w:jc w:val="center"/>
        <w:rPr>
          <w:rFonts w:hint="default"/>
          <w:color w:val="auto"/>
          <w:highlight w:val="none"/>
        </w:rPr>
      </w:pPr>
      <w:r>
        <w:rPr>
          <w:rFonts w:cs="宋体"/>
          <w:color w:val="auto"/>
          <w:highlight w:val="none"/>
        </w:rPr>
        <w:fldChar w:fldCharType="end"/>
      </w:r>
    </w:p>
    <w:p>
      <w:pPr>
        <w:pStyle w:val="2"/>
        <w:jc w:val="center"/>
        <w:rPr>
          <w:rFonts w:hint="default"/>
          <w:color w:val="auto"/>
          <w:highlight w:val="none"/>
        </w:rPr>
      </w:pPr>
      <w:r>
        <w:rPr>
          <w:color w:val="auto"/>
          <w:highlight w:val="none"/>
        </w:rPr>
        <w:br w:type="page"/>
      </w:r>
      <w:bookmarkStart w:id="0" w:name="_Toc18664057"/>
      <w:r>
        <w:rPr>
          <w:color w:val="auto"/>
          <w:highlight w:val="none"/>
        </w:rPr>
        <w:t>第一章  投标须知</w:t>
      </w:r>
      <w:bookmarkEnd w:id="0"/>
    </w:p>
    <w:p>
      <w:pPr>
        <w:pStyle w:val="3"/>
        <w:rPr>
          <w:color w:val="auto"/>
          <w:highlight w:val="none"/>
        </w:rPr>
      </w:pPr>
      <w:bookmarkStart w:id="1" w:name="_Toc18664058"/>
      <w:r>
        <w:rPr>
          <w:rFonts w:hint="eastAsia"/>
          <w:color w:val="auto"/>
          <w:highlight w:val="none"/>
        </w:rPr>
        <w:t>一、投标须知前附表</w:t>
      </w:r>
      <w:bookmarkEnd w:id="1"/>
    </w:p>
    <w:p>
      <w:pPr>
        <w:pStyle w:val="5"/>
        <w:spacing w:line="360" w:lineRule="auto"/>
        <w:ind w:firstLine="422"/>
        <w:rPr>
          <w:b/>
          <w:color w:val="auto"/>
          <w:szCs w:val="21"/>
          <w:highlight w:val="none"/>
        </w:rPr>
      </w:pPr>
      <w:r>
        <w:rPr>
          <w:rFonts w:hint="eastAsia"/>
          <w:b/>
          <w:color w:val="auto"/>
          <w:szCs w:val="21"/>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25"/>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893"/>
        <w:gridCol w:w="1648"/>
        <w:gridCol w:w="598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blHeader/>
        </w:trPr>
        <w:tc>
          <w:tcPr>
            <w:tcW w:w="639" w:type="dxa"/>
            <w:tcBorders>
              <w:top w:val="double" w:color="auto" w:sz="4" w:space="0"/>
              <w:left w:val="doub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项目</w:t>
            </w:r>
          </w:p>
        </w:tc>
        <w:tc>
          <w:tcPr>
            <w:tcW w:w="893" w:type="dxa"/>
            <w:tcBorders>
              <w:top w:val="doub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条款号</w:t>
            </w:r>
          </w:p>
        </w:tc>
        <w:tc>
          <w:tcPr>
            <w:tcW w:w="1648" w:type="dxa"/>
            <w:tcBorders>
              <w:top w:val="double" w:color="auto" w:sz="4" w:space="0"/>
              <w:left w:val="single" w:color="auto" w:sz="4" w:space="0"/>
              <w:bottom w:val="single" w:color="auto" w:sz="4" w:space="0"/>
              <w:right w:val="single" w:color="auto" w:sz="4" w:space="0"/>
            </w:tcBorders>
            <w:vAlign w:val="center"/>
          </w:tcPr>
          <w:p>
            <w:pPr>
              <w:ind w:firstLine="458"/>
              <w:rPr>
                <w:color w:val="auto"/>
                <w:szCs w:val="21"/>
                <w:highlight w:val="none"/>
              </w:rPr>
            </w:pPr>
            <w:r>
              <w:rPr>
                <w:rFonts w:hint="eastAsia"/>
                <w:color w:val="auto"/>
                <w:szCs w:val="21"/>
                <w:highlight w:val="none"/>
              </w:rPr>
              <w:t>内容</w:t>
            </w:r>
          </w:p>
        </w:tc>
        <w:tc>
          <w:tcPr>
            <w:tcW w:w="5987" w:type="dxa"/>
            <w:tcBorders>
              <w:top w:val="double" w:color="auto" w:sz="4" w:space="0"/>
              <w:left w:val="single" w:color="auto" w:sz="4" w:space="0"/>
              <w:bottom w:val="single" w:color="auto" w:sz="4" w:space="0"/>
              <w:right w:val="double" w:color="auto" w:sz="4" w:space="0"/>
            </w:tcBorders>
            <w:vAlign w:val="center"/>
          </w:tcPr>
          <w:p>
            <w:pPr>
              <w:pStyle w:val="12"/>
              <w:ind w:firstLine="458"/>
              <w:jc w:val="center"/>
              <w:rPr>
                <w:rFonts w:ascii="宋体" w:hAnsi="宋体"/>
                <w:color w:val="auto"/>
                <w:kern w:val="2"/>
                <w:sz w:val="21"/>
                <w:szCs w:val="21"/>
                <w:highlight w:val="none"/>
              </w:rPr>
            </w:pPr>
            <w:r>
              <w:rPr>
                <w:rFonts w:hint="eastAsia" w:ascii="宋体" w:hAnsi="宋体"/>
                <w:color w:val="auto"/>
                <w:kern w:val="2"/>
                <w:sz w:val="21"/>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639" w:type="dxa"/>
            <w:tcBorders>
              <w:top w:val="single" w:color="auto" w:sz="4" w:space="0"/>
              <w:left w:val="doub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t>1</w:t>
            </w:r>
          </w:p>
        </w:tc>
        <w:tc>
          <w:tcPr>
            <w:tcW w:w="89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t>1</w:t>
            </w:r>
          </w:p>
        </w:tc>
        <w:tc>
          <w:tcPr>
            <w:tcW w:w="1648"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定义</w:t>
            </w:r>
          </w:p>
        </w:tc>
        <w:tc>
          <w:tcPr>
            <w:tcW w:w="5987" w:type="dxa"/>
            <w:tcBorders>
              <w:top w:val="single" w:color="auto" w:sz="4" w:space="0"/>
              <w:left w:val="single" w:color="auto" w:sz="4" w:space="0"/>
              <w:bottom w:val="single" w:color="auto" w:sz="4" w:space="0"/>
              <w:right w:val="double" w:color="auto" w:sz="4" w:space="0"/>
            </w:tcBorders>
            <w:vAlign w:val="center"/>
          </w:tcPr>
          <w:p>
            <w:pPr>
              <w:rPr>
                <w:rFonts w:hint="eastAsia"/>
                <w:color w:val="auto"/>
                <w:szCs w:val="21"/>
                <w:highlight w:val="none"/>
                <w:u w:val="single"/>
                <w:lang w:eastAsia="zh-CN"/>
              </w:rPr>
            </w:pPr>
            <w:r>
              <w:rPr>
                <w:rFonts w:hint="eastAsia"/>
                <w:color w:val="auto"/>
                <w:szCs w:val="21"/>
                <w:highlight w:val="none"/>
              </w:rPr>
              <w:t>招标人（即发包人）：</w:t>
            </w:r>
            <w:r>
              <w:rPr>
                <w:rFonts w:hint="eastAsia"/>
                <w:color w:val="auto"/>
                <w:szCs w:val="21"/>
                <w:highlight w:val="none"/>
                <w:u w:val="single"/>
              </w:rPr>
              <w:t>广</w:t>
            </w:r>
            <w:r>
              <w:rPr>
                <w:rFonts w:hint="eastAsia"/>
                <w:color w:val="auto"/>
                <w:szCs w:val="21"/>
                <w:highlight w:val="none"/>
                <w:u w:val="single"/>
                <w:lang w:eastAsia="zh-CN"/>
              </w:rPr>
              <w:t>州尚龙置业有限公司</w:t>
            </w:r>
          </w:p>
          <w:p>
            <w:pPr>
              <w:rPr>
                <w:color w:val="auto"/>
                <w:szCs w:val="21"/>
                <w:highlight w:val="none"/>
              </w:rPr>
            </w:pPr>
            <w:r>
              <w:rPr>
                <w:rFonts w:hint="eastAsia"/>
                <w:color w:val="auto"/>
                <w:szCs w:val="21"/>
                <w:highlight w:val="none"/>
              </w:rPr>
              <w:t>招标代理：</w:t>
            </w:r>
            <w:r>
              <w:rPr>
                <w:rFonts w:hint="eastAsia"/>
                <w:color w:val="auto"/>
                <w:szCs w:val="21"/>
                <w:highlight w:val="none"/>
                <w:u w:val="single"/>
                <w:lang w:val="en-US" w:eastAsia="zh-CN"/>
              </w:rPr>
              <w:t>广州珠江监理咨询集团有限公司</w:t>
            </w:r>
          </w:p>
          <w:p>
            <w:pPr>
              <w:rPr>
                <w:rFonts w:hint="default"/>
                <w:color w:val="auto"/>
                <w:szCs w:val="21"/>
                <w:highlight w:val="none"/>
                <w:u w:val="single"/>
                <w:lang w:val="en-US" w:eastAsia="zh-CN"/>
              </w:rPr>
            </w:pPr>
            <w:r>
              <w:rPr>
                <w:rFonts w:hint="eastAsia"/>
                <w:color w:val="auto"/>
                <w:szCs w:val="21"/>
                <w:highlight w:val="none"/>
              </w:rPr>
              <w:t>设计单位：</w:t>
            </w:r>
            <w:r>
              <w:rPr>
                <w:rFonts w:hint="eastAsia"/>
                <w:color w:val="auto"/>
                <w:szCs w:val="21"/>
                <w:highlight w:val="none"/>
                <w:u w:val="single"/>
                <w:lang w:val="en-US" w:eastAsia="zh-CN"/>
              </w:rPr>
              <w:t>华南理工大学建筑设计研究院有限公司</w:t>
            </w:r>
          </w:p>
          <w:p>
            <w:pPr>
              <w:rPr>
                <w:color w:val="auto"/>
                <w:szCs w:val="21"/>
                <w:highlight w:val="none"/>
              </w:rPr>
            </w:pPr>
            <w:r>
              <w:rPr>
                <w:rFonts w:hint="eastAsia"/>
                <w:color w:val="auto"/>
                <w:szCs w:val="21"/>
                <w:highlight w:val="none"/>
              </w:rPr>
              <w:t>监理单位：</w:t>
            </w:r>
            <w:r>
              <w:rPr>
                <w:rFonts w:hint="eastAsia"/>
                <w:color w:val="auto"/>
                <w:szCs w:val="21"/>
                <w:highlight w:val="none"/>
                <w:u w:val="single"/>
                <w:lang w:val="en-US" w:eastAsia="zh-CN"/>
              </w:rPr>
              <w:t>广州珠江监理咨询集团有限公司</w:t>
            </w:r>
          </w:p>
          <w:p>
            <w:pPr>
              <w:rPr>
                <w:rFonts w:hint="eastAsia" w:eastAsia="宋体"/>
                <w:color w:val="auto"/>
                <w:szCs w:val="21"/>
                <w:highlight w:val="none"/>
                <w:lang w:eastAsia="zh-CN"/>
              </w:rPr>
            </w:pPr>
            <w:r>
              <w:rPr>
                <w:rFonts w:hint="eastAsia"/>
                <w:color w:val="auto"/>
                <w:szCs w:val="21"/>
                <w:highlight w:val="none"/>
              </w:rPr>
              <w:t>检测机构：</w:t>
            </w:r>
            <w:r>
              <w:rPr>
                <w:rFonts w:hint="eastAsia"/>
                <w:color w:val="auto"/>
                <w:szCs w:val="21"/>
                <w:highlight w:val="none"/>
                <w:u w:val="singl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639" w:type="dxa"/>
            <w:tcBorders>
              <w:top w:val="single" w:color="auto" w:sz="4" w:space="0"/>
              <w:left w:val="doub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t>2</w:t>
            </w:r>
          </w:p>
        </w:tc>
        <w:tc>
          <w:tcPr>
            <w:tcW w:w="89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t>2.2</w:t>
            </w:r>
          </w:p>
        </w:tc>
        <w:tc>
          <w:tcPr>
            <w:tcW w:w="1648"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工程名称</w:t>
            </w:r>
          </w:p>
        </w:tc>
        <w:tc>
          <w:tcPr>
            <w:tcW w:w="5987" w:type="dxa"/>
            <w:tcBorders>
              <w:top w:val="single" w:color="auto" w:sz="4" w:space="0"/>
              <w:left w:val="single" w:color="auto" w:sz="4" w:space="0"/>
              <w:bottom w:val="single" w:color="auto" w:sz="4" w:space="0"/>
              <w:right w:val="double" w:color="auto" w:sz="4" w:space="0"/>
            </w:tcBorders>
            <w:vAlign w:val="center"/>
          </w:tcPr>
          <w:p>
            <w:pPr>
              <w:rPr>
                <w:color w:val="auto"/>
                <w:szCs w:val="21"/>
                <w:highlight w:val="none"/>
                <w:u w:val="single"/>
              </w:rPr>
            </w:pPr>
            <w:r>
              <w:rPr>
                <w:rFonts w:hint="eastAsia"/>
                <w:color w:val="auto"/>
                <w:szCs w:val="21"/>
                <w:highlight w:val="none"/>
                <w:u w:val="single"/>
                <w:lang w:eastAsia="zh-CN"/>
              </w:rPr>
              <w:t>粤港澳大湾区（广州）科技金融中心D栋高区及AB塔办公区精装修施工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639" w:type="dxa"/>
            <w:tcBorders>
              <w:top w:val="single" w:color="auto" w:sz="4" w:space="0"/>
              <w:left w:val="doub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t>3</w:t>
            </w:r>
          </w:p>
        </w:tc>
        <w:tc>
          <w:tcPr>
            <w:tcW w:w="89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t>2.2</w:t>
            </w:r>
          </w:p>
        </w:tc>
        <w:tc>
          <w:tcPr>
            <w:tcW w:w="1648"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建设地点</w:t>
            </w:r>
          </w:p>
        </w:tc>
        <w:tc>
          <w:tcPr>
            <w:tcW w:w="5987" w:type="dxa"/>
            <w:tcBorders>
              <w:top w:val="single" w:color="auto" w:sz="4" w:space="0"/>
              <w:left w:val="single" w:color="auto" w:sz="4" w:space="0"/>
              <w:bottom w:val="single" w:color="auto" w:sz="4" w:space="0"/>
              <w:right w:val="double" w:color="auto" w:sz="4" w:space="0"/>
            </w:tcBorders>
            <w:vAlign w:val="center"/>
          </w:tcPr>
          <w:p>
            <w:pPr>
              <w:rPr>
                <w:color w:val="auto"/>
                <w:szCs w:val="21"/>
                <w:highlight w:val="none"/>
                <w:u w:val="single"/>
              </w:rPr>
            </w:pPr>
            <w:r>
              <w:rPr>
                <w:rFonts w:hint="eastAsia"/>
                <w:color w:val="auto"/>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639" w:type="dxa"/>
            <w:tcBorders>
              <w:top w:val="single" w:color="auto" w:sz="4" w:space="0"/>
              <w:left w:val="doub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t>4</w:t>
            </w:r>
          </w:p>
        </w:tc>
        <w:tc>
          <w:tcPr>
            <w:tcW w:w="89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t>2.2</w:t>
            </w:r>
          </w:p>
        </w:tc>
        <w:tc>
          <w:tcPr>
            <w:tcW w:w="1648"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建设规模</w:t>
            </w:r>
          </w:p>
        </w:tc>
        <w:tc>
          <w:tcPr>
            <w:tcW w:w="5987" w:type="dxa"/>
            <w:tcBorders>
              <w:top w:val="single" w:color="auto" w:sz="4" w:space="0"/>
              <w:left w:val="single" w:color="auto" w:sz="4" w:space="0"/>
              <w:bottom w:val="single" w:color="auto" w:sz="4" w:space="0"/>
              <w:right w:val="double" w:color="auto" w:sz="4" w:space="0"/>
            </w:tcBorders>
            <w:vAlign w:val="center"/>
          </w:tcPr>
          <w:p>
            <w:pPr>
              <w:rPr>
                <w:color w:val="auto"/>
                <w:szCs w:val="21"/>
                <w:highlight w:val="none"/>
                <w:u w:val="single"/>
              </w:rPr>
            </w:pPr>
            <w:r>
              <w:rPr>
                <w:rFonts w:hint="eastAsia"/>
                <w:color w:val="auto"/>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639" w:type="dxa"/>
            <w:tcBorders>
              <w:top w:val="single" w:color="auto" w:sz="4" w:space="0"/>
              <w:left w:val="doub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t>5</w:t>
            </w:r>
          </w:p>
        </w:tc>
        <w:tc>
          <w:tcPr>
            <w:tcW w:w="89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t>2.2</w:t>
            </w:r>
          </w:p>
        </w:tc>
        <w:tc>
          <w:tcPr>
            <w:tcW w:w="1648"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承包方式</w:t>
            </w:r>
          </w:p>
        </w:tc>
        <w:tc>
          <w:tcPr>
            <w:tcW w:w="5987" w:type="dxa"/>
            <w:tcBorders>
              <w:top w:val="single" w:color="auto" w:sz="4" w:space="0"/>
              <w:left w:val="single" w:color="auto" w:sz="4" w:space="0"/>
              <w:bottom w:val="single" w:color="auto" w:sz="4" w:space="0"/>
              <w:right w:val="double" w:color="auto" w:sz="4" w:space="0"/>
            </w:tcBorders>
            <w:vAlign w:val="center"/>
          </w:tcPr>
          <w:p>
            <w:pPr>
              <w:rPr>
                <w:color w:val="auto"/>
                <w:szCs w:val="21"/>
                <w:highlight w:val="none"/>
              </w:rPr>
            </w:pPr>
            <w:r>
              <w:rPr>
                <w:rFonts w:hint="eastAsia" w:cs="宋体"/>
                <w:color w:val="auto"/>
                <w:szCs w:val="21"/>
                <w:highlight w:val="none"/>
                <w:u w:val="single"/>
              </w:rPr>
              <w:t>承包人根据招标文件、合同文件、有关资料及说明等对本工程实施施工完成：包工、包料、包质量、包安全生产、包文明施工、包工期、包承包范围内工程验收通过、包移交、包结算和资料整理归档、包承包人应当购买的保险、包竣工图编制（须满足规划等各专项验收要求）、包本工程承包范围内的承包管理和现场整体组织、包专业协调及配合、协助报批报建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639" w:type="dxa"/>
            <w:tcBorders>
              <w:top w:val="single" w:color="auto" w:sz="4" w:space="0"/>
              <w:left w:val="doub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t>6</w:t>
            </w:r>
          </w:p>
        </w:tc>
        <w:tc>
          <w:tcPr>
            <w:tcW w:w="89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t>2.2</w:t>
            </w:r>
          </w:p>
        </w:tc>
        <w:tc>
          <w:tcPr>
            <w:tcW w:w="1648"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质量标准</w:t>
            </w:r>
          </w:p>
        </w:tc>
        <w:tc>
          <w:tcPr>
            <w:tcW w:w="5987" w:type="dxa"/>
            <w:tcBorders>
              <w:top w:val="single" w:color="auto" w:sz="4" w:space="0"/>
              <w:left w:val="single" w:color="auto" w:sz="4" w:space="0"/>
              <w:bottom w:val="single" w:color="auto" w:sz="4" w:space="0"/>
              <w:right w:val="double" w:color="auto" w:sz="4" w:space="0"/>
            </w:tcBorders>
            <w:vAlign w:val="center"/>
          </w:tcPr>
          <w:p>
            <w:pPr>
              <w:rPr>
                <w:rFonts w:hint="eastAsia" w:cs="宋体"/>
                <w:color w:val="auto"/>
                <w:highlight w:val="none"/>
                <w:u w:val="single"/>
              </w:rPr>
            </w:pPr>
            <w:r>
              <w:rPr>
                <w:rFonts w:hint="eastAsia" w:cs="宋体"/>
                <w:color w:val="auto"/>
                <w:highlight w:val="none"/>
                <w:u w:val="single"/>
              </w:rPr>
              <w:t>（1）分部工程验收合格率100%，项目所涉及的政府专项验收全部通过，本工程一次竣工验收合格；</w:t>
            </w:r>
          </w:p>
          <w:p>
            <w:pPr>
              <w:rPr>
                <w:rFonts w:hint="eastAsia" w:cs="宋体"/>
                <w:color w:val="auto"/>
                <w:highlight w:val="none"/>
                <w:u w:val="single"/>
              </w:rPr>
            </w:pPr>
            <w:r>
              <w:rPr>
                <w:rFonts w:hint="eastAsia" w:cs="宋体"/>
                <w:color w:val="auto"/>
                <w:highlight w:val="none"/>
                <w:u w:val="single"/>
              </w:rPr>
              <w:t>（2）专业工程质量标准必须合格并全力配合总承包单位的竣工验收工作；</w:t>
            </w:r>
          </w:p>
          <w:p>
            <w:pPr>
              <w:rPr>
                <w:rFonts w:hint="default" w:eastAsia="宋体" w:cs="宋体"/>
                <w:color w:val="auto"/>
                <w:highlight w:val="none"/>
                <w:u w:val="single"/>
                <w:lang w:val="en-US" w:eastAsia="zh-CN"/>
              </w:rPr>
            </w:pPr>
            <w:r>
              <w:rPr>
                <w:rFonts w:hint="eastAsia" w:cs="宋体"/>
                <w:color w:val="auto"/>
                <w:highlight w:val="none"/>
                <w:u w:val="single"/>
                <w:lang w:eastAsia="zh-CN"/>
              </w:rPr>
              <w:t>（</w:t>
            </w:r>
            <w:r>
              <w:rPr>
                <w:rFonts w:hint="eastAsia" w:cs="宋体"/>
                <w:color w:val="auto"/>
                <w:highlight w:val="none"/>
                <w:u w:val="single"/>
                <w:lang w:val="en-US" w:eastAsia="zh-CN"/>
              </w:rPr>
              <w:t>3）须无条件配合项目总承包施工管理单位的评优工作并按照《绿色建筑评价标准》GB/T50378-2014确保本项目通过绿色建筑二星标准。</w:t>
            </w:r>
          </w:p>
          <w:p>
            <w:pPr>
              <w:rPr>
                <w:color w:val="auto"/>
                <w:szCs w:val="21"/>
                <w:highlight w:val="none"/>
              </w:rPr>
            </w:pPr>
            <w:r>
              <w:rPr>
                <w:rFonts w:hint="eastAsia" w:cs="宋体"/>
                <w:color w:val="auto"/>
                <w:highlight w:val="none"/>
                <w:u w:val="single"/>
              </w:rPr>
              <w:t>注：本工程正式签署合同时，质量标准按中标投标文件承诺质量标准。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639" w:type="dxa"/>
            <w:tcBorders>
              <w:top w:val="single" w:color="auto" w:sz="4" w:space="0"/>
              <w:left w:val="doub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t>7</w:t>
            </w:r>
          </w:p>
        </w:tc>
        <w:tc>
          <w:tcPr>
            <w:tcW w:w="89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t>2.2</w:t>
            </w:r>
          </w:p>
        </w:tc>
        <w:tc>
          <w:tcPr>
            <w:tcW w:w="1648"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招标范围</w:t>
            </w:r>
          </w:p>
        </w:tc>
        <w:tc>
          <w:tcPr>
            <w:tcW w:w="5987" w:type="dxa"/>
            <w:tcBorders>
              <w:top w:val="single" w:color="auto" w:sz="4" w:space="0"/>
              <w:left w:val="single" w:color="auto" w:sz="4" w:space="0"/>
              <w:bottom w:val="single" w:color="auto" w:sz="4" w:space="0"/>
              <w:right w:val="double" w:color="auto" w:sz="4" w:space="0"/>
            </w:tcBorders>
            <w:vAlign w:val="center"/>
          </w:tcPr>
          <w:p>
            <w:pPr>
              <w:rPr>
                <w:color w:val="auto"/>
                <w:szCs w:val="21"/>
                <w:highlight w:val="none"/>
                <w:u w:val="single"/>
              </w:rPr>
            </w:pPr>
            <w:r>
              <w:rPr>
                <w:rFonts w:hint="eastAsia"/>
                <w:color w:val="auto"/>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639" w:type="dxa"/>
            <w:tcBorders>
              <w:top w:val="single" w:color="auto" w:sz="4" w:space="0"/>
              <w:left w:val="doub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t>8</w:t>
            </w:r>
          </w:p>
        </w:tc>
        <w:tc>
          <w:tcPr>
            <w:tcW w:w="89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t>2.2</w:t>
            </w:r>
          </w:p>
        </w:tc>
        <w:tc>
          <w:tcPr>
            <w:tcW w:w="1648"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工期要求</w:t>
            </w:r>
          </w:p>
        </w:tc>
        <w:tc>
          <w:tcPr>
            <w:tcW w:w="5987" w:type="dxa"/>
            <w:tcBorders>
              <w:top w:val="single" w:color="auto" w:sz="4" w:space="0"/>
              <w:left w:val="single" w:color="auto" w:sz="4" w:space="0"/>
              <w:bottom w:val="single" w:color="auto" w:sz="4" w:space="0"/>
              <w:right w:val="double" w:color="auto" w:sz="4" w:space="0"/>
            </w:tcBorders>
            <w:vAlign w:val="center"/>
          </w:tcPr>
          <w:p>
            <w:pPr>
              <w:rPr>
                <w:rFonts w:hint="eastAsia" w:cs="宋体"/>
                <w:color w:val="auto"/>
                <w:szCs w:val="21"/>
                <w:highlight w:val="none"/>
                <w:u w:val="single"/>
              </w:rPr>
            </w:pPr>
            <w:r>
              <w:rPr>
                <w:rFonts w:hint="eastAsia" w:cs="宋体"/>
                <w:color w:val="auto"/>
                <w:szCs w:val="21"/>
                <w:highlight w:val="none"/>
                <w:u w:val="single"/>
              </w:rPr>
              <w:t>总工期</w:t>
            </w:r>
            <w:r>
              <w:rPr>
                <w:rFonts w:hint="eastAsia" w:cs="宋体"/>
                <w:color w:val="auto"/>
                <w:szCs w:val="21"/>
                <w:highlight w:val="none"/>
                <w:u w:val="single"/>
                <w:lang w:eastAsia="zh-CN"/>
              </w:rPr>
              <w:t>：</w:t>
            </w:r>
            <w:r>
              <w:rPr>
                <w:rFonts w:hint="eastAsia" w:cs="宋体"/>
                <w:color w:val="auto"/>
                <w:szCs w:val="21"/>
                <w:highlight w:val="none"/>
                <w:u w:val="single"/>
                <w:lang w:val="en-US" w:eastAsia="zh-CN"/>
              </w:rPr>
              <w:t>446日历天</w:t>
            </w:r>
            <w:r>
              <w:rPr>
                <w:rFonts w:hint="eastAsia" w:cs="宋体"/>
                <w:color w:val="auto"/>
                <w:szCs w:val="21"/>
                <w:highlight w:val="none"/>
                <w:u w:val="single"/>
              </w:rPr>
              <w:t>。</w:t>
            </w:r>
          </w:p>
          <w:p>
            <w:pPr>
              <w:ind w:hanging="10" w:firstLineChars="0"/>
              <w:rPr>
                <w:color w:val="auto"/>
                <w:szCs w:val="21"/>
                <w:highlight w:val="none"/>
              </w:rPr>
            </w:pPr>
            <w:r>
              <w:rPr>
                <w:rFonts w:hint="eastAsia" w:cs="宋体"/>
                <w:color w:val="auto"/>
                <w:szCs w:val="21"/>
                <w:highlight w:val="none"/>
                <w:u w:val="single"/>
              </w:rPr>
              <w:t>注：本工程正式签署合同时，工期按中标投标文件承诺工期</w:t>
            </w:r>
            <w:r>
              <w:rPr>
                <w:rFonts w:hint="eastAsia" w:cs="宋体"/>
                <w:color w:val="auto"/>
                <w:szCs w:val="21"/>
                <w:highlight w:val="none"/>
                <w:u w:val="single"/>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639" w:type="dxa"/>
            <w:tcBorders>
              <w:top w:val="single" w:color="auto" w:sz="4" w:space="0"/>
              <w:left w:val="doub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t>9</w:t>
            </w:r>
          </w:p>
        </w:tc>
        <w:tc>
          <w:tcPr>
            <w:tcW w:w="89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t>3.1</w:t>
            </w:r>
          </w:p>
        </w:tc>
        <w:tc>
          <w:tcPr>
            <w:tcW w:w="1648"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资金来源</w:t>
            </w:r>
          </w:p>
        </w:tc>
        <w:tc>
          <w:tcPr>
            <w:tcW w:w="5987" w:type="dxa"/>
            <w:tcBorders>
              <w:top w:val="single" w:color="auto" w:sz="4" w:space="0"/>
              <w:left w:val="single" w:color="auto" w:sz="4" w:space="0"/>
              <w:bottom w:val="single" w:color="auto" w:sz="4" w:space="0"/>
              <w:right w:val="double" w:color="auto" w:sz="4" w:space="0"/>
            </w:tcBorders>
            <w:vAlign w:val="center"/>
          </w:tcPr>
          <w:p>
            <w:pPr>
              <w:rPr>
                <w:color w:val="auto"/>
                <w:szCs w:val="21"/>
                <w:highlight w:val="none"/>
              </w:rPr>
            </w:pPr>
            <w:r>
              <w:rPr>
                <w:rFonts w:hint="eastAsia"/>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639" w:type="dxa"/>
            <w:tcBorders>
              <w:top w:val="single" w:color="auto" w:sz="4" w:space="0"/>
              <w:left w:val="doub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t>10</w:t>
            </w:r>
          </w:p>
        </w:tc>
        <w:tc>
          <w:tcPr>
            <w:tcW w:w="89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t>4.1</w:t>
            </w:r>
          </w:p>
        </w:tc>
        <w:tc>
          <w:tcPr>
            <w:tcW w:w="1648"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投标人资质等级及项目负责人等级要求</w:t>
            </w:r>
          </w:p>
        </w:tc>
        <w:tc>
          <w:tcPr>
            <w:tcW w:w="5987" w:type="dxa"/>
            <w:tcBorders>
              <w:top w:val="single" w:color="auto" w:sz="4" w:space="0"/>
              <w:left w:val="single" w:color="auto" w:sz="4" w:space="0"/>
              <w:bottom w:val="single" w:color="auto" w:sz="4" w:space="0"/>
              <w:right w:val="double" w:color="auto" w:sz="4" w:space="0"/>
            </w:tcBorders>
            <w:vAlign w:val="center"/>
          </w:tcPr>
          <w:p>
            <w:pPr>
              <w:rPr>
                <w:color w:val="auto"/>
                <w:szCs w:val="21"/>
                <w:highlight w:val="none"/>
              </w:rPr>
            </w:pPr>
            <w:r>
              <w:rPr>
                <w:rFonts w:hint="eastAsia"/>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39" w:type="dxa"/>
            <w:tcBorders>
              <w:top w:val="single" w:color="auto" w:sz="4" w:space="0"/>
              <w:left w:val="doub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t>11</w:t>
            </w:r>
          </w:p>
        </w:tc>
        <w:tc>
          <w:tcPr>
            <w:tcW w:w="893" w:type="dxa"/>
            <w:tcBorders>
              <w:top w:val="single" w:color="auto" w:sz="4" w:space="0"/>
              <w:left w:val="single" w:color="auto" w:sz="4" w:space="0"/>
              <w:bottom w:val="single" w:color="auto" w:sz="4" w:space="0"/>
              <w:right w:val="single" w:color="auto" w:sz="4" w:space="0"/>
            </w:tcBorders>
            <w:vAlign w:val="center"/>
          </w:tcPr>
          <w:p>
            <w:pPr>
              <w:ind w:firstLine="458"/>
              <w:rPr>
                <w:color w:val="auto"/>
                <w:szCs w:val="21"/>
                <w:highlight w:val="none"/>
              </w:rPr>
            </w:pPr>
          </w:p>
        </w:tc>
        <w:tc>
          <w:tcPr>
            <w:tcW w:w="1648"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资格审查方式</w:t>
            </w:r>
          </w:p>
        </w:tc>
        <w:tc>
          <w:tcPr>
            <w:tcW w:w="5987" w:type="dxa"/>
            <w:tcBorders>
              <w:top w:val="single" w:color="auto" w:sz="4" w:space="0"/>
              <w:left w:val="single" w:color="auto" w:sz="4" w:space="0"/>
              <w:bottom w:val="single" w:color="auto" w:sz="4" w:space="0"/>
              <w:right w:val="double" w:color="auto" w:sz="4" w:space="0"/>
            </w:tcBorders>
            <w:vAlign w:val="center"/>
          </w:tcPr>
          <w:p>
            <w:pPr>
              <w:rPr>
                <w:color w:val="auto"/>
                <w:szCs w:val="21"/>
                <w:highlight w:val="none"/>
              </w:rPr>
            </w:pPr>
            <w:r>
              <w:rPr>
                <w:rFonts w:hint="eastAsia"/>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39" w:type="dxa"/>
            <w:tcBorders>
              <w:top w:val="single" w:color="auto" w:sz="4" w:space="0"/>
              <w:left w:val="doub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t>12</w:t>
            </w:r>
          </w:p>
        </w:tc>
        <w:tc>
          <w:tcPr>
            <w:tcW w:w="89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t>13.1</w:t>
            </w:r>
          </w:p>
        </w:tc>
        <w:tc>
          <w:tcPr>
            <w:tcW w:w="1648"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报价以及单价和总价计算方式</w:t>
            </w:r>
          </w:p>
        </w:tc>
        <w:tc>
          <w:tcPr>
            <w:tcW w:w="5987" w:type="dxa"/>
            <w:tcBorders>
              <w:top w:val="single" w:color="auto" w:sz="4" w:space="0"/>
              <w:left w:val="single" w:color="auto" w:sz="4" w:space="0"/>
              <w:bottom w:val="single" w:color="auto" w:sz="4" w:space="0"/>
              <w:right w:val="double" w:color="auto" w:sz="4" w:space="0"/>
            </w:tcBorders>
            <w:vAlign w:val="center"/>
          </w:tcPr>
          <w:p>
            <w:pPr>
              <w:rPr>
                <w:color w:val="auto"/>
                <w:szCs w:val="21"/>
                <w:highlight w:val="none"/>
              </w:rPr>
            </w:pPr>
            <w:r>
              <w:rPr>
                <w:rFonts w:hint="eastAsia"/>
                <w:color w:val="auto"/>
                <w:szCs w:val="21"/>
                <w:highlight w:val="none"/>
              </w:rPr>
              <w:t>工程量清单计价，按国家、省有关计价规范执行。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39" w:type="dxa"/>
            <w:tcBorders>
              <w:top w:val="single" w:color="auto" w:sz="4" w:space="0"/>
              <w:left w:val="doub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t>13</w:t>
            </w:r>
          </w:p>
        </w:tc>
        <w:tc>
          <w:tcPr>
            <w:tcW w:w="89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t>15.1</w:t>
            </w:r>
          </w:p>
        </w:tc>
        <w:tc>
          <w:tcPr>
            <w:tcW w:w="1648"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投标有效期</w:t>
            </w:r>
          </w:p>
        </w:tc>
        <w:tc>
          <w:tcPr>
            <w:tcW w:w="5987" w:type="dxa"/>
            <w:tcBorders>
              <w:top w:val="single" w:color="auto" w:sz="4" w:space="0"/>
              <w:left w:val="single" w:color="auto" w:sz="4" w:space="0"/>
              <w:bottom w:val="single" w:color="auto" w:sz="4" w:space="0"/>
              <w:right w:val="double" w:color="auto" w:sz="4" w:space="0"/>
            </w:tcBorders>
            <w:vAlign w:val="center"/>
          </w:tcPr>
          <w:p>
            <w:pPr>
              <w:rPr>
                <w:color w:val="auto"/>
                <w:szCs w:val="21"/>
                <w:highlight w:val="none"/>
                <w:u w:val="single"/>
              </w:rPr>
            </w:pPr>
            <w:r>
              <w:rPr>
                <w:rFonts w:hint="eastAsia"/>
                <w:color w:val="auto"/>
                <w:szCs w:val="21"/>
                <w:highlight w:val="none"/>
                <w:u w:val="single"/>
              </w:rPr>
              <w:t xml:space="preserve"> 90 </w:t>
            </w:r>
            <w:r>
              <w:rPr>
                <w:rFonts w:hint="eastAsia"/>
                <w:color w:val="auto"/>
                <w:szCs w:val="21"/>
                <w:highlight w:val="none"/>
              </w:rPr>
              <w:t>日历天。（从投标截止之日计起）。</w:t>
            </w:r>
            <w:r>
              <w:rPr>
                <w:rFonts w:hint="eastAsia" w:cs="宋体"/>
                <w:color w:val="auto"/>
                <w:szCs w:val="21"/>
                <w:highlight w:val="none"/>
                <w:u w:val="single"/>
              </w:rPr>
              <w:t>如投标有效期内发生异议或投诉的，则投标有效期自动延长至异议或投诉处理结束后90日历天。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39" w:type="dxa"/>
            <w:tcBorders>
              <w:top w:val="single" w:color="auto" w:sz="4" w:space="0"/>
              <w:left w:val="doub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t>14</w:t>
            </w:r>
          </w:p>
        </w:tc>
        <w:tc>
          <w:tcPr>
            <w:tcW w:w="89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t>16.1</w:t>
            </w:r>
          </w:p>
        </w:tc>
        <w:tc>
          <w:tcPr>
            <w:tcW w:w="1648"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投标保证金</w:t>
            </w:r>
          </w:p>
        </w:tc>
        <w:tc>
          <w:tcPr>
            <w:tcW w:w="5987" w:type="dxa"/>
            <w:tcBorders>
              <w:top w:val="single" w:color="auto" w:sz="4" w:space="0"/>
              <w:left w:val="single" w:color="auto" w:sz="4" w:space="0"/>
              <w:bottom w:val="single" w:color="auto" w:sz="4" w:space="0"/>
              <w:right w:val="double" w:color="auto" w:sz="4" w:space="0"/>
            </w:tcBorders>
            <w:vAlign w:val="center"/>
          </w:tcPr>
          <w:p>
            <w:pPr>
              <w:spacing w:line="276" w:lineRule="auto"/>
              <w:rPr>
                <w:color w:val="auto"/>
                <w:highlight w:val="none"/>
              </w:rPr>
            </w:pPr>
            <w:r>
              <w:rPr>
                <w:rFonts w:hint="eastAsia"/>
                <w:color w:val="auto"/>
                <w:highlight w:val="none"/>
                <w:u w:val="single"/>
                <w:lang w:val="en-US" w:eastAsia="zh-CN"/>
              </w:rPr>
              <w:t>3</w:t>
            </w:r>
            <w:r>
              <w:rPr>
                <w:rFonts w:hint="eastAsia"/>
                <w:color w:val="auto"/>
                <w:highlight w:val="none"/>
                <w:u w:val="single"/>
              </w:rPr>
              <w:t>万元人民币</w:t>
            </w:r>
            <w:r>
              <w:rPr>
                <w:rFonts w:hint="eastAsia"/>
                <w:color w:val="auto"/>
                <w:highlight w:val="none"/>
              </w:rPr>
              <w:t>，缴纳时间在递交投标文件截止时间前。</w:t>
            </w:r>
          </w:p>
          <w:p>
            <w:pPr>
              <w:spacing w:line="276" w:lineRule="auto"/>
              <w:rPr>
                <w:color w:val="auto"/>
                <w:highlight w:val="none"/>
              </w:rPr>
            </w:pPr>
            <w:r>
              <w:rPr>
                <w:rFonts w:hint="eastAsia"/>
                <w:color w:val="auto"/>
                <w:highlight w:val="none"/>
              </w:rPr>
              <w:t>投标担保的相关事宜详见招标文件16款。</w:t>
            </w:r>
          </w:p>
          <w:p>
            <w:pPr>
              <w:rPr>
                <w:color w:val="auto"/>
                <w:highlight w:val="none"/>
              </w:rPr>
            </w:pPr>
            <w:r>
              <w:rPr>
                <w:rFonts w:hint="eastAsia" w:cs="宋体"/>
                <w:b/>
                <w:bCs/>
                <w:color w:val="auto"/>
                <w:kern w:val="0"/>
                <w:sz w:val="20"/>
                <w:szCs w:val="20"/>
                <w:highlight w:val="none"/>
              </w:rPr>
              <w:t>注：1、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39" w:type="dxa"/>
            <w:tcBorders>
              <w:top w:val="single" w:color="auto" w:sz="4" w:space="0"/>
              <w:left w:val="doub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t>15</w:t>
            </w:r>
          </w:p>
        </w:tc>
        <w:tc>
          <w:tcPr>
            <w:tcW w:w="89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t>5</w:t>
            </w:r>
          </w:p>
        </w:tc>
        <w:tc>
          <w:tcPr>
            <w:tcW w:w="1648"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踏勘现场</w:t>
            </w:r>
          </w:p>
        </w:tc>
        <w:tc>
          <w:tcPr>
            <w:tcW w:w="5987" w:type="dxa"/>
            <w:tcBorders>
              <w:top w:val="single" w:color="auto" w:sz="4" w:space="0"/>
              <w:left w:val="single" w:color="auto" w:sz="4" w:space="0"/>
              <w:bottom w:val="single" w:color="auto" w:sz="4" w:space="0"/>
              <w:right w:val="double" w:color="auto" w:sz="4" w:space="0"/>
            </w:tcBorders>
            <w:vAlign w:val="center"/>
          </w:tcPr>
          <w:p>
            <w:pPr>
              <w:pStyle w:val="12"/>
              <w:rPr>
                <w:rFonts w:ascii="宋体" w:hAnsi="宋体"/>
                <w:color w:val="auto"/>
                <w:kern w:val="2"/>
                <w:sz w:val="21"/>
                <w:szCs w:val="21"/>
                <w:highlight w:val="none"/>
              </w:rPr>
            </w:pPr>
            <w:r>
              <w:rPr>
                <w:rFonts w:hint="eastAsia" w:ascii="宋体" w:hAnsi="宋体" w:cs="宋体"/>
                <w:color w:val="auto"/>
                <w:kern w:val="2"/>
                <w:sz w:val="21"/>
                <w:szCs w:val="21"/>
                <w:highlight w:val="none"/>
                <w:u w:val="single"/>
              </w:rPr>
              <w:t>自行踏勘，投标人不进行踏勘的，视为已熟知现场条件，自行承担相关风险。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39" w:type="dxa"/>
            <w:tcBorders>
              <w:top w:val="single" w:color="auto" w:sz="4" w:space="0"/>
              <w:left w:val="doub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t>16</w:t>
            </w:r>
          </w:p>
        </w:tc>
        <w:tc>
          <w:tcPr>
            <w:tcW w:w="89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t>8</w:t>
            </w:r>
          </w:p>
        </w:tc>
        <w:tc>
          <w:tcPr>
            <w:tcW w:w="1648"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投标答疑</w:t>
            </w:r>
          </w:p>
        </w:tc>
        <w:tc>
          <w:tcPr>
            <w:tcW w:w="5987" w:type="dxa"/>
            <w:tcBorders>
              <w:top w:val="single" w:color="auto" w:sz="4" w:space="0"/>
              <w:left w:val="single" w:color="auto" w:sz="4" w:space="0"/>
              <w:bottom w:val="single" w:color="auto" w:sz="4" w:space="0"/>
              <w:right w:val="double" w:color="auto" w:sz="4" w:space="0"/>
            </w:tcBorders>
            <w:vAlign w:val="center"/>
          </w:tcPr>
          <w:p>
            <w:pPr>
              <w:spacing w:line="360" w:lineRule="atLeast"/>
              <w:rPr>
                <w:rFonts w:ascii="宋体" w:hAnsi="宋体" w:cs="宋体"/>
                <w:color w:val="auto"/>
                <w:szCs w:val="21"/>
                <w:highlight w:val="none"/>
              </w:rPr>
            </w:pPr>
            <w:r>
              <w:rPr>
                <w:rFonts w:hint="eastAsia" w:ascii="宋体" w:hAnsi="宋体" w:cs="宋体"/>
                <w:color w:val="auto"/>
                <w:szCs w:val="21"/>
                <w:highlight w:val="none"/>
              </w:rPr>
              <w:t>疑问提交时间：</w:t>
            </w:r>
            <w:r>
              <w:rPr>
                <w:rFonts w:hint="eastAsia" w:ascii="宋体" w:hAnsi="宋体" w:cs="宋体"/>
                <w:color w:val="auto"/>
                <w:szCs w:val="21"/>
                <w:highlight w:val="none"/>
                <w:u w:val="single"/>
              </w:rPr>
              <w:t>在递交投标文件截止日期前18日</w:t>
            </w:r>
          </w:p>
          <w:p>
            <w:pPr>
              <w:spacing w:line="360" w:lineRule="atLeast"/>
              <w:rPr>
                <w:rFonts w:ascii="宋体" w:hAnsi="宋体" w:cs="宋体"/>
                <w:color w:val="auto"/>
                <w:szCs w:val="21"/>
                <w:highlight w:val="none"/>
              </w:rPr>
            </w:pPr>
            <w:r>
              <w:rPr>
                <w:rFonts w:hint="eastAsia" w:ascii="宋体" w:hAnsi="宋体" w:cs="宋体"/>
                <w:color w:val="auto"/>
                <w:szCs w:val="21"/>
                <w:highlight w:val="none"/>
              </w:rPr>
              <w:t>形式：投标人的疑问通过</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交易平台提交。</w:t>
            </w:r>
          </w:p>
          <w:p>
            <w:pPr>
              <w:rPr>
                <w:color w:val="auto"/>
                <w:szCs w:val="21"/>
                <w:highlight w:val="none"/>
              </w:rPr>
            </w:pPr>
            <w:r>
              <w:rPr>
                <w:rFonts w:hint="eastAsia" w:ascii="宋体" w:hAnsi="宋体" w:cs="宋体"/>
                <w:color w:val="auto"/>
                <w:szCs w:val="21"/>
                <w:highlight w:val="none"/>
              </w:rPr>
              <w:t>具体要求：</w:t>
            </w:r>
            <w:r>
              <w:rPr>
                <w:rFonts w:hint="eastAsia" w:ascii="宋体" w:hAnsi="宋体" w:cs="宋体"/>
                <w:color w:val="auto"/>
                <w:szCs w:val="21"/>
                <w:highlight w:val="none"/>
                <w:u w:val="single"/>
              </w:rPr>
              <w:t>按照广州交易集团有限公司（广州公共资源交易中心）交易平台关于全流程电 子化项目的相关指南进行操作，详见：广州交易集团有限公司（广州公共资源交易中心）网站最新指引。提问一律不得署名。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39" w:type="dxa"/>
            <w:tcBorders>
              <w:top w:val="single" w:color="auto" w:sz="4" w:space="0"/>
              <w:left w:val="doub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t>1</w:t>
            </w:r>
            <w:r>
              <w:rPr>
                <w:rFonts w:hint="eastAsia"/>
                <w:color w:val="auto"/>
                <w:szCs w:val="21"/>
                <w:highlight w:val="none"/>
              </w:rPr>
              <w:t>7</w:t>
            </w:r>
          </w:p>
        </w:tc>
        <w:tc>
          <w:tcPr>
            <w:tcW w:w="89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20</w:t>
            </w:r>
            <w:r>
              <w:rPr>
                <w:color w:val="auto"/>
                <w:szCs w:val="21"/>
                <w:highlight w:val="none"/>
              </w:rPr>
              <w:t>.1</w:t>
            </w:r>
          </w:p>
        </w:tc>
        <w:tc>
          <w:tcPr>
            <w:tcW w:w="1648"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投标截止时间</w:t>
            </w:r>
          </w:p>
        </w:tc>
        <w:tc>
          <w:tcPr>
            <w:tcW w:w="5987" w:type="dxa"/>
            <w:tcBorders>
              <w:top w:val="single" w:color="auto" w:sz="4" w:space="0"/>
              <w:left w:val="single" w:color="auto" w:sz="4" w:space="0"/>
              <w:bottom w:val="single" w:color="auto" w:sz="4" w:space="0"/>
              <w:right w:val="double" w:color="auto" w:sz="4" w:space="0"/>
            </w:tcBorders>
            <w:vAlign w:val="center"/>
          </w:tcPr>
          <w:p>
            <w:pPr>
              <w:rPr>
                <w:strike/>
                <w:color w:val="auto"/>
                <w:szCs w:val="21"/>
                <w:highlight w:val="none"/>
              </w:rPr>
            </w:pPr>
            <w:r>
              <w:rPr>
                <w:rFonts w:hint="eastAsia"/>
                <w:color w:val="auto"/>
                <w:szCs w:val="21"/>
                <w:highlight w:val="none"/>
                <w:u w:val="single"/>
              </w:rPr>
              <w:t>202</w:t>
            </w:r>
            <w:r>
              <w:rPr>
                <w:rFonts w:hint="eastAsia"/>
                <w:color w:val="auto"/>
                <w:szCs w:val="21"/>
                <w:highlight w:val="none"/>
                <w:u w:val="single"/>
                <w:lang w:val="en-US" w:eastAsia="zh-CN"/>
              </w:rPr>
              <w:t>4</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r>
              <w:rPr>
                <w:color w:val="auto"/>
                <w:szCs w:val="21"/>
                <w:highlight w:val="none"/>
                <w:u w:val="single"/>
              </w:rPr>
              <w:t xml:space="preserve">   </w:t>
            </w:r>
            <w:r>
              <w:rPr>
                <w:rFonts w:hint="eastAsia"/>
                <w:color w:val="auto"/>
                <w:szCs w:val="21"/>
                <w:highlight w:val="none"/>
              </w:rPr>
              <w:t>时</w:t>
            </w:r>
            <w:r>
              <w:rPr>
                <w:color w:val="auto"/>
                <w:szCs w:val="21"/>
                <w:highlight w:val="none"/>
                <w:u w:val="single"/>
              </w:rPr>
              <w:t xml:space="preserve">   </w:t>
            </w:r>
            <w:r>
              <w:rPr>
                <w:rFonts w:hint="eastAsia"/>
                <w:color w:val="auto"/>
                <w:szCs w:val="21"/>
                <w:highlight w:val="none"/>
              </w:rPr>
              <w:t>分（北京时间）。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39" w:type="dxa"/>
            <w:tcBorders>
              <w:top w:val="single" w:color="auto" w:sz="4" w:space="0"/>
              <w:left w:val="doub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18</w:t>
            </w:r>
          </w:p>
        </w:tc>
        <w:tc>
          <w:tcPr>
            <w:tcW w:w="89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t>20.1</w:t>
            </w:r>
          </w:p>
        </w:tc>
        <w:tc>
          <w:tcPr>
            <w:tcW w:w="1648"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开标开始时间和地点</w:t>
            </w:r>
          </w:p>
        </w:tc>
        <w:tc>
          <w:tcPr>
            <w:tcW w:w="5987" w:type="dxa"/>
            <w:tcBorders>
              <w:top w:val="single" w:color="auto" w:sz="4" w:space="0"/>
              <w:left w:val="single" w:color="auto" w:sz="4" w:space="0"/>
              <w:bottom w:val="single" w:color="auto" w:sz="4" w:space="0"/>
              <w:right w:val="double" w:color="auto" w:sz="4" w:space="0"/>
            </w:tcBorders>
            <w:vAlign w:val="center"/>
          </w:tcPr>
          <w:p>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（技术标和经济标同时开标）</w:t>
            </w:r>
          </w:p>
          <w:p>
            <w:pPr>
              <w:spacing w:line="360" w:lineRule="atLeast"/>
              <w:rPr>
                <w:rFonts w:hint="eastAsia" w:ascii="宋体" w:hAnsi="宋体"/>
                <w:color w:val="auto"/>
                <w:szCs w:val="21"/>
                <w:highlight w:val="none"/>
              </w:rPr>
            </w:pPr>
            <w:r>
              <w:rPr>
                <w:rFonts w:hint="eastAsia" w:ascii="宋体" w:hAnsi="宋体" w:cs="宋体"/>
                <w:color w:val="auto"/>
                <w:szCs w:val="21"/>
                <w:highlight w:val="none"/>
              </w:rPr>
              <w:t>1、开标开始时间：</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分（与投标截止时间为同一时间），地点：</w:t>
            </w:r>
            <w:r>
              <w:rPr>
                <w:rFonts w:hint="eastAsia" w:ascii="宋体" w:hAnsi="宋体" w:cs="宋体"/>
                <w:color w:val="auto"/>
                <w:szCs w:val="21"/>
                <w:highlight w:val="none"/>
                <w:u w:val="single"/>
              </w:rPr>
              <w:t>广州交易集团有限公司（广州公共资源交易中心）黄埔交易部指定开标室。</w:t>
            </w:r>
            <w:r>
              <w:rPr>
                <w:rFonts w:hint="eastAsia" w:ascii="宋体" w:hAnsi="宋体" w:cs="宋体"/>
                <w:color w:val="auto"/>
                <w:szCs w:val="21"/>
                <w:highlight w:val="none"/>
              </w:rPr>
              <w:t>投标人也可选择参加在线开标，具体按照交易平台相关指南进行操作。详见：</w:t>
            </w:r>
            <w:r>
              <w:rPr>
                <w:rFonts w:hint="eastAsia" w:ascii="宋体" w:hAnsi="宋体" w:cs="宋体"/>
                <w:color w:val="auto"/>
                <w:szCs w:val="21"/>
                <w:highlight w:val="none"/>
                <w:u w:val="single"/>
              </w:rPr>
              <w:t>广州交易集团有限公司（广州公共资源交易中心）网站最新指引</w:t>
            </w:r>
            <w:r>
              <w:rPr>
                <w:rFonts w:hint="eastAsia" w:ascii="宋体" w:hAnsi="宋体" w:cs="宋体"/>
                <w:color w:val="auto"/>
                <w:szCs w:val="21"/>
                <w:highlight w:val="none"/>
              </w:rPr>
              <w:t>。</w:t>
            </w:r>
          </w:p>
          <w:p>
            <w:pPr>
              <w:spacing w:line="360" w:lineRule="atLeast"/>
              <w:rPr>
                <w:rFonts w:ascii="宋体" w:hAnsi="宋体"/>
                <w:color w:val="auto"/>
                <w:szCs w:val="21"/>
                <w:highlight w:val="none"/>
              </w:rPr>
            </w:pPr>
            <w:r>
              <w:rPr>
                <w:rFonts w:hint="eastAsia" w:ascii="宋体" w:hAnsi="宋体"/>
                <w:color w:val="auto"/>
                <w:szCs w:val="21"/>
                <w:highlight w:val="none"/>
              </w:rPr>
              <w:t>注：投标文件解密问题。投标人只用执行一次解密，招标人执行解密次数根据招标文件开标次数确定。</w:t>
            </w:r>
          </w:p>
          <w:p>
            <w:pPr>
              <w:spacing w:line="360" w:lineRule="atLeast"/>
              <w:rPr>
                <w:rFonts w:hint="eastAsia" w:ascii="宋体" w:hAnsi="宋体"/>
                <w:color w:val="auto"/>
                <w:szCs w:val="21"/>
                <w:highlight w:val="none"/>
              </w:rPr>
            </w:pPr>
            <w:r>
              <w:rPr>
                <w:rFonts w:hint="eastAsia" w:ascii="宋体" w:hAnsi="宋体" w:cs="宋体"/>
                <w:color w:val="auto"/>
                <w:szCs w:val="21"/>
                <w:highlight w:val="none"/>
              </w:rPr>
              <w:t>2、递交投标文件备用光盘时间：</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分至</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分；递交地点：</w:t>
            </w:r>
            <w:r>
              <w:rPr>
                <w:rFonts w:hint="eastAsia" w:ascii="宋体" w:hAnsi="宋体" w:cs="宋体"/>
                <w:color w:val="auto"/>
                <w:szCs w:val="21"/>
                <w:highlight w:val="none"/>
                <w:u w:val="single"/>
              </w:rPr>
              <w:t>广州交易集团有限公司（广州公共资源交易中心）黄埔交易部指定开标室</w:t>
            </w:r>
            <w:r>
              <w:rPr>
                <w:rFonts w:hint="eastAsia" w:ascii="宋体" w:hAnsi="宋体" w:cs="宋体"/>
                <w:color w:val="auto"/>
                <w:szCs w:val="21"/>
                <w:highlight w:val="none"/>
              </w:rPr>
              <w:t>。</w:t>
            </w:r>
          </w:p>
          <w:p>
            <w:pPr>
              <w:rPr>
                <w:color w:val="auto"/>
                <w:szCs w:val="21"/>
                <w:highlight w:val="none"/>
              </w:rPr>
            </w:pPr>
            <w:r>
              <w:rPr>
                <w:rFonts w:hint="eastAsia" w:ascii="宋体" w:hAnsi="宋体" w:cs="仿宋_GB2312"/>
                <w:color w:val="auto"/>
                <w:highlight w:val="none"/>
                <w:u w:val="single"/>
              </w:rPr>
              <w:t>上述时间及地点是否有改变，请密切留意补充公告（如有）和招标澄清答疑纪要（如有）的相关信息。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639" w:type="dxa"/>
            <w:tcBorders>
              <w:top w:val="single" w:color="auto" w:sz="4" w:space="0"/>
              <w:left w:val="doub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19</w:t>
            </w:r>
          </w:p>
        </w:tc>
        <w:tc>
          <w:tcPr>
            <w:tcW w:w="89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t>26</w:t>
            </w:r>
          </w:p>
        </w:tc>
        <w:tc>
          <w:tcPr>
            <w:tcW w:w="1648"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开标评标办法</w:t>
            </w:r>
          </w:p>
        </w:tc>
        <w:tc>
          <w:tcPr>
            <w:tcW w:w="5987" w:type="dxa"/>
            <w:tcBorders>
              <w:top w:val="single" w:color="auto" w:sz="4" w:space="0"/>
              <w:left w:val="single" w:color="auto" w:sz="4" w:space="0"/>
              <w:bottom w:val="single" w:color="auto" w:sz="4" w:space="0"/>
              <w:right w:val="double" w:color="auto" w:sz="4" w:space="0"/>
            </w:tcBorders>
            <w:vAlign w:val="center"/>
          </w:tcPr>
          <w:p>
            <w:pPr>
              <w:pStyle w:val="23"/>
              <w:spacing w:after="0"/>
              <w:ind w:firstLine="0"/>
              <w:rPr>
                <w:rFonts w:ascii="宋体" w:hAnsi="宋体"/>
                <w:color w:val="auto"/>
                <w:kern w:val="2"/>
                <w:sz w:val="21"/>
                <w:highlight w:val="none"/>
              </w:rPr>
            </w:pPr>
            <w:r>
              <w:rPr>
                <w:rFonts w:hint="eastAsia" w:ascii="宋体" w:hAnsi="宋体"/>
                <w:color w:val="auto"/>
                <w:kern w:val="2"/>
                <w:sz w:val="21"/>
                <w:szCs w:val="21"/>
                <w:highlight w:val="none"/>
              </w:rPr>
              <w:t>方式一：选取方法</w:t>
            </w:r>
            <w:r>
              <w:rPr>
                <w:rFonts w:hint="eastAsia" w:ascii="宋体" w:hAnsi="宋体"/>
                <w:color w:val="auto"/>
                <w:kern w:val="2"/>
                <w:sz w:val="21"/>
                <w:szCs w:val="21"/>
                <w:highlight w:val="none"/>
                <w:u w:val="single"/>
              </w:rPr>
              <w:t xml:space="preserve"> 办法六（适合综合评分法三，技术标与经济标同时开启）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39" w:type="dxa"/>
            <w:tcBorders>
              <w:top w:val="single" w:color="auto" w:sz="4" w:space="0"/>
              <w:left w:val="double" w:color="auto" w:sz="4" w:space="0"/>
              <w:bottom w:val="single" w:color="auto" w:sz="4" w:space="0"/>
              <w:right w:val="single" w:color="auto" w:sz="4" w:space="0"/>
            </w:tcBorders>
            <w:vAlign w:val="center"/>
          </w:tcPr>
          <w:p>
            <w:pPr>
              <w:rPr>
                <w:rFonts w:hint="default" w:eastAsia="宋体"/>
                <w:color w:val="auto"/>
                <w:szCs w:val="21"/>
                <w:highlight w:val="none"/>
                <w:lang w:val="en-US" w:eastAsia="zh-CN"/>
              </w:rPr>
            </w:pPr>
            <w:r>
              <w:rPr>
                <w:rFonts w:hint="eastAsia"/>
                <w:color w:val="auto"/>
                <w:szCs w:val="21"/>
                <w:highlight w:val="none"/>
                <w:lang w:val="en-US" w:eastAsia="zh-CN"/>
              </w:rPr>
              <w:t>20</w:t>
            </w:r>
          </w:p>
        </w:tc>
        <w:tc>
          <w:tcPr>
            <w:tcW w:w="89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t>29.1</w:t>
            </w:r>
          </w:p>
        </w:tc>
        <w:tc>
          <w:tcPr>
            <w:tcW w:w="1648"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履约担保</w:t>
            </w:r>
          </w:p>
        </w:tc>
        <w:tc>
          <w:tcPr>
            <w:tcW w:w="598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kern w:val="2"/>
                <w:sz w:val="21"/>
                <w:highlight w:val="none"/>
              </w:rPr>
            </w:pPr>
            <w:r>
              <w:rPr>
                <w:rFonts w:hint="eastAsia" w:ascii="宋体" w:hAnsi="宋体" w:eastAsia="宋体" w:cs="Times New Roman"/>
                <w:color w:val="auto"/>
                <w:kern w:val="2"/>
                <w:sz w:val="21"/>
                <w:szCs w:val="21"/>
                <w:highlight w:val="none"/>
                <w:lang w:val="en-US" w:eastAsia="zh-CN" w:bidi="ar-SA"/>
              </w:rPr>
              <w:t>方式一：中标人提供的履约保证金为中标价款的10%。</w:t>
            </w:r>
            <w:r>
              <w:rPr>
                <w:rFonts w:hint="eastAsia" w:ascii="宋体" w:hAnsi="宋体" w:eastAsia="宋体" w:cs="Times New Roman"/>
                <w:color w:val="auto"/>
                <w:kern w:val="2"/>
                <w:sz w:val="21"/>
                <w:szCs w:val="21"/>
                <w:highlight w:val="none"/>
                <w:u w:val="single"/>
                <w:lang w:val="en-US" w:eastAsia="zh-CN" w:bidi="ar-SA"/>
              </w:rPr>
              <w:t>中标人须提供由银行开具的无条件不可撤销的履约担保。如果中标人的履约担保是以银行保函的形式提供，则该银行保函应由在中国注册且营业的分行级别或以上的银行开具。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639" w:type="dxa"/>
            <w:tcBorders>
              <w:top w:val="single" w:color="auto" w:sz="4" w:space="0"/>
              <w:left w:val="doub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t>2</w:t>
            </w:r>
            <w:r>
              <w:rPr>
                <w:rFonts w:hint="eastAsia"/>
                <w:color w:val="auto"/>
                <w:szCs w:val="21"/>
                <w:highlight w:val="none"/>
              </w:rPr>
              <w:t>1</w:t>
            </w:r>
          </w:p>
        </w:tc>
        <w:tc>
          <w:tcPr>
            <w:tcW w:w="89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648"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最高投标限价</w:t>
            </w:r>
          </w:p>
        </w:tc>
        <w:tc>
          <w:tcPr>
            <w:tcW w:w="5987" w:type="dxa"/>
            <w:tcBorders>
              <w:top w:val="single" w:color="auto" w:sz="4" w:space="0"/>
              <w:left w:val="single" w:color="auto" w:sz="4" w:space="0"/>
              <w:bottom w:val="single" w:color="auto" w:sz="4" w:space="0"/>
              <w:right w:val="double" w:color="auto" w:sz="4" w:space="0"/>
            </w:tcBorders>
            <w:vAlign w:val="center"/>
          </w:tcPr>
          <w:p>
            <w:pPr>
              <w:rPr>
                <w:color w:val="auto"/>
                <w:highlight w:val="none"/>
              </w:rPr>
            </w:pPr>
            <w:r>
              <w:rPr>
                <w:rFonts w:hint="eastAsia" w:cs="宋体"/>
                <w:color w:val="auto"/>
                <w:szCs w:val="21"/>
                <w:highlight w:val="none"/>
              </w:rPr>
              <w:t>本项目最高投标限价为人民币</w:t>
            </w:r>
            <w:r>
              <w:rPr>
                <w:rFonts w:hint="eastAsia" w:cs="宋体"/>
                <w:color w:val="auto"/>
                <w:szCs w:val="21"/>
                <w:highlight w:val="none"/>
                <w:u w:val="single"/>
              </w:rPr>
              <w:t>157167698.73</w:t>
            </w:r>
            <w:r>
              <w:rPr>
                <w:rFonts w:hint="eastAsia" w:cs="宋体"/>
                <w:color w:val="auto"/>
                <w:szCs w:val="21"/>
                <w:highlight w:val="none"/>
              </w:rPr>
              <w:t>元，投标总价超过最高投标限价的投标文件将被拒绝。</w:t>
            </w:r>
          </w:p>
          <w:p>
            <w:pPr>
              <w:rPr>
                <w:color w:val="auto"/>
                <w:highlight w:val="none"/>
              </w:rPr>
            </w:pPr>
            <w:r>
              <w:rPr>
                <w:rFonts w:hint="eastAsia"/>
                <w:b/>
                <w:bCs/>
                <w:color w:val="auto"/>
                <w:highlight w:val="none"/>
              </w:rPr>
              <w:t>本项目实行双限价，</w:t>
            </w:r>
            <w:r>
              <w:rPr>
                <w:rFonts w:hint="eastAsia"/>
                <w:color w:val="auto"/>
                <w:highlight w:val="none"/>
              </w:rPr>
              <w:t>即：投标人的投标总报价及综合单价都不能超过招标人公布的总价及综合单价，具体详见控制价公布函及工程量清单，投标总报价超过总招标控制价或投标单价超过综合单价限价的投标文件将被拒绝。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trPr>
        <w:tc>
          <w:tcPr>
            <w:tcW w:w="639" w:type="dxa"/>
            <w:tcBorders>
              <w:top w:val="single" w:color="auto" w:sz="4" w:space="0"/>
              <w:left w:val="doub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t>2</w:t>
            </w:r>
            <w:r>
              <w:rPr>
                <w:rFonts w:hint="eastAsia"/>
                <w:color w:val="auto"/>
                <w:szCs w:val="21"/>
                <w:highlight w:val="none"/>
              </w:rPr>
              <w:t>2</w:t>
            </w:r>
          </w:p>
        </w:tc>
        <w:tc>
          <w:tcPr>
            <w:tcW w:w="89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648"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非竞争费用</w:t>
            </w:r>
          </w:p>
        </w:tc>
        <w:tc>
          <w:tcPr>
            <w:tcW w:w="5987" w:type="dxa"/>
            <w:tcBorders>
              <w:top w:val="single" w:color="auto" w:sz="4" w:space="0"/>
              <w:left w:val="single" w:color="auto" w:sz="4" w:space="0"/>
              <w:bottom w:val="single" w:color="auto" w:sz="4" w:space="0"/>
              <w:right w:val="double" w:color="auto" w:sz="4" w:space="0"/>
            </w:tcBorders>
            <w:vAlign w:val="center"/>
          </w:tcPr>
          <w:p>
            <w:pPr>
              <w:jc w:val="left"/>
              <w:rPr>
                <w:rFonts w:cs="宋体"/>
                <w:color w:val="auto"/>
                <w:szCs w:val="21"/>
                <w:highlight w:val="none"/>
              </w:rPr>
            </w:pPr>
            <w:r>
              <w:rPr>
                <w:rFonts w:hint="eastAsia" w:cs="宋体"/>
                <w:color w:val="auto"/>
                <w:szCs w:val="21"/>
                <w:highlight w:val="none"/>
              </w:rPr>
              <w:t>本项目绿色施工安全防护措施费为</w:t>
            </w:r>
            <w:r>
              <w:rPr>
                <w:rFonts w:hint="eastAsia" w:cs="宋体"/>
                <w:color w:val="auto"/>
                <w:szCs w:val="21"/>
                <w:highlight w:val="none"/>
                <w:u w:val="single"/>
                <w:lang w:val="en-US" w:eastAsia="zh-CN"/>
              </w:rPr>
              <w:t>5312645.59</w:t>
            </w:r>
            <w:r>
              <w:rPr>
                <w:rFonts w:hint="eastAsia" w:cs="宋体"/>
                <w:color w:val="auto"/>
                <w:szCs w:val="21"/>
                <w:highlight w:val="none"/>
              </w:rPr>
              <w:t>元，暂列金额为</w:t>
            </w:r>
            <w:r>
              <w:rPr>
                <w:rFonts w:hint="eastAsia" w:cs="宋体"/>
                <w:color w:val="auto"/>
                <w:szCs w:val="21"/>
                <w:highlight w:val="none"/>
                <w:u w:val="single"/>
              </w:rPr>
              <w:t xml:space="preserve"> </w:t>
            </w:r>
            <w:r>
              <w:rPr>
                <w:rFonts w:hint="eastAsia" w:cs="宋体"/>
                <w:color w:val="auto"/>
                <w:szCs w:val="21"/>
                <w:highlight w:val="none"/>
                <w:u w:val="single"/>
                <w:lang w:val="en-US" w:eastAsia="zh-CN"/>
              </w:rPr>
              <w:t>9799243.08</w:t>
            </w:r>
            <w:r>
              <w:rPr>
                <w:rFonts w:hint="eastAsia" w:cs="宋体"/>
                <w:color w:val="auto"/>
                <w:szCs w:val="21"/>
                <w:highlight w:val="none"/>
              </w:rPr>
              <w:t>元，暂估价为</w:t>
            </w:r>
            <w:r>
              <w:rPr>
                <w:rFonts w:hint="eastAsia" w:cs="宋体"/>
                <w:color w:val="auto"/>
                <w:szCs w:val="21"/>
                <w:highlight w:val="none"/>
                <w:u w:val="single"/>
                <w:lang w:val="en-US" w:eastAsia="zh-CN"/>
              </w:rPr>
              <w:t>/</w:t>
            </w:r>
            <w:r>
              <w:rPr>
                <w:rFonts w:hint="eastAsia" w:cs="宋体"/>
                <w:color w:val="auto"/>
                <w:szCs w:val="21"/>
                <w:highlight w:val="none"/>
              </w:rPr>
              <w:t>元。（未按招标文件规定的金额填写的，由评标委员会按照招标文件规定的金额进行修正）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639" w:type="dxa"/>
            <w:tcBorders>
              <w:top w:val="single" w:color="auto" w:sz="4" w:space="0"/>
              <w:left w:val="doub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23</w:t>
            </w:r>
          </w:p>
        </w:tc>
        <w:tc>
          <w:tcPr>
            <w:tcW w:w="89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648" w:type="dxa"/>
            <w:tcBorders>
              <w:top w:val="single" w:color="auto" w:sz="4" w:space="0"/>
              <w:left w:val="single" w:color="auto" w:sz="4" w:space="0"/>
              <w:bottom w:val="single" w:color="auto" w:sz="4" w:space="0"/>
              <w:right w:val="single" w:color="auto" w:sz="4" w:space="0"/>
            </w:tcBorders>
            <w:vAlign w:val="center"/>
          </w:tcPr>
          <w:p>
            <w:pPr>
              <w:pStyle w:val="23"/>
              <w:ind w:firstLine="0"/>
              <w:rPr>
                <w:rFonts w:ascii="宋体" w:hAnsi="宋体"/>
                <w:color w:val="auto"/>
                <w:kern w:val="2"/>
                <w:sz w:val="21"/>
                <w:szCs w:val="21"/>
                <w:highlight w:val="none"/>
              </w:rPr>
            </w:pPr>
            <w:r>
              <w:rPr>
                <w:rFonts w:hint="eastAsia" w:ascii="宋体" w:hAnsi="宋体"/>
                <w:color w:val="auto"/>
                <w:kern w:val="2"/>
                <w:sz w:val="21"/>
                <w:szCs w:val="21"/>
                <w:highlight w:val="none"/>
              </w:rPr>
              <w:t>保修期</w:t>
            </w:r>
          </w:p>
        </w:tc>
        <w:tc>
          <w:tcPr>
            <w:tcW w:w="5987" w:type="dxa"/>
            <w:tcBorders>
              <w:top w:val="single" w:color="auto" w:sz="4" w:space="0"/>
              <w:left w:val="single" w:color="auto" w:sz="4" w:space="0"/>
              <w:bottom w:val="single" w:color="auto" w:sz="4" w:space="0"/>
              <w:right w:val="double" w:color="auto" w:sz="4" w:space="0"/>
            </w:tcBorders>
            <w:vAlign w:val="center"/>
          </w:tcPr>
          <w:p>
            <w:pPr>
              <w:rPr>
                <w:color w:val="auto"/>
                <w:szCs w:val="21"/>
                <w:highlight w:val="none"/>
              </w:rPr>
            </w:pPr>
            <w:r>
              <w:rPr>
                <w:rFonts w:hint="eastAsia"/>
                <w:color w:val="auto"/>
                <w:szCs w:val="21"/>
                <w:highlight w:val="none"/>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639" w:type="dxa"/>
            <w:tcBorders>
              <w:top w:val="single" w:color="auto" w:sz="4" w:space="0"/>
              <w:left w:val="doub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t>2</w:t>
            </w:r>
            <w:r>
              <w:rPr>
                <w:rFonts w:hint="eastAsia"/>
                <w:color w:val="auto"/>
                <w:szCs w:val="21"/>
                <w:highlight w:val="none"/>
              </w:rPr>
              <w:t>4</w:t>
            </w:r>
          </w:p>
        </w:tc>
        <w:tc>
          <w:tcPr>
            <w:tcW w:w="89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648"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计算评标参考价的等分点值</w:t>
            </w:r>
          </w:p>
        </w:tc>
        <w:tc>
          <w:tcPr>
            <w:tcW w:w="5987" w:type="dxa"/>
            <w:tcBorders>
              <w:top w:val="single" w:color="auto" w:sz="4" w:space="0"/>
              <w:left w:val="single" w:color="auto" w:sz="4" w:space="0"/>
              <w:bottom w:val="single" w:color="auto" w:sz="4" w:space="0"/>
              <w:right w:val="double" w:color="auto" w:sz="4" w:space="0"/>
            </w:tcBorders>
            <w:vAlign w:val="center"/>
          </w:tcPr>
          <w:p>
            <w:pPr>
              <w:rPr>
                <w:color w:val="auto"/>
                <w:szCs w:val="21"/>
                <w:highlight w:val="none"/>
              </w:rPr>
            </w:pPr>
            <w:r>
              <w:rPr>
                <w:rFonts w:hint="eastAsia"/>
                <w:color w:val="auto"/>
                <w:szCs w:val="21"/>
                <w:highlight w:val="none"/>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639" w:type="dxa"/>
            <w:tcBorders>
              <w:top w:val="single" w:color="auto" w:sz="4" w:space="0"/>
              <w:left w:val="doub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25</w:t>
            </w:r>
          </w:p>
        </w:tc>
        <w:tc>
          <w:tcPr>
            <w:tcW w:w="893" w:type="dxa"/>
            <w:tcBorders>
              <w:top w:val="single" w:color="auto" w:sz="4" w:space="0"/>
              <w:left w:val="single" w:color="auto" w:sz="4" w:space="0"/>
              <w:bottom w:val="single" w:color="auto" w:sz="4" w:space="0"/>
              <w:right w:val="single" w:color="auto" w:sz="4" w:space="0"/>
            </w:tcBorders>
            <w:vAlign w:val="center"/>
          </w:tcPr>
          <w:p>
            <w:pPr>
              <w:ind w:firstLine="458"/>
              <w:rPr>
                <w:color w:val="auto"/>
                <w:szCs w:val="21"/>
                <w:highlight w:val="none"/>
              </w:rPr>
            </w:pPr>
          </w:p>
        </w:tc>
        <w:tc>
          <w:tcPr>
            <w:tcW w:w="1648"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进入第二阶段评审的家数</w:t>
            </w:r>
          </w:p>
        </w:tc>
        <w:tc>
          <w:tcPr>
            <w:tcW w:w="5987" w:type="dxa"/>
            <w:tcBorders>
              <w:top w:val="single" w:color="auto" w:sz="4" w:space="0"/>
              <w:left w:val="single" w:color="auto" w:sz="4" w:space="0"/>
              <w:bottom w:val="single" w:color="auto" w:sz="4" w:space="0"/>
              <w:right w:val="double" w:color="auto" w:sz="4" w:space="0"/>
            </w:tcBorders>
            <w:vAlign w:val="center"/>
          </w:tcPr>
          <w:p>
            <w:pPr>
              <w:spacing w:line="276" w:lineRule="auto"/>
              <w:rPr>
                <w:rFonts w:cs="宋体"/>
                <w:color w:val="auto"/>
                <w:szCs w:val="21"/>
                <w:highlight w:val="none"/>
                <w:u w:val="single"/>
              </w:rPr>
            </w:pPr>
            <w:r>
              <w:rPr>
                <w:rFonts w:hint="eastAsia" w:cs="宋体"/>
                <w:color w:val="auto"/>
                <w:szCs w:val="21"/>
                <w:highlight w:val="none"/>
                <w:u w:val="single"/>
              </w:rPr>
              <w:fldChar w:fldCharType="begin"/>
            </w:r>
            <w:r>
              <w:rPr>
                <w:rFonts w:hint="eastAsia" w:cs="宋体"/>
                <w:color w:val="auto"/>
                <w:szCs w:val="21"/>
                <w:highlight w:val="none"/>
                <w:u w:val="single"/>
              </w:rPr>
              <w:instrText xml:space="preserve"> = 1 \* GB3 </w:instrText>
            </w:r>
            <w:r>
              <w:rPr>
                <w:rFonts w:hint="eastAsia" w:cs="宋体"/>
                <w:color w:val="auto"/>
                <w:szCs w:val="21"/>
                <w:highlight w:val="none"/>
                <w:u w:val="single"/>
              </w:rPr>
              <w:fldChar w:fldCharType="separate"/>
            </w:r>
            <w:r>
              <w:rPr>
                <w:rFonts w:hint="eastAsia" w:cs="宋体"/>
                <w:color w:val="auto"/>
                <w:szCs w:val="21"/>
                <w:highlight w:val="none"/>
                <w:u w:val="single"/>
              </w:rPr>
              <w:t>①</w:t>
            </w:r>
            <w:r>
              <w:rPr>
                <w:rFonts w:hint="eastAsia" w:cs="宋体"/>
                <w:color w:val="auto"/>
                <w:szCs w:val="21"/>
                <w:highlight w:val="none"/>
                <w:u w:val="single"/>
              </w:rPr>
              <w:fldChar w:fldCharType="end"/>
            </w:r>
            <w:r>
              <w:rPr>
                <w:rFonts w:hint="eastAsia" w:cs="宋体"/>
                <w:color w:val="auto"/>
                <w:szCs w:val="21"/>
                <w:highlight w:val="none"/>
                <w:u w:val="single"/>
              </w:rPr>
              <w:t>通过技术有效性审查的投标人均进入第二阶段（适用于通过技术有效性审查家数在[3,</w:t>
            </w:r>
            <w:r>
              <w:rPr>
                <w:rFonts w:cs="宋体"/>
                <w:color w:val="auto"/>
                <w:szCs w:val="21"/>
                <w:highlight w:val="none"/>
                <w:u w:val="single"/>
              </w:rPr>
              <w:t>7</w:t>
            </w:r>
            <w:r>
              <w:rPr>
                <w:rFonts w:hint="eastAsia" w:cs="宋体"/>
                <w:color w:val="auto"/>
                <w:szCs w:val="21"/>
                <w:highlight w:val="none"/>
                <w:u w:val="single"/>
              </w:rPr>
              <w:t>]中的）。</w:t>
            </w:r>
          </w:p>
          <w:p>
            <w:pPr>
              <w:spacing w:line="276" w:lineRule="auto"/>
              <w:rPr>
                <w:rFonts w:cs="宋体"/>
                <w:color w:val="auto"/>
                <w:szCs w:val="21"/>
                <w:highlight w:val="none"/>
                <w:u w:val="single"/>
              </w:rPr>
            </w:pPr>
            <w:r>
              <w:rPr>
                <w:rFonts w:hint="eastAsia" w:cs="宋体"/>
                <w:color w:val="auto"/>
                <w:szCs w:val="21"/>
                <w:highlight w:val="none"/>
                <w:u w:val="single"/>
              </w:rPr>
              <w:fldChar w:fldCharType="begin"/>
            </w:r>
            <w:r>
              <w:rPr>
                <w:rFonts w:hint="eastAsia" w:cs="宋体"/>
                <w:color w:val="auto"/>
                <w:szCs w:val="21"/>
                <w:highlight w:val="none"/>
                <w:u w:val="single"/>
              </w:rPr>
              <w:instrText xml:space="preserve"> = 2 \* GB3 </w:instrText>
            </w:r>
            <w:r>
              <w:rPr>
                <w:rFonts w:hint="eastAsia" w:cs="宋体"/>
                <w:color w:val="auto"/>
                <w:szCs w:val="21"/>
                <w:highlight w:val="none"/>
                <w:u w:val="single"/>
              </w:rPr>
              <w:fldChar w:fldCharType="separate"/>
            </w:r>
            <w:r>
              <w:rPr>
                <w:rFonts w:hint="eastAsia" w:cs="宋体"/>
                <w:color w:val="auto"/>
                <w:szCs w:val="21"/>
                <w:highlight w:val="none"/>
                <w:u w:val="single"/>
              </w:rPr>
              <w:t>②</w:t>
            </w:r>
            <w:r>
              <w:rPr>
                <w:rFonts w:hint="eastAsia" w:cs="宋体"/>
                <w:color w:val="auto"/>
                <w:szCs w:val="21"/>
                <w:highlight w:val="none"/>
                <w:u w:val="single"/>
              </w:rPr>
              <w:fldChar w:fldCharType="end"/>
            </w:r>
            <w:r>
              <w:rPr>
                <w:rFonts w:hint="eastAsia" w:cs="宋体"/>
                <w:color w:val="auto"/>
                <w:szCs w:val="21"/>
                <w:highlight w:val="none"/>
                <w:u w:val="single"/>
              </w:rPr>
              <w:t>将第一阶段得分由高至低排序，前</w:t>
            </w:r>
            <w:r>
              <w:rPr>
                <w:rFonts w:cs="宋体"/>
                <w:color w:val="auto"/>
                <w:szCs w:val="21"/>
                <w:highlight w:val="none"/>
                <w:u w:val="single"/>
              </w:rPr>
              <w:t xml:space="preserve">7 </w:t>
            </w:r>
            <w:r>
              <w:rPr>
                <w:rFonts w:hint="eastAsia" w:cs="宋体"/>
                <w:color w:val="auto"/>
                <w:szCs w:val="21"/>
                <w:highlight w:val="none"/>
                <w:u w:val="single"/>
              </w:rPr>
              <w:t>名投标人进入第二阶段评审（适用于通过技术有效性审查家数大于</w:t>
            </w:r>
            <w:r>
              <w:rPr>
                <w:rFonts w:cs="宋体"/>
                <w:color w:val="auto"/>
                <w:szCs w:val="21"/>
                <w:highlight w:val="none"/>
                <w:u w:val="single"/>
              </w:rPr>
              <w:t>7</w:t>
            </w:r>
            <w:r>
              <w:rPr>
                <w:rFonts w:hint="eastAsia" w:cs="宋体"/>
                <w:color w:val="auto"/>
                <w:szCs w:val="21"/>
                <w:highlight w:val="none"/>
                <w:u w:val="single"/>
              </w:rPr>
              <w:t>家的）。</w:t>
            </w:r>
          </w:p>
          <w:p>
            <w:pPr>
              <w:rPr>
                <w:color w:val="auto"/>
                <w:szCs w:val="21"/>
                <w:highlight w:val="none"/>
              </w:rPr>
            </w:pPr>
            <w:r>
              <w:rPr>
                <w:rFonts w:hint="eastAsia" w:cs="宋体"/>
                <w:color w:val="auto"/>
                <w:szCs w:val="21"/>
                <w:highlight w:val="none"/>
                <w:u w:val="single"/>
              </w:rPr>
              <w:t>注：本款适用于选择评标办法一至评标办法六。进入第二阶段的投标人家数应符合行政监管部门的要求。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639" w:type="dxa"/>
            <w:tcBorders>
              <w:top w:val="single" w:color="auto" w:sz="4" w:space="0"/>
              <w:left w:val="doub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26</w:t>
            </w:r>
          </w:p>
        </w:tc>
        <w:tc>
          <w:tcPr>
            <w:tcW w:w="89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648"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工程成本警戒价</w:t>
            </w:r>
          </w:p>
        </w:tc>
        <w:tc>
          <w:tcPr>
            <w:tcW w:w="5987" w:type="dxa"/>
            <w:tcBorders>
              <w:top w:val="single" w:color="auto" w:sz="4" w:space="0"/>
              <w:left w:val="single" w:color="auto" w:sz="4" w:space="0"/>
              <w:bottom w:val="single" w:color="auto" w:sz="4" w:space="0"/>
              <w:right w:val="double" w:color="auto" w:sz="4" w:space="0"/>
            </w:tcBorders>
            <w:vAlign w:val="center"/>
          </w:tcPr>
          <w:p>
            <w:pPr>
              <w:rPr>
                <w:color w:val="auto"/>
                <w:szCs w:val="21"/>
                <w:highlight w:val="none"/>
              </w:rPr>
            </w:pPr>
            <w:r>
              <w:rPr>
                <w:rFonts w:hint="eastAsia"/>
                <w:color w:val="auto"/>
                <w:szCs w:val="21"/>
                <w:highlight w:val="none"/>
              </w:rPr>
              <w:t>工程成本警戒价为</w:t>
            </w:r>
            <w:r>
              <w:rPr>
                <w:rFonts w:hint="eastAsia" w:cs="宋体"/>
                <w:color w:val="auto"/>
                <w:szCs w:val="21"/>
                <w:highlight w:val="none"/>
                <w:u w:val="single"/>
                <w:lang w:val="en-US" w:eastAsia="zh-CN"/>
              </w:rPr>
              <w:t>141450928.86</w:t>
            </w:r>
            <w:r>
              <w:rPr>
                <w:rFonts w:hint="eastAsia" w:cs="宋体"/>
                <w:color w:val="auto"/>
                <w:szCs w:val="21"/>
                <w:highlight w:val="none"/>
              </w:rPr>
              <w:t>元</w:t>
            </w:r>
            <w:r>
              <w:rPr>
                <w:rFonts w:hint="eastAsia"/>
                <w:color w:val="auto"/>
                <w:szCs w:val="21"/>
                <w:highlight w:val="none"/>
              </w:rPr>
              <w:t>(按最高投标限价的</w:t>
            </w:r>
            <w:r>
              <w:rPr>
                <w:rFonts w:hint="eastAsia"/>
                <w:color w:val="auto"/>
                <w:szCs w:val="21"/>
                <w:highlight w:val="none"/>
                <w:u w:val="single"/>
              </w:rPr>
              <w:t>90</w:t>
            </w:r>
            <w:r>
              <w:rPr>
                <w:rFonts w:hint="eastAsia"/>
                <w:color w:val="auto"/>
                <w:szCs w:val="21"/>
                <w:highlight w:val="none"/>
              </w:rPr>
              <w:t>%设置）。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rPr>
                <w:color w:val="auto"/>
                <w:szCs w:val="21"/>
                <w:highlight w:val="none"/>
                <w:u w:val="single"/>
              </w:rPr>
            </w:pPr>
            <w:r>
              <w:rPr>
                <w:rFonts w:hint="eastAsia"/>
                <w:color w:val="auto"/>
                <w:szCs w:val="21"/>
                <w:highlight w:val="none"/>
              </w:rPr>
              <w:t>注：为充分体现招标人意愿及落实项目招标人负责制，警戒价由招标人决定。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639" w:type="dxa"/>
            <w:tcBorders>
              <w:top w:val="single" w:color="auto" w:sz="4" w:space="0"/>
              <w:left w:val="doub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27</w:t>
            </w:r>
          </w:p>
        </w:tc>
        <w:tc>
          <w:tcPr>
            <w:tcW w:w="89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648"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第一阶段各分值的权重</w:t>
            </w:r>
          </w:p>
        </w:tc>
        <w:tc>
          <w:tcPr>
            <w:tcW w:w="5987" w:type="dxa"/>
            <w:tcBorders>
              <w:top w:val="single" w:color="auto" w:sz="4" w:space="0"/>
              <w:left w:val="single" w:color="auto" w:sz="4" w:space="0"/>
              <w:bottom w:val="single" w:color="auto" w:sz="4" w:space="0"/>
              <w:right w:val="double" w:color="auto" w:sz="4" w:space="0"/>
            </w:tcBorders>
            <w:vAlign w:val="center"/>
          </w:tcPr>
          <w:p>
            <w:pPr>
              <w:rPr>
                <w:color w:val="auto"/>
                <w:highlight w:val="none"/>
              </w:rPr>
            </w:pPr>
            <w:r>
              <w:rPr>
                <w:rFonts w:hint="eastAsia"/>
                <w:color w:val="auto"/>
                <w:szCs w:val="21"/>
                <w:highlight w:val="none"/>
              </w:rPr>
              <w:t>技术分权重为</w:t>
            </w:r>
            <w:r>
              <w:rPr>
                <w:rFonts w:hint="eastAsia"/>
                <w:color w:val="auto"/>
                <w:szCs w:val="21"/>
                <w:highlight w:val="none"/>
                <w:u w:val="single"/>
                <w:lang w:val="en-US" w:eastAsia="zh-CN"/>
              </w:rPr>
              <w:t>10</w:t>
            </w:r>
            <w:r>
              <w:rPr>
                <w:rFonts w:hint="eastAsia"/>
                <w:color w:val="auto"/>
                <w:szCs w:val="21"/>
                <w:highlight w:val="none"/>
                <w:u w:val="single"/>
              </w:rPr>
              <w:t>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639" w:type="dxa"/>
            <w:tcBorders>
              <w:top w:val="single" w:color="auto" w:sz="4" w:space="0"/>
              <w:left w:val="doub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28</w:t>
            </w:r>
          </w:p>
        </w:tc>
        <w:tc>
          <w:tcPr>
            <w:tcW w:w="89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648"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评标委员会人数</w:t>
            </w:r>
          </w:p>
        </w:tc>
        <w:tc>
          <w:tcPr>
            <w:tcW w:w="5987" w:type="dxa"/>
            <w:tcBorders>
              <w:top w:val="single" w:color="auto" w:sz="4" w:space="0"/>
              <w:left w:val="single" w:color="auto" w:sz="4" w:space="0"/>
              <w:bottom w:val="single" w:color="auto" w:sz="4" w:space="0"/>
              <w:right w:val="double" w:color="auto" w:sz="4" w:space="0"/>
            </w:tcBorders>
            <w:vAlign w:val="center"/>
          </w:tcPr>
          <w:p>
            <w:pPr>
              <w:rPr>
                <w:color w:val="auto"/>
                <w:szCs w:val="21"/>
                <w:highlight w:val="none"/>
              </w:rPr>
            </w:pPr>
            <w:r>
              <w:rPr>
                <w:rFonts w:hint="eastAsia" w:cs="宋体"/>
                <w:color w:val="auto"/>
                <w:szCs w:val="21"/>
                <w:highlight w:val="none"/>
              </w:rPr>
              <w:t>评标委员会由招标人依法组建。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639" w:type="dxa"/>
            <w:tcBorders>
              <w:top w:val="single" w:color="auto" w:sz="4" w:space="0"/>
              <w:left w:val="doub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29</w:t>
            </w:r>
          </w:p>
        </w:tc>
        <w:tc>
          <w:tcPr>
            <w:tcW w:w="89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648"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企业综合诚信评价分数</w:t>
            </w:r>
          </w:p>
        </w:tc>
        <w:tc>
          <w:tcPr>
            <w:tcW w:w="5987" w:type="dxa"/>
            <w:tcBorders>
              <w:top w:val="single" w:color="auto" w:sz="4" w:space="0"/>
              <w:left w:val="single" w:color="auto" w:sz="4" w:space="0"/>
              <w:bottom w:val="single" w:color="auto" w:sz="4" w:space="0"/>
              <w:right w:val="double" w:color="auto" w:sz="4" w:space="0"/>
            </w:tcBorders>
            <w:vAlign w:val="center"/>
          </w:tcPr>
          <w:p>
            <w:pPr>
              <w:rPr>
                <w:color w:val="auto"/>
                <w:szCs w:val="21"/>
                <w:highlight w:val="none"/>
              </w:rPr>
            </w:pPr>
            <w:r>
              <w:rPr>
                <w:rFonts w:hint="eastAsia"/>
                <w:color w:val="auto"/>
                <w:szCs w:val="21"/>
                <w:highlight w:val="none"/>
              </w:rPr>
              <w:t>本项目的企业综合诚信评价分数，以</w:t>
            </w:r>
            <w:r>
              <w:rPr>
                <w:rFonts w:hint="eastAsia" w:ascii="宋体" w:hAnsi="宋体" w:eastAsia="宋体" w:cs="Times New Roman"/>
                <w:b w:val="0"/>
                <w:color w:val="auto"/>
                <w:kern w:val="2"/>
                <w:sz w:val="21"/>
                <w:szCs w:val="21"/>
                <w:highlight w:val="none"/>
                <w:u w:val="single"/>
                <w:lang w:val="en-US" w:eastAsia="zh-CN" w:bidi="ar-SA"/>
              </w:rPr>
              <w:t>建筑装饰装修专业承包</w:t>
            </w:r>
            <w:r>
              <w:rPr>
                <w:rFonts w:hint="eastAsia"/>
                <w:color w:val="auto"/>
                <w:szCs w:val="21"/>
                <w:highlight w:val="none"/>
              </w:rPr>
              <w:t xml:space="preserve">排名为准。 </w:t>
            </w:r>
          </w:p>
          <w:p>
            <w:pPr>
              <w:pStyle w:val="5"/>
              <w:ind w:firstLine="0" w:firstLineChars="0"/>
              <w:rPr>
                <w:color w:val="auto"/>
                <w:highlight w:val="none"/>
                <w:u w:val="single"/>
              </w:rPr>
            </w:pPr>
            <w:r>
              <w:rPr>
                <w:rFonts w:hint="eastAsia" w:hAnsi="宋体"/>
                <w:color w:val="auto"/>
                <w:szCs w:val="21"/>
                <w:highlight w:val="none"/>
                <w:u w:val="single"/>
              </w:rPr>
              <w:t>注：企业的综合诚信评价分数以开标当天广州市工程招标行业协会网站上公布的60日诚信分为准。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639" w:type="dxa"/>
            <w:tcBorders>
              <w:top w:val="single" w:color="auto" w:sz="4" w:space="0"/>
              <w:left w:val="doub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30</w:t>
            </w:r>
          </w:p>
        </w:tc>
        <w:tc>
          <w:tcPr>
            <w:tcW w:w="893" w:type="dxa"/>
            <w:tcBorders>
              <w:top w:val="single" w:color="auto" w:sz="4" w:space="0"/>
              <w:left w:val="single" w:color="auto" w:sz="4" w:space="0"/>
              <w:bottom w:val="single" w:color="auto" w:sz="4" w:space="0"/>
              <w:right w:val="single" w:color="auto" w:sz="4" w:space="0"/>
            </w:tcBorders>
            <w:vAlign w:val="center"/>
          </w:tcPr>
          <w:p>
            <w:pPr>
              <w:ind w:firstLine="458"/>
              <w:rPr>
                <w:color w:val="auto"/>
                <w:szCs w:val="21"/>
                <w:highlight w:val="none"/>
              </w:rPr>
            </w:pPr>
          </w:p>
        </w:tc>
        <w:tc>
          <w:tcPr>
            <w:tcW w:w="1648"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第二阶段投标人名次的排序方法（适用于办法一、办法二）</w:t>
            </w:r>
          </w:p>
        </w:tc>
        <w:tc>
          <w:tcPr>
            <w:tcW w:w="5987" w:type="dxa"/>
            <w:tcBorders>
              <w:top w:val="single" w:color="auto" w:sz="4" w:space="0"/>
              <w:left w:val="single" w:color="auto" w:sz="4" w:space="0"/>
              <w:bottom w:val="single" w:color="auto" w:sz="4" w:space="0"/>
              <w:right w:val="double" w:color="auto" w:sz="4" w:space="0"/>
            </w:tcBorders>
            <w:vAlign w:val="center"/>
          </w:tcPr>
          <w:p>
            <w:pPr>
              <w:rPr>
                <w:color w:val="auto"/>
                <w:szCs w:val="21"/>
                <w:highlight w:val="none"/>
                <w:u w:val="single"/>
              </w:rPr>
            </w:pPr>
            <w:r>
              <w:rPr>
                <w:rFonts w:hint="eastAsia"/>
                <w:color w:val="auto"/>
                <w:szCs w:val="21"/>
                <w:highlight w:val="none"/>
                <w:u w:val="single"/>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639" w:type="dxa"/>
            <w:tcBorders>
              <w:top w:val="single" w:color="auto" w:sz="4" w:space="0"/>
              <w:left w:val="doub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31</w:t>
            </w:r>
          </w:p>
        </w:tc>
        <w:tc>
          <w:tcPr>
            <w:tcW w:w="893" w:type="dxa"/>
            <w:tcBorders>
              <w:top w:val="single" w:color="auto" w:sz="4" w:space="0"/>
              <w:left w:val="single" w:color="auto" w:sz="4" w:space="0"/>
              <w:bottom w:val="single" w:color="auto" w:sz="4" w:space="0"/>
              <w:right w:val="single" w:color="auto" w:sz="4" w:space="0"/>
            </w:tcBorders>
            <w:vAlign w:val="center"/>
          </w:tcPr>
          <w:p>
            <w:pPr>
              <w:ind w:firstLine="458"/>
              <w:rPr>
                <w:color w:val="auto"/>
                <w:szCs w:val="21"/>
                <w:highlight w:val="none"/>
              </w:rPr>
            </w:pPr>
          </w:p>
        </w:tc>
        <w:tc>
          <w:tcPr>
            <w:tcW w:w="1648"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经济分相同情况下的排序方法（适用于办法三、办法四）</w:t>
            </w:r>
          </w:p>
        </w:tc>
        <w:tc>
          <w:tcPr>
            <w:tcW w:w="5987" w:type="dxa"/>
            <w:tcBorders>
              <w:top w:val="single" w:color="auto" w:sz="4" w:space="0"/>
              <w:left w:val="single" w:color="auto" w:sz="4" w:space="0"/>
              <w:bottom w:val="single" w:color="auto" w:sz="4" w:space="0"/>
              <w:right w:val="double" w:color="auto" w:sz="4" w:space="0"/>
            </w:tcBorders>
            <w:vAlign w:val="center"/>
          </w:tcPr>
          <w:p>
            <w:pPr>
              <w:rPr>
                <w:color w:val="auto"/>
                <w:szCs w:val="21"/>
                <w:highlight w:val="none"/>
                <w:u w:val="single"/>
              </w:rPr>
            </w:pPr>
            <w:r>
              <w:rPr>
                <w:rFonts w:hint="eastAsia"/>
                <w:color w:val="auto"/>
                <w:szCs w:val="21"/>
                <w:highlight w:val="none"/>
                <w:u w:val="single"/>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639" w:type="dxa"/>
            <w:tcBorders>
              <w:top w:val="single" w:color="auto" w:sz="4" w:space="0"/>
              <w:left w:val="doub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32</w:t>
            </w:r>
          </w:p>
        </w:tc>
        <w:tc>
          <w:tcPr>
            <w:tcW w:w="893" w:type="dxa"/>
            <w:tcBorders>
              <w:top w:val="single" w:color="auto" w:sz="4" w:space="0"/>
              <w:left w:val="single" w:color="auto" w:sz="4" w:space="0"/>
              <w:bottom w:val="single" w:color="auto" w:sz="4" w:space="0"/>
              <w:right w:val="single" w:color="auto" w:sz="4" w:space="0"/>
            </w:tcBorders>
            <w:vAlign w:val="center"/>
          </w:tcPr>
          <w:p>
            <w:pPr>
              <w:ind w:firstLine="458"/>
              <w:rPr>
                <w:color w:val="auto"/>
                <w:szCs w:val="21"/>
                <w:highlight w:val="none"/>
              </w:rPr>
            </w:pPr>
          </w:p>
        </w:tc>
        <w:tc>
          <w:tcPr>
            <w:tcW w:w="1648"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第二阶段投标人名次的排序方法（适用于办法五、办法六）</w:t>
            </w:r>
          </w:p>
        </w:tc>
        <w:tc>
          <w:tcPr>
            <w:tcW w:w="5987" w:type="dxa"/>
            <w:tcBorders>
              <w:top w:val="single" w:color="auto" w:sz="4" w:space="0"/>
              <w:left w:val="single" w:color="auto" w:sz="4" w:space="0"/>
              <w:bottom w:val="single" w:color="auto" w:sz="4" w:space="0"/>
              <w:right w:val="double" w:color="auto" w:sz="4" w:space="0"/>
            </w:tcBorders>
            <w:vAlign w:val="center"/>
          </w:tcPr>
          <w:p>
            <w:pPr>
              <w:rPr>
                <w:color w:val="auto"/>
                <w:szCs w:val="21"/>
                <w:highlight w:val="none"/>
                <w:u w:val="single"/>
              </w:rPr>
            </w:pPr>
            <w:r>
              <w:rPr>
                <w:rFonts w:hint="eastAsia"/>
                <w:color w:val="auto"/>
                <w:szCs w:val="21"/>
                <w:highlight w:val="none"/>
              </w:rPr>
              <w:t>选取方法</w:t>
            </w:r>
            <w:r>
              <w:rPr>
                <w:rFonts w:hint="eastAsia"/>
                <w:color w:val="auto"/>
                <w:szCs w:val="21"/>
                <w:highlight w:val="none"/>
                <w:u w:val="single"/>
              </w:rPr>
              <w:t xml:space="preserve"> 二 </w:t>
            </w:r>
          </w:p>
          <w:p>
            <w:pPr>
              <w:rPr>
                <w:rFonts w:cs="宋体"/>
                <w:color w:val="auto"/>
                <w:szCs w:val="21"/>
                <w:highlight w:val="none"/>
                <w:u w:val="single"/>
              </w:rPr>
            </w:pPr>
            <w:r>
              <w:rPr>
                <w:rFonts w:hint="eastAsia"/>
                <w:color w:val="auto"/>
                <w:szCs w:val="21"/>
                <w:highlight w:val="none"/>
              </w:rPr>
              <w:t>方法二：</w:t>
            </w:r>
            <w:r>
              <w:rPr>
                <w:rFonts w:hint="eastAsia" w:cs="宋体"/>
                <w:color w:val="auto"/>
                <w:szCs w:val="21"/>
                <w:highlight w:val="none"/>
                <w:u w:val="single"/>
              </w:rPr>
              <w:t>按照“</w:t>
            </w:r>
            <w:r>
              <w:rPr>
                <w:rFonts w:hint="eastAsia" w:cs="宋体"/>
                <w:b/>
                <w:color w:val="auto"/>
                <w:szCs w:val="21"/>
                <w:highlight w:val="none"/>
                <w:u w:val="single"/>
              </w:rPr>
              <w:t>总分=</w:t>
            </w:r>
            <w:r>
              <w:rPr>
                <w:rFonts w:hint="eastAsia" w:cs="宋体"/>
                <w:b/>
                <w:color w:val="auto"/>
                <w:szCs w:val="21"/>
                <w:highlight w:val="none"/>
                <w:u w:val="single"/>
                <w:lang w:eastAsia="zh-CN"/>
              </w:rPr>
              <w:t>（</w:t>
            </w:r>
            <w:r>
              <w:rPr>
                <w:rFonts w:hint="eastAsia" w:cs="宋体"/>
                <w:b/>
                <w:color w:val="auto"/>
                <w:szCs w:val="21"/>
                <w:highlight w:val="none"/>
                <w:u w:val="single"/>
              </w:rPr>
              <w:t>技术分×技术分权重（40%）+经济分×经济分权重（60%）</w:t>
            </w:r>
            <w:r>
              <w:rPr>
                <w:rFonts w:hint="eastAsia" w:cs="宋体"/>
                <w:b/>
                <w:color w:val="auto"/>
                <w:szCs w:val="21"/>
                <w:highlight w:val="none"/>
                <w:u w:val="single"/>
                <w:lang w:eastAsia="zh-CN"/>
              </w:rPr>
              <w:t>）</w:t>
            </w:r>
            <w:r>
              <w:rPr>
                <w:rFonts w:hint="eastAsia" w:cs="宋体"/>
                <w:b/>
                <w:color w:val="auto"/>
                <w:szCs w:val="21"/>
                <w:highlight w:val="none"/>
                <w:u w:val="single"/>
              </w:rPr>
              <w:t>×</w:t>
            </w:r>
            <w:r>
              <w:rPr>
                <w:rFonts w:hint="eastAsia" w:cs="宋体"/>
                <w:b/>
                <w:color w:val="auto"/>
                <w:szCs w:val="21"/>
                <w:highlight w:val="none"/>
                <w:u w:val="single"/>
                <w:lang w:val="en-US" w:eastAsia="zh-CN"/>
              </w:rPr>
              <w:t>90%+</w:t>
            </w:r>
            <w:r>
              <w:rPr>
                <w:rFonts w:hint="eastAsia" w:ascii="宋体" w:hAnsi="宋体" w:eastAsia="宋体" w:cs="宋体"/>
                <w:b/>
                <w:color w:val="auto"/>
                <w:kern w:val="2"/>
                <w:sz w:val="21"/>
                <w:szCs w:val="21"/>
                <w:highlight w:val="none"/>
                <w:u w:val="single"/>
                <w:lang w:val="en-US" w:eastAsia="zh-CN"/>
              </w:rPr>
              <w:t>企业综合诚信评价得分</w:t>
            </w:r>
            <w:r>
              <w:rPr>
                <w:rFonts w:hint="eastAsia" w:ascii="宋体" w:hAnsi="宋体" w:eastAsia="宋体" w:cs="宋体"/>
                <w:b/>
                <w:color w:val="auto"/>
                <w:kern w:val="2"/>
                <w:sz w:val="21"/>
                <w:szCs w:val="21"/>
                <w:highlight w:val="none"/>
                <w:u w:val="single"/>
              </w:rPr>
              <w:t>(满分100分)×</w:t>
            </w:r>
            <w:r>
              <w:rPr>
                <w:rFonts w:hint="eastAsia" w:ascii="宋体" w:hAnsi="宋体" w:eastAsia="宋体" w:cs="宋体"/>
                <w:b/>
                <w:color w:val="auto"/>
                <w:kern w:val="2"/>
                <w:sz w:val="21"/>
                <w:szCs w:val="21"/>
                <w:highlight w:val="none"/>
                <w:u w:val="single"/>
                <w:lang w:val="en-US" w:eastAsia="zh-CN"/>
              </w:rPr>
              <w:t>1</w:t>
            </w:r>
            <w:r>
              <w:rPr>
                <w:rFonts w:hint="eastAsia" w:ascii="宋体" w:hAnsi="宋体" w:eastAsia="宋体" w:cs="宋体"/>
                <w:b/>
                <w:color w:val="auto"/>
                <w:kern w:val="2"/>
                <w:sz w:val="21"/>
                <w:szCs w:val="21"/>
                <w:highlight w:val="none"/>
                <w:u w:val="single"/>
              </w:rPr>
              <w:t>0%</w:t>
            </w:r>
            <w:r>
              <w:rPr>
                <w:rFonts w:hint="eastAsia" w:ascii="宋体" w:hAnsi="宋体" w:eastAsia="宋体" w:cs="宋体"/>
                <w:b/>
                <w:color w:val="auto"/>
                <w:kern w:val="2"/>
                <w:sz w:val="21"/>
                <w:szCs w:val="21"/>
                <w:highlight w:val="none"/>
                <w:u w:val="single"/>
                <w:lang w:val="en-US" w:eastAsia="zh-CN"/>
              </w:rPr>
              <w:t>（企业综合诚信评价得分权重）</w:t>
            </w:r>
            <w:r>
              <w:rPr>
                <w:rFonts w:cs="宋体"/>
                <w:color w:val="auto"/>
                <w:szCs w:val="21"/>
                <w:highlight w:val="none"/>
                <w:u w:val="single"/>
              </w:rPr>
              <w:t>”</w:t>
            </w:r>
            <w:r>
              <w:rPr>
                <w:rFonts w:hint="eastAsia" w:cs="宋体"/>
                <w:color w:val="auto"/>
                <w:szCs w:val="21"/>
                <w:highlight w:val="none"/>
                <w:u w:val="single"/>
              </w:rPr>
              <w:t>的公式，计算各有效投标文件的总分，并按照总分从高到低排列先后次序。若投标人得分相同的，则以投标总报价较低的排前；投标总报价仍相同的，则以技术分较高的排前；如仍存在相同情况，则对具有相同情况的投标人，按中标候选人数量规定，由评标委员会采用记名投票方式，确定中标候选人的排序。</w:t>
            </w:r>
          </w:p>
          <w:p>
            <w:pPr>
              <w:rPr>
                <w:color w:val="auto"/>
                <w:szCs w:val="21"/>
                <w:highlight w:val="none"/>
              </w:rPr>
            </w:pPr>
            <w:r>
              <w:rPr>
                <w:rFonts w:hint="eastAsia" w:cs="宋体"/>
                <w:color w:val="auto"/>
                <w:szCs w:val="21"/>
                <w:highlight w:val="none"/>
                <w:u w:val="single"/>
              </w:rPr>
              <w:t>注：记名投票方式确定排序的具体操作步骤为：由评标委员会对出现该情况的投标人采取记名投票的方式确定，按得票数从高到低排列先后次序，以得票数高的排前，根据得票数高低确定中标候选人排序。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639" w:type="dxa"/>
            <w:tcBorders>
              <w:top w:val="single" w:color="auto" w:sz="4" w:space="0"/>
              <w:left w:val="doub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33</w:t>
            </w:r>
          </w:p>
        </w:tc>
        <w:tc>
          <w:tcPr>
            <w:tcW w:w="89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t>13.4</w:t>
            </w:r>
            <w:r>
              <w:rPr>
                <w:rFonts w:hint="eastAsia"/>
                <w:color w:val="auto"/>
                <w:szCs w:val="21"/>
                <w:highlight w:val="none"/>
              </w:rPr>
              <w:t>、</w:t>
            </w:r>
            <w:r>
              <w:rPr>
                <w:color w:val="auto"/>
                <w:szCs w:val="21"/>
                <w:highlight w:val="none"/>
              </w:rPr>
              <w:t>13.5.2</w:t>
            </w:r>
          </w:p>
        </w:tc>
        <w:tc>
          <w:tcPr>
            <w:tcW w:w="1648"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合同价款的调整办法</w:t>
            </w:r>
          </w:p>
        </w:tc>
        <w:tc>
          <w:tcPr>
            <w:tcW w:w="5987" w:type="dxa"/>
            <w:tcBorders>
              <w:top w:val="single" w:color="auto" w:sz="4" w:space="0"/>
              <w:left w:val="single" w:color="auto" w:sz="4" w:space="0"/>
              <w:bottom w:val="single" w:color="auto" w:sz="4" w:space="0"/>
              <w:right w:val="double" w:color="auto" w:sz="4" w:space="0"/>
            </w:tcBorders>
            <w:vAlign w:val="center"/>
          </w:tcPr>
          <w:p>
            <w:pPr>
              <w:rPr>
                <w:color w:val="auto"/>
                <w:szCs w:val="21"/>
                <w:highlight w:val="none"/>
                <w:u w:val="single"/>
              </w:rPr>
            </w:pPr>
            <w:r>
              <w:rPr>
                <w:rFonts w:hint="eastAsia"/>
                <w:color w:val="auto"/>
                <w:szCs w:val="21"/>
                <w:highlight w:val="none"/>
                <w:u w:val="single"/>
              </w:rPr>
              <w:t>按合同条款相关约定调整。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639" w:type="dxa"/>
            <w:tcBorders>
              <w:top w:val="single" w:color="auto" w:sz="4" w:space="0"/>
              <w:left w:val="doub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t>3</w:t>
            </w:r>
            <w:r>
              <w:rPr>
                <w:rFonts w:hint="eastAsia"/>
                <w:color w:val="auto"/>
                <w:szCs w:val="21"/>
                <w:highlight w:val="none"/>
              </w:rPr>
              <w:t>4</w:t>
            </w:r>
          </w:p>
        </w:tc>
        <w:tc>
          <w:tcPr>
            <w:tcW w:w="89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648"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kern w:val="0"/>
                <w:szCs w:val="21"/>
                <w:highlight w:val="none"/>
                <w:lang w:val="zh-CN"/>
              </w:rPr>
              <w:t>建设工程质量检测单位</w:t>
            </w:r>
          </w:p>
        </w:tc>
        <w:tc>
          <w:tcPr>
            <w:tcW w:w="5987" w:type="dxa"/>
            <w:tcBorders>
              <w:top w:val="single" w:color="auto" w:sz="4" w:space="0"/>
              <w:left w:val="single" w:color="auto" w:sz="4" w:space="0"/>
              <w:bottom w:val="single" w:color="auto" w:sz="4" w:space="0"/>
              <w:right w:val="double" w:color="auto" w:sz="4" w:space="0"/>
            </w:tcBorders>
            <w:vAlign w:val="center"/>
          </w:tcPr>
          <w:p>
            <w:pPr>
              <w:rPr>
                <w:color w:val="auto"/>
                <w:kern w:val="0"/>
                <w:sz w:val="21"/>
                <w:szCs w:val="21"/>
                <w:highlight w:val="none"/>
                <w:lang w:val="zh-CN"/>
              </w:rPr>
            </w:pPr>
            <w:r>
              <w:rPr>
                <w:rFonts w:hint="eastAsia" w:ascii="宋体" w:hAnsi="宋体"/>
                <w:color w:val="auto"/>
                <w:kern w:val="0"/>
                <w:sz w:val="21"/>
                <w:szCs w:val="21"/>
                <w:highlight w:val="non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39" w:type="dxa"/>
            <w:tcBorders>
              <w:top w:val="single" w:color="auto" w:sz="4" w:space="0"/>
              <w:left w:val="doub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35</w:t>
            </w:r>
          </w:p>
        </w:tc>
        <w:tc>
          <w:tcPr>
            <w:tcW w:w="89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648" w:type="dxa"/>
            <w:tcBorders>
              <w:top w:val="single" w:color="auto" w:sz="4" w:space="0"/>
              <w:left w:val="single" w:color="auto" w:sz="4" w:space="0"/>
              <w:bottom w:val="single" w:color="auto" w:sz="4" w:space="0"/>
              <w:right w:val="single" w:color="auto" w:sz="4" w:space="0"/>
            </w:tcBorders>
            <w:vAlign w:val="center"/>
          </w:tcPr>
          <w:p>
            <w:pPr>
              <w:rPr>
                <w:color w:val="auto"/>
                <w:kern w:val="0"/>
                <w:szCs w:val="21"/>
                <w:highlight w:val="none"/>
                <w:lang w:val="zh-CN"/>
              </w:rPr>
            </w:pPr>
            <w:r>
              <w:rPr>
                <w:rFonts w:hint="eastAsia"/>
                <w:color w:val="auto"/>
                <w:kern w:val="0"/>
                <w:szCs w:val="21"/>
                <w:highlight w:val="none"/>
                <w:lang w:val="zh-CN"/>
              </w:rPr>
              <w:t>分包</w:t>
            </w:r>
          </w:p>
        </w:tc>
        <w:tc>
          <w:tcPr>
            <w:tcW w:w="598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kern w:val="0"/>
                <w:szCs w:val="21"/>
                <w:highlight w:val="none"/>
                <w:lang w:val="zh-CN"/>
              </w:rPr>
            </w:pPr>
            <w:r>
              <w:rPr>
                <w:rFonts w:hint="eastAsia" w:ascii="宋体" w:hAnsi="宋体"/>
                <w:color w:val="auto"/>
                <w:kern w:val="0"/>
                <w:szCs w:val="21"/>
                <w:highlight w:val="none"/>
                <w:lang w:val="zh-CN"/>
              </w:rPr>
              <w:sym w:font="Wingdings 2" w:char="0052"/>
            </w:r>
            <w:r>
              <w:rPr>
                <w:rFonts w:hint="eastAsia" w:ascii="宋体" w:hAnsi="宋体"/>
                <w:color w:val="auto"/>
                <w:kern w:val="0"/>
                <w:szCs w:val="21"/>
                <w:highlight w:val="none"/>
                <w:lang w:val="zh-CN"/>
              </w:rPr>
              <w:t>不允许分包（劳务作业除外）；</w:t>
            </w:r>
          </w:p>
          <w:p>
            <w:pPr>
              <w:rPr>
                <w:rFonts w:ascii="宋体" w:hAnsi="宋体"/>
                <w:color w:val="auto"/>
                <w:kern w:val="0"/>
                <w:szCs w:val="21"/>
                <w:highlight w:val="none"/>
                <w:lang w:val="zh-CN"/>
              </w:rPr>
            </w:pPr>
            <w:r>
              <w:rPr>
                <w:rFonts w:hint="eastAsia" w:ascii="宋体" w:hAnsi="宋体"/>
                <w:color w:val="auto"/>
                <w:kern w:val="0"/>
                <w:szCs w:val="21"/>
                <w:highlight w:val="none"/>
                <w:lang w:val="zh-CN"/>
              </w:rPr>
              <w:t>□允许：分包内容要要求：</w:t>
            </w:r>
            <w:r>
              <w:rPr>
                <w:rFonts w:hint="eastAsia" w:ascii="宋体" w:hAnsi="宋体"/>
                <w:color w:val="auto"/>
                <w:kern w:val="0"/>
                <w:szCs w:val="21"/>
                <w:highlight w:val="none"/>
                <w:u w:val="single"/>
              </w:rPr>
              <w:t>/</w:t>
            </w:r>
            <w:r>
              <w:rPr>
                <w:rFonts w:hint="eastAsia" w:ascii="宋体" w:hAnsi="宋体"/>
                <w:color w:val="auto"/>
                <w:kern w:val="0"/>
                <w:szCs w:val="21"/>
                <w:highlight w:val="none"/>
                <w:u w:val="single"/>
                <w:lang w:val="zh-CN"/>
              </w:rPr>
              <w:t>。</w:t>
            </w:r>
          </w:p>
          <w:p>
            <w:pPr>
              <w:rPr>
                <w:rFonts w:ascii="宋体" w:hAnsi="宋体"/>
                <w:color w:val="auto"/>
                <w:kern w:val="0"/>
                <w:szCs w:val="21"/>
                <w:highlight w:val="none"/>
                <w:lang w:val="zh-CN"/>
              </w:rPr>
            </w:pPr>
            <w:r>
              <w:rPr>
                <w:rFonts w:hint="eastAsia" w:ascii="宋体" w:hAnsi="宋体"/>
                <w:color w:val="auto"/>
                <w:kern w:val="0"/>
                <w:szCs w:val="21"/>
                <w:highlight w:val="none"/>
                <w:lang w:val="zh-CN"/>
              </w:rPr>
              <w:t xml:space="preserve">     分包金额要求：</w:t>
            </w:r>
            <w:r>
              <w:rPr>
                <w:rFonts w:hint="eastAsia" w:ascii="宋体" w:hAnsi="宋体"/>
                <w:color w:val="auto"/>
                <w:kern w:val="0"/>
                <w:szCs w:val="21"/>
                <w:highlight w:val="none"/>
                <w:u w:val="single"/>
              </w:rPr>
              <w:t>/</w:t>
            </w:r>
            <w:r>
              <w:rPr>
                <w:rFonts w:hint="eastAsia" w:ascii="宋体" w:hAnsi="宋体"/>
                <w:color w:val="auto"/>
                <w:kern w:val="0"/>
                <w:szCs w:val="21"/>
                <w:highlight w:val="none"/>
                <w:u w:val="single"/>
                <w:lang w:val="zh-CN"/>
              </w:rPr>
              <w:t>。</w:t>
            </w:r>
          </w:p>
          <w:p>
            <w:pPr>
              <w:rPr>
                <w:rFonts w:ascii="宋体" w:hAnsi="宋体"/>
                <w:color w:val="auto"/>
                <w:kern w:val="0"/>
                <w:szCs w:val="21"/>
                <w:highlight w:val="none"/>
                <w:lang w:val="zh-CN"/>
              </w:rPr>
            </w:pPr>
            <w:r>
              <w:rPr>
                <w:rFonts w:hint="eastAsia" w:ascii="宋体" w:hAnsi="宋体"/>
                <w:color w:val="auto"/>
                <w:kern w:val="0"/>
                <w:szCs w:val="21"/>
                <w:highlight w:val="none"/>
                <w:lang w:val="zh-CN"/>
              </w:rPr>
              <w:t xml:space="preserve">     对分包人的资质要求：</w:t>
            </w:r>
            <w:r>
              <w:rPr>
                <w:rFonts w:hint="eastAsia" w:ascii="宋体" w:hAnsi="宋体"/>
                <w:color w:val="auto"/>
                <w:kern w:val="0"/>
                <w:szCs w:val="21"/>
                <w:highlight w:val="none"/>
                <w:u w:val="single"/>
              </w:rPr>
              <w:t>/</w:t>
            </w:r>
            <w:r>
              <w:rPr>
                <w:rFonts w:hint="eastAsia" w:ascii="宋体" w:hAnsi="宋体"/>
                <w:color w:val="auto"/>
                <w:kern w:val="0"/>
                <w:szCs w:val="21"/>
                <w:highlight w:val="none"/>
                <w:u w:val="single"/>
                <w:lang w:val="zh-CN"/>
              </w:rPr>
              <w:t>。</w:t>
            </w:r>
          </w:p>
          <w:p>
            <w:pPr>
              <w:tabs>
                <w:tab w:val="left" w:pos="2940"/>
              </w:tabs>
              <w:rPr>
                <w:color w:val="auto"/>
                <w:kern w:val="0"/>
                <w:sz w:val="21"/>
                <w:szCs w:val="21"/>
                <w:highlight w:val="none"/>
                <w:lang w:val="zh-CN"/>
              </w:rPr>
            </w:pPr>
            <w:r>
              <w:rPr>
                <w:rFonts w:hint="eastAsia" w:ascii="宋体" w:hAnsi="宋体"/>
                <w:color w:val="auto"/>
                <w:kern w:val="0"/>
                <w:szCs w:val="21"/>
                <w:highlight w:val="none"/>
                <w:lang w:val="zh-CN"/>
              </w:rPr>
              <w:t xml:space="preserve">     对分包人的其他要求：</w:t>
            </w:r>
            <w:r>
              <w:rPr>
                <w:rFonts w:hint="eastAsia" w:ascii="宋体" w:hAnsi="宋体"/>
                <w:color w:val="auto"/>
                <w:kern w:val="0"/>
                <w:szCs w:val="21"/>
                <w:highlight w:val="none"/>
                <w:u w:val="single"/>
              </w:rPr>
              <w:t>/</w:t>
            </w:r>
            <w:r>
              <w:rPr>
                <w:rFonts w:hint="eastAsia" w:ascii="宋体" w:hAnsi="宋体"/>
                <w:color w:val="auto"/>
                <w:kern w:val="0"/>
                <w:szCs w:val="21"/>
                <w:highlight w:val="none"/>
                <w:u w:val="singl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639" w:type="dxa"/>
            <w:tcBorders>
              <w:top w:val="single" w:color="auto" w:sz="4" w:space="0"/>
              <w:left w:val="doub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36</w:t>
            </w:r>
          </w:p>
        </w:tc>
        <w:tc>
          <w:tcPr>
            <w:tcW w:w="893"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p>
        </w:tc>
        <w:tc>
          <w:tcPr>
            <w:tcW w:w="164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电子招标投标解密失败及突发情况的补救</w:t>
            </w:r>
          </w:p>
        </w:tc>
        <w:tc>
          <w:tcPr>
            <w:tcW w:w="5987" w:type="dxa"/>
            <w:tcBorders>
              <w:top w:val="single" w:color="auto" w:sz="4" w:space="0"/>
              <w:left w:val="single" w:color="auto" w:sz="4" w:space="0"/>
              <w:bottom w:val="single" w:color="auto" w:sz="4" w:space="0"/>
              <w:right w:val="double" w:color="auto" w:sz="4" w:space="0"/>
            </w:tcBorders>
            <w:vAlign w:val="center"/>
          </w:tcPr>
          <w:p>
            <w:pPr>
              <w:rPr>
                <w:rFonts w:cs="Courier New"/>
                <w:color w:val="auto"/>
                <w:szCs w:val="21"/>
                <w:highlight w:val="none"/>
              </w:rPr>
            </w:pPr>
            <w:r>
              <w:rPr>
                <w:rFonts w:hint="eastAsia" w:cs="Courier New"/>
                <w:color w:val="auto"/>
                <w:szCs w:val="21"/>
                <w:highlight w:val="none"/>
              </w:rPr>
              <w:t>1、按照交易平台关于全流程电子化项目的相关指南进行操作。详见：</w:t>
            </w:r>
            <w:r>
              <w:rPr>
                <w:rFonts w:hint="eastAsia" w:cs="Courier New"/>
                <w:color w:val="auto"/>
                <w:szCs w:val="21"/>
                <w:highlight w:val="none"/>
                <w:u w:val="single"/>
              </w:rPr>
              <w:t>广州公共资源交易中心网站。</w:t>
            </w:r>
          </w:p>
          <w:p>
            <w:pPr>
              <w:rPr>
                <w:rFonts w:cs="Courier New"/>
                <w:color w:val="auto"/>
                <w:szCs w:val="21"/>
                <w:highlight w:val="none"/>
              </w:rPr>
            </w:pPr>
            <w:r>
              <w:rPr>
                <w:rFonts w:hint="eastAsia" w:cs="Courier New"/>
                <w:color w:val="auto"/>
                <w:szCs w:val="21"/>
                <w:highlight w:val="none"/>
              </w:rPr>
              <w:t>2、提交投标文件光盘备用</w:t>
            </w:r>
          </w:p>
          <w:p>
            <w:pPr>
              <w:rPr>
                <w:rFonts w:cs="Courier New"/>
                <w:color w:val="auto"/>
                <w:szCs w:val="21"/>
                <w:highlight w:val="none"/>
              </w:rPr>
            </w:pPr>
            <w:r>
              <w:rPr>
                <w:rFonts w:hint="eastAsia" w:cs="Courier New"/>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pPr>
              <w:rPr>
                <w:rFonts w:cs="Courier New"/>
                <w:color w:val="auto"/>
                <w:szCs w:val="21"/>
                <w:highlight w:val="none"/>
              </w:rPr>
            </w:pPr>
            <w:r>
              <w:rPr>
                <w:rFonts w:hint="eastAsia" w:cs="Courier New"/>
                <w:color w:val="auto"/>
                <w:szCs w:val="21"/>
                <w:highlight w:val="none"/>
              </w:rPr>
              <w:t xml:space="preserve"> 3、补救方案</w:t>
            </w:r>
          </w:p>
          <w:p>
            <w:pPr>
              <w:rPr>
                <w:rFonts w:cs="Courier New"/>
                <w:color w:val="auto"/>
                <w:szCs w:val="21"/>
                <w:highlight w:val="none"/>
              </w:rPr>
            </w:pPr>
            <w:r>
              <w:rPr>
                <w:rFonts w:hint="eastAsia" w:cs="Courier New"/>
                <w:color w:val="auto"/>
                <w:szCs w:val="21"/>
                <w:highlight w:val="none"/>
              </w:rPr>
              <w:t>（1）投标文件解密失败的补救方案：</w:t>
            </w:r>
          </w:p>
          <w:p>
            <w:pPr>
              <w:rPr>
                <w:rFonts w:cs="Courier New"/>
                <w:color w:val="auto"/>
                <w:szCs w:val="21"/>
                <w:highlight w:val="none"/>
              </w:rPr>
            </w:pPr>
            <w:r>
              <w:rPr>
                <w:rFonts w:hint="eastAsia" w:cs="Courier New"/>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rPr>
                <w:rFonts w:cs="Courier New"/>
                <w:color w:val="auto"/>
                <w:szCs w:val="21"/>
                <w:highlight w:val="none"/>
              </w:rPr>
            </w:pPr>
            <w:r>
              <w:rPr>
                <w:rFonts w:hint="eastAsia" w:cs="Courier New"/>
                <w:color w:val="auto"/>
                <w:szCs w:val="21"/>
                <w:highlight w:val="none"/>
              </w:rPr>
              <w:t>（2）评标时突发情况的补救方案</w:t>
            </w:r>
          </w:p>
          <w:p>
            <w:pPr>
              <w:rPr>
                <w:rFonts w:cs="Courier New"/>
                <w:color w:val="auto"/>
                <w:szCs w:val="21"/>
                <w:highlight w:val="none"/>
              </w:rPr>
            </w:pPr>
            <w:r>
              <w:rPr>
                <w:rFonts w:hint="eastAsia" w:cs="Courier New"/>
                <w:color w:val="auto"/>
                <w:szCs w:val="21"/>
                <w:highlight w:val="none"/>
              </w:rPr>
              <w:t>若遇不可抗力发生（指网络瘫痪、服务器损坏、交易系统故障短期无法恢复等因素），由评标委员会开启投标人递交的全部投标文件光盘，并按光盘内容进行评审。</w:t>
            </w:r>
          </w:p>
          <w:p>
            <w:pPr>
              <w:rPr>
                <w:rFonts w:cs="Courier New"/>
                <w:color w:val="auto"/>
                <w:szCs w:val="21"/>
                <w:highlight w:val="none"/>
              </w:rPr>
            </w:pPr>
            <w:r>
              <w:rPr>
                <w:rFonts w:hint="eastAsia" w:cs="Courier New"/>
                <w:color w:val="auto"/>
                <w:szCs w:val="21"/>
                <w:highlight w:val="none"/>
              </w:rPr>
              <w:t>（3）除发生上述情况外，开标评标均以投标人通过交易平台网上递交的电子投标文件为准。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39" w:type="dxa"/>
            <w:tcBorders>
              <w:top w:val="single" w:color="auto" w:sz="4" w:space="0"/>
              <w:left w:val="doub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u w:val="single"/>
              </w:rPr>
              <w:t>37</w:t>
            </w:r>
          </w:p>
        </w:tc>
        <w:tc>
          <w:tcPr>
            <w:tcW w:w="893"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p>
        </w:tc>
        <w:tc>
          <w:tcPr>
            <w:tcW w:w="1648" w:type="dxa"/>
            <w:tcBorders>
              <w:top w:val="single" w:color="auto" w:sz="4" w:space="0"/>
              <w:left w:val="single" w:color="auto" w:sz="4" w:space="0"/>
              <w:bottom w:val="single" w:color="auto" w:sz="4" w:space="0"/>
              <w:right w:val="single" w:color="auto" w:sz="4" w:space="0"/>
            </w:tcBorders>
            <w:vAlign w:val="center"/>
          </w:tcPr>
          <w:p>
            <w:pPr>
              <w:spacing w:line="276" w:lineRule="auto"/>
              <w:rPr>
                <w:color w:val="auto"/>
                <w:highlight w:val="none"/>
              </w:rPr>
            </w:pPr>
            <w:r>
              <w:rPr>
                <w:rFonts w:hint="eastAsia" w:cs="宋体"/>
                <w:color w:val="auto"/>
                <w:szCs w:val="21"/>
                <w:highlight w:val="none"/>
                <w:u w:val="single"/>
              </w:rPr>
              <w:t>招标人拒绝接收投标文件备用光盘的情况</w:t>
            </w:r>
          </w:p>
        </w:tc>
        <w:tc>
          <w:tcPr>
            <w:tcW w:w="5987" w:type="dxa"/>
            <w:tcBorders>
              <w:top w:val="single" w:color="auto" w:sz="4" w:space="0"/>
              <w:left w:val="single" w:color="auto" w:sz="4" w:space="0"/>
              <w:bottom w:val="single" w:color="auto" w:sz="4" w:space="0"/>
              <w:right w:val="double" w:color="auto" w:sz="4" w:space="0"/>
            </w:tcBorders>
            <w:vAlign w:val="center"/>
          </w:tcPr>
          <w:p>
            <w:pPr>
              <w:spacing w:line="276" w:lineRule="auto"/>
              <w:rPr>
                <w:rFonts w:cs="宋体"/>
                <w:color w:val="auto"/>
                <w:szCs w:val="21"/>
                <w:highlight w:val="none"/>
                <w:u w:val="single"/>
              </w:rPr>
            </w:pPr>
            <w:r>
              <w:rPr>
                <w:rFonts w:hint="eastAsia" w:cs="宋体"/>
                <w:color w:val="auto"/>
                <w:szCs w:val="21"/>
                <w:highlight w:val="none"/>
                <w:u w:val="single"/>
              </w:rPr>
              <w:t>1、在投标截止期后逾期或未在指定地点递交投标文件备用光盘的；</w:t>
            </w:r>
          </w:p>
          <w:p>
            <w:pPr>
              <w:spacing w:line="276" w:lineRule="auto"/>
              <w:rPr>
                <w:rFonts w:cs="宋体"/>
                <w:color w:val="auto"/>
                <w:szCs w:val="21"/>
                <w:highlight w:val="none"/>
                <w:u w:val="single"/>
              </w:rPr>
            </w:pPr>
            <w:r>
              <w:rPr>
                <w:rFonts w:hint="eastAsia" w:cs="宋体"/>
                <w:color w:val="auto"/>
                <w:szCs w:val="21"/>
                <w:highlight w:val="none"/>
                <w:u w:val="single"/>
              </w:rPr>
              <w:t>2、投标文件备用光盘未按招标文件要求密封或未在密封处盖章的；</w:t>
            </w:r>
          </w:p>
          <w:p>
            <w:pPr>
              <w:spacing w:line="276" w:lineRule="auto"/>
              <w:rPr>
                <w:color w:val="auto"/>
                <w:highlight w:val="none"/>
              </w:rPr>
            </w:pPr>
            <w:r>
              <w:rPr>
                <w:rFonts w:hint="eastAsia" w:cs="宋体"/>
                <w:color w:val="auto"/>
                <w:szCs w:val="21"/>
                <w:highlight w:val="none"/>
                <w:u w:val="single"/>
              </w:rPr>
              <w:t>3、投标人代表未凭法定代表人证明书（原件）、授权委托书原件（仅限于非法定代表人）、本人身份证原件递交投标文件备用光盘的。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639" w:type="dxa"/>
            <w:tcBorders>
              <w:top w:val="single" w:color="auto" w:sz="4" w:space="0"/>
              <w:left w:val="double" w:color="auto" w:sz="4" w:space="0"/>
              <w:bottom w:val="single" w:color="auto" w:sz="4" w:space="0"/>
              <w:right w:val="single" w:color="auto" w:sz="4" w:space="0"/>
            </w:tcBorders>
            <w:vAlign w:val="center"/>
          </w:tcPr>
          <w:p>
            <w:pPr>
              <w:rPr>
                <w:rFonts w:cs="宋体"/>
                <w:color w:val="auto"/>
                <w:szCs w:val="21"/>
                <w:highlight w:val="none"/>
                <w:u w:val="single"/>
              </w:rPr>
            </w:pPr>
            <w:r>
              <w:rPr>
                <w:rFonts w:hint="eastAsia" w:ascii="宋体" w:hAnsi="宋体"/>
                <w:color w:val="auto"/>
                <w:szCs w:val="21"/>
                <w:highlight w:val="none"/>
                <w:u w:val="single"/>
              </w:rPr>
              <w:t>38</w:t>
            </w:r>
          </w:p>
        </w:tc>
        <w:tc>
          <w:tcPr>
            <w:tcW w:w="893"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highlight w:val="none"/>
              </w:rPr>
            </w:pPr>
          </w:p>
        </w:tc>
        <w:tc>
          <w:tcPr>
            <w:tcW w:w="1648"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u w:val="single"/>
              </w:rPr>
            </w:pPr>
            <w:r>
              <w:rPr>
                <w:rFonts w:hint="eastAsia" w:ascii="宋体" w:hAnsi="宋体" w:cs="宋体"/>
                <w:color w:val="auto"/>
                <w:szCs w:val="21"/>
                <w:highlight w:val="none"/>
                <w:u w:val="single"/>
              </w:rPr>
              <w:t>中标公示后中标单位提交投标文件要求</w:t>
            </w:r>
          </w:p>
        </w:tc>
        <w:tc>
          <w:tcPr>
            <w:tcW w:w="5987" w:type="dxa"/>
            <w:tcBorders>
              <w:top w:val="single" w:color="auto" w:sz="4" w:space="0"/>
              <w:left w:val="single" w:color="auto" w:sz="4" w:space="0"/>
              <w:bottom w:val="single" w:color="auto" w:sz="4" w:space="0"/>
              <w:right w:val="double" w:color="auto" w:sz="4" w:space="0"/>
            </w:tcBorders>
            <w:vAlign w:val="center"/>
          </w:tcPr>
          <w:p>
            <w:pPr>
              <w:rPr>
                <w:rFonts w:cs="宋体"/>
                <w:color w:val="auto"/>
                <w:szCs w:val="21"/>
                <w:highlight w:val="none"/>
                <w:u w:val="single"/>
              </w:rPr>
            </w:pPr>
            <w:r>
              <w:rPr>
                <w:rFonts w:hint="eastAsia" w:ascii="宋体" w:hAnsi="宋体" w:cs="宋体"/>
                <w:color w:val="auto"/>
                <w:szCs w:val="21"/>
                <w:highlight w:val="none"/>
                <w:u w:val="single"/>
              </w:rPr>
              <w:t>中标单位在中标公示后，须提供与所递交投标电子标书内容一致且加盖单位公章的纸质文件四套及电子文件二套（不用生成投标书；包括用Microsoft Excel 软件或广州公共资源交易中心提供的投标书制作软件制作的工程量清单报价表和单价分析表，用Microsoft Word软件或广州公共资源交易中心提供的投标书制作软件制作的经济投标文件其他部分。电子文件介质使用CD-R光盘，所有电子文件不能采用压缩处理）给招标单位。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639" w:type="dxa"/>
            <w:tcBorders>
              <w:top w:val="single" w:color="auto" w:sz="4" w:space="0"/>
              <w:left w:val="double" w:color="auto" w:sz="4" w:space="0"/>
              <w:bottom w:val="single" w:color="auto" w:sz="4" w:space="0"/>
              <w:right w:val="single" w:color="auto" w:sz="4" w:space="0"/>
            </w:tcBorders>
            <w:vAlign w:val="center"/>
          </w:tcPr>
          <w:p>
            <w:pPr>
              <w:spacing w:line="276" w:lineRule="auto"/>
              <w:rPr>
                <w:rFonts w:hint="eastAsia" w:ascii="宋体" w:hAnsi="宋体"/>
                <w:color w:val="auto"/>
                <w:szCs w:val="21"/>
                <w:highlight w:val="none"/>
                <w:u w:val="single"/>
              </w:rPr>
            </w:pPr>
            <w:r>
              <w:rPr>
                <w:rFonts w:hint="eastAsia" w:cs="宋体"/>
                <w:color w:val="auto"/>
                <w:szCs w:val="21"/>
                <w:highlight w:val="none"/>
                <w:u w:val="single"/>
              </w:rPr>
              <w:t>39</w:t>
            </w:r>
          </w:p>
        </w:tc>
        <w:tc>
          <w:tcPr>
            <w:tcW w:w="89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宋体"/>
                <w:color w:val="auto"/>
                <w:highlight w:val="none"/>
              </w:rPr>
            </w:pPr>
          </w:p>
        </w:tc>
        <w:tc>
          <w:tcPr>
            <w:tcW w:w="1648" w:type="dxa"/>
            <w:tcBorders>
              <w:top w:val="single" w:color="auto" w:sz="4" w:space="0"/>
              <w:left w:val="single" w:color="auto" w:sz="4" w:space="0"/>
              <w:bottom w:val="single" w:color="auto" w:sz="4" w:space="0"/>
              <w:right w:val="single" w:color="auto" w:sz="4" w:space="0"/>
            </w:tcBorders>
            <w:vAlign w:val="center"/>
          </w:tcPr>
          <w:p>
            <w:pPr>
              <w:ind w:left="-65" w:leftChars="-31" w:right="-59" w:rightChars="-28"/>
              <w:rPr>
                <w:rFonts w:hint="eastAsia" w:ascii="宋体" w:hAnsi="宋体" w:cs="宋体"/>
                <w:color w:val="auto"/>
                <w:szCs w:val="21"/>
                <w:highlight w:val="none"/>
                <w:u w:val="single"/>
              </w:rPr>
            </w:pPr>
            <w:r>
              <w:rPr>
                <w:rFonts w:hint="eastAsia" w:cs="宋体"/>
                <w:color w:val="auto"/>
                <w:szCs w:val="21"/>
                <w:highlight w:val="none"/>
                <w:u w:val="single"/>
              </w:rPr>
              <w:t>安全生产责任保险</w:t>
            </w:r>
          </w:p>
        </w:tc>
        <w:tc>
          <w:tcPr>
            <w:tcW w:w="5987" w:type="dxa"/>
            <w:tcBorders>
              <w:top w:val="single" w:color="auto" w:sz="4" w:space="0"/>
              <w:left w:val="single" w:color="auto" w:sz="4" w:space="0"/>
              <w:bottom w:val="single" w:color="auto" w:sz="4" w:space="0"/>
              <w:right w:val="double" w:color="auto" w:sz="4" w:space="0"/>
            </w:tcBorders>
            <w:vAlign w:val="center"/>
          </w:tcPr>
          <w:p>
            <w:pPr>
              <w:ind w:left="-27" w:leftChars="-13" w:right="-59" w:rightChars="-28"/>
              <w:rPr>
                <w:rFonts w:hint="eastAsia" w:ascii="宋体" w:hAnsi="宋体" w:cs="宋体"/>
                <w:color w:val="auto"/>
                <w:szCs w:val="21"/>
                <w:highlight w:val="none"/>
                <w:u w:val="single"/>
              </w:rPr>
            </w:pPr>
            <w:r>
              <w:rPr>
                <w:rFonts w:hint="eastAsia" w:cs="宋体"/>
                <w:color w:val="auto"/>
                <w:szCs w:val="21"/>
                <w:highlight w:val="none"/>
                <w:u w:val="single"/>
              </w:rPr>
              <w:t>开工前中标人应当投保安全生产责任保险，且该保险保障场所应包含中标项目。投标人的投标报价视为包含该项费用。中标人未按规定购买安全生产责任保险，招标人可视严重程度拒绝该单位一定时期内参与后续工程投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639" w:type="dxa"/>
            <w:tcBorders>
              <w:top w:val="single" w:color="auto" w:sz="4" w:space="0"/>
              <w:left w:val="double" w:color="auto" w:sz="4" w:space="0"/>
              <w:bottom w:val="single" w:color="auto" w:sz="4" w:space="0"/>
              <w:right w:val="single" w:color="auto" w:sz="4" w:space="0"/>
            </w:tcBorders>
            <w:vAlign w:val="center"/>
          </w:tcPr>
          <w:p>
            <w:pPr>
              <w:spacing w:line="276" w:lineRule="auto"/>
              <w:rPr>
                <w:rFonts w:hint="default" w:eastAsia="宋体" w:cs="宋体"/>
                <w:color w:val="auto"/>
                <w:szCs w:val="21"/>
                <w:highlight w:val="none"/>
                <w:u w:val="single"/>
                <w:lang w:val="en-US" w:eastAsia="zh-CN"/>
              </w:rPr>
            </w:pPr>
            <w:r>
              <w:rPr>
                <w:rFonts w:hint="eastAsia" w:cs="宋体"/>
                <w:color w:val="auto"/>
                <w:szCs w:val="21"/>
                <w:highlight w:val="none"/>
                <w:u w:val="single"/>
                <w:lang w:val="en-US" w:eastAsia="zh-CN"/>
              </w:rPr>
              <w:t>40</w:t>
            </w:r>
          </w:p>
        </w:tc>
        <w:tc>
          <w:tcPr>
            <w:tcW w:w="89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宋体"/>
                <w:color w:val="auto"/>
                <w:highlight w:val="none"/>
              </w:rPr>
            </w:pPr>
          </w:p>
        </w:tc>
        <w:tc>
          <w:tcPr>
            <w:tcW w:w="1648" w:type="dxa"/>
            <w:tcBorders>
              <w:top w:val="single" w:color="auto" w:sz="4" w:space="0"/>
              <w:left w:val="single" w:color="auto" w:sz="4" w:space="0"/>
              <w:bottom w:val="single" w:color="auto" w:sz="4" w:space="0"/>
              <w:right w:val="single" w:color="auto" w:sz="4" w:space="0"/>
            </w:tcBorders>
            <w:vAlign w:val="center"/>
          </w:tcPr>
          <w:p>
            <w:pPr>
              <w:ind w:left="-65" w:leftChars="-31" w:right="-59" w:rightChars="-28"/>
              <w:rPr>
                <w:rFonts w:hint="eastAsia" w:eastAsia="宋体" w:cs="宋体"/>
                <w:color w:val="auto"/>
                <w:szCs w:val="21"/>
                <w:highlight w:val="none"/>
                <w:u w:val="single"/>
                <w:lang w:val="en-US" w:eastAsia="zh-CN"/>
              </w:rPr>
            </w:pPr>
            <w:r>
              <w:rPr>
                <w:rFonts w:hint="eastAsia" w:cs="宋体"/>
                <w:color w:val="auto"/>
                <w:szCs w:val="21"/>
                <w:highlight w:val="none"/>
                <w:u w:val="single"/>
                <w:lang w:val="en-US" w:eastAsia="zh-CN"/>
              </w:rPr>
              <w:t>其他</w:t>
            </w:r>
          </w:p>
        </w:tc>
        <w:tc>
          <w:tcPr>
            <w:tcW w:w="5987" w:type="dxa"/>
            <w:tcBorders>
              <w:top w:val="single" w:color="auto" w:sz="4" w:space="0"/>
              <w:left w:val="single" w:color="auto" w:sz="4" w:space="0"/>
              <w:bottom w:val="single" w:color="auto" w:sz="4" w:space="0"/>
              <w:right w:val="double" w:color="auto" w:sz="4" w:space="0"/>
            </w:tcBorders>
            <w:vAlign w:val="center"/>
          </w:tcPr>
          <w:p>
            <w:pPr>
              <w:ind w:left="-27" w:leftChars="-13" w:right="-59" w:rightChars="-28"/>
              <w:rPr>
                <w:rFonts w:hint="eastAsia" w:cs="宋体"/>
                <w:color w:val="auto"/>
                <w:szCs w:val="21"/>
                <w:highlight w:val="none"/>
                <w:u w:val="single"/>
              </w:rPr>
            </w:pPr>
            <w:r>
              <w:rPr>
                <w:rFonts w:hint="eastAsia" w:cs="宋体"/>
                <w:color w:val="auto"/>
                <w:szCs w:val="21"/>
                <w:highlight w:val="none"/>
                <w:u w:val="single"/>
                <w:lang w:val="en-US" w:eastAsia="zh-CN"/>
              </w:rPr>
              <w:t>本项目为专业工程暂估价项目招标，中标人与招标人、总承包单位签订三方合同。</w:t>
            </w:r>
          </w:p>
        </w:tc>
      </w:tr>
    </w:tbl>
    <w:p>
      <w:pPr>
        <w:rPr>
          <w:rFonts w:ascii="宋体" w:hAnsi="宋体" w:cs="宋体"/>
          <w:strike w:val="0"/>
          <w:color w:val="auto"/>
          <w:sz w:val="24"/>
          <w:highlight w:val="none"/>
        </w:rPr>
      </w:pPr>
      <w:r>
        <w:rPr>
          <w:rFonts w:hint="eastAsia" w:ascii="宋体" w:hAnsi="宋体" w:cs="宋体"/>
          <w:strike w:val="0"/>
          <w:color w:val="auto"/>
          <w:sz w:val="24"/>
          <w:highlight w:val="none"/>
        </w:rPr>
        <w:t>注：企业</w:t>
      </w:r>
      <w:r>
        <w:rPr>
          <w:rFonts w:hint="eastAsia" w:ascii="宋体" w:hAnsi="宋体" w:cs="宋体"/>
          <w:strike w:val="0"/>
          <w:color w:val="auto"/>
          <w:kern w:val="0"/>
          <w:sz w:val="24"/>
          <w:highlight w:val="none"/>
        </w:rPr>
        <w:t>综合诚信评价得分即</w:t>
      </w:r>
      <w:r>
        <w:rPr>
          <w:rFonts w:hint="eastAsia" w:ascii="宋体" w:hAnsi="宋体" w:cs="宋体"/>
          <w:strike w:val="0"/>
          <w:color w:val="auto"/>
          <w:sz w:val="24"/>
          <w:highlight w:val="none"/>
        </w:rPr>
        <w:t>企业</w:t>
      </w:r>
      <w:r>
        <w:rPr>
          <w:rFonts w:hint="eastAsia" w:ascii="宋体" w:hAnsi="宋体" w:cs="宋体"/>
          <w:strike w:val="0"/>
          <w:color w:val="auto"/>
          <w:kern w:val="0"/>
          <w:sz w:val="24"/>
          <w:highlight w:val="none"/>
        </w:rPr>
        <w:t>综合诚信评价60日诚信分，以下同。</w:t>
      </w:r>
    </w:p>
    <w:p>
      <w:pPr>
        <w:pStyle w:val="3"/>
        <w:rPr>
          <w:color w:val="auto"/>
          <w:highlight w:val="none"/>
        </w:rPr>
      </w:pPr>
      <w:r>
        <w:rPr>
          <w:color w:val="auto"/>
          <w:highlight w:val="none"/>
        </w:rPr>
        <w:br w:type="page"/>
      </w:r>
      <w:bookmarkStart w:id="2" w:name="_Toc18664059"/>
      <w:r>
        <w:rPr>
          <w:rFonts w:hint="eastAsia"/>
          <w:color w:val="auto"/>
          <w:highlight w:val="none"/>
        </w:rPr>
        <w:t>二、投标须知修改表</w:t>
      </w:r>
      <w:bookmarkEnd w:id="2"/>
    </w:p>
    <w:p>
      <w:pPr>
        <w:pStyle w:val="23"/>
        <w:pBdr>
          <w:bottom w:val="single" w:color="auto" w:sz="6" w:space="1"/>
        </w:pBdr>
        <w:spacing w:line="360" w:lineRule="auto"/>
        <w:rPr>
          <w:rFonts w:ascii="宋体" w:hAnsi="宋体" w:cs="宋体"/>
          <w:b/>
          <w:color w:val="auto"/>
          <w:szCs w:val="21"/>
          <w:highlight w:val="none"/>
        </w:rPr>
      </w:pPr>
      <w:r>
        <w:rPr>
          <w:rFonts w:hint="eastAsia" w:ascii="宋体" w:hAnsi="宋体" w:cs="宋体"/>
          <w:b/>
          <w:color w:val="auto"/>
          <w:szCs w:val="21"/>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w:t>
      </w:r>
      <w:r>
        <w:rPr>
          <w:rFonts w:hint="eastAsia" w:ascii="宋体" w:hAnsi="宋体" w:cs="宋体"/>
          <w:b/>
          <w:color w:val="auto"/>
          <w:szCs w:val="21"/>
          <w:highlight w:val="none"/>
          <w:u w:val="single"/>
        </w:rPr>
        <w:t>网址：http://zfcj.gz.gov.cn/</w:t>
      </w:r>
      <w:r>
        <w:rPr>
          <w:rFonts w:hint="eastAsia" w:ascii="宋体" w:hAnsi="宋体" w:cs="宋体"/>
          <w:b/>
          <w:color w:val="auto"/>
          <w:szCs w:val="21"/>
          <w:highlight w:val="none"/>
        </w:rPr>
        <w:t>）下载查阅。</w:t>
      </w:r>
    </w:p>
    <w:p>
      <w:pPr>
        <w:pStyle w:val="23"/>
        <w:pBdr>
          <w:bottom w:val="single" w:color="auto" w:sz="4" w:space="1"/>
        </w:pBdr>
        <w:spacing w:line="360" w:lineRule="auto"/>
        <w:rPr>
          <w:rFonts w:hint="eastAsia" w:ascii="宋体" w:hAnsi="宋体" w:eastAsia="宋体" w:cs="宋体"/>
          <w:b/>
          <w:color w:val="auto"/>
          <w:kern w:val="2"/>
          <w:sz w:val="21"/>
          <w:szCs w:val="21"/>
          <w:highlight w:val="none"/>
          <w:lang w:val="en-US" w:eastAsia="zh-CN" w:bidi="ar-SA"/>
        </w:rPr>
      </w:pPr>
      <w:bookmarkStart w:id="3" w:name="_Toc18664060"/>
      <w:r>
        <w:rPr>
          <w:rFonts w:hint="eastAsia" w:ascii="宋体" w:hAnsi="宋体" w:eastAsia="宋体" w:cs="宋体"/>
          <w:b/>
          <w:color w:val="auto"/>
          <w:kern w:val="2"/>
          <w:sz w:val="21"/>
          <w:szCs w:val="21"/>
          <w:highlight w:val="none"/>
          <w:lang w:val="en-US" w:eastAsia="zh-CN" w:bidi="ar-SA"/>
        </w:rPr>
        <w:t>条款号：</w:t>
      </w:r>
      <w:r>
        <w:rPr>
          <w:rFonts w:hint="eastAsia" w:ascii="宋体" w:hAnsi="宋体" w:cs="宋体"/>
          <w:b/>
          <w:color w:val="auto"/>
          <w:kern w:val="2"/>
          <w:sz w:val="21"/>
          <w:szCs w:val="21"/>
          <w:highlight w:val="none"/>
          <w:lang w:val="en-US" w:eastAsia="zh-CN" w:bidi="ar-SA"/>
        </w:rPr>
        <w:t>2.5</w:t>
      </w:r>
      <w:r>
        <w:rPr>
          <w:rFonts w:hint="eastAsia" w:ascii="宋体" w:hAnsi="宋体" w:eastAsia="宋体" w:cs="宋体"/>
          <w:b/>
          <w:color w:val="auto"/>
          <w:kern w:val="2"/>
          <w:sz w:val="21"/>
          <w:szCs w:val="21"/>
          <w:highlight w:val="none"/>
          <w:lang w:val="en-US" w:eastAsia="zh-CN" w:bidi="ar-SA"/>
        </w:rPr>
        <w:t xml:space="preserve">                          修改类型：增加</w:t>
      </w:r>
    </w:p>
    <w:p>
      <w:pPr>
        <w:pBdr>
          <w:bottom w:val="single" w:color="auto" w:sz="4" w:space="1"/>
        </w:pBdr>
        <w:spacing w:line="360" w:lineRule="auto"/>
        <w:ind w:firstLine="411" w:firstLineChars="195"/>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lang w:val="en-US" w:eastAsia="zh-CN"/>
        </w:rPr>
        <w:t>2.5</w:t>
      </w:r>
      <w:r>
        <w:rPr>
          <w:rFonts w:hint="eastAsia" w:cs="宋体"/>
          <w:color w:val="auto"/>
          <w:szCs w:val="21"/>
          <w:highlight w:val="none"/>
        </w:rPr>
        <w:t>根据《建设工程质量检测管理办法》（建设部令第141号）第十二条规定，建设工程质量、安全检测业务应由建设单位依法委托，不列入本次招标范围。招标文件中与此条不一致的，以此条为准。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检工作。</w:t>
      </w:r>
    </w:p>
    <w:p>
      <w:pPr>
        <w:pStyle w:val="23"/>
        <w:pBdr>
          <w:bottom w:val="single" w:color="auto" w:sz="6" w:space="1"/>
        </w:pBdr>
        <w:spacing w:line="360" w:lineRule="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条款号：5.1                          修改类型：修改</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：5.1</w:t>
      </w:r>
      <w:r>
        <w:rPr>
          <w:rFonts w:hint="eastAsia" w:cs="宋体"/>
          <w:bCs/>
          <w:color w:val="auto"/>
          <w:szCs w:val="21"/>
          <w:highlight w:val="none"/>
        </w:rPr>
        <w:t>投标人应按本投标须知前附表第15项所述时间和要求对工程现场及周围环境进行踏勘，</w:t>
      </w:r>
      <w:r>
        <w:rPr>
          <w:rFonts w:hint="eastAsia" w:cs="宋体"/>
          <w:color w:val="auto"/>
          <w:szCs w:val="21"/>
          <w:highlight w:val="none"/>
        </w:rPr>
        <w:t>投标人应充分重视和仔细地进行这种考察，</w:t>
      </w:r>
      <w:r>
        <w:rPr>
          <w:rFonts w:hint="eastAsia" w:cs="宋体"/>
          <w:bCs/>
          <w:color w:val="auto"/>
          <w:szCs w:val="21"/>
          <w:highlight w:val="none"/>
        </w:rPr>
        <w:t>以便投标人获取</w:t>
      </w:r>
      <w:r>
        <w:rPr>
          <w:rFonts w:hint="eastAsia" w:cs="宋体"/>
          <w:color w:val="auto"/>
          <w:szCs w:val="21"/>
          <w:highlight w:val="none"/>
        </w:rPr>
        <w:t>那些须投标人自己负责的</w:t>
      </w:r>
      <w:r>
        <w:rPr>
          <w:rFonts w:hint="eastAsia" w:cs="宋体"/>
          <w:bCs/>
          <w:color w:val="auto"/>
          <w:szCs w:val="21"/>
          <w:highlight w:val="none"/>
        </w:rPr>
        <w:t>有关编制投标文件和签署合同所涉及现场所有的资料。</w:t>
      </w:r>
      <w:r>
        <w:rPr>
          <w:rFonts w:hint="eastAsia" w:cs="宋体"/>
          <w:color w:val="auto"/>
          <w:szCs w:val="21"/>
          <w:highlight w:val="none"/>
        </w:rPr>
        <w:t>一旦中标，这种考察即被认为其结果已在中标文件中得到充分反映。考察现场的费用由投标人自己承担。</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w:t>
      </w:r>
      <w:r>
        <w:rPr>
          <w:rFonts w:hint="eastAsia" w:cs="宋体"/>
          <w:color w:val="auto"/>
          <w:szCs w:val="21"/>
          <w:highlight w:val="none"/>
          <w:u w:val="single"/>
        </w:rPr>
        <w:t>招标人不受理因投标人缺乏对现场条件的了解或掌握而提出的任何索赔。</w:t>
      </w:r>
      <w:r>
        <w:rPr>
          <w:rFonts w:hint="eastAsia" w:cs="宋体"/>
          <w:color w:val="auto"/>
          <w:szCs w:val="21"/>
          <w:highlight w:val="none"/>
        </w:rPr>
        <w:t>考察现场的费用由投标人自己承担。</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条款号：8.1                          修改类型：修改</w:t>
      </w:r>
    </w:p>
    <w:p>
      <w:pPr>
        <w:pStyle w:val="23"/>
        <w:pBdr>
          <w:bottom w:val="single" w:color="auto" w:sz="6" w:space="1"/>
        </w:pBdr>
        <w:spacing w:after="0" w:line="360" w:lineRule="auto"/>
        <w:ind w:firstLine="411" w:firstLineChars="195"/>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8.1投标人若对招标文件（包括招标图纸）中有疑问，可以书面形式通过交易平台提交给招标人或招标代理人，提交形式见本须知前附表第16项。</w:t>
      </w:r>
    </w:p>
    <w:p>
      <w:pPr>
        <w:pStyle w:val="23"/>
        <w:pBdr>
          <w:bottom w:val="single" w:color="auto" w:sz="6" w:space="1"/>
        </w:pBdr>
        <w:spacing w:after="0" w:line="360" w:lineRule="auto"/>
        <w:ind w:firstLine="411" w:firstLineChars="195"/>
        <w:rPr>
          <w:rFonts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8.1</w:t>
      </w:r>
      <w:r>
        <w:rPr>
          <w:rFonts w:hint="eastAsia" w:ascii="宋体" w:hAnsi="宋体" w:cs="宋体"/>
          <w:bCs/>
          <w:color w:val="auto"/>
          <w:sz w:val="21"/>
          <w:szCs w:val="21"/>
          <w:highlight w:val="none"/>
          <w:u w:val="single"/>
        </w:rPr>
        <w:t>投标人若对招标文件（包括招标图纸、清单、最高投标限价）中有疑问，采用网上答疑方式进行，详见本须知前附表第16项。招标人或招标代理人将于本须知前附表第16项指定的地点（交易平台）和时间对疑问进行答复。</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条款号：8.2                         修改类型：修改</w:t>
      </w:r>
    </w:p>
    <w:p>
      <w:pPr>
        <w:pStyle w:val="23"/>
        <w:spacing w:after="0" w:line="360" w:lineRule="auto"/>
        <w:ind w:firstLine="411" w:firstLineChars="195"/>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8.2招标答疑会会议纪要将在提交投标文件截止时间15日前在交易平台 “项目答疑纪要”专区公开发布。答疑纪要一经在交易平台发布，视作已发放给所有投标人。</w:t>
      </w:r>
    </w:p>
    <w:p>
      <w:pPr>
        <w:pStyle w:val="23"/>
        <w:pBdr>
          <w:bottom w:val="single" w:color="auto" w:sz="4" w:space="1"/>
        </w:pBdr>
        <w:spacing w:after="0" w:line="360" w:lineRule="auto"/>
        <w:ind w:firstLine="411" w:firstLineChars="195"/>
        <w:rPr>
          <w:rFonts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8.2招标答疑会会议纪要将在提交投标文件截止时间15日前在</w:t>
      </w:r>
      <w:r>
        <w:rPr>
          <w:rFonts w:hint="eastAsia" w:ascii="宋体" w:hAnsi="宋体" w:cs="宋体"/>
          <w:color w:val="auto"/>
          <w:sz w:val="21"/>
          <w:szCs w:val="21"/>
          <w:highlight w:val="none"/>
          <w:u w:val="single"/>
        </w:rPr>
        <w:t>广州交易集团有限公司（广州公共资源交易中心）</w:t>
      </w:r>
      <w:r>
        <w:rPr>
          <w:rFonts w:hint="eastAsia" w:ascii="宋体" w:hAnsi="宋体" w:cs="宋体"/>
          <w:color w:val="auto"/>
          <w:sz w:val="21"/>
          <w:szCs w:val="21"/>
          <w:highlight w:val="none"/>
        </w:rPr>
        <w:t>交易平台“</w:t>
      </w:r>
      <w:r>
        <w:rPr>
          <w:color w:val="auto"/>
          <w:highlight w:val="none"/>
        </w:rPr>
        <w:fldChar w:fldCharType="begin"/>
      </w:r>
      <w:r>
        <w:rPr>
          <w:color w:val="auto"/>
          <w:highlight w:val="none"/>
        </w:rPr>
        <w:instrText xml:space="preserve"> HYPERLINK "http://ggzy.gz.gov.cn/xmcxjsgc/index.jhtml" </w:instrText>
      </w:r>
      <w:r>
        <w:rPr>
          <w:color w:val="auto"/>
          <w:highlight w:val="none"/>
        </w:rPr>
        <w:fldChar w:fldCharType="separate"/>
      </w:r>
      <w:r>
        <w:rPr>
          <w:rFonts w:hint="eastAsia" w:ascii="宋体" w:hAnsi="宋体" w:cs="宋体"/>
          <w:color w:val="auto"/>
          <w:sz w:val="21"/>
          <w:szCs w:val="21"/>
          <w:highlight w:val="none"/>
          <w:u w:val="single"/>
        </w:rPr>
        <w:t>项目查询(日程安排、答疑纪要)</w:t>
      </w:r>
      <w:r>
        <w:rPr>
          <w:rFonts w:hint="eastAsia" w:ascii="宋体" w:hAnsi="宋体" w:cs="宋体"/>
          <w:color w:val="auto"/>
          <w:sz w:val="21"/>
          <w:szCs w:val="21"/>
          <w:highlight w:val="none"/>
          <w:u w:val="single"/>
        </w:rPr>
        <w:fldChar w:fldCharType="end"/>
      </w:r>
      <w:r>
        <w:rPr>
          <w:rFonts w:hint="eastAsia" w:ascii="宋体" w:hAnsi="宋体" w:cs="宋体"/>
          <w:color w:val="auto"/>
          <w:sz w:val="21"/>
          <w:szCs w:val="21"/>
          <w:highlight w:val="none"/>
        </w:rPr>
        <w:t>”专区公开发布。答疑纪要一经在</w:t>
      </w:r>
      <w:r>
        <w:rPr>
          <w:rFonts w:hint="eastAsia" w:ascii="宋体" w:hAnsi="宋体" w:cs="宋体"/>
          <w:color w:val="auto"/>
          <w:sz w:val="21"/>
          <w:szCs w:val="21"/>
          <w:highlight w:val="none"/>
          <w:u w:val="single"/>
        </w:rPr>
        <w:t>广州交易集团有限公司（广州公共资源交易中心）</w:t>
      </w:r>
      <w:r>
        <w:rPr>
          <w:rFonts w:hint="eastAsia" w:ascii="宋体" w:hAnsi="宋体" w:cs="宋体"/>
          <w:color w:val="auto"/>
          <w:sz w:val="21"/>
          <w:szCs w:val="21"/>
          <w:highlight w:val="none"/>
        </w:rPr>
        <w:t>交易平台发布，视作已发放给所有投标人。</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条款号：9.2                         修改类型：修改</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9.2招标文件的澄清或修改将在交易平台“项目答疑纪要”专区公开发布。答疑纪要一经在交易平台发布，视作已发放给所有投标人，以交易平台上网发布时间作为送达时间。</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9.2招标文件的澄清或修改将在</w:t>
      </w:r>
      <w:r>
        <w:rPr>
          <w:rFonts w:hint="eastAsia" w:ascii="宋体" w:hAnsi="宋体" w:cs="宋体"/>
          <w:color w:val="auto"/>
          <w:sz w:val="21"/>
          <w:szCs w:val="21"/>
          <w:highlight w:val="none"/>
          <w:u w:val="single"/>
        </w:rPr>
        <w:t>广州交易集团有限公司（广州公共资源交易中心）</w:t>
      </w:r>
      <w:r>
        <w:rPr>
          <w:rFonts w:hint="eastAsia" w:cs="宋体"/>
          <w:color w:val="auto"/>
          <w:szCs w:val="21"/>
          <w:highlight w:val="none"/>
        </w:rPr>
        <w:t>交易平台“</w:t>
      </w:r>
      <w:r>
        <w:rPr>
          <w:color w:val="auto"/>
          <w:highlight w:val="none"/>
        </w:rPr>
        <w:fldChar w:fldCharType="begin"/>
      </w:r>
      <w:r>
        <w:rPr>
          <w:color w:val="auto"/>
          <w:highlight w:val="none"/>
        </w:rPr>
        <w:instrText xml:space="preserve"> HYPERLINK "http://ggzy.gz.gov.cn/xmcxjsgc/index.jhtml" </w:instrText>
      </w:r>
      <w:r>
        <w:rPr>
          <w:color w:val="auto"/>
          <w:highlight w:val="none"/>
        </w:rPr>
        <w:fldChar w:fldCharType="separate"/>
      </w:r>
      <w:r>
        <w:rPr>
          <w:rFonts w:hint="eastAsia" w:cs="宋体"/>
          <w:color w:val="auto"/>
          <w:szCs w:val="21"/>
          <w:highlight w:val="none"/>
          <w:u w:val="single"/>
        </w:rPr>
        <w:t>项目查询(日程安排、答疑纪要)</w:t>
      </w:r>
      <w:r>
        <w:rPr>
          <w:rFonts w:hint="eastAsia" w:cs="宋体"/>
          <w:color w:val="auto"/>
          <w:szCs w:val="21"/>
          <w:highlight w:val="none"/>
          <w:u w:val="single"/>
        </w:rPr>
        <w:fldChar w:fldCharType="end"/>
      </w:r>
      <w:r>
        <w:rPr>
          <w:rFonts w:hint="eastAsia" w:cs="宋体"/>
          <w:color w:val="auto"/>
          <w:szCs w:val="21"/>
          <w:highlight w:val="none"/>
        </w:rPr>
        <w:t>”专区公开发布。答疑纪要一经在</w:t>
      </w:r>
      <w:r>
        <w:rPr>
          <w:rFonts w:hint="eastAsia" w:ascii="宋体" w:hAnsi="宋体" w:cs="宋体"/>
          <w:color w:val="auto"/>
          <w:sz w:val="21"/>
          <w:szCs w:val="21"/>
          <w:highlight w:val="none"/>
          <w:u w:val="single"/>
        </w:rPr>
        <w:t>广州交易集团有限公司（广州公共资源交易中心）</w:t>
      </w:r>
      <w:r>
        <w:rPr>
          <w:rFonts w:hint="eastAsia" w:cs="宋体"/>
          <w:color w:val="auto"/>
          <w:szCs w:val="21"/>
          <w:highlight w:val="none"/>
        </w:rPr>
        <w:t>交易平台发布，视作已发放给所有投标人，以</w:t>
      </w:r>
      <w:r>
        <w:rPr>
          <w:rFonts w:hint="eastAsia" w:ascii="宋体" w:hAnsi="宋体" w:cs="宋体"/>
          <w:color w:val="auto"/>
          <w:sz w:val="21"/>
          <w:szCs w:val="21"/>
          <w:highlight w:val="none"/>
          <w:u w:val="single"/>
        </w:rPr>
        <w:t>广州交易集团有限公司（广州公共资源交易中心）</w:t>
      </w:r>
      <w:r>
        <w:rPr>
          <w:rFonts w:hint="eastAsia" w:cs="宋体"/>
          <w:color w:val="auto"/>
          <w:szCs w:val="21"/>
          <w:highlight w:val="none"/>
        </w:rPr>
        <w:t>交易平台上网发布时间作为送达时间。</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条款号：9.4                         修改类型：修改</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9.4招标文件的澄清或修改均以书面形式明确的内容为准。当招标文件的澄清、修改、补充等在同一内容的表述不一致时，以最后发出的书面形式的文件为准。</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9.4招标文件的澄清或修改均以</w:t>
      </w:r>
      <w:r>
        <w:rPr>
          <w:rFonts w:hint="eastAsia" w:cs="宋体"/>
          <w:color w:val="auto"/>
          <w:szCs w:val="21"/>
          <w:highlight w:val="none"/>
          <w:u w:val="single"/>
        </w:rPr>
        <w:t>网上答疑公布</w:t>
      </w:r>
      <w:r>
        <w:rPr>
          <w:rFonts w:hint="eastAsia" w:cs="宋体"/>
          <w:color w:val="auto"/>
          <w:szCs w:val="21"/>
          <w:highlight w:val="none"/>
        </w:rPr>
        <w:t>的内容为准。当招标文件的澄清、修改、补充等在同一内容的表述不一致时，以最后发出的</w:t>
      </w:r>
      <w:r>
        <w:rPr>
          <w:rFonts w:hint="eastAsia" w:cs="宋体"/>
          <w:color w:val="auto"/>
          <w:szCs w:val="21"/>
          <w:highlight w:val="none"/>
          <w:u w:val="single"/>
        </w:rPr>
        <w:t>文件</w:t>
      </w:r>
      <w:r>
        <w:rPr>
          <w:rFonts w:hint="eastAsia" w:cs="宋体"/>
          <w:color w:val="auto"/>
          <w:szCs w:val="21"/>
          <w:highlight w:val="none"/>
        </w:rPr>
        <w:t>为准。</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条款号：11.2                       修改类型：修改</w:t>
      </w:r>
    </w:p>
    <w:p>
      <w:pPr>
        <w:spacing w:line="360" w:lineRule="auto"/>
        <w:ind w:firstLine="411" w:firstLineChars="195"/>
        <w:rPr>
          <w:rFonts w:cs="宋体"/>
          <w:bCs/>
          <w:color w:val="auto"/>
          <w:szCs w:val="21"/>
          <w:highlight w:val="none"/>
        </w:rPr>
      </w:pPr>
      <w:r>
        <w:rPr>
          <w:rFonts w:hint="eastAsia" w:cs="宋体"/>
          <w:b/>
          <w:color w:val="auto"/>
          <w:szCs w:val="21"/>
          <w:highlight w:val="none"/>
        </w:rPr>
        <w:t>原文：</w:t>
      </w:r>
      <w:r>
        <w:rPr>
          <w:rFonts w:hint="eastAsia" w:cs="宋体"/>
          <w:bCs/>
          <w:color w:val="auto"/>
          <w:szCs w:val="21"/>
          <w:highlight w:val="none"/>
        </w:rPr>
        <w:t>11.2投标文件技术标部分主要包括下列内容:</w:t>
      </w:r>
    </w:p>
    <w:p>
      <w:pPr>
        <w:spacing w:line="360" w:lineRule="auto"/>
        <w:ind w:firstLine="409" w:firstLineChars="195"/>
        <w:rPr>
          <w:rFonts w:cs="宋体"/>
          <w:bCs/>
          <w:color w:val="auto"/>
          <w:szCs w:val="21"/>
          <w:highlight w:val="none"/>
        </w:rPr>
      </w:pPr>
      <w:r>
        <w:rPr>
          <w:rFonts w:hint="eastAsia" w:cs="宋体"/>
          <w:bCs/>
          <w:color w:val="auto"/>
          <w:szCs w:val="21"/>
          <w:highlight w:val="none"/>
        </w:rPr>
        <w:t>11.2.1 技术投标文件</w:t>
      </w:r>
      <w:r>
        <w:rPr>
          <w:rFonts w:hint="eastAsia" w:cs="宋体"/>
          <w:color w:val="auto"/>
          <w:szCs w:val="21"/>
          <w:highlight w:val="none"/>
        </w:rPr>
        <w:t>(按招标文件的要求填写)</w:t>
      </w:r>
      <w:r>
        <w:rPr>
          <w:rFonts w:hint="eastAsia" w:cs="宋体"/>
          <w:bCs/>
          <w:color w:val="auto"/>
          <w:szCs w:val="21"/>
          <w:highlight w:val="none"/>
        </w:rPr>
        <w:t>；</w:t>
      </w:r>
    </w:p>
    <w:p>
      <w:pPr>
        <w:spacing w:line="360" w:lineRule="auto"/>
        <w:ind w:firstLine="409" w:firstLineChars="195"/>
        <w:rPr>
          <w:rFonts w:cs="宋体"/>
          <w:bCs/>
          <w:color w:val="auto"/>
          <w:szCs w:val="21"/>
          <w:highlight w:val="none"/>
        </w:rPr>
      </w:pPr>
      <w:r>
        <w:rPr>
          <w:rFonts w:hint="eastAsia" w:cs="宋体"/>
          <w:bCs/>
          <w:color w:val="auto"/>
          <w:szCs w:val="21"/>
          <w:highlight w:val="none"/>
        </w:rPr>
        <w:t>11.2.2 资格审查文件：</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（1）投标人声明；</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（2）法定代表人证明书、法定代表人签字或盖章的本投标文件授权委托证明书；</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（3）企业营业执照（取自平台内上传件）；</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（4）企业资质证书（取自平台内上传件）；</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（5）建筑施工企业安全生产许可证（取自平台内上传件）；</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（6）项目负责人（按网上投标登记时选择拟投标的项目负责人）</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（7）专职安全员（按网上投标登记时选择拟投标的专职安全员）</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（8）拟委托技术负责人的相关证书、资料（具体要求由招标人明确）</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（9）拟委派项目负责人的建造师注册证书（取自平台内上传件）；</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（10）项目负责人安全培训考核合格证明或在有效期内的安全考核合格证书（B 类）或建筑施工企业项目负责人安全生产考核合格证书（取自平台内上传件）；</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（11）专职安全员须具有在有效期内的安全考核合格证书（C 类）或建筑施工企业专职安全生产管理人员安全生产考核合格证书（取自平台内上传件）；</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（12）用于资格审查的业绩（设置业绩要求时选择此项，投标人须提供类似工程业绩的项目名称及项目编号，具体格式由招标人自定）；</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（13）资格审查前，投标人须在广州市住房和城乡建设局建立企业信用档案，拟担任本工程项目负责人、专职安全员须是本企业信用档案中的在册人员。</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（14）列明主办单位的联合体工作协议（采用联合体投标时需递交，投标人拟任本工程项目负责人应为联合体主办方信用档案中的在册人员，联合体工作协议应明确约定各方拟承担的工作和责任）；</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15）投标人具有在广州地区可使用适合本工程的机械设备的证明文件（提供沥青摊铺机自有发票或权属证明及设备现场全貌彩照（彩照须能反映其规格型号））。（含有市政道路面层沥青摊铺且沥青摊铺占预计发包价 50%或以上的大、中修市政公用工程需</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提供该项内容的证明文件）。</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11.2.3 项目管理机构配备。</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（1）投标人应列出该项目工程的施工组织机构构成和画出机构框架图及其负责人；</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（2）投标人应详细列出该施工组织机构中主要成员的名单、简历资料、职务职称和</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在本项目中拟担任的职务等资料，并附上有关证明材料扫描件；</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（3）其他辅助说明资料。</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11.2.4 投标人在广州市可使用适合本工程的机械设备（附：机械设备为自有或租赁的说明；及承诺机械设备如属于租赁的，其租赁是不属于重复租赁）。</w:t>
      </w:r>
    </w:p>
    <w:p>
      <w:pPr>
        <w:tabs>
          <w:tab w:val="left" w:pos="1125"/>
        </w:tabs>
        <w:spacing w:line="360" w:lineRule="auto"/>
        <w:ind w:firstLine="409" w:firstLineChars="195"/>
        <w:rPr>
          <w:rFonts w:cs="宋体"/>
          <w:b w:val="0"/>
          <w:bCs w:val="0"/>
          <w:color w:val="auto"/>
          <w:sz w:val="21"/>
          <w:szCs w:val="21"/>
          <w:highlight w:val="none"/>
        </w:rPr>
      </w:pPr>
      <w:r>
        <w:rPr>
          <w:rFonts w:hint="eastAsia" w:cs="宋体"/>
          <w:color w:val="auto"/>
          <w:szCs w:val="21"/>
          <w:highlight w:val="none"/>
        </w:rPr>
        <w:t>11.2.5 施工组织设计或施工方案。</w:t>
      </w:r>
      <w:r>
        <w:rPr>
          <w:rFonts w:hint="eastAsia" w:ascii="宋体" w:hAnsi="宋体" w:eastAsia="宋体" w:cs="宋体"/>
          <w:bCs/>
          <w:color w:val="auto"/>
          <w:kern w:val="0"/>
          <w:sz w:val="21"/>
          <w:szCs w:val="21"/>
          <w:highlight w:val="none"/>
        </w:rPr>
        <w:t>（</w:t>
      </w:r>
      <w:r>
        <w:rPr>
          <w:rFonts w:hint="eastAsia" w:ascii="宋体" w:hAnsi="宋体" w:eastAsia="宋体" w:cs="宋体"/>
          <w:b w:val="0"/>
          <w:bCs w:val="0"/>
          <w:color w:val="auto"/>
          <w:kern w:val="0"/>
          <w:sz w:val="21"/>
          <w:szCs w:val="21"/>
          <w:highlight w:val="none"/>
        </w:rPr>
        <w:t>投标人在编制施工组织设计或施工方案时应按照招标人提出的施工现场建筑垃圾源头减量的具体要求以及建筑垃圾综合利用产品的使用要求提供相应措施。）</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11.2.6 按照招标文件要求填写的《参与编制技术标投标文件人员名单》。</w:t>
      </w:r>
    </w:p>
    <w:p>
      <w:pPr>
        <w:spacing w:line="360" w:lineRule="auto"/>
        <w:ind w:firstLine="411" w:firstLineChars="195"/>
        <w:rPr>
          <w:rFonts w:cs="宋体"/>
          <w:b/>
          <w:color w:val="auto"/>
          <w:szCs w:val="21"/>
          <w:highlight w:val="none"/>
        </w:rPr>
      </w:pPr>
      <w:r>
        <w:rPr>
          <w:rFonts w:hint="eastAsia" w:cs="宋体"/>
          <w:b/>
          <w:color w:val="auto"/>
          <w:szCs w:val="21"/>
          <w:highlight w:val="none"/>
        </w:rPr>
        <w:t>现文：</w:t>
      </w:r>
    </w:p>
    <w:p>
      <w:pPr>
        <w:spacing w:line="360" w:lineRule="auto"/>
        <w:ind w:firstLine="409" w:firstLineChars="195"/>
        <w:rPr>
          <w:rFonts w:cs="宋体"/>
          <w:bCs/>
          <w:color w:val="auto"/>
          <w:szCs w:val="21"/>
          <w:highlight w:val="none"/>
        </w:rPr>
      </w:pPr>
      <w:r>
        <w:rPr>
          <w:rFonts w:hint="eastAsia" w:cs="宋体"/>
          <w:bCs/>
          <w:color w:val="auto"/>
          <w:szCs w:val="21"/>
          <w:highlight w:val="none"/>
        </w:rPr>
        <w:t>11.2投标文件技术标部分主要包括下列内容</w:t>
      </w:r>
      <w:r>
        <w:rPr>
          <w:rFonts w:hint="eastAsia" w:cs="宋体"/>
          <w:color w:val="auto"/>
          <w:szCs w:val="21"/>
          <w:highlight w:val="none"/>
          <w:u w:val="single"/>
        </w:rPr>
        <w:t>（除注明原件外，均为清晰扫描件即可）</w:t>
      </w:r>
      <w:r>
        <w:rPr>
          <w:rFonts w:hint="eastAsia" w:cs="宋体"/>
          <w:bCs/>
          <w:color w:val="auto"/>
          <w:szCs w:val="21"/>
          <w:highlight w:val="none"/>
        </w:rPr>
        <w:t>:</w:t>
      </w:r>
    </w:p>
    <w:p>
      <w:pPr>
        <w:spacing w:line="360" w:lineRule="auto"/>
        <w:ind w:firstLine="409" w:firstLineChars="195"/>
        <w:rPr>
          <w:rFonts w:cs="宋体"/>
          <w:bCs/>
          <w:color w:val="auto"/>
          <w:szCs w:val="21"/>
          <w:highlight w:val="none"/>
        </w:rPr>
      </w:pPr>
      <w:r>
        <w:rPr>
          <w:rFonts w:hint="eastAsia" w:cs="宋体"/>
          <w:bCs/>
          <w:color w:val="auto"/>
          <w:szCs w:val="21"/>
          <w:highlight w:val="none"/>
        </w:rPr>
        <w:t xml:space="preserve">11.2.1 </w:t>
      </w:r>
      <w:r>
        <w:rPr>
          <w:rFonts w:hint="eastAsia" w:ascii="宋体" w:hAnsi="宋体" w:cs="宋体"/>
          <w:bCs/>
          <w:color w:val="auto"/>
          <w:szCs w:val="21"/>
          <w:highlight w:val="none"/>
          <w:u w:val="single"/>
        </w:rPr>
        <w:t>广州建设工程施工招标投标书(需按招标文件第四章要求的格式填写，具体格式以《广州建设工程施工招标投标书》为准；电子投标管理软件编制的“广州建设工程施工招标投标书”不作为否决投标的条件，投标人采用电子投标管理软件编制“广州建设工程施工招标投标书”时无法填写“项目编号”的可以不填写，没有填写“项目编号”也不作为否决投标的条件)</w:t>
      </w:r>
      <w:r>
        <w:rPr>
          <w:rFonts w:hint="eastAsia" w:cs="宋体"/>
          <w:bCs/>
          <w:color w:val="auto"/>
          <w:szCs w:val="21"/>
          <w:highlight w:val="none"/>
        </w:rPr>
        <w:t>；</w:t>
      </w:r>
    </w:p>
    <w:p>
      <w:pPr>
        <w:spacing w:line="360" w:lineRule="auto"/>
        <w:ind w:firstLine="409" w:firstLineChars="195"/>
        <w:rPr>
          <w:rFonts w:cs="宋体"/>
          <w:bCs/>
          <w:color w:val="auto"/>
          <w:szCs w:val="21"/>
          <w:highlight w:val="none"/>
        </w:rPr>
      </w:pPr>
      <w:r>
        <w:rPr>
          <w:rFonts w:hint="eastAsia" w:cs="宋体"/>
          <w:bCs/>
          <w:color w:val="auto"/>
          <w:szCs w:val="21"/>
          <w:highlight w:val="none"/>
        </w:rPr>
        <w:t>11.2.2 资格审查文件：</w:t>
      </w:r>
    </w:p>
    <w:p>
      <w:pPr>
        <w:spacing w:line="360" w:lineRule="auto"/>
        <w:ind w:firstLine="409" w:firstLineChars="195"/>
        <w:rPr>
          <w:rFonts w:cs="宋体"/>
          <w:bCs/>
          <w:color w:val="auto"/>
          <w:szCs w:val="21"/>
          <w:highlight w:val="none"/>
          <w:u w:val="single"/>
        </w:rPr>
      </w:pPr>
      <w:r>
        <w:rPr>
          <w:rFonts w:hint="eastAsia" w:cs="宋体"/>
          <w:bCs/>
          <w:color w:val="auto"/>
          <w:szCs w:val="21"/>
          <w:highlight w:val="none"/>
          <w:u w:val="single"/>
        </w:rPr>
        <w:t>（1）投标人声明（须按招标公告附件内容及格式要求编制）；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（2）法定代表人证明书、法定代表人签字或盖章的本投标文件授权委托证明书；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（3）企业营业执照（取自平台内上传件）；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（4）企业资质证书（取自平台内上传件）；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（5）建筑施工企业安全生产许可证（取自平台内上传件）；</w:t>
      </w:r>
    </w:p>
    <w:p>
      <w:pPr>
        <w:spacing w:line="360" w:lineRule="auto"/>
        <w:ind w:firstLine="409" w:firstLineChars="195"/>
        <w:rPr>
          <w:rFonts w:hint="eastAsia" w:eastAsia="宋体" w:cs="宋体"/>
          <w:bCs/>
          <w:color w:val="auto"/>
          <w:szCs w:val="21"/>
          <w:highlight w:val="none"/>
          <w:u w:val="single"/>
          <w:lang w:eastAsia="zh-CN"/>
        </w:rPr>
      </w:pPr>
      <w:r>
        <w:rPr>
          <w:rFonts w:hint="eastAsia" w:ascii="宋体" w:hAnsi="宋体" w:cs="宋体"/>
          <w:color w:val="auto"/>
          <w:szCs w:val="21"/>
          <w:highlight w:val="none"/>
        </w:rPr>
        <w:t>（6）项目负责人（按网上投标登记时选择拟投标的项目负责人</w:t>
      </w:r>
      <w:r>
        <w:rPr>
          <w:rFonts w:hint="eastAsia" w:ascii="宋体" w:hAnsi="宋体" w:cs="宋体"/>
          <w:color w:val="auto"/>
          <w:szCs w:val="21"/>
          <w:highlight w:val="none"/>
          <w:lang w:eastAsia="zh-CN"/>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（7）专职安全员（按网上投标登记时选择拟投标的专职安全员）；</w:t>
      </w:r>
    </w:p>
    <w:p>
      <w:pPr>
        <w:spacing w:line="360" w:lineRule="auto"/>
        <w:ind w:firstLine="409" w:firstLineChars="195"/>
        <w:rPr>
          <w:rFonts w:cs="宋体"/>
          <w:bCs/>
          <w:color w:val="auto"/>
          <w:szCs w:val="21"/>
          <w:highlight w:val="none"/>
          <w:u w:val="single"/>
        </w:rPr>
      </w:pPr>
      <w:r>
        <w:rPr>
          <w:rFonts w:hint="eastAsia" w:cs="宋体"/>
          <w:bCs/>
          <w:color w:val="auto"/>
          <w:szCs w:val="21"/>
          <w:highlight w:val="none"/>
          <w:u w:val="single"/>
        </w:rPr>
        <w:t>（8）</w:t>
      </w:r>
      <w:r>
        <w:rPr>
          <w:rFonts w:hint="eastAsia" w:ascii="宋体" w:hAnsi="宋体" w:cs="宋体"/>
          <w:bCs/>
          <w:color w:val="auto"/>
          <w:szCs w:val="21"/>
          <w:highlight w:val="none"/>
          <w:u w:val="single"/>
        </w:rPr>
        <w:t>拟委派技术负责人的职称证书扫描件</w:t>
      </w:r>
      <w:r>
        <w:rPr>
          <w:rFonts w:hint="eastAsia" w:cs="宋体"/>
          <w:bCs/>
          <w:color w:val="auto"/>
          <w:szCs w:val="21"/>
          <w:highlight w:val="none"/>
          <w:u w:val="single"/>
        </w:rPr>
        <w:t>；</w:t>
      </w:r>
    </w:p>
    <w:p>
      <w:pPr>
        <w:spacing w:line="360" w:lineRule="auto"/>
        <w:ind w:firstLine="409" w:firstLineChars="195"/>
        <w:rPr>
          <w:rFonts w:cs="宋体"/>
          <w:bCs/>
          <w:color w:val="auto"/>
          <w:szCs w:val="21"/>
          <w:highlight w:val="none"/>
          <w:u w:val="single"/>
        </w:rPr>
      </w:pPr>
      <w:r>
        <w:rPr>
          <w:rFonts w:hint="eastAsia" w:cs="宋体"/>
          <w:bCs/>
          <w:color w:val="auto"/>
          <w:szCs w:val="21"/>
          <w:highlight w:val="none"/>
          <w:u w:val="single"/>
        </w:rPr>
        <w:t>（9）拟委派项目负责人的建造师注册证书（取自平台内上传件）；</w:t>
      </w:r>
    </w:p>
    <w:p>
      <w:pPr>
        <w:spacing w:line="360" w:lineRule="auto"/>
        <w:ind w:firstLine="409" w:firstLineChars="195"/>
        <w:rPr>
          <w:rFonts w:cs="宋体"/>
          <w:bCs/>
          <w:color w:val="auto"/>
          <w:szCs w:val="21"/>
          <w:highlight w:val="none"/>
          <w:u w:val="single"/>
        </w:rPr>
      </w:pPr>
      <w:r>
        <w:rPr>
          <w:rFonts w:hint="eastAsia" w:cs="宋体"/>
          <w:bCs/>
          <w:color w:val="auto"/>
          <w:szCs w:val="21"/>
          <w:highlight w:val="none"/>
          <w:u w:val="single"/>
        </w:rPr>
        <w:t>（10）项目负责人安全生产考核合格证明或在有效期内的安全生产考核合格证（B类）或建筑施工企业项目负责人安全生产考核合格证书（取自平台内上传件）；</w:t>
      </w:r>
    </w:p>
    <w:p>
      <w:pPr>
        <w:spacing w:line="360" w:lineRule="auto"/>
        <w:ind w:firstLine="409" w:firstLineChars="195"/>
        <w:rPr>
          <w:rFonts w:cs="宋体"/>
          <w:bCs/>
          <w:color w:val="auto"/>
          <w:szCs w:val="21"/>
          <w:highlight w:val="none"/>
          <w:u w:val="single"/>
        </w:rPr>
      </w:pPr>
      <w:r>
        <w:rPr>
          <w:rFonts w:hint="eastAsia" w:cs="宋体"/>
          <w:bCs/>
          <w:color w:val="auto"/>
          <w:szCs w:val="21"/>
          <w:highlight w:val="none"/>
          <w:u w:val="single"/>
        </w:rPr>
        <w:t>（11）专职安全员须具有在有效期内的安全生产考核合格证（C类）或建筑施工企业专职安全生产管理人员安全生产考核合格证（C3）（取自平台内上传件）；</w:t>
      </w:r>
    </w:p>
    <w:p>
      <w:pPr>
        <w:spacing w:line="360" w:lineRule="auto"/>
        <w:ind w:firstLine="409" w:firstLineChars="195"/>
        <w:rPr>
          <w:rFonts w:hint="eastAsia" w:eastAsia="宋体" w:cs="宋体"/>
          <w:bCs/>
          <w:color w:val="auto"/>
          <w:szCs w:val="21"/>
          <w:highlight w:val="none"/>
          <w:u w:val="single"/>
          <w:lang w:eastAsia="zh-CN"/>
        </w:rPr>
      </w:pPr>
      <w:r>
        <w:rPr>
          <w:rFonts w:hint="eastAsia" w:cs="宋体"/>
          <w:bCs/>
          <w:color w:val="auto"/>
          <w:szCs w:val="21"/>
          <w:highlight w:val="none"/>
          <w:u w:val="single"/>
        </w:rPr>
        <w:t>（12）用于资格审查的业绩（业绩取自广州市住建行业信用管理平台</w:t>
      </w:r>
      <w:r>
        <w:rPr>
          <w:rFonts w:hint="eastAsia" w:cs="宋体"/>
          <w:bCs/>
          <w:color w:val="auto"/>
          <w:szCs w:val="21"/>
          <w:highlight w:val="none"/>
          <w:u w:val="single"/>
          <w:lang w:val="en-US" w:eastAsia="zh-CN"/>
        </w:rPr>
        <w:t>内相关上传件</w:t>
      </w:r>
      <w:r>
        <w:rPr>
          <w:rFonts w:hint="eastAsia" w:cs="宋体"/>
          <w:bCs/>
          <w:color w:val="auto"/>
          <w:szCs w:val="21"/>
          <w:highlight w:val="none"/>
          <w:u w:val="single"/>
        </w:rPr>
        <w:t>）</w:t>
      </w:r>
      <w:r>
        <w:rPr>
          <w:rFonts w:hint="eastAsia" w:cs="宋体"/>
          <w:bCs/>
          <w:color w:val="auto"/>
          <w:szCs w:val="21"/>
          <w:highlight w:val="none"/>
          <w:u w:val="single"/>
          <w:lang w:eastAsia="zh-CN"/>
        </w:rPr>
        <w:t>；</w:t>
      </w:r>
    </w:p>
    <w:p>
      <w:pPr>
        <w:spacing w:line="360" w:lineRule="auto"/>
        <w:ind w:firstLine="409" w:firstLineChars="195"/>
        <w:rPr>
          <w:rFonts w:cs="宋体"/>
          <w:bCs/>
          <w:color w:val="auto"/>
          <w:szCs w:val="21"/>
          <w:highlight w:val="none"/>
          <w:u w:val="single"/>
        </w:rPr>
      </w:pPr>
      <w:r>
        <w:rPr>
          <w:rFonts w:hint="eastAsia" w:cs="宋体"/>
          <w:bCs/>
          <w:color w:val="auto"/>
          <w:szCs w:val="21"/>
          <w:highlight w:val="none"/>
          <w:u w:val="single"/>
        </w:rPr>
        <w:t>（</w:t>
      </w:r>
      <w:r>
        <w:rPr>
          <w:rFonts w:hint="eastAsia" w:cs="宋体"/>
          <w:bCs/>
          <w:color w:val="auto"/>
          <w:szCs w:val="21"/>
          <w:highlight w:val="none"/>
          <w:u w:val="single"/>
          <w:lang w:val="en-US" w:eastAsia="zh-CN"/>
        </w:rPr>
        <w:t>13</w:t>
      </w:r>
      <w:r>
        <w:rPr>
          <w:rFonts w:hint="eastAsia" w:cs="宋体"/>
          <w:bCs/>
          <w:color w:val="auto"/>
          <w:szCs w:val="21"/>
          <w:highlight w:val="none"/>
          <w:u w:val="single"/>
        </w:rPr>
        <w:t>）</w:t>
      </w:r>
      <w:r>
        <w:rPr>
          <w:rFonts w:hint="eastAsia" w:ascii="宋体" w:hAnsi="宋体" w:cs="宋体"/>
          <w:bCs/>
          <w:color w:val="auto"/>
          <w:szCs w:val="21"/>
          <w:highlight w:val="none"/>
          <w:u w:val="single"/>
        </w:rPr>
        <w:t>资格审查前，投标人须在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w:t>
      </w:r>
    </w:p>
    <w:p>
      <w:pPr>
        <w:spacing w:line="360" w:lineRule="auto"/>
        <w:ind w:firstLine="409" w:firstLineChars="195"/>
        <w:rPr>
          <w:rFonts w:hint="eastAsia" w:cs="宋体"/>
          <w:bCs/>
          <w:color w:val="auto"/>
          <w:szCs w:val="21"/>
          <w:highlight w:val="none"/>
          <w:u w:val="single"/>
        </w:rPr>
      </w:pPr>
      <w:r>
        <w:rPr>
          <w:rFonts w:hint="eastAsia" w:cs="宋体"/>
          <w:bCs/>
          <w:color w:val="auto"/>
          <w:szCs w:val="21"/>
          <w:highlight w:val="none"/>
          <w:u w:val="single"/>
        </w:rPr>
        <w:t>（</w:t>
      </w:r>
      <w:r>
        <w:rPr>
          <w:rFonts w:hint="eastAsia" w:cs="宋体"/>
          <w:bCs/>
          <w:color w:val="auto"/>
          <w:szCs w:val="21"/>
          <w:highlight w:val="none"/>
          <w:u w:val="single"/>
          <w:lang w:val="en-US" w:eastAsia="zh-CN"/>
        </w:rPr>
        <w:t>14</w:t>
      </w:r>
      <w:r>
        <w:rPr>
          <w:rFonts w:hint="eastAsia" w:cs="宋体"/>
          <w:bCs/>
          <w:color w:val="auto"/>
          <w:szCs w:val="21"/>
          <w:highlight w:val="none"/>
          <w:u w:val="single"/>
        </w:rPr>
        <w:t>）</w:t>
      </w:r>
      <w:r>
        <w:rPr>
          <w:rFonts w:hint="eastAsia" w:ascii="宋体" w:hAnsi="宋体" w:cs="宋体"/>
          <w:color w:val="auto"/>
          <w:szCs w:val="21"/>
          <w:highlight w:val="none"/>
          <w:u w:val="single"/>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相关投标均无效。</w:t>
      </w:r>
    </w:p>
    <w:p>
      <w:pPr>
        <w:spacing w:line="360" w:lineRule="auto"/>
        <w:ind w:firstLine="409" w:firstLineChars="195"/>
        <w:rPr>
          <w:rFonts w:hint="eastAsia" w:eastAsia="宋体" w:cs="宋体"/>
          <w:bCs/>
          <w:color w:val="auto"/>
          <w:szCs w:val="21"/>
          <w:highlight w:val="none"/>
          <w:u w:val="single"/>
          <w:lang w:eastAsia="zh-CN"/>
        </w:rPr>
      </w:pPr>
      <w:r>
        <w:rPr>
          <w:rFonts w:hint="eastAsia" w:cs="宋体"/>
          <w:bCs/>
          <w:color w:val="auto"/>
          <w:szCs w:val="21"/>
          <w:highlight w:val="none"/>
          <w:u w:val="single"/>
        </w:rPr>
        <w:t>（</w:t>
      </w:r>
      <w:r>
        <w:rPr>
          <w:rFonts w:hint="eastAsia" w:cs="宋体"/>
          <w:bCs/>
          <w:color w:val="auto"/>
          <w:szCs w:val="21"/>
          <w:highlight w:val="none"/>
          <w:u w:val="single"/>
          <w:lang w:val="en-US" w:eastAsia="zh-CN"/>
        </w:rPr>
        <w:t>15</w:t>
      </w:r>
      <w:r>
        <w:rPr>
          <w:rFonts w:hint="eastAsia" w:cs="宋体"/>
          <w:bCs/>
          <w:color w:val="auto"/>
          <w:szCs w:val="21"/>
          <w:highlight w:val="none"/>
          <w:u w:val="single"/>
        </w:rPr>
        <w:t>）</w:t>
      </w:r>
      <w:r>
        <w:rPr>
          <w:rFonts w:hint="eastAsia" w:cs="宋体"/>
          <w:bCs/>
          <w:color w:val="auto"/>
          <w:szCs w:val="21"/>
          <w:highlight w:val="none"/>
          <w:u w:val="single"/>
          <w:lang w:val="en-US" w:eastAsia="zh-CN"/>
        </w:rPr>
        <w:t>投标人</w:t>
      </w:r>
      <w:r>
        <w:rPr>
          <w:rFonts w:hint="eastAsia" w:cs="宋体"/>
          <w:bCs/>
          <w:color w:val="auto"/>
          <w:szCs w:val="21"/>
          <w:highlight w:val="none"/>
          <w:u w:val="single"/>
        </w:rPr>
        <w:t>未被列入拖欠农民工工资失信联合惩戒对象名单</w:t>
      </w:r>
      <w:r>
        <w:rPr>
          <w:rFonts w:hint="eastAsia" w:cs="宋体"/>
          <w:bCs/>
          <w:color w:val="auto"/>
          <w:szCs w:val="21"/>
          <w:highlight w:val="none"/>
          <w:u w:val="single"/>
          <w:lang w:eastAsia="zh-CN"/>
        </w:rPr>
        <w:t>（投标人无需提供资料，资格审查时，按广州交易集团有限公司（广州公共资源交易中心）交易系统比对的结果进行评审）。</w:t>
      </w:r>
    </w:p>
    <w:p>
      <w:pPr>
        <w:spacing w:line="360" w:lineRule="auto"/>
        <w:ind w:firstLine="409" w:firstLineChars="195"/>
        <w:rPr>
          <w:rFonts w:cs="宋体"/>
          <w:bCs/>
          <w:color w:val="auto"/>
          <w:szCs w:val="21"/>
          <w:highlight w:val="none"/>
          <w:u w:val="single"/>
        </w:rPr>
      </w:pPr>
      <w:r>
        <w:rPr>
          <w:rFonts w:hint="eastAsia" w:cs="宋体"/>
          <w:bCs/>
          <w:color w:val="auto"/>
          <w:szCs w:val="21"/>
          <w:highlight w:val="none"/>
          <w:u w:val="single"/>
        </w:rPr>
        <w:t>（</w:t>
      </w:r>
      <w:r>
        <w:rPr>
          <w:rFonts w:hint="eastAsia" w:cs="宋体"/>
          <w:bCs/>
          <w:color w:val="auto"/>
          <w:szCs w:val="21"/>
          <w:highlight w:val="none"/>
          <w:u w:val="single"/>
          <w:lang w:val="en-US" w:eastAsia="zh-CN"/>
        </w:rPr>
        <w:t>16</w:t>
      </w:r>
      <w:r>
        <w:rPr>
          <w:rFonts w:hint="eastAsia" w:cs="宋体"/>
          <w:bCs/>
          <w:color w:val="auto"/>
          <w:szCs w:val="21"/>
          <w:highlight w:val="none"/>
          <w:u w:val="single"/>
        </w:rPr>
        <w:t>）投标人认为应提供的其他资料。</w:t>
      </w:r>
    </w:p>
    <w:p>
      <w:pPr>
        <w:spacing w:line="360" w:lineRule="auto"/>
        <w:ind w:firstLine="409" w:firstLineChars="195"/>
        <w:rPr>
          <w:rFonts w:cs="宋体"/>
          <w:color w:val="auto"/>
          <w:szCs w:val="21"/>
          <w:highlight w:val="none"/>
          <w:u w:val="single"/>
        </w:rPr>
      </w:pPr>
      <w:r>
        <w:rPr>
          <w:rFonts w:hint="eastAsia" w:cs="宋体"/>
          <w:color w:val="auto"/>
          <w:szCs w:val="21"/>
          <w:highlight w:val="none"/>
          <w:u w:val="single"/>
        </w:rPr>
        <w:t>注：</w:t>
      </w:r>
    </w:p>
    <w:p>
      <w:pPr>
        <w:spacing w:line="360" w:lineRule="auto"/>
        <w:ind w:firstLine="409" w:firstLineChars="195"/>
        <w:rPr>
          <w:rFonts w:cs="宋体"/>
          <w:bCs/>
          <w:color w:val="auto"/>
          <w:szCs w:val="21"/>
          <w:highlight w:val="none"/>
          <w:u w:val="single"/>
        </w:rPr>
      </w:pPr>
      <w:r>
        <w:rPr>
          <w:rFonts w:hint="eastAsia" w:cs="宋体"/>
          <w:color w:val="auto"/>
          <w:szCs w:val="21"/>
          <w:highlight w:val="none"/>
          <w:u w:val="single"/>
        </w:rPr>
        <w:t>1、上述第</w:t>
      </w:r>
      <w:r>
        <w:rPr>
          <w:rFonts w:hint="eastAsia" w:cs="宋体"/>
          <w:bCs/>
          <w:color w:val="auto"/>
          <w:szCs w:val="21"/>
          <w:highlight w:val="none"/>
          <w:u w:val="single"/>
        </w:rPr>
        <w:t>11.2.2（1）—（</w:t>
      </w:r>
      <w:r>
        <w:rPr>
          <w:rFonts w:hint="eastAsia" w:cs="宋体"/>
          <w:bCs/>
          <w:color w:val="auto"/>
          <w:szCs w:val="21"/>
          <w:highlight w:val="none"/>
          <w:u w:val="single"/>
          <w:lang w:val="en-US" w:eastAsia="zh-CN"/>
        </w:rPr>
        <w:t>16</w:t>
      </w:r>
      <w:r>
        <w:rPr>
          <w:rFonts w:hint="eastAsia" w:cs="宋体"/>
          <w:bCs/>
          <w:color w:val="auto"/>
          <w:szCs w:val="21"/>
          <w:highlight w:val="none"/>
          <w:u w:val="single"/>
        </w:rPr>
        <w:t>）条没有要求提交的资料，不作为资格审查不合格的依据。</w:t>
      </w:r>
    </w:p>
    <w:p>
      <w:pPr>
        <w:spacing w:line="360" w:lineRule="auto"/>
        <w:ind w:firstLine="409" w:firstLineChars="195"/>
        <w:rPr>
          <w:rFonts w:hint="eastAsia" w:cs="宋体"/>
          <w:color w:val="auto"/>
          <w:szCs w:val="21"/>
          <w:highlight w:val="none"/>
          <w:u w:val="single"/>
        </w:rPr>
      </w:pPr>
      <w:r>
        <w:rPr>
          <w:rFonts w:hint="eastAsia" w:cs="宋体"/>
          <w:color w:val="auto"/>
          <w:szCs w:val="21"/>
          <w:highlight w:val="none"/>
          <w:u w:val="single"/>
        </w:rPr>
        <w:t>11.2.3项目管理机构配备。</w:t>
      </w:r>
    </w:p>
    <w:p>
      <w:pPr>
        <w:spacing w:line="360" w:lineRule="auto"/>
        <w:ind w:firstLine="409" w:firstLineChars="195"/>
        <w:rPr>
          <w:rFonts w:hint="eastAsia" w:cs="宋体"/>
          <w:color w:val="auto"/>
          <w:szCs w:val="21"/>
          <w:highlight w:val="none"/>
          <w:u w:val="single"/>
        </w:rPr>
      </w:pPr>
      <w:r>
        <w:rPr>
          <w:rFonts w:hint="eastAsia" w:cs="宋体"/>
          <w:color w:val="auto"/>
          <w:szCs w:val="21"/>
          <w:highlight w:val="none"/>
          <w:u w:val="single"/>
        </w:rPr>
        <w:t>（1）投标人应列出该项目工程的施工组织机构构成和画出机构框架图及其负责人；</w:t>
      </w:r>
    </w:p>
    <w:p>
      <w:pPr>
        <w:spacing w:line="360" w:lineRule="auto"/>
        <w:ind w:firstLine="409" w:firstLineChars="195"/>
        <w:rPr>
          <w:rFonts w:hint="eastAsia" w:cs="宋体"/>
          <w:color w:val="auto"/>
          <w:szCs w:val="21"/>
          <w:highlight w:val="none"/>
          <w:u w:val="single"/>
        </w:rPr>
      </w:pPr>
      <w:r>
        <w:rPr>
          <w:rFonts w:hint="eastAsia" w:cs="宋体"/>
          <w:color w:val="auto"/>
          <w:szCs w:val="21"/>
          <w:highlight w:val="none"/>
          <w:u w:val="single"/>
        </w:rPr>
        <w:t>（2）投标人应详细列出该施工组织机构中主要成员的名单、职务职称和在本项目中拟担任的职务等资料，并附上有关证明材料扫描件（见本招标文件第四章 “技术标投标文件格式”格式</w:t>
      </w:r>
      <w:r>
        <w:rPr>
          <w:rFonts w:hint="eastAsia" w:cs="宋体"/>
          <w:color w:val="auto"/>
          <w:szCs w:val="21"/>
          <w:highlight w:val="none"/>
          <w:u w:val="single"/>
          <w:lang w:eastAsia="zh-CN"/>
        </w:rPr>
        <w:t>五</w:t>
      </w:r>
      <w:r>
        <w:rPr>
          <w:rFonts w:hint="eastAsia" w:cs="宋体"/>
          <w:color w:val="auto"/>
          <w:szCs w:val="21"/>
          <w:highlight w:val="none"/>
          <w:u w:val="single"/>
        </w:rPr>
        <w:t>《施工项目管理团队人员信息表》；</w:t>
      </w:r>
    </w:p>
    <w:p>
      <w:pPr>
        <w:spacing w:line="360" w:lineRule="auto"/>
        <w:ind w:firstLine="409" w:firstLineChars="195"/>
        <w:rPr>
          <w:rFonts w:hint="eastAsia" w:cs="宋体"/>
          <w:color w:val="auto"/>
          <w:szCs w:val="21"/>
          <w:highlight w:val="none"/>
          <w:u w:val="single"/>
        </w:rPr>
      </w:pPr>
      <w:r>
        <w:rPr>
          <w:rFonts w:hint="eastAsia" w:cs="宋体"/>
          <w:color w:val="auto"/>
          <w:szCs w:val="21"/>
          <w:highlight w:val="none"/>
          <w:u w:val="single"/>
        </w:rPr>
        <w:t>（3）其他辅助说明资料（若有）。</w:t>
      </w:r>
    </w:p>
    <w:p>
      <w:pPr>
        <w:spacing w:line="360" w:lineRule="auto"/>
        <w:ind w:firstLine="409" w:firstLineChars="195"/>
        <w:rPr>
          <w:rFonts w:hint="eastAsia" w:cs="宋体"/>
          <w:color w:val="auto"/>
          <w:szCs w:val="21"/>
          <w:highlight w:val="none"/>
          <w:u w:val="single"/>
        </w:rPr>
      </w:pPr>
      <w:r>
        <w:rPr>
          <w:rFonts w:hint="eastAsia" w:cs="宋体"/>
          <w:color w:val="auto"/>
          <w:szCs w:val="21"/>
          <w:highlight w:val="none"/>
          <w:u w:val="single"/>
        </w:rPr>
        <w:t>11.2.4投标人在广州市可使用适合本工程的机械设备（附：《拟投入本工程施工的主要机械设备配备表》（见招标文件第四章 “技术标投标文件格式”格式</w:t>
      </w:r>
      <w:r>
        <w:rPr>
          <w:rFonts w:hint="eastAsia" w:cs="宋体"/>
          <w:color w:val="auto"/>
          <w:szCs w:val="21"/>
          <w:highlight w:val="none"/>
          <w:u w:val="single"/>
          <w:lang w:eastAsia="zh-CN"/>
        </w:rPr>
        <w:t>七</w:t>
      </w:r>
      <w:r>
        <w:rPr>
          <w:rFonts w:hint="eastAsia" w:cs="宋体"/>
          <w:color w:val="auto"/>
          <w:szCs w:val="21"/>
          <w:highlight w:val="none"/>
          <w:u w:val="single"/>
        </w:rPr>
        <w:t>））。</w:t>
      </w:r>
    </w:p>
    <w:p>
      <w:pPr>
        <w:spacing w:line="360" w:lineRule="auto"/>
        <w:ind w:firstLine="409" w:firstLineChars="195"/>
        <w:rPr>
          <w:rFonts w:hint="eastAsia" w:cs="宋体"/>
          <w:color w:val="auto"/>
          <w:szCs w:val="21"/>
          <w:highlight w:val="none"/>
          <w:u w:val="single"/>
        </w:rPr>
      </w:pPr>
      <w:r>
        <w:rPr>
          <w:rFonts w:hint="eastAsia" w:cs="宋体"/>
          <w:color w:val="auto"/>
          <w:szCs w:val="21"/>
          <w:highlight w:val="none"/>
          <w:u w:val="single"/>
        </w:rPr>
        <w:t>11.2.5企业资信证明资料（附有关证明材料扫描件</w:t>
      </w:r>
      <w:r>
        <w:rPr>
          <w:rFonts w:hint="eastAsia" w:cs="宋体"/>
          <w:color w:val="auto"/>
          <w:szCs w:val="21"/>
          <w:highlight w:val="none"/>
          <w:u w:val="single"/>
          <w:lang w:eastAsia="zh-CN"/>
        </w:rPr>
        <w:t>，</w:t>
      </w:r>
      <w:r>
        <w:rPr>
          <w:rFonts w:hint="eastAsia" w:cs="宋体"/>
          <w:color w:val="auto"/>
          <w:szCs w:val="21"/>
          <w:highlight w:val="none"/>
          <w:u w:val="single"/>
          <w:lang w:val="en-US" w:eastAsia="zh-CN"/>
        </w:rPr>
        <w:t>用于技术标评分的业绩需</w:t>
      </w:r>
      <w:r>
        <w:rPr>
          <w:rFonts w:hint="eastAsia" w:cs="宋体"/>
          <w:color w:val="auto"/>
          <w:szCs w:val="21"/>
          <w:highlight w:val="none"/>
          <w:u w:val="single"/>
        </w:rPr>
        <w:t>提交《企业业绩信息表（技术标评分）》（见招标文件第四章 “技术标投标文件格式”格式</w:t>
      </w:r>
      <w:r>
        <w:rPr>
          <w:rFonts w:hint="eastAsia" w:cs="宋体"/>
          <w:color w:val="auto"/>
          <w:szCs w:val="21"/>
          <w:highlight w:val="none"/>
          <w:u w:val="single"/>
          <w:lang w:eastAsia="zh-CN"/>
        </w:rPr>
        <w:t>六</w:t>
      </w:r>
      <w:r>
        <w:rPr>
          <w:rFonts w:hint="eastAsia" w:cs="宋体"/>
          <w:color w:val="auto"/>
          <w:szCs w:val="21"/>
          <w:highlight w:val="none"/>
          <w:u w:val="single"/>
        </w:rPr>
        <w:t>）</w:t>
      </w:r>
      <w:r>
        <w:rPr>
          <w:rFonts w:hint="eastAsia" w:cs="宋体"/>
          <w:color w:val="auto"/>
          <w:szCs w:val="21"/>
          <w:highlight w:val="none"/>
          <w:u w:val="single"/>
          <w:lang w:eastAsia="zh-CN"/>
        </w:rPr>
        <w:t>）</w:t>
      </w:r>
      <w:r>
        <w:rPr>
          <w:rFonts w:hint="eastAsia" w:cs="宋体"/>
          <w:color w:val="auto"/>
          <w:szCs w:val="21"/>
          <w:highlight w:val="none"/>
          <w:u w:val="single"/>
        </w:rPr>
        <w:t>。</w:t>
      </w:r>
    </w:p>
    <w:p>
      <w:pPr>
        <w:spacing w:line="360" w:lineRule="auto"/>
        <w:ind w:firstLine="409" w:firstLineChars="195"/>
        <w:rPr>
          <w:rFonts w:hint="eastAsia" w:cs="宋体"/>
          <w:color w:val="auto"/>
          <w:szCs w:val="21"/>
          <w:highlight w:val="none"/>
          <w:u w:val="single"/>
        </w:rPr>
      </w:pPr>
      <w:r>
        <w:rPr>
          <w:rFonts w:hint="eastAsia" w:cs="宋体"/>
          <w:color w:val="auto"/>
          <w:szCs w:val="21"/>
          <w:highlight w:val="none"/>
          <w:u w:val="single"/>
        </w:rPr>
        <w:t>11.2.6按照招标文件要求填写的《参与编制技术标投标文件人员名单》。（见招标文件第四章 “技术标投标文件格式”格式</w:t>
      </w:r>
      <w:r>
        <w:rPr>
          <w:rFonts w:hint="eastAsia" w:cs="宋体"/>
          <w:color w:val="auto"/>
          <w:szCs w:val="21"/>
          <w:highlight w:val="none"/>
          <w:u w:val="single"/>
          <w:lang w:val="en-US" w:eastAsia="zh-CN"/>
        </w:rPr>
        <w:t>九</w:t>
      </w:r>
      <w:r>
        <w:rPr>
          <w:rFonts w:hint="eastAsia" w:cs="宋体"/>
          <w:color w:val="auto"/>
          <w:szCs w:val="21"/>
          <w:highlight w:val="none"/>
          <w:u w:val="single"/>
        </w:rPr>
        <w:t>）。</w:t>
      </w:r>
    </w:p>
    <w:p>
      <w:pPr>
        <w:spacing w:line="360" w:lineRule="auto"/>
        <w:ind w:firstLine="409" w:firstLineChars="195"/>
        <w:rPr>
          <w:rFonts w:hint="eastAsia" w:cs="宋体"/>
          <w:color w:val="auto"/>
          <w:szCs w:val="21"/>
          <w:highlight w:val="none"/>
          <w:u w:val="single"/>
        </w:rPr>
      </w:pPr>
      <w:r>
        <w:rPr>
          <w:rFonts w:hint="eastAsia" w:cs="宋体"/>
          <w:color w:val="auto"/>
          <w:szCs w:val="21"/>
          <w:highlight w:val="none"/>
          <w:u w:val="single"/>
        </w:rPr>
        <w:t>11.2.7《标函承诺书》（见招标文件第四章 “技术标投标文件格式”格式</w:t>
      </w:r>
      <w:r>
        <w:rPr>
          <w:rFonts w:hint="eastAsia" w:cs="宋体"/>
          <w:color w:val="auto"/>
          <w:szCs w:val="21"/>
          <w:highlight w:val="none"/>
          <w:u w:val="single"/>
          <w:lang w:eastAsia="zh-CN"/>
        </w:rPr>
        <w:t>三</w:t>
      </w:r>
      <w:r>
        <w:rPr>
          <w:rFonts w:hint="eastAsia" w:cs="宋体"/>
          <w:color w:val="auto"/>
          <w:szCs w:val="21"/>
          <w:highlight w:val="none"/>
          <w:u w:val="single"/>
        </w:rPr>
        <w:t>）。</w:t>
      </w:r>
    </w:p>
    <w:p>
      <w:pPr>
        <w:spacing w:line="360" w:lineRule="auto"/>
        <w:ind w:firstLine="409" w:firstLineChars="195"/>
        <w:rPr>
          <w:rFonts w:hint="eastAsia" w:cs="宋体"/>
          <w:color w:val="auto"/>
          <w:szCs w:val="21"/>
          <w:highlight w:val="none"/>
          <w:u w:val="single"/>
        </w:rPr>
      </w:pPr>
      <w:r>
        <w:rPr>
          <w:rFonts w:hint="eastAsia" w:cs="宋体"/>
          <w:color w:val="auto"/>
          <w:szCs w:val="21"/>
          <w:highlight w:val="none"/>
          <w:u w:val="single"/>
        </w:rPr>
        <w:t>11.2.8《投标函》（见招标文件第四章 “技术标投标文件格式”格式</w:t>
      </w:r>
      <w:r>
        <w:rPr>
          <w:rFonts w:hint="eastAsia" w:cs="宋体"/>
          <w:color w:val="auto"/>
          <w:szCs w:val="21"/>
          <w:highlight w:val="none"/>
          <w:u w:val="single"/>
          <w:lang w:eastAsia="zh-CN"/>
        </w:rPr>
        <w:t>二</w:t>
      </w:r>
      <w:r>
        <w:rPr>
          <w:rFonts w:hint="eastAsia" w:cs="宋体"/>
          <w:color w:val="auto"/>
          <w:szCs w:val="21"/>
          <w:highlight w:val="none"/>
          <w:u w:val="single"/>
        </w:rPr>
        <w:t>）。</w:t>
      </w:r>
    </w:p>
    <w:p>
      <w:pPr>
        <w:spacing w:line="360" w:lineRule="auto"/>
        <w:ind w:firstLine="409" w:firstLineChars="195"/>
        <w:rPr>
          <w:rFonts w:hint="eastAsia" w:cs="宋体"/>
          <w:color w:val="auto"/>
          <w:szCs w:val="21"/>
          <w:highlight w:val="none"/>
          <w:u w:val="single"/>
        </w:rPr>
      </w:pPr>
      <w:r>
        <w:rPr>
          <w:rFonts w:hint="eastAsia" w:cs="宋体"/>
          <w:color w:val="auto"/>
          <w:szCs w:val="21"/>
          <w:highlight w:val="none"/>
          <w:u w:val="single"/>
        </w:rPr>
        <w:t>11.2.9《项目负责人驻场承诺书》（见招标文件第四章 “技术标投标文件格式”格式</w:t>
      </w:r>
      <w:r>
        <w:rPr>
          <w:rFonts w:hint="eastAsia" w:cs="宋体"/>
          <w:color w:val="auto"/>
          <w:szCs w:val="21"/>
          <w:highlight w:val="none"/>
          <w:u w:val="single"/>
          <w:lang w:eastAsia="zh-CN"/>
        </w:rPr>
        <w:t>四</w:t>
      </w:r>
      <w:r>
        <w:rPr>
          <w:rFonts w:hint="eastAsia" w:cs="宋体"/>
          <w:color w:val="auto"/>
          <w:szCs w:val="21"/>
          <w:highlight w:val="none"/>
          <w:u w:val="single"/>
        </w:rPr>
        <w:t>）。</w:t>
      </w:r>
    </w:p>
    <w:p>
      <w:pPr>
        <w:spacing w:line="360" w:lineRule="auto"/>
        <w:ind w:firstLine="409" w:firstLineChars="195"/>
        <w:rPr>
          <w:rFonts w:hint="eastAsia" w:cs="宋体"/>
          <w:color w:val="auto"/>
          <w:szCs w:val="21"/>
          <w:highlight w:val="none"/>
          <w:u w:val="single"/>
        </w:rPr>
      </w:pPr>
      <w:r>
        <w:rPr>
          <w:rFonts w:hint="eastAsia" w:cs="宋体"/>
          <w:color w:val="auto"/>
          <w:szCs w:val="21"/>
          <w:highlight w:val="none"/>
          <w:u w:val="single"/>
        </w:rPr>
        <w:t>11.2.</w:t>
      </w:r>
      <w:r>
        <w:rPr>
          <w:rFonts w:hint="eastAsia" w:cs="宋体"/>
          <w:color w:val="auto"/>
          <w:szCs w:val="21"/>
          <w:highlight w:val="none"/>
          <w:u w:val="single"/>
          <w:lang w:val="en-US" w:eastAsia="zh-CN"/>
        </w:rPr>
        <w:t>10</w:t>
      </w:r>
      <w:r>
        <w:rPr>
          <w:rFonts w:hint="eastAsia" w:cs="宋体"/>
          <w:color w:val="auto"/>
          <w:szCs w:val="21"/>
          <w:highlight w:val="none"/>
          <w:u w:val="single"/>
        </w:rPr>
        <w:t>危险性较大的分部分项工程清单及超过一定规模的危险性较大的分部分项工程清单（见招标文件第四章 “技术标投标文件格式”格式</w:t>
      </w:r>
      <w:r>
        <w:rPr>
          <w:rFonts w:hint="eastAsia" w:cs="宋体"/>
          <w:color w:val="auto"/>
          <w:szCs w:val="21"/>
          <w:highlight w:val="none"/>
          <w:u w:val="single"/>
          <w:lang w:eastAsia="zh-CN"/>
        </w:rPr>
        <w:t>八</w:t>
      </w:r>
      <w:r>
        <w:rPr>
          <w:rFonts w:hint="eastAsia" w:cs="宋体"/>
          <w:color w:val="auto"/>
          <w:szCs w:val="21"/>
          <w:highlight w:val="none"/>
          <w:u w:val="single"/>
        </w:rPr>
        <w:t>）。</w:t>
      </w:r>
    </w:p>
    <w:p>
      <w:pPr>
        <w:adjustRightInd w:val="0"/>
        <w:spacing w:line="360" w:lineRule="auto"/>
        <w:ind w:firstLine="409" w:firstLineChars="195"/>
        <w:textAlignment w:val="baseline"/>
        <w:rPr>
          <w:rFonts w:hint="eastAsia" w:cs="宋体"/>
          <w:color w:val="auto"/>
          <w:szCs w:val="21"/>
          <w:highlight w:val="none"/>
          <w:u w:val="single"/>
        </w:rPr>
      </w:pPr>
      <w:r>
        <w:rPr>
          <w:rFonts w:hint="eastAsia" w:cs="宋体"/>
          <w:color w:val="auto"/>
          <w:szCs w:val="21"/>
          <w:highlight w:val="none"/>
          <w:u w:val="single"/>
        </w:rPr>
        <w:t>11.2.</w:t>
      </w:r>
      <w:r>
        <w:rPr>
          <w:rFonts w:hint="eastAsia" w:cs="宋体"/>
          <w:color w:val="auto"/>
          <w:szCs w:val="21"/>
          <w:highlight w:val="none"/>
          <w:u w:val="single"/>
          <w:lang w:val="en-US" w:eastAsia="zh-CN"/>
        </w:rPr>
        <w:t>11</w:t>
      </w:r>
      <w:r>
        <w:rPr>
          <w:rFonts w:hint="eastAsia" w:cs="宋体"/>
          <w:color w:val="auto"/>
          <w:szCs w:val="21"/>
          <w:highlight w:val="none"/>
          <w:u w:val="single"/>
        </w:rPr>
        <w:t xml:space="preserve"> 施工组织设计或施工方案。</w:t>
      </w:r>
    </w:p>
    <w:p>
      <w:pPr>
        <w:pBdr>
          <w:top w:val="single" w:color="auto" w:sz="4" w:space="0"/>
        </w:pBdr>
        <w:adjustRightInd w:val="0"/>
        <w:spacing w:line="360" w:lineRule="auto"/>
        <w:ind w:firstLine="411" w:firstLineChars="195"/>
        <w:textAlignment w:val="baseline"/>
        <w:rPr>
          <w:rFonts w:cs="宋体"/>
          <w:b/>
          <w:color w:val="auto"/>
          <w:szCs w:val="21"/>
          <w:highlight w:val="none"/>
        </w:rPr>
      </w:pPr>
      <w:r>
        <w:rPr>
          <w:rFonts w:hint="eastAsia" w:cs="宋体"/>
          <w:b/>
          <w:color w:val="auto"/>
          <w:szCs w:val="21"/>
          <w:highlight w:val="none"/>
        </w:rPr>
        <w:t>条款号：11.3                      修改类型：修改</w:t>
      </w:r>
    </w:p>
    <w:p>
      <w:pPr>
        <w:spacing w:line="360" w:lineRule="auto"/>
        <w:ind w:firstLine="411" w:firstLineChars="195"/>
        <w:rPr>
          <w:rFonts w:cs="宋体"/>
          <w:bCs/>
          <w:color w:val="auto"/>
          <w:szCs w:val="21"/>
          <w:highlight w:val="none"/>
        </w:rPr>
      </w:pPr>
      <w:r>
        <w:rPr>
          <w:rFonts w:hint="eastAsia" w:cs="宋体"/>
          <w:b/>
          <w:bCs/>
          <w:color w:val="auto"/>
          <w:szCs w:val="21"/>
          <w:highlight w:val="none"/>
        </w:rPr>
        <w:t>原文：</w:t>
      </w:r>
    </w:p>
    <w:p>
      <w:pPr>
        <w:spacing w:line="360" w:lineRule="auto"/>
        <w:ind w:firstLine="409" w:firstLineChars="195"/>
        <w:rPr>
          <w:rFonts w:cs="宋体"/>
          <w:bCs/>
          <w:color w:val="auto"/>
          <w:szCs w:val="21"/>
          <w:highlight w:val="none"/>
        </w:rPr>
      </w:pPr>
      <w:r>
        <w:rPr>
          <w:rFonts w:hint="eastAsia" w:cs="宋体"/>
          <w:bCs/>
          <w:color w:val="auto"/>
          <w:szCs w:val="21"/>
          <w:highlight w:val="none"/>
        </w:rPr>
        <w:t>11.3投标文件主要包括下列内容：</w:t>
      </w:r>
    </w:p>
    <w:p>
      <w:pPr>
        <w:spacing w:line="360" w:lineRule="auto"/>
        <w:ind w:firstLine="409" w:firstLineChars="195"/>
        <w:rPr>
          <w:rFonts w:cs="宋体"/>
          <w:color w:val="auto"/>
          <w:szCs w:val="21"/>
          <w:highlight w:val="none"/>
        </w:rPr>
      </w:pPr>
      <w:r>
        <w:rPr>
          <w:rFonts w:hint="eastAsia" w:cs="宋体"/>
          <w:color w:val="auto"/>
          <w:szCs w:val="21"/>
          <w:highlight w:val="none"/>
        </w:rPr>
        <w:t>11.3.1 经济投标文件(按招标文件的要求填写)。</w:t>
      </w:r>
    </w:p>
    <w:p>
      <w:pPr>
        <w:spacing w:line="360" w:lineRule="auto"/>
        <w:ind w:firstLine="409" w:firstLineChars="195"/>
        <w:rPr>
          <w:rFonts w:cs="宋体"/>
          <w:color w:val="auto"/>
          <w:szCs w:val="21"/>
          <w:highlight w:val="none"/>
        </w:rPr>
      </w:pPr>
      <w:r>
        <w:rPr>
          <w:rFonts w:hint="eastAsia" w:cs="宋体"/>
          <w:color w:val="auto"/>
          <w:szCs w:val="21"/>
          <w:highlight w:val="none"/>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pPr>
        <w:spacing w:line="360" w:lineRule="auto"/>
        <w:ind w:firstLine="409" w:firstLineChars="195"/>
        <w:rPr>
          <w:rFonts w:cs="宋体"/>
          <w:color w:val="auto"/>
          <w:szCs w:val="21"/>
          <w:highlight w:val="none"/>
        </w:rPr>
      </w:pPr>
      <w:r>
        <w:rPr>
          <w:rFonts w:hint="eastAsia" w:cs="宋体"/>
          <w:color w:val="auto"/>
          <w:szCs w:val="21"/>
          <w:highlight w:val="none"/>
        </w:rPr>
        <w:t>（1）投标总价封面、扉页；</w:t>
      </w:r>
    </w:p>
    <w:p>
      <w:pPr>
        <w:spacing w:line="360" w:lineRule="auto"/>
        <w:ind w:firstLine="409" w:firstLineChars="195"/>
        <w:rPr>
          <w:rFonts w:cs="宋体"/>
          <w:color w:val="auto"/>
          <w:szCs w:val="21"/>
          <w:highlight w:val="none"/>
        </w:rPr>
      </w:pPr>
      <w:r>
        <w:rPr>
          <w:rFonts w:hint="eastAsia" w:cs="宋体"/>
          <w:color w:val="auto"/>
          <w:szCs w:val="21"/>
          <w:highlight w:val="none"/>
        </w:rPr>
        <w:t>（2）总说明</w:t>
      </w:r>
    </w:p>
    <w:p>
      <w:pPr>
        <w:spacing w:line="360" w:lineRule="auto"/>
        <w:ind w:firstLine="409" w:firstLineChars="195"/>
        <w:rPr>
          <w:rFonts w:cs="宋体"/>
          <w:color w:val="auto"/>
          <w:szCs w:val="21"/>
          <w:highlight w:val="none"/>
        </w:rPr>
      </w:pPr>
      <w:r>
        <w:rPr>
          <w:rFonts w:hint="eastAsia" w:cs="宋体"/>
          <w:color w:val="auto"/>
          <w:szCs w:val="21"/>
          <w:highlight w:val="none"/>
        </w:rPr>
        <w:t>（3）工程项目投标报价汇总表；</w:t>
      </w:r>
    </w:p>
    <w:p>
      <w:pPr>
        <w:spacing w:line="360" w:lineRule="auto"/>
        <w:ind w:firstLine="409" w:firstLineChars="195"/>
        <w:rPr>
          <w:rFonts w:cs="宋体"/>
          <w:color w:val="auto"/>
          <w:szCs w:val="21"/>
          <w:highlight w:val="none"/>
        </w:rPr>
      </w:pPr>
      <w:r>
        <w:rPr>
          <w:rFonts w:hint="eastAsia" w:cs="宋体"/>
          <w:color w:val="auto"/>
          <w:szCs w:val="21"/>
          <w:highlight w:val="none"/>
        </w:rPr>
        <w:t>（4）单项工程投标报价汇总表；</w:t>
      </w:r>
    </w:p>
    <w:p>
      <w:pPr>
        <w:spacing w:line="360" w:lineRule="auto"/>
        <w:ind w:firstLine="409" w:firstLineChars="195"/>
        <w:rPr>
          <w:rFonts w:cs="宋体"/>
          <w:color w:val="auto"/>
          <w:szCs w:val="21"/>
          <w:highlight w:val="none"/>
        </w:rPr>
      </w:pPr>
      <w:r>
        <w:rPr>
          <w:rFonts w:hint="eastAsia" w:cs="宋体"/>
          <w:color w:val="auto"/>
          <w:szCs w:val="21"/>
          <w:highlight w:val="none"/>
        </w:rPr>
        <w:t>（5）单位工程投标报价汇总表；</w:t>
      </w:r>
    </w:p>
    <w:p>
      <w:pPr>
        <w:spacing w:line="360" w:lineRule="auto"/>
        <w:ind w:firstLine="409" w:firstLineChars="195"/>
        <w:rPr>
          <w:rFonts w:cs="宋体"/>
          <w:color w:val="auto"/>
          <w:szCs w:val="21"/>
          <w:highlight w:val="none"/>
        </w:rPr>
      </w:pPr>
      <w:r>
        <w:rPr>
          <w:rFonts w:hint="eastAsia" w:cs="宋体"/>
          <w:color w:val="auto"/>
          <w:szCs w:val="21"/>
          <w:highlight w:val="none"/>
        </w:rPr>
        <w:t>（6）分部分项工程清单与计价表；</w:t>
      </w:r>
    </w:p>
    <w:p>
      <w:pPr>
        <w:spacing w:line="360" w:lineRule="auto"/>
        <w:ind w:firstLine="409" w:firstLineChars="195"/>
        <w:rPr>
          <w:rFonts w:cs="宋体"/>
          <w:color w:val="auto"/>
          <w:szCs w:val="21"/>
          <w:highlight w:val="none"/>
        </w:rPr>
      </w:pPr>
      <w:r>
        <w:rPr>
          <w:rFonts w:hint="eastAsia" w:cs="宋体"/>
          <w:color w:val="auto"/>
          <w:szCs w:val="21"/>
          <w:highlight w:val="none"/>
        </w:rPr>
        <w:t>（7）单价措施项目清单与计价表；</w:t>
      </w:r>
    </w:p>
    <w:p>
      <w:pPr>
        <w:spacing w:line="360" w:lineRule="auto"/>
        <w:ind w:firstLine="409" w:firstLineChars="195"/>
        <w:rPr>
          <w:rFonts w:cs="宋体"/>
          <w:color w:val="auto"/>
          <w:szCs w:val="21"/>
          <w:highlight w:val="none"/>
        </w:rPr>
      </w:pPr>
      <w:r>
        <w:rPr>
          <w:rFonts w:hint="eastAsia" w:cs="宋体"/>
          <w:color w:val="auto"/>
          <w:szCs w:val="21"/>
          <w:highlight w:val="none"/>
        </w:rPr>
        <w:t>（8）总价措施项目清单与计价表；</w:t>
      </w:r>
    </w:p>
    <w:p>
      <w:pPr>
        <w:spacing w:line="360" w:lineRule="auto"/>
        <w:ind w:firstLine="409" w:firstLineChars="195"/>
        <w:rPr>
          <w:rFonts w:cs="宋体"/>
          <w:color w:val="auto"/>
          <w:szCs w:val="21"/>
          <w:highlight w:val="none"/>
        </w:rPr>
      </w:pPr>
      <w:r>
        <w:rPr>
          <w:rFonts w:hint="eastAsia" w:cs="宋体"/>
          <w:color w:val="auto"/>
          <w:szCs w:val="21"/>
          <w:highlight w:val="none"/>
        </w:rPr>
        <w:t>（9）综合单价分析表；</w:t>
      </w:r>
    </w:p>
    <w:p>
      <w:pPr>
        <w:spacing w:line="360" w:lineRule="auto"/>
        <w:ind w:firstLine="409" w:firstLineChars="195"/>
        <w:rPr>
          <w:rFonts w:cs="宋体"/>
          <w:color w:val="auto"/>
          <w:szCs w:val="21"/>
          <w:highlight w:val="none"/>
        </w:rPr>
      </w:pPr>
      <w:r>
        <w:rPr>
          <w:rFonts w:hint="eastAsia" w:cs="宋体"/>
          <w:color w:val="auto"/>
          <w:szCs w:val="21"/>
          <w:highlight w:val="none"/>
        </w:rPr>
        <w:t>（10）其他项目清单与计价汇总表；</w:t>
      </w:r>
    </w:p>
    <w:p>
      <w:pPr>
        <w:spacing w:line="360" w:lineRule="auto"/>
        <w:ind w:firstLine="409" w:firstLineChars="195"/>
        <w:rPr>
          <w:rFonts w:cs="宋体"/>
          <w:color w:val="auto"/>
          <w:szCs w:val="21"/>
          <w:highlight w:val="none"/>
        </w:rPr>
      </w:pPr>
      <w:r>
        <w:rPr>
          <w:rFonts w:hint="eastAsia" w:cs="宋体"/>
          <w:color w:val="auto"/>
          <w:szCs w:val="21"/>
          <w:highlight w:val="none"/>
        </w:rPr>
        <w:t>（11）暂列金额明细表；</w:t>
      </w:r>
    </w:p>
    <w:p>
      <w:pPr>
        <w:spacing w:line="360" w:lineRule="auto"/>
        <w:ind w:firstLine="409" w:firstLineChars="195"/>
        <w:rPr>
          <w:rFonts w:cs="宋体"/>
          <w:color w:val="auto"/>
          <w:szCs w:val="21"/>
          <w:highlight w:val="none"/>
        </w:rPr>
      </w:pPr>
      <w:r>
        <w:rPr>
          <w:rFonts w:hint="eastAsia" w:cs="宋体"/>
          <w:color w:val="auto"/>
          <w:szCs w:val="21"/>
          <w:highlight w:val="none"/>
        </w:rPr>
        <w:t>（12）材料（工程设备）暂估价明细表；</w:t>
      </w:r>
    </w:p>
    <w:p>
      <w:pPr>
        <w:spacing w:line="360" w:lineRule="auto"/>
        <w:ind w:firstLine="409" w:firstLineChars="195"/>
        <w:rPr>
          <w:rFonts w:cs="宋体"/>
          <w:color w:val="auto"/>
          <w:szCs w:val="21"/>
          <w:highlight w:val="none"/>
        </w:rPr>
      </w:pPr>
      <w:r>
        <w:rPr>
          <w:rFonts w:hint="eastAsia" w:cs="宋体"/>
          <w:color w:val="auto"/>
          <w:szCs w:val="21"/>
          <w:highlight w:val="none"/>
        </w:rPr>
        <w:t>（13）专业工程暂估价明细表；</w:t>
      </w:r>
    </w:p>
    <w:p>
      <w:pPr>
        <w:spacing w:line="360" w:lineRule="auto"/>
        <w:ind w:firstLine="409" w:firstLineChars="195"/>
        <w:rPr>
          <w:rFonts w:cs="宋体"/>
          <w:color w:val="auto"/>
          <w:szCs w:val="21"/>
          <w:highlight w:val="none"/>
        </w:rPr>
      </w:pPr>
      <w:r>
        <w:rPr>
          <w:rFonts w:hint="eastAsia" w:cs="宋体"/>
          <w:color w:val="auto"/>
          <w:szCs w:val="21"/>
          <w:highlight w:val="none"/>
        </w:rPr>
        <w:t>（14）计日工表；</w:t>
      </w:r>
    </w:p>
    <w:p>
      <w:pPr>
        <w:spacing w:line="360" w:lineRule="auto"/>
        <w:ind w:firstLine="409" w:firstLineChars="195"/>
        <w:rPr>
          <w:rFonts w:cs="宋体"/>
          <w:color w:val="auto"/>
          <w:szCs w:val="21"/>
          <w:highlight w:val="none"/>
        </w:rPr>
      </w:pPr>
      <w:r>
        <w:rPr>
          <w:rFonts w:hint="eastAsia" w:cs="宋体"/>
          <w:color w:val="auto"/>
          <w:szCs w:val="21"/>
          <w:highlight w:val="none"/>
        </w:rPr>
        <w:t>（15）总承包服务计价表；</w:t>
      </w:r>
    </w:p>
    <w:p>
      <w:pPr>
        <w:spacing w:line="360" w:lineRule="auto"/>
        <w:ind w:firstLine="409" w:firstLineChars="195"/>
        <w:rPr>
          <w:rFonts w:cs="宋体"/>
          <w:color w:val="auto"/>
          <w:szCs w:val="21"/>
          <w:highlight w:val="none"/>
        </w:rPr>
      </w:pPr>
      <w:r>
        <w:rPr>
          <w:rFonts w:hint="eastAsia" w:cs="宋体"/>
          <w:color w:val="auto"/>
          <w:szCs w:val="21"/>
          <w:highlight w:val="none"/>
        </w:rPr>
        <w:t>（16）规费和税金项目计价表；</w:t>
      </w:r>
    </w:p>
    <w:p>
      <w:pPr>
        <w:spacing w:line="360" w:lineRule="auto"/>
        <w:ind w:firstLine="409" w:firstLineChars="195"/>
        <w:rPr>
          <w:rFonts w:cs="宋体"/>
          <w:color w:val="auto"/>
          <w:szCs w:val="21"/>
          <w:highlight w:val="none"/>
        </w:rPr>
      </w:pPr>
      <w:r>
        <w:rPr>
          <w:rFonts w:hint="eastAsia" w:cs="宋体"/>
          <w:color w:val="auto"/>
          <w:szCs w:val="21"/>
          <w:highlight w:val="none"/>
        </w:rPr>
        <w:t>（17）人工、主要材料和设备一览表</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11.3.3按照</w:t>
      </w:r>
      <w:r>
        <w:rPr>
          <w:rFonts w:hint="eastAsia" w:cs="宋体"/>
          <w:bCs/>
          <w:color w:val="auto"/>
          <w:szCs w:val="21"/>
          <w:highlight w:val="none"/>
        </w:rPr>
        <w:t>招标文件要求</w:t>
      </w:r>
      <w:r>
        <w:rPr>
          <w:rFonts w:hint="eastAsia" w:cs="宋体"/>
          <w:color w:val="auto"/>
          <w:szCs w:val="21"/>
          <w:highlight w:val="none"/>
        </w:rPr>
        <w:t>填写的《参与编制经济标投标文件人员名单》。</w:t>
      </w:r>
    </w:p>
    <w:p>
      <w:pPr>
        <w:tabs>
          <w:tab w:val="left" w:pos="1125"/>
        </w:tabs>
        <w:spacing w:line="360" w:lineRule="auto"/>
        <w:ind w:firstLine="409" w:firstLineChars="195"/>
        <w:rPr>
          <w:rFonts w:cs="宋体"/>
          <w:color w:val="auto"/>
          <w:szCs w:val="21"/>
          <w:highlight w:val="none"/>
        </w:rPr>
      </w:pPr>
      <w:r>
        <w:rPr>
          <w:rFonts w:hint="eastAsia" w:cs="宋体"/>
          <w:color w:val="auto"/>
          <w:szCs w:val="21"/>
          <w:highlight w:val="none"/>
        </w:rPr>
        <w:t>11.3.4若投标人的投标报价低于工程成本警戒价的，投标人还须提供详细的施工组织设计、单价、措施性费用、单价分析表、主要材料价格表、投标人成本分析供评标委员会评审。</w:t>
      </w:r>
    </w:p>
    <w:p>
      <w:pPr>
        <w:pBdr>
          <w:bottom w:val="single" w:color="auto" w:sz="6" w:space="1"/>
        </w:pBdr>
        <w:adjustRightInd w:val="0"/>
        <w:spacing w:line="360" w:lineRule="auto"/>
        <w:ind w:firstLine="411" w:firstLineChars="195"/>
        <w:textAlignment w:val="baseline"/>
        <w:rPr>
          <w:rFonts w:cs="宋体"/>
          <w:b/>
          <w:color w:val="auto"/>
          <w:szCs w:val="21"/>
          <w:highlight w:val="none"/>
        </w:rPr>
      </w:pPr>
      <w:r>
        <w:rPr>
          <w:rFonts w:hint="eastAsia" w:cs="宋体"/>
          <w:b/>
          <w:color w:val="auto"/>
          <w:szCs w:val="21"/>
          <w:highlight w:val="none"/>
        </w:rPr>
        <w:t>现文：</w:t>
      </w:r>
    </w:p>
    <w:p>
      <w:pPr>
        <w:pBdr>
          <w:bottom w:val="single" w:color="auto" w:sz="6" w:space="1"/>
        </w:pBdr>
        <w:adjustRightInd w:val="0"/>
        <w:spacing w:line="360" w:lineRule="auto"/>
        <w:ind w:firstLine="409" w:firstLineChars="195"/>
        <w:textAlignment w:val="baseline"/>
        <w:rPr>
          <w:rFonts w:cs="宋体"/>
          <w:b/>
          <w:color w:val="auto"/>
          <w:szCs w:val="21"/>
          <w:highlight w:val="none"/>
        </w:rPr>
      </w:pPr>
      <w:r>
        <w:rPr>
          <w:rFonts w:hint="eastAsia" w:cs="宋体"/>
          <w:bCs/>
          <w:color w:val="auto"/>
          <w:szCs w:val="21"/>
          <w:highlight w:val="none"/>
        </w:rPr>
        <w:t>11.3 经济标投标文件主要包括下列内容：</w:t>
      </w:r>
    </w:p>
    <w:p>
      <w:pPr>
        <w:pBdr>
          <w:bottom w:val="single" w:color="auto" w:sz="6" w:space="1"/>
        </w:pBdr>
        <w:adjustRightInd w:val="0"/>
        <w:spacing w:line="360" w:lineRule="auto"/>
        <w:ind w:firstLine="409" w:firstLineChars="195"/>
        <w:textAlignment w:val="baseline"/>
        <w:rPr>
          <w:rFonts w:cs="宋体"/>
          <w:color w:val="auto"/>
          <w:szCs w:val="21"/>
          <w:highlight w:val="none"/>
        </w:rPr>
      </w:pPr>
      <w:r>
        <w:rPr>
          <w:rFonts w:hint="eastAsia" w:cs="宋体"/>
          <w:color w:val="auto"/>
          <w:szCs w:val="21"/>
          <w:highlight w:val="none"/>
        </w:rPr>
        <w:t>11.3.1</w:t>
      </w:r>
      <w:r>
        <w:rPr>
          <w:rFonts w:hint="eastAsia" w:cs="宋体"/>
          <w:color w:val="auto"/>
          <w:szCs w:val="21"/>
          <w:highlight w:val="none"/>
          <w:u w:val="single"/>
        </w:rPr>
        <w:t>广州建设工程施工招标投标书(需按招标文件第四章要求的格式填写，具体格式以《广州建设工程施工招标投标书（经济标）》为准；电子投标管理软件编制的“广州建设工程施工招标投标书”不作为否决投标的条件，投标人采用电子投标管理软件编制“广州建设工程施工招标投标书”时无法填写“项目编号”的可以不填写，没有填写“项目编号”也不作为否决投标的条件)；</w:t>
      </w:r>
    </w:p>
    <w:p>
      <w:pPr>
        <w:pBdr>
          <w:bottom w:val="single" w:color="auto" w:sz="6" w:space="1"/>
        </w:pBdr>
        <w:adjustRightInd w:val="0"/>
        <w:spacing w:line="360" w:lineRule="auto"/>
        <w:ind w:firstLine="409" w:firstLineChars="195"/>
        <w:textAlignment w:val="baseline"/>
        <w:rPr>
          <w:rFonts w:cs="宋体"/>
          <w:color w:val="auto"/>
          <w:szCs w:val="21"/>
          <w:highlight w:val="none"/>
        </w:rPr>
      </w:pPr>
      <w:r>
        <w:rPr>
          <w:rFonts w:hint="eastAsia" w:cs="宋体"/>
          <w:color w:val="auto"/>
          <w:szCs w:val="21"/>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企业定额、施工现场情况和投标时拟定的施工组织设计或者施工方案，结合企业成本、市场价格以及招标文件中载明的风险内容和范围等编制。其中包括如下：</w:t>
      </w:r>
    </w:p>
    <w:p>
      <w:pPr>
        <w:pBdr>
          <w:bottom w:val="single" w:color="auto" w:sz="6" w:space="1"/>
        </w:pBdr>
        <w:adjustRightInd w:val="0"/>
        <w:spacing w:line="360" w:lineRule="auto"/>
        <w:ind w:firstLine="409" w:firstLineChars="195"/>
        <w:textAlignment w:val="baseline"/>
        <w:rPr>
          <w:rFonts w:cs="宋体"/>
          <w:color w:val="auto"/>
          <w:szCs w:val="21"/>
          <w:highlight w:val="none"/>
        </w:rPr>
      </w:pPr>
      <w:r>
        <w:rPr>
          <w:rFonts w:hint="eastAsia" w:cs="宋体"/>
          <w:color w:val="auto"/>
          <w:szCs w:val="21"/>
          <w:highlight w:val="none"/>
        </w:rPr>
        <w:t>（1）投标总价封面、扉页；</w:t>
      </w:r>
    </w:p>
    <w:p>
      <w:pPr>
        <w:pBdr>
          <w:bottom w:val="single" w:color="auto" w:sz="6" w:space="1"/>
        </w:pBdr>
        <w:adjustRightInd w:val="0"/>
        <w:spacing w:line="360" w:lineRule="auto"/>
        <w:ind w:firstLine="409" w:firstLineChars="195"/>
        <w:textAlignment w:val="baseline"/>
        <w:rPr>
          <w:rFonts w:cs="宋体"/>
          <w:color w:val="auto"/>
          <w:szCs w:val="21"/>
          <w:highlight w:val="none"/>
        </w:rPr>
      </w:pPr>
      <w:r>
        <w:rPr>
          <w:rFonts w:hint="eastAsia" w:cs="宋体"/>
          <w:color w:val="auto"/>
          <w:szCs w:val="21"/>
          <w:highlight w:val="none"/>
        </w:rPr>
        <w:t>（2）总说明；</w:t>
      </w:r>
    </w:p>
    <w:p>
      <w:pPr>
        <w:pBdr>
          <w:bottom w:val="single" w:color="auto" w:sz="6" w:space="1"/>
        </w:pBdr>
        <w:adjustRightInd w:val="0"/>
        <w:spacing w:line="360" w:lineRule="auto"/>
        <w:ind w:firstLine="409" w:firstLineChars="195"/>
        <w:textAlignment w:val="baseline"/>
        <w:rPr>
          <w:rFonts w:cs="宋体"/>
          <w:b/>
          <w:color w:val="auto"/>
          <w:szCs w:val="21"/>
          <w:highlight w:val="none"/>
        </w:rPr>
      </w:pPr>
      <w:r>
        <w:rPr>
          <w:rFonts w:hint="eastAsia" w:cs="宋体"/>
          <w:color w:val="auto"/>
          <w:szCs w:val="21"/>
          <w:highlight w:val="none"/>
          <w:u w:val="single"/>
        </w:rPr>
        <w:t>（3）工程量清单报价表及综合单价分析表</w:t>
      </w:r>
      <w:r>
        <w:rPr>
          <w:rFonts w:hint="eastAsia" w:ascii="宋体" w:hAnsi="宋体" w:cs="宋体"/>
          <w:color w:val="auto"/>
          <w:szCs w:val="21"/>
          <w:highlight w:val="none"/>
          <w:u w:val="single"/>
        </w:rPr>
        <w:t>（投标报价的工程量清单的组成、格式等由广州公共资源交易中心的投标文件管理软件自动生成）</w:t>
      </w:r>
      <w:r>
        <w:rPr>
          <w:rFonts w:hint="eastAsia" w:cs="宋体"/>
          <w:color w:val="auto"/>
          <w:szCs w:val="21"/>
          <w:highlight w:val="none"/>
          <w:u w:val="single"/>
        </w:rPr>
        <w:t>；</w:t>
      </w:r>
    </w:p>
    <w:p>
      <w:pPr>
        <w:pBdr>
          <w:bottom w:val="single" w:color="auto" w:sz="6" w:space="1"/>
        </w:pBdr>
        <w:adjustRightInd w:val="0"/>
        <w:spacing w:line="360" w:lineRule="auto"/>
        <w:ind w:firstLine="409" w:firstLineChars="195"/>
        <w:textAlignment w:val="baseline"/>
        <w:rPr>
          <w:rFonts w:cs="宋体"/>
          <w:color w:val="auto"/>
          <w:szCs w:val="21"/>
          <w:highlight w:val="none"/>
        </w:rPr>
      </w:pPr>
      <w:r>
        <w:rPr>
          <w:rFonts w:hint="eastAsia" w:cs="宋体"/>
          <w:color w:val="auto"/>
          <w:szCs w:val="21"/>
          <w:highlight w:val="none"/>
          <w:u w:val="single"/>
        </w:rPr>
        <w:t>（4）其它辅助说明资料（包括但不限于招标文件要求填写的《对投标文件编制的承诺》（格式见第四章））</w:t>
      </w:r>
      <w:r>
        <w:rPr>
          <w:rFonts w:hint="eastAsia" w:cs="宋体"/>
          <w:color w:val="auto"/>
          <w:szCs w:val="21"/>
          <w:highlight w:val="none"/>
        </w:rPr>
        <w:t>。</w:t>
      </w:r>
    </w:p>
    <w:p>
      <w:pPr>
        <w:pBdr>
          <w:bottom w:val="single" w:color="auto" w:sz="6" w:space="1"/>
        </w:pBdr>
        <w:adjustRightInd w:val="0"/>
        <w:spacing w:line="360" w:lineRule="auto"/>
        <w:ind w:firstLine="409" w:firstLineChars="195"/>
        <w:textAlignment w:val="baseline"/>
        <w:rPr>
          <w:rFonts w:cs="宋体"/>
          <w:color w:val="auto"/>
          <w:szCs w:val="21"/>
          <w:highlight w:val="none"/>
        </w:rPr>
      </w:pPr>
      <w:r>
        <w:rPr>
          <w:rFonts w:hint="eastAsia" w:cs="宋体"/>
          <w:color w:val="auto"/>
          <w:szCs w:val="21"/>
          <w:highlight w:val="none"/>
        </w:rPr>
        <w:t>11.3.3按照招标文件要求填写的《参与编制经济标投标文件人员名单》</w:t>
      </w:r>
      <w:r>
        <w:rPr>
          <w:rFonts w:hint="eastAsia" w:cs="宋体"/>
          <w:color w:val="auto"/>
          <w:szCs w:val="21"/>
          <w:highlight w:val="none"/>
          <w:u w:val="single"/>
        </w:rPr>
        <w:t>（格式见第四章）</w:t>
      </w:r>
      <w:r>
        <w:rPr>
          <w:rFonts w:hint="eastAsia" w:cs="宋体"/>
          <w:color w:val="auto"/>
          <w:szCs w:val="21"/>
          <w:highlight w:val="none"/>
        </w:rPr>
        <w:t>。</w:t>
      </w:r>
    </w:p>
    <w:p>
      <w:pPr>
        <w:pBdr>
          <w:bottom w:val="single" w:color="auto" w:sz="6" w:space="1"/>
        </w:pBdr>
        <w:adjustRightInd w:val="0"/>
        <w:spacing w:line="360" w:lineRule="auto"/>
        <w:ind w:firstLine="409" w:firstLineChars="195"/>
        <w:textAlignment w:val="baseline"/>
        <w:rPr>
          <w:rFonts w:cs="宋体"/>
          <w:color w:val="auto"/>
          <w:szCs w:val="21"/>
          <w:highlight w:val="none"/>
        </w:rPr>
      </w:pPr>
      <w:r>
        <w:rPr>
          <w:rFonts w:hint="eastAsia" w:cs="宋体"/>
          <w:color w:val="auto"/>
          <w:szCs w:val="21"/>
          <w:highlight w:val="none"/>
        </w:rPr>
        <w:t>11.3.4若投标人的投标报价低于工程成本警戒价的，投标人还须提供详细的施工组织设计、单价、措施性费用、单价分析表、主要材料价格表、投标人成本分析供评标委员会评审。</w:t>
      </w:r>
    </w:p>
    <w:p>
      <w:pPr>
        <w:pBdr>
          <w:bottom w:val="single" w:color="auto" w:sz="6" w:space="1"/>
        </w:pBdr>
        <w:adjustRightInd w:val="0"/>
        <w:spacing w:line="360" w:lineRule="auto"/>
        <w:ind w:firstLine="409" w:firstLineChars="195"/>
        <w:textAlignment w:val="baseline"/>
        <w:rPr>
          <w:rFonts w:cs="宋体"/>
          <w:color w:val="auto"/>
          <w:szCs w:val="21"/>
          <w:highlight w:val="none"/>
          <w:u w:val="single"/>
        </w:rPr>
      </w:pPr>
      <w:r>
        <w:rPr>
          <w:rFonts w:hint="eastAsia" w:cs="宋体"/>
          <w:color w:val="auto"/>
          <w:szCs w:val="21"/>
          <w:highlight w:val="none"/>
          <w:u w:val="single"/>
        </w:rPr>
        <w:t>11.3.5投标人认为应提供的其他资料。</w:t>
      </w:r>
    </w:p>
    <w:p>
      <w:pPr>
        <w:adjustRightInd w:val="0"/>
        <w:spacing w:line="360" w:lineRule="auto"/>
        <w:ind w:firstLine="411" w:firstLineChars="195"/>
        <w:textAlignment w:val="baseline"/>
        <w:rPr>
          <w:rFonts w:cs="宋体"/>
          <w:b/>
          <w:color w:val="auto"/>
          <w:szCs w:val="21"/>
          <w:highlight w:val="none"/>
        </w:rPr>
      </w:pPr>
      <w:r>
        <w:rPr>
          <w:rFonts w:hint="eastAsia" w:cs="宋体"/>
          <w:b/>
          <w:color w:val="auto"/>
          <w:szCs w:val="21"/>
          <w:highlight w:val="none"/>
        </w:rPr>
        <w:t>条款号：12.2                        修改类型：修改</w:t>
      </w:r>
    </w:p>
    <w:p>
      <w:pPr>
        <w:adjustRightInd w:val="0"/>
        <w:spacing w:line="360" w:lineRule="auto"/>
        <w:ind w:firstLine="411" w:firstLineChars="195"/>
        <w:textAlignment w:val="baseline"/>
        <w:rPr>
          <w:rFonts w:cs="宋体"/>
          <w:b/>
          <w:color w:val="auto"/>
          <w:szCs w:val="21"/>
          <w:highlight w:val="none"/>
        </w:rPr>
      </w:pPr>
      <w:r>
        <w:rPr>
          <w:rFonts w:hint="eastAsia" w:cs="宋体"/>
          <w:b/>
          <w:color w:val="auto"/>
          <w:szCs w:val="21"/>
          <w:highlight w:val="none"/>
        </w:rPr>
        <w:t>原文：</w:t>
      </w:r>
      <w:r>
        <w:rPr>
          <w:rFonts w:hint="eastAsia" w:cs="宋体"/>
          <w:color w:val="auto"/>
          <w:szCs w:val="21"/>
          <w:highlight w:val="none"/>
        </w:rPr>
        <w:t>12.2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cs="宋体"/>
          <w:color w:val="auto"/>
          <w:szCs w:val="21"/>
          <w:highlight w:val="none"/>
          <w:u w:val="single"/>
        </w:rPr>
        <w:t xml:space="preserve">             </w:t>
      </w:r>
      <w:r>
        <w:rPr>
          <w:rFonts w:hint="eastAsia" w:cs="宋体"/>
          <w:color w:val="auto"/>
          <w:szCs w:val="21"/>
          <w:highlight w:val="none"/>
        </w:rPr>
        <w:t>。</w:t>
      </w:r>
    </w:p>
    <w:p>
      <w:pPr>
        <w:pBdr>
          <w:bottom w:val="single" w:color="auto" w:sz="6" w:space="1"/>
        </w:pBdr>
        <w:adjustRightInd w:val="0"/>
        <w:spacing w:line="360" w:lineRule="auto"/>
        <w:ind w:firstLine="411" w:firstLineChars="195"/>
        <w:textAlignment w:val="baseline"/>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12.2</w:t>
      </w:r>
      <w:r>
        <w:rPr>
          <w:rFonts w:hint="eastAsia" w:cs="宋体"/>
          <w:color w:val="auto"/>
          <w:szCs w:val="21"/>
          <w:highlight w:val="none"/>
          <w:u w:val="none"/>
        </w:rPr>
        <w:t>投标文件全部采用电子文档，投标文件所附证书证件均为原件清晰扫描件，并采用单位数字证书，按招标文件要求在相应位置加盖电子印章。投标文件中需个人签字或盖章的，应在线下完成后扫描上传。按照</w:t>
      </w:r>
      <w:r>
        <w:rPr>
          <w:rFonts w:hint="eastAsia" w:cs="宋体"/>
          <w:color w:val="auto"/>
          <w:szCs w:val="21"/>
          <w:highlight w:val="none"/>
          <w:u w:val="single"/>
        </w:rPr>
        <w:t>广州交易集团有限公司（广州公共资源交易中心）</w:t>
      </w:r>
      <w:r>
        <w:rPr>
          <w:rFonts w:hint="eastAsia" w:cs="宋体"/>
          <w:color w:val="auto"/>
          <w:szCs w:val="21"/>
          <w:highlight w:val="none"/>
          <w:u w:val="none"/>
        </w:rPr>
        <w:t>交易平台关于全流程电子化项目的相关指南进行操作。详见：</w:t>
      </w:r>
      <w:r>
        <w:rPr>
          <w:rFonts w:hint="eastAsia" w:cs="宋体"/>
          <w:color w:val="auto"/>
          <w:szCs w:val="21"/>
          <w:highlight w:val="none"/>
          <w:u w:val="single"/>
        </w:rPr>
        <w:t>广州交易集团有限公司（广州公共资源交易中心）</w:t>
      </w:r>
      <w:r>
        <w:rPr>
          <w:rFonts w:hint="eastAsia" w:cs="宋体"/>
          <w:color w:val="auto"/>
          <w:szCs w:val="21"/>
          <w:highlight w:val="none"/>
          <w:u w:val="none"/>
        </w:rPr>
        <w:t>网站最新指引。</w:t>
      </w:r>
    </w:p>
    <w:p>
      <w:pPr>
        <w:spacing w:line="360" w:lineRule="auto"/>
        <w:ind w:firstLine="411" w:firstLineChars="195"/>
        <w:textAlignment w:val="baseline"/>
        <w:rPr>
          <w:rFonts w:cs="宋体"/>
          <w:b/>
          <w:color w:val="auto"/>
          <w:szCs w:val="21"/>
          <w:highlight w:val="none"/>
        </w:rPr>
      </w:pPr>
      <w:r>
        <w:rPr>
          <w:rFonts w:hint="eastAsia" w:cs="宋体"/>
          <w:b/>
          <w:color w:val="auto"/>
          <w:szCs w:val="21"/>
          <w:highlight w:val="none"/>
        </w:rPr>
        <w:t>条款号：12.3                        修改类型：修改</w:t>
      </w:r>
    </w:p>
    <w:p>
      <w:pPr>
        <w:spacing w:line="360" w:lineRule="auto"/>
        <w:ind w:firstLine="411" w:firstLineChars="195"/>
        <w:textAlignment w:val="baseline"/>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12.3投标文件应按照交易平台关于全流程电子化项目的相关指南进行编制，详见：。</w:t>
      </w:r>
    </w:p>
    <w:p>
      <w:pPr>
        <w:spacing w:line="360" w:lineRule="auto"/>
        <w:ind w:firstLine="409" w:firstLineChars="195"/>
        <w:textAlignment w:val="baseline"/>
        <w:rPr>
          <w:rFonts w:cs="宋体"/>
          <w:b/>
          <w:color w:val="auto"/>
          <w:szCs w:val="21"/>
          <w:highlight w:val="none"/>
        </w:rPr>
      </w:pPr>
      <w:r>
        <w:rPr>
          <w:rFonts w:hint="eastAsia" w:cs="宋体"/>
          <w:bCs/>
          <w:color w:val="auto"/>
          <w:szCs w:val="21"/>
          <w:highlight w:val="none"/>
        </w:rPr>
        <w:t>如不按上述要求编制引起系统无法检索、读取相关信息的，其后果由投标人承担。</w:t>
      </w:r>
    </w:p>
    <w:p>
      <w:pPr>
        <w:pBdr>
          <w:bottom w:val="single" w:color="auto" w:sz="6" w:space="1"/>
        </w:pBdr>
        <w:spacing w:line="360" w:lineRule="auto"/>
        <w:ind w:firstLine="411" w:firstLineChars="195"/>
        <w:textAlignment w:val="baseline"/>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12.3</w:t>
      </w:r>
      <w:r>
        <w:rPr>
          <w:rFonts w:hint="eastAsia" w:cs="宋体"/>
          <w:bCs/>
          <w:color w:val="auto"/>
          <w:szCs w:val="21"/>
          <w:highlight w:val="none"/>
        </w:rPr>
        <w:t>投标文件应按</w:t>
      </w:r>
      <w:r>
        <w:rPr>
          <w:rFonts w:hint="eastAsia" w:cs="宋体"/>
          <w:color w:val="auto"/>
          <w:szCs w:val="21"/>
          <w:highlight w:val="none"/>
        </w:rPr>
        <w:t>照</w:t>
      </w:r>
      <w:r>
        <w:rPr>
          <w:rFonts w:hint="eastAsia" w:cs="宋体"/>
          <w:color w:val="auto"/>
          <w:szCs w:val="21"/>
          <w:highlight w:val="none"/>
          <w:u w:val="single"/>
        </w:rPr>
        <w:t>广州交易集团有限公司（广州公共资源交易中心）交易平台</w:t>
      </w:r>
      <w:r>
        <w:rPr>
          <w:rFonts w:hint="eastAsia" w:cs="宋体"/>
          <w:color w:val="auto"/>
          <w:szCs w:val="21"/>
          <w:highlight w:val="none"/>
        </w:rPr>
        <w:t>关于全流程电子化项目的相关指南进行编制，详见：</w:t>
      </w:r>
      <w:r>
        <w:rPr>
          <w:rFonts w:hint="eastAsia" w:ascii="宋体" w:hAnsi="宋体" w:cs="宋体"/>
          <w:color w:val="auto"/>
          <w:szCs w:val="21"/>
          <w:highlight w:val="none"/>
          <w:u w:val="single"/>
        </w:rPr>
        <w:t>广州交易集团有限公司（广州公共资源交易中心）网站最新指引</w:t>
      </w:r>
      <w:r>
        <w:rPr>
          <w:rFonts w:hint="eastAsia" w:cs="宋体"/>
          <w:color w:val="auto"/>
          <w:szCs w:val="21"/>
          <w:highlight w:val="none"/>
        </w:rPr>
        <w:t>。</w:t>
      </w:r>
    </w:p>
    <w:p>
      <w:pPr>
        <w:pBdr>
          <w:bottom w:val="single" w:color="auto" w:sz="6" w:space="1"/>
        </w:pBdr>
        <w:spacing w:line="360" w:lineRule="auto"/>
        <w:ind w:firstLine="409" w:firstLineChars="195"/>
        <w:textAlignment w:val="baseline"/>
        <w:rPr>
          <w:rFonts w:cs="宋体"/>
          <w:b/>
          <w:color w:val="auto"/>
          <w:szCs w:val="21"/>
          <w:highlight w:val="none"/>
        </w:rPr>
      </w:pPr>
      <w:r>
        <w:rPr>
          <w:rFonts w:hint="eastAsia" w:cs="宋体"/>
          <w:bCs/>
          <w:color w:val="auto"/>
          <w:szCs w:val="21"/>
          <w:highlight w:val="none"/>
        </w:rPr>
        <w:t>如不按上述要求编制引起系统无法检索、读取相关信息的，其后果由投标人承担。</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条款号：13.1                        修改类型：修改</w:t>
      </w:r>
    </w:p>
    <w:p>
      <w:pPr>
        <w:pBdr>
          <w:bottom w:val="single" w:color="auto" w:sz="6" w:space="1"/>
        </w:pBdr>
        <w:spacing w:line="360" w:lineRule="auto"/>
        <w:ind w:firstLine="411" w:firstLineChars="195"/>
        <w:rPr>
          <w:rFonts w:cs="宋体"/>
          <w:color w:val="auto"/>
          <w:szCs w:val="21"/>
          <w:highlight w:val="none"/>
          <w:u w:val="single"/>
        </w:rPr>
      </w:pPr>
      <w:r>
        <w:rPr>
          <w:rFonts w:hint="eastAsia" w:cs="宋体"/>
          <w:b/>
          <w:color w:val="auto"/>
          <w:szCs w:val="21"/>
          <w:highlight w:val="none"/>
        </w:rPr>
        <w:t>原文：</w:t>
      </w:r>
      <w:r>
        <w:rPr>
          <w:rFonts w:hint="eastAsia" w:cs="宋体"/>
          <w:color w:val="auto"/>
          <w:szCs w:val="21"/>
          <w:highlight w:val="none"/>
        </w:rPr>
        <w:t>13.1本工程的投标报价采用投标须知前附表第12项所规定的方式。投标报价（含单价及总价）精确到“分”。</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13.1本工程的投标报价采用投标须知前附表第12项所规定的方式。</w:t>
      </w:r>
      <w:r>
        <w:rPr>
          <w:rFonts w:hint="eastAsia" w:cs="宋体"/>
          <w:color w:val="auto"/>
          <w:szCs w:val="21"/>
          <w:highlight w:val="none"/>
          <w:u w:val="single"/>
        </w:rPr>
        <w:t>投标文件中的大写金额和小写金额不一致的，以大写金额为准。</w:t>
      </w:r>
      <w:r>
        <w:rPr>
          <w:rFonts w:hint="eastAsia" w:cs="宋体"/>
          <w:color w:val="auto"/>
          <w:szCs w:val="21"/>
          <w:highlight w:val="none"/>
        </w:rPr>
        <w:t>投标报价（含单价及总价）精确到“分”。</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条款号：13.3                        修改类型：修改</w:t>
      </w:r>
    </w:p>
    <w:p>
      <w:pPr>
        <w:spacing w:line="360" w:lineRule="auto"/>
        <w:ind w:firstLine="411" w:firstLineChars="195"/>
        <w:rPr>
          <w:rFonts w:cs="宋体"/>
          <w:b/>
          <w:color w:val="auto"/>
          <w:szCs w:val="21"/>
          <w:highlight w:val="none"/>
        </w:rPr>
      </w:pPr>
      <w:r>
        <w:rPr>
          <w:rFonts w:hint="eastAsia" w:cs="宋体"/>
          <w:b/>
          <w:color w:val="auto"/>
          <w:szCs w:val="21"/>
          <w:highlight w:val="none"/>
        </w:rPr>
        <w:t>原文：</w:t>
      </w:r>
      <w:r>
        <w:rPr>
          <w:rFonts w:hint="eastAsia" w:cs="宋体"/>
          <w:color w:val="auto"/>
          <w:szCs w:val="21"/>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13.3投标人的投标报价，应是按照投标须知前附表第8项的工期要求，在投标须知前附表第3项的建设地点，完成投标须知前附表第7项的招标范围内已由招标人制定的工程量清单</w:t>
      </w:r>
      <w:r>
        <w:rPr>
          <w:rFonts w:hint="eastAsia" w:cs="宋体"/>
          <w:color w:val="auto"/>
          <w:szCs w:val="21"/>
          <w:highlight w:val="none"/>
          <w:u w:val="single"/>
        </w:rPr>
        <w:t>（含招标的相关资料）</w:t>
      </w:r>
      <w:r>
        <w:rPr>
          <w:rFonts w:hint="eastAsia" w:cs="宋体"/>
          <w:color w:val="auto"/>
          <w:szCs w:val="21"/>
          <w:highlight w:val="none"/>
        </w:rPr>
        <w:t>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条款号：13.4                         修改类型：修改</w:t>
      </w:r>
    </w:p>
    <w:p>
      <w:pPr>
        <w:pStyle w:val="23"/>
        <w:spacing w:after="0" w:line="360" w:lineRule="auto"/>
        <w:ind w:firstLine="392" w:firstLineChars="195"/>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 w:val="21"/>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Bdr>
          <w:bottom w:val="single" w:color="auto" w:sz="6" w:space="1"/>
        </w:pBdr>
        <w:spacing w:line="360" w:lineRule="auto"/>
        <w:ind w:firstLine="411" w:firstLineChars="195"/>
        <w:rPr>
          <w:rFonts w:cs="宋体"/>
          <w:color w:val="auto"/>
          <w:szCs w:val="21"/>
          <w:highlight w:val="none"/>
          <w:u w:val="single"/>
        </w:rPr>
      </w:pPr>
      <w:r>
        <w:rPr>
          <w:rFonts w:hint="eastAsia" w:cs="宋体"/>
          <w:b/>
          <w:color w:val="auto"/>
          <w:szCs w:val="21"/>
          <w:highlight w:val="none"/>
        </w:rPr>
        <w:t>现文：</w:t>
      </w:r>
      <w:r>
        <w:rPr>
          <w:rFonts w:hint="eastAsia" w:cs="宋体"/>
          <w:color w:val="auto"/>
          <w:szCs w:val="21"/>
          <w:highlight w:val="none"/>
        </w:rPr>
        <w:t>13.4投标人一旦中标，投标人对招标人提供的招标工程量清单中列出的工程项目所报出的综合单价</w:t>
      </w:r>
      <w:r>
        <w:rPr>
          <w:rFonts w:hint="eastAsia" w:cs="宋体"/>
          <w:color w:val="auto"/>
          <w:szCs w:val="21"/>
          <w:highlight w:val="none"/>
          <w:u w:val="single"/>
        </w:rPr>
        <w:t>和措施项目费在工程结算时，按招标文件第三章合同条款相关约定调整。</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条款号：13.5                        修改类型：修改</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pPr>
        <w:pBdr>
          <w:bottom w:val="single" w:color="auto" w:sz="6" w:space="1"/>
        </w:pBdr>
        <w:spacing w:line="360" w:lineRule="auto"/>
        <w:ind w:firstLine="409" w:firstLineChars="195"/>
        <w:rPr>
          <w:rFonts w:cs="宋体"/>
          <w:color w:val="auto"/>
          <w:szCs w:val="21"/>
          <w:highlight w:val="none"/>
        </w:rPr>
      </w:pPr>
      <w:r>
        <w:rPr>
          <w:rFonts w:hint="eastAsia" w:cs="宋体"/>
          <w:color w:val="auto"/>
          <w:szCs w:val="21"/>
          <w:highlight w:val="none"/>
        </w:rPr>
        <w:t>13.5.1中标的投标文件工程量清单中已有相同项目的适用综合单价，则沿用；</w:t>
      </w:r>
    </w:p>
    <w:p>
      <w:pPr>
        <w:pBdr>
          <w:bottom w:val="single" w:color="auto" w:sz="6" w:space="1"/>
        </w:pBdr>
        <w:spacing w:line="360" w:lineRule="auto"/>
        <w:ind w:firstLine="409" w:firstLineChars="195"/>
        <w:rPr>
          <w:rFonts w:cs="宋体"/>
          <w:color w:val="auto"/>
          <w:szCs w:val="21"/>
          <w:highlight w:val="none"/>
        </w:rPr>
      </w:pPr>
      <w:r>
        <w:rPr>
          <w:rFonts w:hint="eastAsia" w:cs="宋体"/>
          <w:color w:val="auto"/>
          <w:szCs w:val="21"/>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Bdr>
          <w:bottom w:val="single" w:color="auto" w:sz="6" w:space="1"/>
        </w:pBdr>
        <w:spacing w:line="360" w:lineRule="auto"/>
        <w:ind w:firstLine="409" w:firstLineChars="195"/>
        <w:rPr>
          <w:rFonts w:cs="宋体"/>
          <w:color w:val="auto"/>
          <w:szCs w:val="21"/>
          <w:highlight w:val="none"/>
        </w:rPr>
      </w:pPr>
      <w:r>
        <w:rPr>
          <w:rFonts w:hint="eastAsia" w:cs="宋体"/>
          <w:color w:val="auto"/>
          <w:szCs w:val="21"/>
          <w:highlight w:val="none"/>
        </w:rPr>
        <w:t>13.5.3 中标的投标文件工程量清单中没有相同项目或类似项目的，如可套取相关定额，则以相关定额为基数下浮计算单价,下浮率为中标价相对于最高投标限价的下浮率（下浮率=(最高投标限价-中标价)/最高投标限价）。</w:t>
      </w:r>
    </w:p>
    <w:p>
      <w:pPr>
        <w:pBdr>
          <w:bottom w:val="single" w:color="auto" w:sz="6" w:space="1"/>
        </w:pBdr>
        <w:spacing w:line="360" w:lineRule="auto"/>
        <w:ind w:firstLine="409" w:firstLineChars="195"/>
        <w:rPr>
          <w:rFonts w:cs="宋体"/>
          <w:color w:val="auto"/>
          <w:szCs w:val="21"/>
          <w:highlight w:val="none"/>
          <w:u w:val="single"/>
        </w:rPr>
      </w:pPr>
      <w:r>
        <w:rPr>
          <w:rFonts w:hint="eastAsia" w:cs="宋体"/>
          <w:color w:val="auto"/>
          <w:szCs w:val="21"/>
          <w:highlight w:val="none"/>
        </w:rPr>
        <w:t>13.5.4 如相关定额没有相应子目的，其计价方式由招标人在本招标文件第三章中另行规定。未规定的，中标后双方协商约定。</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13.5</w:t>
      </w:r>
      <w:r>
        <w:rPr>
          <w:rFonts w:hint="eastAsia" w:cs="宋体"/>
          <w:color w:val="auto"/>
          <w:szCs w:val="21"/>
          <w:highlight w:val="none"/>
          <w:u w:val="single"/>
        </w:rPr>
        <w:t>工程项目实施期间和结算时，根据图纸及工程量清单计价规范在招标文件工程量清单中漏列而由监理单位和招标人现场签证确认的实体工程项目、原设计没有而由招标人批准设计变更产生的实体工程项目，视为新增项目，按合同专用条款相关约定确定价格。</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条款号：13.6.2                      修改类型：修改</w:t>
      </w:r>
    </w:p>
    <w:p>
      <w:pPr>
        <w:spacing w:line="360" w:lineRule="auto"/>
        <w:ind w:firstLine="411" w:firstLineChars="195"/>
        <w:rPr>
          <w:rFonts w:cs="宋体"/>
          <w:b/>
          <w:color w:val="auto"/>
          <w:szCs w:val="21"/>
          <w:highlight w:val="none"/>
        </w:rPr>
      </w:pPr>
      <w:r>
        <w:rPr>
          <w:rFonts w:hint="eastAsia" w:cs="宋体"/>
          <w:b/>
          <w:color w:val="auto"/>
          <w:szCs w:val="21"/>
          <w:highlight w:val="none"/>
        </w:rPr>
        <w:t>原文：</w:t>
      </w:r>
      <w:r>
        <w:rPr>
          <w:rFonts w:hint="eastAsia" w:cs="宋体"/>
          <w:color w:val="auto"/>
          <w:szCs w:val="21"/>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13.6.2在工程实施中，暂列金额、暂估价所包含的工作范围和图纸、标准深化固定后，按照工程专业、设备、材料类别等分类汇总的金额，达到法定招标范围标准的</w:t>
      </w:r>
      <w:r>
        <w:rPr>
          <w:rFonts w:hint="eastAsia" w:cs="宋体"/>
          <w:color w:val="auto"/>
          <w:szCs w:val="21"/>
          <w:highlight w:val="none"/>
          <w:u w:val="single"/>
        </w:rPr>
        <w:t>应由招标人招标确定承包人和承包价格</w:t>
      </w:r>
      <w:r>
        <w:rPr>
          <w:rFonts w:hint="eastAsia" w:cs="宋体"/>
          <w:color w:val="auto"/>
          <w:szCs w:val="21"/>
          <w:highlight w:val="none"/>
        </w:rPr>
        <w:t>。</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条款号：13.6.4                      修改类型：修改</w:t>
      </w:r>
    </w:p>
    <w:p>
      <w:pPr>
        <w:spacing w:line="360" w:lineRule="auto"/>
        <w:ind w:firstLine="411" w:firstLineChars="195"/>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13.6.4在工程实施中，暂列金额、暂估价所包含的工作范围和图纸、标准深化固定后，按照工程专业、设备、材料类别等分类汇总的金额，未达到法定招标范围标准也不适用政府采购规定，</w:t>
      </w:r>
      <w:r>
        <w:rPr>
          <w:rFonts w:hint="eastAsia" w:cs="宋体"/>
          <w:color w:val="auto"/>
          <w:szCs w:val="21"/>
          <w:highlight w:val="none"/>
          <w:u w:val="single"/>
        </w:rPr>
        <w:t>经发包人同意</w:t>
      </w:r>
      <w:r>
        <w:rPr>
          <w:rFonts w:hint="eastAsia" w:cs="宋体"/>
          <w:color w:val="auto"/>
          <w:szCs w:val="21"/>
          <w:highlight w:val="none"/>
          <w:u w:val="none"/>
        </w:rPr>
        <w:t>，承包人有法定的承包资格的，由承包人承包，承包人无法定的承包资格但有法定的分包权的，由承包人分包，招标人同承包人结算的价格按本投标须知13.5款规定确定。</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条款号：13.8                      修改类型：修改</w:t>
      </w:r>
    </w:p>
    <w:p>
      <w:pPr>
        <w:spacing w:line="360" w:lineRule="auto"/>
        <w:ind w:firstLine="411" w:firstLineChars="195"/>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pPr>
        <w:pStyle w:val="23"/>
        <w:pBdr>
          <w:bottom w:val="single" w:color="auto" w:sz="6" w:space="1"/>
        </w:pBdr>
        <w:spacing w:after="0" w:line="360" w:lineRule="auto"/>
        <w:ind w:firstLine="392" w:firstLineChars="195"/>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 w:val="21"/>
          <w:szCs w:val="21"/>
          <w:highlight w:val="none"/>
          <w:u w:val="single"/>
        </w:rPr>
        <w:t>13.8本工程采用的主要材料推荐选用《</w:t>
      </w:r>
      <w:r>
        <w:rPr>
          <w:rFonts w:hint="eastAsia" w:ascii="宋体" w:hAnsi="宋体" w:cs="宋体"/>
          <w:color w:val="auto"/>
          <w:sz w:val="21"/>
          <w:szCs w:val="21"/>
          <w:highlight w:val="none"/>
          <w:u w:val="single"/>
          <w:lang w:eastAsia="zh-CN"/>
        </w:rPr>
        <w:t>主要材料品牌表</w:t>
      </w:r>
      <w:r>
        <w:rPr>
          <w:rFonts w:hint="eastAsia" w:ascii="宋体" w:hAnsi="宋体" w:cs="宋体"/>
          <w:color w:val="auto"/>
          <w:sz w:val="21"/>
          <w:szCs w:val="21"/>
          <w:highlight w:val="none"/>
          <w:u w:val="single"/>
        </w:rPr>
        <w:t>》(详见合同)品牌或选用相当于该档次（或以上）的产品。投标期间，投标人不需在投标文件中</w:t>
      </w:r>
      <w:r>
        <w:rPr>
          <w:rFonts w:hint="eastAsia" w:ascii="宋体" w:hAnsi="宋体" w:cs="宋体"/>
          <w:color w:val="auto"/>
          <w:sz w:val="21"/>
          <w:szCs w:val="21"/>
          <w:highlight w:val="none"/>
          <w:u w:val="single"/>
          <w:lang w:eastAsia="zh-CN"/>
        </w:rPr>
        <w:t>提交</w:t>
      </w:r>
      <w:r>
        <w:rPr>
          <w:rFonts w:hint="eastAsia" w:ascii="宋体" w:hAnsi="宋体" w:cs="宋体"/>
          <w:color w:val="auto"/>
          <w:sz w:val="21"/>
          <w:szCs w:val="21"/>
          <w:highlight w:val="none"/>
          <w:u w:val="single"/>
        </w:rPr>
        <w:t>所选用主要材料、设备的品牌、厂家以及质量等级。实施期间，所有材料品牌选择均须报发包人、监理工程师确认，所有材料及成品质量必须满足设计与规范要求，且经检验合格后方可使用。</w:t>
      </w:r>
    </w:p>
    <w:p>
      <w:pPr>
        <w:spacing w:line="360" w:lineRule="auto"/>
        <w:ind w:firstLine="422" w:firstLineChars="200"/>
        <w:rPr>
          <w:rFonts w:cs="宋体"/>
          <w:b/>
          <w:color w:val="auto"/>
          <w:szCs w:val="21"/>
          <w:highlight w:val="none"/>
        </w:rPr>
      </w:pPr>
      <w:r>
        <w:rPr>
          <w:rFonts w:hint="eastAsia" w:cs="宋体"/>
          <w:b/>
          <w:color w:val="auto"/>
          <w:szCs w:val="21"/>
          <w:highlight w:val="none"/>
        </w:rPr>
        <w:t>条款号：16.1-16.5                        修改类型：修改</w:t>
      </w:r>
    </w:p>
    <w:p>
      <w:pPr>
        <w:spacing w:line="360" w:lineRule="auto"/>
        <w:ind w:firstLine="422" w:firstLineChars="200"/>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16.1投标人应按投标须知前附表第14项所述金额和时间递交投标保证金。招标人应当允许投标人自主选择现金、银行保函、保证保险、专业工程担保公司担保等方式缴纳投标保证金。</w:t>
      </w:r>
    </w:p>
    <w:p>
      <w:pPr>
        <w:spacing w:line="360" w:lineRule="auto"/>
        <w:ind w:firstLine="420" w:firstLineChars="200"/>
        <w:rPr>
          <w:rFonts w:cs="宋体"/>
          <w:color w:val="auto"/>
          <w:szCs w:val="21"/>
          <w:highlight w:val="none"/>
        </w:rPr>
      </w:pPr>
      <w:r>
        <w:rPr>
          <w:rFonts w:hint="eastAsia" w:cs="宋体"/>
          <w:color w:val="auto"/>
          <w:szCs w:val="21"/>
          <w:highlight w:val="none"/>
        </w:rPr>
        <w:t>16.1.1 采用现金或者支票形式提交的，投标保证金须从投标人的银行基本账户转出。</w:t>
      </w:r>
    </w:p>
    <w:p>
      <w:pPr>
        <w:spacing w:line="360" w:lineRule="auto"/>
        <w:ind w:firstLine="420" w:firstLineChars="200"/>
        <w:rPr>
          <w:rFonts w:cs="宋体"/>
          <w:color w:val="auto"/>
          <w:szCs w:val="21"/>
          <w:highlight w:val="none"/>
        </w:rPr>
      </w:pPr>
      <w:r>
        <w:rPr>
          <w:rFonts w:hint="eastAsia" w:cs="宋体"/>
          <w:color w:val="auto"/>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20" w:firstLineChars="200"/>
        <w:rPr>
          <w:rFonts w:cs="宋体"/>
          <w:color w:val="auto"/>
          <w:szCs w:val="21"/>
          <w:highlight w:val="none"/>
        </w:rPr>
      </w:pPr>
      <w:r>
        <w:rPr>
          <w:rFonts w:hint="eastAsia" w:cs="宋体"/>
          <w:color w:val="auto"/>
          <w:szCs w:val="21"/>
          <w:highlight w:val="none"/>
        </w:rPr>
        <w:t>16.1.3 采用电子形式的保函、担保或保证保险提交投标保证金的，应在招标文件中明确电子递交途径。</w:t>
      </w:r>
    </w:p>
    <w:p>
      <w:pPr>
        <w:spacing w:line="360" w:lineRule="auto"/>
        <w:ind w:firstLine="420" w:firstLineChars="200"/>
        <w:rPr>
          <w:rFonts w:cs="宋体"/>
          <w:color w:val="auto"/>
          <w:szCs w:val="21"/>
          <w:highlight w:val="none"/>
        </w:rPr>
      </w:pPr>
      <w:r>
        <w:rPr>
          <w:rFonts w:hint="eastAsia" w:cs="宋体"/>
          <w:color w:val="auto"/>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20" w:firstLineChars="200"/>
        <w:rPr>
          <w:rFonts w:cs="宋体"/>
          <w:color w:val="auto"/>
          <w:szCs w:val="21"/>
          <w:highlight w:val="none"/>
        </w:rPr>
      </w:pPr>
      <w:r>
        <w:rPr>
          <w:rFonts w:hint="eastAsia" w:cs="宋体"/>
          <w:color w:val="auto"/>
          <w:szCs w:val="21"/>
          <w:highlight w:val="none"/>
        </w:rPr>
        <w:t>16.3投标保证金应依据法律法规的相关规定退还。</w:t>
      </w:r>
    </w:p>
    <w:p>
      <w:pPr>
        <w:spacing w:line="360" w:lineRule="auto"/>
        <w:ind w:firstLine="420" w:firstLineChars="200"/>
        <w:rPr>
          <w:rFonts w:cs="宋体"/>
          <w:color w:val="auto"/>
          <w:szCs w:val="21"/>
          <w:highlight w:val="none"/>
        </w:rPr>
      </w:pPr>
      <w:r>
        <w:rPr>
          <w:rFonts w:hint="eastAsia" w:cs="宋体"/>
          <w:color w:val="auto"/>
          <w:szCs w:val="21"/>
          <w:highlight w:val="none"/>
        </w:rPr>
        <w:t>16.4如有下列情况之一的，招标人可以不予退还投标保证金（是否退还投标保证金由招标人在招标文件中规定）：</w:t>
      </w:r>
    </w:p>
    <w:p>
      <w:pPr>
        <w:spacing w:line="360" w:lineRule="auto"/>
        <w:ind w:firstLine="420" w:firstLineChars="200"/>
        <w:rPr>
          <w:rFonts w:cs="宋体"/>
          <w:color w:val="auto"/>
          <w:szCs w:val="21"/>
          <w:highlight w:val="none"/>
        </w:rPr>
      </w:pPr>
      <w:r>
        <w:rPr>
          <w:rFonts w:hint="eastAsia" w:cs="宋体"/>
          <w:color w:val="auto"/>
          <w:szCs w:val="21"/>
          <w:highlight w:val="none"/>
        </w:rPr>
        <w:t>16.4.1因投标人原因造成投标文件未解密的；</w:t>
      </w:r>
    </w:p>
    <w:p>
      <w:pPr>
        <w:spacing w:line="360" w:lineRule="auto"/>
        <w:ind w:firstLine="420" w:firstLineChars="200"/>
        <w:rPr>
          <w:rFonts w:cs="宋体"/>
          <w:color w:val="auto"/>
          <w:szCs w:val="21"/>
          <w:highlight w:val="none"/>
        </w:rPr>
      </w:pPr>
      <w:r>
        <w:rPr>
          <w:rFonts w:hint="eastAsia" w:cs="宋体"/>
          <w:color w:val="auto"/>
          <w:szCs w:val="21"/>
          <w:highlight w:val="none"/>
        </w:rPr>
        <w:t>16.4.2投标人在投标有效期内撤销投标文件；</w:t>
      </w:r>
    </w:p>
    <w:p>
      <w:pPr>
        <w:spacing w:line="360" w:lineRule="auto"/>
        <w:ind w:firstLine="420" w:firstLineChars="200"/>
        <w:rPr>
          <w:rFonts w:cs="宋体"/>
          <w:color w:val="auto"/>
          <w:szCs w:val="21"/>
          <w:highlight w:val="none"/>
        </w:rPr>
      </w:pPr>
      <w:r>
        <w:rPr>
          <w:rFonts w:hint="eastAsia" w:cs="宋体"/>
          <w:color w:val="auto"/>
          <w:szCs w:val="21"/>
          <w:highlight w:val="none"/>
        </w:rPr>
        <w:t>16.4.3中标人未能在规定期限内按要求提交履约担保；</w:t>
      </w:r>
    </w:p>
    <w:p>
      <w:pPr>
        <w:spacing w:line="360" w:lineRule="auto"/>
        <w:ind w:firstLine="420" w:firstLineChars="200"/>
        <w:rPr>
          <w:rFonts w:cs="宋体"/>
          <w:color w:val="auto"/>
          <w:szCs w:val="21"/>
          <w:highlight w:val="none"/>
        </w:rPr>
      </w:pPr>
      <w:r>
        <w:rPr>
          <w:rFonts w:hint="eastAsia" w:cs="宋体"/>
          <w:color w:val="auto"/>
          <w:szCs w:val="21"/>
          <w:highlight w:val="none"/>
        </w:rPr>
        <w:t>16.4.4中标人未能在规定期限内签署合同协议。</w:t>
      </w:r>
    </w:p>
    <w:p>
      <w:pPr>
        <w:spacing w:line="360" w:lineRule="auto"/>
        <w:ind w:firstLine="420" w:firstLineChars="200"/>
        <w:rPr>
          <w:rFonts w:cs="宋体"/>
          <w:color w:val="auto"/>
          <w:szCs w:val="21"/>
          <w:highlight w:val="none"/>
        </w:rPr>
      </w:pPr>
      <w:r>
        <w:rPr>
          <w:rFonts w:hint="eastAsia" w:cs="宋体"/>
          <w:color w:val="auto"/>
          <w:szCs w:val="21"/>
          <w:highlight w:val="none"/>
        </w:rPr>
        <w:t>16.5投标人如存在下列情况之一的，将被拒绝在一定时期内参与招标人后续工程投标（拒绝时限需在招标文件中明确）：</w:t>
      </w:r>
    </w:p>
    <w:p>
      <w:pPr>
        <w:spacing w:line="360" w:lineRule="auto"/>
        <w:ind w:firstLine="420" w:firstLineChars="200"/>
        <w:rPr>
          <w:rFonts w:cs="宋体"/>
          <w:color w:val="auto"/>
          <w:szCs w:val="21"/>
          <w:highlight w:val="none"/>
        </w:rPr>
      </w:pPr>
      <w:r>
        <w:rPr>
          <w:rFonts w:hint="eastAsia" w:cs="宋体"/>
          <w:color w:val="auto"/>
          <w:szCs w:val="21"/>
          <w:highlight w:val="none"/>
        </w:rPr>
        <w:t>16.5.1投标人存在16.4条款所列情形且投标人提交的保函、担保或保证保险无法兑付的；</w:t>
      </w:r>
    </w:p>
    <w:p>
      <w:pPr>
        <w:spacing w:line="360" w:lineRule="auto"/>
        <w:ind w:firstLine="420" w:firstLineChars="200"/>
        <w:rPr>
          <w:rFonts w:cs="宋体"/>
          <w:color w:val="auto"/>
          <w:szCs w:val="21"/>
          <w:highlight w:val="none"/>
        </w:rPr>
      </w:pPr>
      <w:r>
        <w:rPr>
          <w:rFonts w:hint="eastAsia" w:cs="宋体"/>
          <w:color w:val="auto"/>
          <w:szCs w:val="21"/>
          <w:highlight w:val="none"/>
        </w:rPr>
        <w:t>16.5.2采用非电子形式提交投标保证金的投标人存在16.4条款所列情形，且未按招标人要求补交银行保函、专业工程担保公司担保或保证保险原件的；</w:t>
      </w:r>
    </w:p>
    <w:p>
      <w:pPr>
        <w:spacing w:line="360" w:lineRule="auto"/>
        <w:ind w:firstLine="420" w:firstLineChars="200"/>
        <w:rPr>
          <w:rFonts w:cs="宋体"/>
          <w:color w:val="auto"/>
          <w:szCs w:val="21"/>
          <w:highlight w:val="none"/>
        </w:rPr>
      </w:pPr>
      <w:r>
        <w:rPr>
          <w:rFonts w:hint="eastAsia" w:cs="宋体"/>
          <w:color w:val="auto"/>
          <w:szCs w:val="21"/>
          <w:highlight w:val="none"/>
        </w:rPr>
        <w:t>16.5.3按招标文件要求免于提供投标保证金的投标人存在16.4条款所列情形，且未按招标人要求补交投标保证金的；</w:t>
      </w:r>
    </w:p>
    <w:p>
      <w:pPr>
        <w:spacing w:line="360" w:lineRule="auto"/>
        <w:ind w:firstLine="420" w:firstLineChars="200"/>
        <w:rPr>
          <w:rFonts w:cs="宋体"/>
          <w:color w:val="auto"/>
          <w:szCs w:val="21"/>
          <w:highlight w:val="none"/>
        </w:rPr>
      </w:pPr>
      <w:r>
        <w:rPr>
          <w:rFonts w:hint="eastAsia" w:cs="宋体"/>
          <w:color w:val="auto"/>
          <w:szCs w:val="21"/>
          <w:highlight w:val="none"/>
        </w:rPr>
        <w:t>16.5.3按招标文件要求免于提供投标保证金的投标人存在16.4条款所列情形的。</w:t>
      </w:r>
    </w:p>
    <w:p>
      <w:pPr>
        <w:spacing w:line="360" w:lineRule="auto"/>
        <w:ind w:firstLine="420" w:firstLineChars="200"/>
        <w:rPr>
          <w:rFonts w:cs="宋体"/>
          <w:color w:val="auto"/>
          <w:szCs w:val="21"/>
          <w:highlight w:val="none"/>
        </w:rPr>
      </w:pPr>
      <w:r>
        <w:rPr>
          <w:rFonts w:hint="eastAsia" w:cs="宋体"/>
          <w:color w:val="auto"/>
          <w:szCs w:val="21"/>
          <w:highlight w:val="none"/>
        </w:rPr>
        <w:t>注：16.5.3款由招标人二选一，需在招标文件中明确。</w:t>
      </w:r>
    </w:p>
    <w:p>
      <w:pPr>
        <w:pStyle w:val="41"/>
        <w:spacing w:line="500" w:lineRule="exact"/>
        <w:ind w:firstLine="482"/>
        <w:rPr>
          <w:rFonts w:ascii="宋体" w:hAnsi="宋体"/>
          <w:b/>
          <w:bCs/>
          <w:color w:val="auto"/>
          <w:sz w:val="21"/>
          <w:szCs w:val="21"/>
          <w:highlight w:val="none"/>
        </w:rPr>
      </w:pPr>
      <w:r>
        <w:rPr>
          <w:rFonts w:hint="eastAsia" w:cs="宋体"/>
          <w:b/>
          <w:color w:val="auto"/>
          <w:sz w:val="21"/>
          <w:szCs w:val="21"/>
          <w:highlight w:val="none"/>
        </w:rPr>
        <w:t>现文：</w:t>
      </w:r>
      <w:r>
        <w:rPr>
          <w:rFonts w:hint="eastAsia" w:ascii="宋体" w:hAnsi="宋体"/>
          <w:color w:val="auto"/>
          <w:sz w:val="21"/>
          <w:szCs w:val="21"/>
          <w:highlight w:val="none"/>
        </w:rPr>
        <w:t>16.1投标人应按投标须知前附表第14项所述金额和时间递交投标保证金。</w:t>
      </w:r>
      <w:r>
        <w:rPr>
          <w:rFonts w:hint="eastAsia" w:ascii="宋体" w:hAnsi="宋体"/>
          <w:b w:val="0"/>
          <w:bCs w:val="0"/>
          <w:color w:val="auto"/>
          <w:sz w:val="21"/>
          <w:szCs w:val="21"/>
          <w:highlight w:val="none"/>
          <w:u w:val="single"/>
        </w:rPr>
        <w:t>允许投标人自主选择现金、银行保函、保证保险、专业工程担保公司担保等方式缴纳投标保证金。</w:t>
      </w:r>
    </w:p>
    <w:p>
      <w:pPr>
        <w:pStyle w:val="41"/>
        <w:spacing w:line="500" w:lineRule="exact"/>
        <w:ind w:firstLine="480"/>
        <w:rPr>
          <w:rFonts w:ascii="宋体" w:hAnsi="宋体"/>
          <w:bCs/>
          <w:color w:val="auto"/>
          <w:sz w:val="21"/>
          <w:szCs w:val="21"/>
          <w:highlight w:val="none"/>
          <w:u w:val="single"/>
        </w:rPr>
      </w:pPr>
      <w:r>
        <w:rPr>
          <w:rFonts w:hint="eastAsia" w:ascii="宋体" w:hAnsi="宋体"/>
          <w:bCs/>
          <w:color w:val="auto"/>
          <w:sz w:val="21"/>
          <w:szCs w:val="21"/>
          <w:highlight w:val="none"/>
        </w:rPr>
        <w:t>16.1.1 采用现金</w:t>
      </w:r>
      <w:r>
        <w:rPr>
          <w:rFonts w:hint="eastAsia" w:ascii="宋体" w:hAnsi="宋体"/>
          <w:b w:val="0"/>
          <w:bCs w:val="0"/>
          <w:color w:val="auto"/>
          <w:sz w:val="21"/>
          <w:szCs w:val="21"/>
          <w:highlight w:val="none"/>
        </w:rPr>
        <w:t>或者支票</w:t>
      </w:r>
      <w:r>
        <w:rPr>
          <w:rFonts w:hint="eastAsia" w:ascii="宋体" w:hAnsi="宋体"/>
          <w:bCs/>
          <w:color w:val="auto"/>
          <w:sz w:val="21"/>
          <w:szCs w:val="21"/>
          <w:highlight w:val="none"/>
        </w:rPr>
        <w:t>形式提交的，投标保证金须从投标人的银行基本账户转出。</w:t>
      </w:r>
      <w:r>
        <w:rPr>
          <w:rFonts w:hint="eastAsia" w:ascii="宋体" w:hAnsi="宋体"/>
          <w:bCs/>
          <w:color w:val="auto"/>
          <w:sz w:val="21"/>
          <w:szCs w:val="21"/>
          <w:highlight w:val="none"/>
          <w:u w:val="single"/>
        </w:rPr>
        <w:t>由广州公共资源交易中心代收。缴纳情况以开标时广州公共资源交易中心网站查询为准。具体操作流程详见广州公共资源交易中心最新的投标保证金缴纳操作指引或自行咨询交易中心。</w:t>
      </w:r>
    </w:p>
    <w:p>
      <w:pPr>
        <w:pStyle w:val="41"/>
        <w:spacing w:line="500" w:lineRule="exact"/>
        <w:ind w:firstLine="480"/>
        <w:rPr>
          <w:rFonts w:hint="eastAsia" w:ascii="宋体" w:hAnsi="宋体"/>
          <w:b/>
          <w:color w:val="auto"/>
          <w:sz w:val="21"/>
          <w:szCs w:val="21"/>
          <w:highlight w:val="none"/>
        </w:rPr>
      </w:pPr>
      <w:r>
        <w:rPr>
          <w:rFonts w:hint="eastAsia" w:ascii="宋体" w:hAnsi="宋体"/>
          <w:bCs/>
          <w:color w:val="auto"/>
          <w:sz w:val="21"/>
          <w:szCs w:val="21"/>
          <w:highlight w:val="none"/>
        </w:rPr>
        <w:t>16.1.2 依法必须招标的房屋建筑工程如采用非电子形式的</w:t>
      </w:r>
      <w:r>
        <w:rPr>
          <w:rFonts w:hint="eastAsia" w:ascii="宋体" w:hAnsi="宋体"/>
          <w:b w:val="0"/>
          <w:bCs w:val="0"/>
          <w:color w:val="auto"/>
          <w:sz w:val="21"/>
          <w:szCs w:val="21"/>
          <w:highlight w:val="none"/>
          <w:u w:val="single"/>
        </w:rPr>
        <w:t>银行保函、专业工程担保公司担保或保证保险</w:t>
      </w:r>
      <w:r>
        <w:rPr>
          <w:rFonts w:hint="eastAsia" w:ascii="宋体" w:hAnsi="宋体"/>
          <w:bCs/>
          <w:color w:val="auto"/>
          <w:sz w:val="21"/>
          <w:szCs w:val="21"/>
          <w:highlight w:val="none"/>
        </w:rPr>
        <w:t>提交投标保证金的，在开标前不强制要求投标人提交纸质原件，由中标候选人在中标候选人公示前提交并在网上公示，投标人应在投标文件中提交</w:t>
      </w:r>
      <w:r>
        <w:rPr>
          <w:rFonts w:hint="eastAsia" w:ascii="宋体" w:hAnsi="宋体"/>
          <w:b w:val="0"/>
          <w:bCs w:val="0"/>
          <w:color w:val="auto"/>
          <w:sz w:val="21"/>
          <w:szCs w:val="21"/>
          <w:highlight w:val="none"/>
          <w:u w:val="single"/>
        </w:rPr>
        <w:t>保函、担保或保证保险</w:t>
      </w:r>
      <w:r>
        <w:rPr>
          <w:rFonts w:hint="eastAsia" w:ascii="宋体" w:hAnsi="宋体"/>
          <w:bCs/>
          <w:color w:val="auto"/>
          <w:sz w:val="21"/>
          <w:szCs w:val="21"/>
          <w:highlight w:val="none"/>
        </w:rPr>
        <w:t>扫描件并加盖投标人电子印章。</w:t>
      </w:r>
      <w:r>
        <w:rPr>
          <w:rFonts w:hint="eastAsia" w:ascii="宋体" w:hAnsi="宋体"/>
          <w:b w:val="0"/>
          <w:bCs/>
          <w:color w:val="auto"/>
          <w:sz w:val="21"/>
          <w:szCs w:val="21"/>
          <w:highlight w:val="none"/>
        </w:rPr>
        <w:t>如投标人存在16.4条款所列情形的，应将纸质原件提交给招标人。</w:t>
      </w:r>
    </w:p>
    <w:p>
      <w:pPr>
        <w:pStyle w:val="41"/>
        <w:spacing w:line="500" w:lineRule="exact"/>
        <w:ind w:firstLine="480"/>
        <w:rPr>
          <w:rFonts w:hint="eastAsia" w:ascii="宋体" w:hAnsi="宋体"/>
          <w:b w:val="0"/>
          <w:bCs/>
          <w:color w:val="auto"/>
          <w:sz w:val="21"/>
          <w:szCs w:val="21"/>
          <w:highlight w:val="none"/>
        </w:rPr>
      </w:pPr>
      <w:r>
        <w:rPr>
          <w:rFonts w:hint="eastAsia" w:ascii="宋体" w:hAnsi="宋体"/>
          <w:b w:val="0"/>
          <w:bCs/>
          <w:color w:val="auto"/>
          <w:sz w:val="21"/>
          <w:szCs w:val="21"/>
          <w:highlight w:val="none"/>
        </w:rPr>
        <w:t>16.1.3 采用电子形式的保函、担保或保证保险提交投标保证金的，</w:t>
      </w:r>
      <w:r>
        <w:rPr>
          <w:rFonts w:hint="eastAsia" w:ascii="宋体" w:hAnsi="宋体"/>
          <w:b w:val="0"/>
          <w:bCs/>
          <w:color w:val="auto"/>
          <w:sz w:val="21"/>
          <w:szCs w:val="21"/>
          <w:highlight w:val="none"/>
          <w:u w:val="single"/>
        </w:rPr>
        <w:t>按广州公共资源交易中心发布的《广州公共资源交易中心关于开通电子保函服务功能的通知》操作。详见：</w:t>
      </w:r>
      <w:r>
        <w:rPr>
          <w:rFonts w:hint="eastAsia" w:ascii="宋体" w:hAnsi="宋体"/>
          <w:bCs/>
          <w:color w:val="auto"/>
          <w:szCs w:val="21"/>
          <w:highlight w:val="none"/>
          <w:u w:val="single"/>
        </w:rPr>
        <w:t>http://www.gzggzy.cn/jtgg/822128.jhtml</w:t>
      </w:r>
      <w:r>
        <w:rPr>
          <w:rFonts w:hint="eastAsia" w:ascii="宋体" w:hAnsi="宋体"/>
          <w:b w:val="0"/>
          <w:bCs/>
          <w:color w:val="auto"/>
          <w:sz w:val="21"/>
          <w:szCs w:val="21"/>
          <w:highlight w:val="none"/>
          <w:u w:val="single"/>
        </w:rPr>
        <w:t>。到账情况以开标时广州公共资源交易中心数据库查询信息为准</w:t>
      </w:r>
      <w:r>
        <w:rPr>
          <w:rFonts w:hint="eastAsia" w:ascii="宋体" w:hAnsi="宋体"/>
          <w:b w:val="0"/>
          <w:bCs/>
          <w:color w:val="auto"/>
          <w:sz w:val="21"/>
          <w:szCs w:val="21"/>
          <w:highlight w:val="none"/>
        </w:rPr>
        <w:t>。</w:t>
      </w:r>
    </w:p>
    <w:p>
      <w:pPr>
        <w:pStyle w:val="41"/>
        <w:spacing w:line="500" w:lineRule="exact"/>
        <w:ind w:firstLine="480"/>
        <w:rPr>
          <w:rFonts w:hint="eastAsia" w:ascii="宋体" w:hAnsi="宋体"/>
          <w:b/>
          <w:bCs/>
          <w:color w:val="auto"/>
          <w:sz w:val="21"/>
          <w:szCs w:val="21"/>
          <w:highlight w:val="none"/>
        </w:rPr>
      </w:pPr>
      <w:r>
        <w:rPr>
          <w:rFonts w:hint="eastAsia" w:ascii="宋体" w:hAnsi="宋体"/>
          <w:color w:val="auto"/>
          <w:sz w:val="21"/>
          <w:szCs w:val="21"/>
          <w:highlight w:val="none"/>
        </w:rPr>
        <w:t>16.2开标时投标人没有按要求提供投标保证金的，其投标文件将被否决</w:t>
      </w:r>
      <w:r>
        <w:rPr>
          <w:rFonts w:hint="eastAsia" w:ascii="宋体" w:hAnsi="宋体"/>
          <w:b w:val="0"/>
          <w:bCs w:val="0"/>
          <w:strike w:val="0"/>
          <w:dstrike w:val="0"/>
          <w:color w:val="auto"/>
          <w:sz w:val="21"/>
          <w:szCs w:val="21"/>
          <w:highlight w:val="none"/>
        </w:rPr>
        <w:t>；未按招标文件要求提交符合免予提供投标保证金相关证明材料，且未提交投标保证金的投标人，视为未按要求提供投标保证金</w:t>
      </w:r>
      <w:r>
        <w:rPr>
          <w:rFonts w:hint="eastAsia" w:ascii="宋体" w:hAnsi="宋体"/>
          <w:b/>
          <w:bCs/>
          <w:strike w:val="0"/>
          <w:color w:val="auto"/>
          <w:sz w:val="21"/>
          <w:szCs w:val="21"/>
          <w:highlight w:val="none"/>
        </w:rPr>
        <w:t>。</w:t>
      </w:r>
    </w:p>
    <w:p>
      <w:pPr>
        <w:pBdr>
          <w:bottom w:val="single" w:color="auto" w:sz="6" w:space="22"/>
        </w:pBdr>
        <w:spacing w:line="360" w:lineRule="auto"/>
        <w:ind w:firstLine="420" w:firstLineChars="200"/>
        <w:rPr>
          <w:rFonts w:cs="宋体"/>
          <w:color w:val="auto"/>
          <w:szCs w:val="21"/>
          <w:highlight w:val="none"/>
        </w:rPr>
      </w:pPr>
      <w:r>
        <w:rPr>
          <w:rFonts w:hint="eastAsia" w:cs="宋体"/>
          <w:color w:val="auto"/>
          <w:szCs w:val="21"/>
          <w:highlight w:val="none"/>
        </w:rPr>
        <w:t>16.3投标保证金应依据法律法规的相关规定退还。</w:t>
      </w:r>
    </w:p>
    <w:p>
      <w:pPr>
        <w:pBdr>
          <w:bottom w:val="single" w:color="auto" w:sz="6" w:space="22"/>
        </w:pBdr>
        <w:spacing w:line="360" w:lineRule="auto"/>
        <w:ind w:firstLine="420" w:firstLineChars="200"/>
        <w:rPr>
          <w:rFonts w:cs="宋体"/>
          <w:color w:val="auto"/>
          <w:szCs w:val="21"/>
          <w:highlight w:val="none"/>
        </w:rPr>
      </w:pPr>
      <w:r>
        <w:rPr>
          <w:rFonts w:hint="eastAsia" w:cs="宋体"/>
          <w:color w:val="auto"/>
          <w:szCs w:val="21"/>
          <w:highlight w:val="none"/>
        </w:rPr>
        <w:t>16.4如有下列情况之一的，招标人不予退还投标保证金：</w:t>
      </w:r>
    </w:p>
    <w:p>
      <w:pPr>
        <w:pBdr>
          <w:bottom w:val="single" w:color="auto" w:sz="6" w:space="22"/>
        </w:pBdr>
        <w:spacing w:line="360" w:lineRule="auto"/>
        <w:ind w:firstLine="420" w:firstLineChars="200"/>
        <w:rPr>
          <w:rFonts w:hint="eastAsia" w:eastAsia="宋体" w:cs="宋体"/>
          <w:color w:val="auto"/>
          <w:szCs w:val="21"/>
          <w:highlight w:val="none"/>
          <w:lang w:eastAsia="zh-CN"/>
        </w:rPr>
      </w:pPr>
      <w:r>
        <w:rPr>
          <w:rFonts w:hint="eastAsia" w:cs="宋体"/>
          <w:color w:val="auto"/>
          <w:szCs w:val="21"/>
          <w:highlight w:val="none"/>
        </w:rPr>
        <w:t>16.4.1</w:t>
      </w:r>
      <w:r>
        <w:rPr>
          <w:rFonts w:hint="eastAsia" w:cs="宋体"/>
          <w:color w:val="auto"/>
          <w:szCs w:val="21"/>
          <w:highlight w:val="none"/>
          <w:u w:val="single"/>
        </w:rPr>
        <w:t>因投标人原因造成投标文件未解密的</w:t>
      </w:r>
      <w:r>
        <w:rPr>
          <w:rFonts w:hint="eastAsia" w:cs="宋体"/>
          <w:color w:val="auto"/>
          <w:szCs w:val="21"/>
          <w:highlight w:val="none"/>
          <w:u w:val="single"/>
          <w:lang w:eastAsia="zh-CN"/>
        </w:rPr>
        <w:t>；</w:t>
      </w:r>
    </w:p>
    <w:p>
      <w:pPr>
        <w:pBdr>
          <w:bottom w:val="single" w:color="auto" w:sz="6" w:space="22"/>
        </w:pBdr>
        <w:spacing w:line="360" w:lineRule="auto"/>
        <w:ind w:firstLine="420" w:firstLineChars="200"/>
        <w:rPr>
          <w:rFonts w:cs="宋体"/>
          <w:color w:val="auto"/>
          <w:szCs w:val="21"/>
          <w:highlight w:val="none"/>
        </w:rPr>
      </w:pPr>
      <w:r>
        <w:rPr>
          <w:rFonts w:hint="eastAsia" w:cs="宋体"/>
          <w:color w:val="auto"/>
          <w:szCs w:val="21"/>
          <w:highlight w:val="none"/>
        </w:rPr>
        <w:t>16.4.</w:t>
      </w:r>
      <w:r>
        <w:rPr>
          <w:rFonts w:hint="eastAsia" w:cs="宋体"/>
          <w:color w:val="auto"/>
          <w:szCs w:val="21"/>
          <w:highlight w:val="none"/>
          <w:lang w:val="en-US" w:eastAsia="zh-CN"/>
        </w:rPr>
        <w:t>2</w:t>
      </w:r>
      <w:r>
        <w:rPr>
          <w:rFonts w:hint="eastAsia" w:cs="宋体"/>
          <w:color w:val="auto"/>
          <w:szCs w:val="21"/>
          <w:highlight w:val="none"/>
          <w:u w:val="single"/>
        </w:rPr>
        <w:t>投标人在投标有效期内撤销投标文件或放弃中标资格的</w:t>
      </w:r>
      <w:r>
        <w:rPr>
          <w:rFonts w:hint="eastAsia" w:cs="宋体"/>
          <w:color w:val="auto"/>
          <w:szCs w:val="21"/>
          <w:highlight w:val="none"/>
        </w:rPr>
        <w:t>；</w:t>
      </w:r>
    </w:p>
    <w:p>
      <w:pPr>
        <w:pBdr>
          <w:bottom w:val="single" w:color="auto" w:sz="6" w:space="22"/>
        </w:pBdr>
        <w:spacing w:line="360" w:lineRule="auto"/>
        <w:ind w:firstLine="420" w:firstLineChars="200"/>
        <w:rPr>
          <w:rFonts w:cs="宋体"/>
          <w:color w:val="auto"/>
          <w:szCs w:val="21"/>
          <w:highlight w:val="none"/>
        </w:rPr>
      </w:pPr>
      <w:r>
        <w:rPr>
          <w:rFonts w:hint="eastAsia" w:cs="宋体"/>
          <w:color w:val="auto"/>
          <w:szCs w:val="21"/>
          <w:highlight w:val="none"/>
        </w:rPr>
        <w:t>16.4.</w:t>
      </w:r>
      <w:r>
        <w:rPr>
          <w:rFonts w:hint="eastAsia" w:cs="宋体"/>
          <w:color w:val="auto"/>
          <w:szCs w:val="21"/>
          <w:highlight w:val="none"/>
          <w:lang w:val="en-US" w:eastAsia="zh-CN"/>
        </w:rPr>
        <w:t>3</w:t>
      </w:r>
      <w:r>
        <w:rPr>
          <w:rFonts w:hint="eastAsia" w:cs="宋体"/>
          <w:color w:val="auto"/>
          <w:szCs w:val="21"/>
          <w:highlight w:val="none"/>
          <w:u w:val="single"/>
        </w:rPr>
        <w:t>中标人未能在规定期限内按要求提交履约担保</w:t>
      </w:r>
      <w:r>
        <w:rPr>
          <w:rFonts w:hint="eastAsia" w:cs="宋体"/>
          <w:color w:val="auto"/>
          <w:szCs w:val="21"/>
          <w:highlight w:val="none"/>
        </w:rPr>
        <w:t>；</w:t>
      </w:r>
    </w:p>
    <w:p>
      <w:pPr>
        <w:pBdr>
          <w:bottom w:val="single" w:color="auto" w:sz="6" w:space="22"/>
        </w:pBdr>
        <w:spacing w:line="360" w:lineRule="auto"/>
        <w:ind w:firstLine="420" w:firstLineChars="200"/>
        <w:rPr>
          <w:rFonts w:hint="default" w:eastAsia="宋体" w:cs="宋体"/>
          <w:color w:val="auto"/>
          <w:szCs w:val="21"/>
          <w:highlight w:val="none"/>
          <w:lang w:val="en-US" w:eastAsia="zh-CN"/>
        </w:rPr>
      </w:pPr>
      <w:r>
        <w:rPr>
          <w:rFonts w:hint="eastAsia" w:cs="宋体"/>
          <w:color w:val="auto"/>
          <w:szCs w:val="21"/>
          <w:highlight w:val="none"/>
          <w:lang w:val="en-US" w:eastAsia="zh-CN"/>
        </w:rPr>
        <w:t>16.4.4</w:t>
      </w:r>
      <w:r>
        <w:rPr>
          <w:rFonts w:hint="eastAsia" w:cs="宋体"/>
          <w:color w:val="auto"/>
          <w:szCs w:val="21"/>
          <w:highlight w:val="none"/>
          <w:u w:val="single"/>
          <w:lang w:val="en-US" w:eastAsia="zh-CN"/>
        </w:rPr>
        <w:t>中标人未能在规定期限内签署合同协议</w:t>
      </w:r>
    </w:p>
    <w:p>
      <w:pPr>
        <w:pBdr>
          <w:bottom w:val="single" w:color="auto" w:sz="6" w:space="22"/>
        </w:pBdr>
        <w:spacing w:line="360" w:lineRule="auto"/>
        <w:ind w:firstLine="420" w:firstLineChars="200"/>
        <w:rPr>
          <w:rFonts w:cs="宋体"/>
          <w:color w:val="auto"/>
          <w:szCs w:val="21"/>
          <w:highlight w:val="none"/>
        </w:rPr>
      </w:pPr>
      <w:r>
        <w:rPr>
          <w:rFonts w:hint="eastAsia" w:cs="宋体"/>
          <w:color w:val="auto"/>
          <w:szCs w:val="21"/>
          <w:highlight w:val="none"/>
        </w:rPr>
        <w:t>16.4.</w:t>
      </w:r>
      <w:r>
        <w:rPr>
          <w:rFonts w:hint="eastAsia" w:cs="宋体"/>
          <w:color w:val="auto"/>
          <w:szCs w:val="21"/>
          <w:highlight w:val="none"/>
          <w:lang w:val="en-US" w:eastAsia="zh-CN"/>
        </w:rPr>
        <w:t>5</w:t>
      </w:r>
      <w:r>
        <w:rPr>
          <w:rFonts w:hint="eastAsia" w:cs="宋体"/>
          <w:color w:val="auto"/>
          <w:szCs w:val="21"/>
          <w:highlight w:val="none"/>
          <w:u w:val="single"/>
        </w:rPr>
        <w:t>投标人弄虚作假骗取中标的</w:t>
      </w:r>
      <w:r>
        <w:rPr>
          <w:rFonts w:hint="eastAsia" w:cs="宋体"/>
          <w:color w:val="auto"/>
          <w:szCs w:val="21"/>
          <w:highlight w:val="none"/>
        </w:rPr>
        <w:t>。</w:t>
      </w:r>
    </w:p>
    <w:p>
      <w:pPr>
        <w:pBdr>
          <w:bottom w:val="single" w:color="auto" w:sz="6" w:space="22"/>
        </w:pBdr>
        <w:spacing w:line="360" w:lineRule="auto"/>
        <w:ind w:firstLine="420" w:firstLineChars="200"/>
        <w:rPr>
          <w:rFonts w:cs="宋体"/>
          <w:color w:val="auto"/>
          <w:szCs w:val="21"/>
          <w:highlight w:val="none"/>
        </w:rPr>
      </w:pPr>
      <w:r>
        <w:rPr>
          <w:rFonts w:hint="eastAsia" w:cs="宋体"/>
          <w:color w:val="auto"/>
          <w:szCs w:val="21"/>
          <w:highlight w:val="none"/>
        </w:rPr>
        <w:t>16.5投标人如存在下列情况之一的，将被拒绝在1年内参与招标人后续工程投标：</w:t>
      </w:r>
    </w:p>
    <w:p>
      <w:pPr>
        <w:pBdr>
          <w:bottom w:val="single" w:color="auto" w:sz="6" w:space="22"/>
        </w:pBdr>
        <w:spacing w:line="360" w:lineRule="auto"/>
        <w:ind w:firstLine="420" w:firstLineChars="200"/>
        <w:rPr>
          <w:rFonts w:cs="宋体"/>
          <w:color w:val="auto"/>
          <w:szCs w:val="21"/>
          <w:highlight w:val="none"/>
        </w:rPr>
      </w:pPr>
      <w:r>
        <w:rPr>
          <w:rFonts w:hint="eastAsia" w:cs="宋体"/>
          <w:color w:val="auto"/>
          <w:szCs w:val="21"/>
          <w:highlight w:val="none"/>
        </w:rPr>
        <w:t>16.5.1投标人存在16.4条款所列情形且投标人提交的保函、担保或保证保险无法兑付的；</w:t>
      </w:r>
    </w:p>
    <w:p>
      <w:pPr>
        <w:pBdr>
          <w:bottom w:val="single" w:color="auto" w:sz="6" w:space="22"/>
        </w:pBdr>
        <w:spacing w:line="360" w:lineRule="auto"/>
        <w:ind w:firstLine="420" w:firstLineChars="200"/>
        <w:rPr>
          <w:rFonts w:cs="宋体"/>
          <w:color w:val="auto"/>
          <w:szCs w:val="21"/>
          <w:highlight w:val="none"/>
        </w:rPr>
      </w:pPr>
      <w:r>
        <w:rPr>
          <w:rFonts w:hint="eastAsia" w:cs="宋体"/>
          <w:color w:val="auto"/>
          <w:szCs w:val="21"/>
          <w:highlight w:val="none"/>
        </w:rPr>
        <w:t>16.5.2采用非电子形式提交投标保证金的投标人存在16.4条款所列情形，且未按招标人要求补交银行保函、专业工程担保公司担保或保证保险原件的；</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条款号：17.1                        修改类型：修改</w:t>
      </w:r>
    </w:p>
    <w:p>
      <w:pPr>
        <w:spacing w:line="360" w:lineRule="auto"/>
        <w:ind w:firstLine="411" w:firstLineChars="195"/>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cs="宋体"/>
          <w:color w:val="auto"/>
          <w:szCs w:val="21"/>
          <w:highlight w:val="none"/>
          <w:u w:val="single"/>
        </w:rPr>
        <w:t xml:space="preserve">             </w:t>
      </w:r>
      <w:r>
        <w:rPr>
          <w:rFonts w:hint="eastAsia" w:cs="宋体"/>
          <w:color w:val="auto"/>
          <w:szCs w:val="21"/>
          <w:highlight w:val="none"/>
        </w:rPr>
        <w:t>。</w:t>
      </w:r>
    </w:p>
    <w:p>
      <w:pPr>
        <w:pBdr>
          <w:bottom w:val="single" w:color="auto" w:sz="6" w:space="1"/>
        </w:pBdr>
        <w:spacing w:line="360" w:lineRule="auto"/>
        <w:ind w:firstLine="411" w:firstLineChars="195"/>
        <w:rPr>
          <w:rFonts w:cs="宋体"/>
          <w:b/>
          <w:color w:val="auto"/>
          <w:szCs w:val="21"/>
          <w:highlight w:val="none"/>
        </w:rPr>
      </w:pPr>
      <w:r>
        <w:rPr>
          <w:rFonts w:hint="eastAsia" w:cs="宋体"/>
          <w:b/>
          <w:color w:val="auto"/>
          <w:szCs w:val="21"/>
          <w:highlight w:val="none"/>
        </w:rPr>
        <w:t>现文：</w:t>
      </w:r>
      <w:r>
        <w:rPr>
          <w:rFonts w:hint="eastAsia" w:cs="宋体"/>
          <w:color w:val="auto"/>
          <w:szCs w:val="21"/>
          <w:highlight w:val="none"/>
        </w:rPr>
        <w:t>17.1投标人应采用单位数字证书，按招标文件要求在相应位置加盖电子印章。投标文件中需个人签字或盖章的，应加盖个人电子印章或在线下完成后扫描上传。按照</w:t>
      </w:r>
      <w:r>
        <w:rPr>
          <w:rFonts w:hint="eastAsia" w:cs="宋体"/>
          <w:color w:val="auto"/>
          <w:szCs w:val="21"/>
          <w:highlight w:val="none"/>
          <w:u w:val="single"/>
        </w:rPr>
        <w:t>广州交易集团有限公司（广州公共资源交易中心）</w:t>
      </w:r>
      <w:r>
        <w:rPr>
          <w:rFonts w:hint="eastAsia" w:cs="宋体"/>
          <w:color w:val="auto"/>
          <w:szCs w:val="21"/>
          <w:highlight w:val="none"/>
        </w:rPr>
        <w:t>交易平台关于全流程电子化项目的相关指南进行操作。详见：</w:t>
      </w:r>
      <w:r>
        <w:rPr>
          <w:rFonts w:hint="eastAsia" w:ascii="宋体" w:hAnsi="宋体" w:cs="宋体"/>
          <w:color w:val="auto"/>
          <w:szCs w:val="21"/>
          <w:highlight w:val="none"/>
          <w:u w:val="single"/>
        </w:rPr>
        <w:t>广州交易集团有限公司（广州公共资源交易中心）网站最新指引</w:t>
      </w:r>
      <w:r>
        <w:rPr>
          <w:rFonts w:hint="eastAsia" w:cs="宋体"/>
          <w:color w:val="auto"/>
          <w:szCs w:val="21"/>
          <w:highlight w:val="none"/>
        </w:rPr>
        <w:t>。</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条款号：18.1                        修改类型：修改</w:t>
      </w:r>
    </w:p>
    <w:p>
      <w:pPr>
        <w:spacing w:line="360" w:lineRule="auto"/>
        <w:ind w:firstLine="411" w:firstLineChars="195"/>
        <w:rPr>
          <w:rFonts w:cs="宋体"/>
          <w:bCs/>
          <w:color w:val="auto"/>
          <w:szCs w:val="21"/>
          <w:highlight w:val="none"/>
        </w:rPr>
      </w:pPr>
      <w:r>
        <w:rPr>
          <w:rFonts w:hint="eastAsia" w:cs="宋体"/>
          <w:b/>
          <w:color w:val="auto"/>
          <w:szCs w:val="21"/>
          <w:highlight w:val="none"/>
        </w:rPr>
        <w:t>原文：</w:t>
      </w:r>
      <w:r>
        <w:rPr>
          <w:rFonts w:hint="eastAsia" w:cs="宋体"/>
          <w:color w:val="auto"/>
          <w:szCs w:val="21"/>
          <w:highlight w:val="none"/>
        </w:rPr>
        <w:t>18.1</w:t>
      </w:r>
      <w:r>
        <w:rPr>
          <w:rFonts w:hint="eastAsia" w:cs="宋体"/>
          <w:bCs/>
          <w:color w:val="auto"/>
          <w:szCs w:val="21"/>
          <w:highlight w:val="none"/>
        </w:rPr>
        <w:t>递交的电子投标文件（不含备用光盘）必须进行加密。按照交易平台关于</w:t>
      </w:r>
      <w:r>
        <w:rPr>
          <w:rFonts w:hint="eastAsia" w:cs="宋体"/>
          <w:color w:val="auto"/>
          <w:szCs w:val="21"/>
          <w:highlight w:val="none"/>
        </w:rPr>
        <w:t>全流程电子化项目的相关指南进行操作。详见： 。</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18.1</w:t>
      </w:r>
      <w:r>
        <w:rPr>
          <w:rFonts w:hint="eastAsia" w:cs="宋体"/>
          <w:bCs/>
          <w:color w:val="auto"/>
          <w:szCs w:val="21"/>
          <w:highlight w:val="none"/>
        </w:rPr>
        <w:t>递交的电子投标文件（不含备用光盘）必须进行加密。按照</w:t>
      </w:r>
      <w:r>
        <w:rPr>
          <w:rFonts w:hint="eastAsia" w:cs="宋体"/>
          <w:color w:val="auto"/>
          <w:szCs w:val="21"/>
          <w:highlight w:val="none"/>
          <w:u w:val="single"/>
        </w:rPr>
        <w:t>广州交易集团有限公司（广州公共资源交易中心）</w:t>
      </w:r>
      <w:r>
        <w:rPr>
          <w:rFonts w:hint="eastAsia" w:cs="宋体"/>
          <w:bCs/>
          <w:color w:val="auto"/>
          <w:szCs w:val="21"/>
          <w:highlight w:val="none"/>
        </w:rPr>
        <w:t>交易平台关于</w:t>
      </w:r>
      <w:r>
        <w:rPr>
          <w:rFonts w:hint="eastAsia" w:cs="宋体"/>
          <w:color w:val="auto"/>
          <w:szCs w:val="21"/>
          <w:highlight w:val="none"/>
        </w:rPr>
        <w:t>全流程电子化项目的相关指南进行操作。详见：</w:t>
      </w:r>
      <w:r>
        <w:rPr>
          <w:rFonts w:hint="eastAsia" w:ascii="宋体" w:hAnsi="宋体" w:cs="宋体"/>
          <w:color w:val="auto"/>
          <w:szCs w:val="21"/>
          <w:highlight w:val="none"/>
          <w:u w:val="single"/>
        </w:rPr>
        <w:t>广州交易集团有限公司（广州公共资源交易中心）网站最新指引</w:t>
      </w:r>
      <w:r>
        <w:rPr>
          <w:rFonts w:hint="eastAsia" w:cs="宋体"/>
          <w:color w:val="auto"/>
          <w:szCs w:val="21"/>
          <w:highlight w:val="none"/>
        </w:rPr>
        <w:t>。</w:t>
      </w:r>
    </w:p>
    <w:p>
      <w:pPr>
        <w:spacing w:line="360" w:lineRule="auto"/>
        <w:ind w:firstLine="411" w:firstLineChars="195"/>
        <w:textAlignment w:val="baseline"/>
        <w:rPr>
          <w:rFonts w:cs="宋体"/>
          <w:b/>
          <w:color w:val="auto"/>
          <w:szCs w:val="21"/>
          <w:highlight w:val="none"/>
        </w:rPr>
      </w:pPr>
      <w:r>
        <w:rPr>
          <w:rFonts w:hint="eastAsia" w:cs="宋体"/>
          <w:b/>
          <w:color w:val="auto"/>
          <w:szCs w:val="21"/>
          <w:highlight w:val="none"/>
        </w:rPr>
        <w:t>条款号：18.2                       修改类型：修改</w:t>
      </w:r>
    </w:p>
    <w:p>
      <w:pPr>
        <w:spacing w:line="360" w:lineRule="auto"/>
        <w:ind w:firstLine="411" w:firstLineChars="195"/>
        <w:textAlignment w:val="baseline"/>
        <w:rPr>
          <w:rFonts w:cs="宋体"/>
          <w:b/>
          <w:color w:val="auto"/>
          <w:szCs w:val="21"/>
          <w:highlight w:val="none"/>
        </w:rPr>
      </w:pPr>
      <w:r>
        <w:rPr>
          <w:rFonts w:hint="eastAsia" w:cs="宋体"/>
          <w:b/>
          <w:color w:val="auto"/>
          <w:szCs w:val="21"/>
          <w:highlight w:val="none"/>
        </w:rPr>
        <w:t>原文：</w:t>
      </w:r>
      <w:r>
        <w:rPr>
          <w:rFonts w:hint="eastAsia" w:cs="宋体"/>
          <w:color w:val="auto"/>
          <w:szCs w:val="21"/>
          <w:highlight w:val="none"/>
        </w:rPr>
        <w:t>18.2</w:t>
      </w:r>
      <w:r>
        <w:rPr>
          <w:rFonts w:hint="eastAsia" w:cs="宋体"/>
          <w:bCs/>
          <w:color w:val="auto"/>
          <w:szCs w:val="21"/>
          <w:highlight w:val="none"/>
        </w:rPr>
        <w:t>未按要求加密的投标文件，</w:t>
      </w:r>
      <w:r>
        <w:rPr>
          <w:rFonts w:hint="eastAsia" w:cs="宋体"/>
          <w:color w:val="auto"/>
          <w:szCs w:val="21"/>
          <w:highlight w:val="none"/>
        </w:rPr>
        <w:t>交易平台</w:t>
      </w:r>
      <w:r>
        <w:rPr>
          <w:rFonts w:hint="eastAsia" w:cs="宋体"/>
          <w:bCs/>
          <w:color w:val="auto"/>
          <w:szCs w:val="21"/>
          <w:highlight w:val="none"/>
        </w:rPr>
        <w:t>将予以拒收。</w:t>
      </w:r>
    </w:p>
    <w:p>
      <w:pPr>
        <w:pBdr>
          <w:bottom w:val="single" w:color="auto" w:sz="6" w:space="1"/>
        </w:pBdr>
        <w:spacing w:line="360" w:lineRule="auto"/>
        <w:ind w:firstLine="411" w:firstLineChars="195"/>
        <w:textAlignment w:val="baseline"/>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18.2</w:t>
      </w:r>
      <w:r>
        <w:rPr>
          <w:rFonts w:hint="eastAsia" w:cs="宋体"/>
          <w:bCs/>
          <w:color w:val="auto"/>
          <w:szCs w:val="21"/>
          <w:highlight w:val="none"/>
        </w:rPr>
        <w:t>未按要求加密的投标文件，</w:t>
      </w:r>
      <w:r>
        <w:rPr>
          <w:rFonts w:hint="eastAsia" w:cs="宋体"/>
          <w:color w:val="auto"/>
          <w:szCs w:val="21"/>
          <w:highlight w:val="none"/>
          <w:u w:val="single"/>
        </w:rPr>
        <w:t>广州交易集团有限公司（广州公共资源交易中心）</w:t>
      </w:r>
      <w:r>
        <w:rPr>
          <w:rFonts w:hint="eastAsia" w:cs="宋体"/>
          <w:color w:val="auto"/>
          <w:szCs w:val="21"/>
          <w:highlight w:val="none"/>
        </w:rPr>
        <w:t>交易平台</w:t>
      </w:r>
      <w:r>
        <w:rPr>
          <w:rFonts w:hint="eastAsia" w:cs="宋体"/>
          <w:bCs/>
          <w:color w:val="auto"/>
          <w:szCs w:val="21"/>
          <w:highlight w:val="none"/>
        </w:rPr>
        <w:t>将予以拒收。</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条款号：19                          修改类型：修改</w:t>
      </w:r>
    </w:p>
    <w:p>
      <w:pPr>
        <w:pBdr>
          <w:bottom w:val="single" w:color="auto" w:sz="6" w:space="1"/>
        </w:pBdr>
        <w:spacing w:line="360" w:lineRule="auto"/>
        <w:ind w:firstLine="411" w:firstLineChars="195"/>
        <w:rPr>
          <w:rFonts w:cs="宋体"/>
          <w:b w:val="0"/>
          <w:bCs/>
          <w:color w:val="auto"/>
          <w:szCs w:val="21"/>
          <w:highlight w:val="none"/>
        </w:rPr>
      </w:pPr>
      <w:r>
        <w:rPr>
          <w:rFonts w:hint="eastAsia" w:cs="宋体"/>
          <w:b/>
          <w:color w:val="auto"/>
          <w:szCs w:val="21"/>
          <w:highlight w:val="none"/>
        </w:rPr>
        <w:t>原文：</w:t>
      </w:r>
      <w:r>
        <w:rPr>
          <w:rFonts w:hint="eastAsia" w:cs="宋体"/>
          <w:b w:val="0"/>
          <w:bCs/>
          <w:color w:val="auto"/>
          <w:szCs w:val="21"/>
          <w:highlight w:val="none"/>
        </w:rPr>
        <w:t>19.投标文件的递交和接收</w:t>
      </w:r>
    </w:p>
    <w:p>
      <w:pPr>
        <w:pBdr>
          <w:bottom w:val="single" w:color="auto" w:sz="6" w:space="1"/>
        </w:pBdr>
        <w:spacing w:line="360" w:lineRule="auto"/>
        <w:ind w:firstLine="411" w:firstLineChars="195"/>
        <w:rPr>
          <w:rFonts w:cs="宋体"/>
          <w:b w:val="0"/>
          <w:bCs/>
          <w:color w:val="auto"/>
          <w:szCs w:val="21"/>
          <w:highlight w:val="none"/>
        </w:rPr>
      </w:pPr>
      <w:r>
        <w:rPr>
          <w:rFonts w:hint="eastAsia" w:cs="宋体"/>
          <w:b/>
          <w:color w:val="auto"/>
          <w:szCs w:val="21"/>
          <w:highlight w:val="none"/>
        </w:rPr>
        <w:t>现文：</w:t>
      </w:r>
      <w:r>
        <w:rPr>
          <w:rFonts w:hint="eastAsia" w:cs="宋体"/>
          <w:b w:val="0"/>
          <w:bCs/>
          <w:color w:val="auto"/>
          <w:szCs w:val="21"/>
          <w:highlight w:val="none"/>
        </w:rPr>
        <w:t>19.</w:t>
      </w:r>
      <w:r>
        <w:rPr>
          <w:rFonts w:hint="eastAsia" w:cs="宋体"/>
          <w:b w:val="0"/>
          <w:bCs/>
          <w:color w:val="auto"/>
          <w:szCs w:val="21"/>
          <w:highlight w:val="none"/>
          <w:u w:val="single"/>
        </w:rPr>
        <w:t>投标登记和</w:t>
      </w:r>
      <w:r>
        <w:rPr>
          <w:rFonts w:hint="eastAsia" w:cs="宋体"/>
          <w:b w:val="0"/>
          <w:bCs/>
          <w:color w:val="auto"/>
          <w:szCs w:val="21"/>
          <w:highlight w:val="none"/>
        </w:rPr>
        <w:t>投标文件的递交和接收</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条款号：19.1                        修改类型：修改</w:t>
      </w:r>
    </w:p>
    <w:p>
      <w:pPr>
        <w:spacing w:line="360" w:lineRule="auto"/>
        <w:ind w:firstLine="411" w:firstLineChars="195"/>
        <w:rPr>
          <w:rFonts w:cs="宋体"/>
          <w:bCs/>
          <w:color w:val="auto"/>
          <w:szCs w:val="21"/>
          <w:highlight w:val="none"/>
        </w:rPr>
      </w:pPr>
      <w:r>
        <w:rPr>
          <w:rFonts w:hint="eastAsia" w:cs="宋体"/>
          <w:b/>
          <w:color w:val="auto"/>
          <w:szCs w:val="21"/>
          <w:highlight w:val="none"/>
        </w:rPr>
        <w:t>原文：</w:t>
      </w:r>
      <w:r>
        <w:rPr>
          <w:rFonts w:hint="eastAsia" w:cs="宋体"/>
          <w:color w:val="auto"/>
          <w:szCs w:val="21"/>
          <w:highlight w:val="none"/>
        </w:rPr>
        <w:t>19.1</w:t>
      </w:r>
      <w:r>
        <w:rPr>
          <w:rFonts w:hint="eastAsia" w:cs="宋体"/>
          <w:bCs/>
          <w:color w:val="auto"/>
          <w:szCs w:val="21"/>
          <w:highlight w:val="none"/>
        </w:rPr>
        <w:t>投标人通过</w:t>
      </w:r>
      <w:r>
        <w:rPr>
          <w:rFonts w:hint="eastAsia" w:cs="宋体"/>
          <w:color w:val="auto"/>
          <w:szCs w:val="21"/>
          <w:highlight w:val="none"/>
        </w:rPr>
        <w:t>交易平台递交电子投标文件。</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19.1</w:t>
      </w:r>
      <w:r>
        <w:rPr>
          <w:rFonts w:hint="eastAsia" w:cs="宋体"/>
          <w:bCs/>
          <w:color w:val="auto"/>
          <w:szCs w:val="21"/>
          <w:highlight w:val="none"/>
        </w:rPr>
        <w:t>投标人通过</w:t>
      </w:r>
      <w:r>
        <w:rPr>
          <w:rFonts w:hint="eastAsia" w:cs="宋体"/>
          <w:color w:val="auto"/>
          <w:szCs w:val="21"/>
          <w:highlight w:val="none"/>
          <w:u w:val="single"/>
        </w:rPr>
        <w:t>广州交易集团有限公司（广州公共资源交易中心）</w:t>
      </w:r>
      <w:r>
        <w:rPr>
          <w:rFonts w:hint="eastAsia" w:cs="宋体"/>
          <w:color w:val="auto"/>
          <w:szCs w:val="21"/>
          <w:highlight w:val="none"/>
        </w:rPr>
        <w:t>交易平台递交电子投标文件。</w:t>
      </w:r>
    </w:p>
    <w:p>
      <w:pPr>
        <w:adjustRightInd w:val="0"/>
        <w:spacing w:line="360" w:lineRule="auto"/>
        <w:ind w:firstLine="411" w:firstLineChars="195"/>
        <w:textAlignment w:val="baseline"/>
        <w:rPr>
          <w:rFonts w:cs="宋体"/>
          <w:b/>
          <w:color w:val="auto"/>
          <w:szCs w:val="21"/>
          <w:highlight w:val="none"/>
        </w:rPr>
      </w:pPr>
      <w:r>
        <w:rPr>
          <w:rFonts w:hint="eastAsia" w:cs="宋体"/>
          <w:b/>
          <w:color w:val="auto"/>
          <w:szCs w:val="21"/>
          <w:highlight w:val="none"/>
        </w:rPr>
        <w:t>条款号：19.2                       修改类型：修改</w:t>
      </w:r>
    </w:p>
    <w:p>
      <w:pPr>
        <w:adjustRightInd w:val="0"/>
        <w:spacing w:line="360" w:lineRule="auto"/>
        <w:ind w:firstLine="411" w:firstLineChars="195"/>
        <w:textAlignment w:val="baseline"/>
        <w:rPr>
          <w:rFonts w:cs="宋体"/>
          <w:b/>
          <w:color w:val="auto"/>
          <w:szCs w:val="21"/>
          <w:highlight w:val="none"/>
        </w:rPr>
      </w:pPr>
      <w:r>
        <w:rPr>
          <w:rFonts w:hint="eastAsia" w:cs="宋体"/>
          <w:b/>
          <w:color w:val="auto"/>
          <w:szCs w:val="21"/>
          <w:highlight w:val="none"/>
        </w:rPr>
        <w:t>原文：</w:t>
      </w:r>
      <w:r>
        <w:rPr>
          <w:rFonts w:hint="eastAsia" w:cs="宋体"/>
          <w:color w:val="auto"/>
          <w:szCs w:val="21"/>
          <w:highlight w:val="none"/>
        </w:rPr>
        <w:t>19.2</w:t>
      </w:r>
      <w:r>
        <w:rPr>
          <w:rFonts w:hint="eastAsia" w:cs="宋体"/>
          <w:bCs/>
          <w:color w:val="auto"/>
          <w:szCs w:val="21"/>
          <w:highlight w:val="none"/>
        </w:rPr>
        <w:t>投标人完成电子</w:t>
      </w:r>
      <w:r>
        <w:rPr>
          <w:rFonts w:hint="eastAsia" w:cs="宋体"/>
          <w:color w:val="auto"/>
          <w:szCs w:val="21"/>
          <w:highlight w:val="none"/>
        </w:rPr>
        <w:t>投标文件</w:t>
      </w:r>
      <w:r>
        <w:rPr>
          <w:rFonts w:hint="eastAsia" w:cs="宋体"/>
          <w:bCs/>
          <w:color w:val="auto"/>
          <w:szCs w:val="21"/>
          <w:highlight w:val="none"/>
        </w:rPr>
        <w:t>上传后，</w:t>
      </w:r>
      <w:r>
        <w:rPr>
          <w:rFonts w:hint="eastAsia" w:cs="宋体"/>
          <w:color w:val="auto"/>
          <w:szCs w:val="21"/>
          <w:highlight w:val="none"/>
        </w:rPr>
        <w:t>交易平台即时向投标人发出递交回执通知。递交时间以递交回执通知载明的传输完成时间为准。</w:t>
      </w:r>
    </w:p>
    <w:p>
      <w:pPr>
        <w:pBdr>
          <w:bottom w:val="single" w:color="auto" w:sz="6" w:space="1"/>
        </w:pBdr>
        <w:adjustRightInd w:val="0"/>
        <w:spacing w:line="360" w:lineRule="auto"/>
        <w:ind w:firstLine="411" w:firstLineChars="195"/>
        <w:textAlignment w:val="baseline"/>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19.2</w:t>
      </w:r>
      <w:r>
        <w:rPr>
          <w:rFonts w:hint="eastAsia" w:cs="宋体"/>
          <w:bCs/>
          <w:color w:val="auto"/>
          <w:szCs w:val="21"/>
          <w:highlight w:val="none"/>
        </w:rPr>
        <w:t>投标人完成电子</w:t>
      </w:r>
      <w:r>
        <w:rPr>
          <w:rFonts w:hint="eastAsia" w:cs="宋体"/>
          <w:color w:val="auto"/>
          <w:szCs w:val="21"/>
          <w:highlight w:val="none"/>
        </w:rPr>
        <w:t>投标文件</w:t>
      </w:r>
      <w:r>
        <w:rPr>
          <w:rFonts w:hint="eastAsia" w:cs="宋体"/>
          <w:bCs/>
          <w:color w:val="auto"/>
          <w:szCs w:val="21"/>
          <w:highlight w:val="none"/>
        </w:rPr>
        <w:t>上传后，</w:t>
      </w:r>
      <w:r>
        <w:rPr>
          <w:rFonts w:hint="eastAsia" w:cs="宋体"/>
          <w:color w:val="auto"/>
          <w:szCs w:val="21"/>
          <w:highlight w:val="none"/>
          <w:u w:val="single"/>
        </w:rPr>
        <w:t>广州交易集团有限公司（广州公共资源交易中心）</w:t>
      </w:r>
      <w:r>
        <w:rPr>
          <w:rFonts w:hint="eastAsia" w:cs="宋体"/>
          <w:color w:val="auto"/>
          <w:szCs w:val="21"/>
          <w:highlight w:val="none"/>
        </w:rPr>
        <w:t>交易平台即时向投标人发出递交回执通知。递交时间以递交回执通知载明的传输完成时间为准。</w:t>
      </w:r>
    </w:p>
    <w:p>
      <w:pPr>
        <w:adjustRightInd w:val="0"/>
        <w:spacing w:line="360" w:lineRule="auto"/>
        <w:ind w:firstLine="411" w:firstLineChars="195"/>
        <w:textAlignment w:val="baseline"/>
        <w:rPr>
          <w:rFonts w:cs="宋体"/>
          <w:b/>
          <w:color w:val="auto"/>
          <w:szCs w:val="21"/>
          <w:highlight w:val="none"/>
        </w:rPr>
      </w:pPr>
      <w:r>
        <w:rPr>
          <w:rFonts w:hint="eastAsia" w:cs="宋体"/>
          <w:b/>
          <w:color w:val="auto"/>
          <w:szCs w:val="21"/>
          <w:highlight w:val="none"/>
        </w:rPr>
        <w:t>条款号：19.3                       修改类型：修改</w:t>
      </w:r>
    </w:p>
    <w:p>
      <w:pPr>
        <w:adjustRightInd w:val="0"/>
        <w:spacing w:line="360" w:lineRule="auto"/>
        <w:ind w:firstLine="411" w:firstLineChars="195"/>
        <w:textAlignment w:val="baseline"/>
        <w:rPr>
          <w:rFonts w:cs="宋体"/>
          <w:b/>
          <w:color w:val="auto"/>
          <w:szCs w:val="21"/>
          <w:highlight w:val="none"/>
        </w:rPr>
      </w:pPr>
      <w:r>
        <w:rPr>
          <w:rFonts w:hint="eastAsia" w:cs="宋体"/>
          <w:b/>
          <w:color w:val="auto"/>
          <w:szCs w:val="21"/>
          <w:highlight w:val="none"/>
        </w:rPr>
        <w:t>原文：</w:t>
      </w:r>
      <w:r>
        <w:rPr>
          <w:rFonts w:hint="eastAsia" w:cs="宋体"/>
          <w:color w:val="auto"/>
          <w:szCs w:val="21"/>
          <w:highlight w:val="none"/>
        </w:rPr>
        <w:t>19.3</w:t>
      </w:r>
      <w:r>
        <w:rPr>
          <w:rFonts w:hint="eastAsia" w:cs="宋体"/>
          <w:bCs/>
          <w:color w:val="auto"/>
          <w:szCs w:val="21"/>
          <w:highlight w:val="none"/>
        </w:rPr>
        <w:t>逾期送达的电子投标文件，</w:t>
      </w:r>
      <w:r>
        <w:rPr>
          <w:rFonts w:hint="eastAsia" w:cs="宋体"/>
          <w:color w:val="auto"/>
          <w:szCs w:val="21"/>
          <w:highlight w:val="none"/>
        </w:rPr>
        <w:t>交易平台将予以拒收。</w:t>
      </w:r>
    </w:p>
    <w:p>
      <w:pPr>
        <w:pBdr>
          <w:bottom w:val="single" w:color="auto" w:sz="6" w:space="1"/>
        </w:pBdr>
        <w:adjustRightInd w:val="0"/>
        <w:spacing w:line="360" w:lineRule="auto"/>
        <w:ind w:firstLine="411" w:firstLineChars="195"/>
        <w:textAlignment w:val="baseline"/>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19.3</w:t>
      </w:r>
      <w:r>
        <w:rPr>
          <w:rFonts w:hint="eastAsia" w:cs="宋体"/>
          <w:bCs/>
          <w:color w:val="auto"/>
          <w:szCs w:val="21"/>
          <w:highlight w:val="none"/>
        </w:rPr>
        <w:t>逾期送达的电子投标文件，</w:t>
      </w:r>
      <w:r>
        <w:rPr>
          <w:rFonts w:hint="eastAsia" w:cs="宋体"/>
          <w:color w:val="auto"/>
          <w:szCs w:val="21"/>
          <w:highlight w:val="none"/>
          <w:u w:val="single"/>
        </w:rPr>
        <w:t>广州交易集团有限公司（广州公共资源交易中心）</w:t>
      </w:r>
      <w:r>
        <w:rPr>
          <w:rFonts w:hint="eastAsia" w:cs="宋体"/>
          <w:color w:val="auto"/>
          <w:szCs w:val="21"/>
          <w:highlight w:val="none"/>
        </w:rPr>
        <w:t>交易平台将予以拒收。</w:t>
      </w:r>
    </w:p>
    <w:p>
      <w:pPr>
        <w:spacing w:line="360" w:lineRule="auto"/>
        <w:ind w:firstLine="411" w:firstLineChars="195"/>
        <w:textAlignment w:val="baseline"/>
        <w:rPr>
          <w:rFonts w:cs="宋体"/>
          <w:b/>
          <w:color w:val="auto"/>
          <w:szCs w:val="21"/>
          <w:highlight w:val="none"/>
        </w:rPr>
      </w:pPr>
      <w:r>
        <w:rPr>
          <w:rFonts w:hint="eastAsia" w:cs="宋体"/>
          <w:b/>
          <w:color w:val="auto"/>
          <w:szCs w:val="21"/>
          <w:highlight w:val="none"/>
        </w:rPr>
        <w:t>条款号：19.5                       修改类型：修改</w:t>
      </w:r>
    </w:p>
    <w:p>
      <w:pPr>
        <w:spacing w:line="360" w:lineRule="auto"/>
        <w:ind w:firstLine="411" w:firstLineChars="195"/>
        <w:textAlignment w:val="baseline"/>
        <w:rPr>
          <w:rFonts w:cs="宋体"/>
          <w:b/>
          <w:color w:val="auto"/>
          <w:szCs w:val="21"/>
          <w:highlight w:val="none"/>
        </w:rPr>
      </w:pPr>
      <w:r>
        <w:rPr>
          <w:rFonts w:hint="eastAsia" w:cs="宋体"/>
          <w:b/>
          <w:color w:val="auto"/>
          <w:szCs w:val="21"/>
          <w:highlight w:val="none"/>
        </w:rPr>
        <w:t>原文：</w:t>
      </w:r>
      <w:r>
        <w:rPr>
          <w:rFonts w:hint="eastAsia" w:cs="宋体"/>
          <w:color w:val="auto"/>
          <w:szCs w:val="21"/>
          <w:highlight w:val="none"/>
        </w:rPr>
        <w:t>19.5如技术标和经济标先后分别开启，交易平台将按招标文件规定的时间分别开启技术标和经济标。</w:t>
      </w:r>
    </w:p>
    <w:p>
      <w:pPr>
        <w:pBdr>
          <w:bottom w:val="single" w:color="auto" w:sz="6" w:space="1"/>
        </w:pBdr>
        <w:spacing w:line="360" w:lineRule="auto"/>
        <w:ind w:firstLine="411" w:firstLineChars="195"/>
        <w:textAlignment w:val="baseline"/>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19.5</w:t>
      </w:r>
      <w:r>
        <w:rPr>
          <w:rFonts w:hint="eastAsia" w:cs="宋体"/>
          <w:color w:val="auto"/>
          <w:szCs w:val="21"/>
          <w:highlight w:val="none"/>
          <w:u w:val="single"/>
        </w:rPr>
        <w:t>广州交易集团有限公司（广州公共资源交易中心）交易平台将按招标文件规定的时间同时开启技术标（含资格审查文件）和经济标。</w:t>
      </w:r>
    </w:p>
    <w:p>
      <w:pPr>
        <w:adjustRightInd w:val="0"/>
        <w:spacing w:line="360" w:lineRule="auto"/>
        <w:ind w:firstLine="411" w:firstLineChars="195"/>
        <w:textAlignment w:val="baseline"/>
        <w:rPr>
          <w:rFonts w:cs="宋体"/>
          <w:b/>
          <w:color w:val="auto"/>
          <w:szCs w:val="21"/>
          <w:highlight w:val="none"/>
        </w:rPr>
      </w:pPr>
      <w:r>
        <w:rPr>
          <w:rFonts w:hint="eastAsia" w:cs="宋体"/>
          <w:b/>
          <w:color w:val="auto"/>
          <w:szCs w:val="21"/>
          <w:highlight w:val="none"/>
        </w:rPr>
        <w:t>条款号：19.6                       修改类型：删除</w:t>
      </w:r>
    </w:p>
    <w:p>
      <w:pPr>
        <w:pBdr>
          <w:bottom w:val="single" w:color="auto" w:sz="6" w:space="1"/>
        </w:pBdr>
        <w:adjustRightInd w:val="0"/>
        <w:spacing w:line="360" w:lineRule="auto"/>
        <w:ind w:firstLine="411" w:firstLineChars="195"/>
        <w:textAlignment w:val="baseline"/>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19.6在规定的时间内，项目负责人须到自助签到。按照交易平台有关项目负责人自助签到流程进行操作。项目负责人凡未凭身份证按时到达指定地点签到的，该投标文件将不能参与资格审查和评标（选择性条款）。</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条款号：20.3                       修改类型：修改</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20.3到投标截止时间止，招标人收到的投标文件少于3家的，招标人将重新组织招标（当N个标段同时招标且不允许兼中时，若有效投标人不足N+2家，则重新组织招标）。</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20.3</w:t>
      </w:r>
      <w:r>
        <w:rPr>
          <w:rFonts w:hint="eastAsia" w:cs="宋体"/>
          <w:color w:val="auto"/>
          <w:szCs w:val="21"/>
          <w:highlight w:val="none"/>
          <w:u w:val="single"/>
        </w:rPr>
        <w:t>到投标截止时间止，招标人收到的投标文件少于3家的，招标人将重新组织招标。</w:t>
      </w:r>
    </w:p>
    <w:p>
      <w:pPr>
        <w:adjustRightInd w:val="0"/>
        <w:spacing w:line="360" w:lineRule="auto"/>
        <w:ind w:firstLine="411" w:firstLineChars="195"/>
        <w:textAlignment w:val="baseline"/>
        <w:rPr>
          <w:rFonts w:cs="宋体"/>
          <w:b/>
          <w:color w:val="auto"/>
          <w:szCs w:val="21"/>
          <w:highlight w:val="none"/>
        </w:rPr>
      </w:pPr>
      <w:r>
        <w:rPr>
          <w:rFonts w:hint="eastAsia" w:cs="宋体"/>
          <w:b/>
          <w:color w:val="auto"/>
          <w:szCs w:val="21"/>
          <w:highlight w:val="none"/>
        </w:rPr>
        <w:t>条款号：21.1                       修改类型：修改</w:t>
      </w:r>
    </w:p>
    <w:p>
      <w:pPr>
        <w:adjustRightInd w:val="0"/>
        <w:spacing w:line="360" w:lineRule="auto"/>
        <w:ind w:firstLine="411" w:firstLineChars="195"/>
        <w:textAlignment w:val="baseline"/>
        <w:rPr>
          <w:rFonts w:cs="宋体"/>
          <w:b/>
          <w:color w:val="auto"/>
          <w:szCs w:val="21"/>
          <w:highlight w:val="none"/>
        </w:rPr>
      </w:pPr>
      <w:r>
        <w:rPr>
          <w:rFonts w:hint="eastAsia" w:cs="宋体"/>
          <w:b/>
          <w:color w:val="auto"/>
          <w:szCs w:val="21"/>
          <w:highlight w:val="none"/>
        </w:rPr>
        <w:t>原文：</w:t>
      </w:r>
      <w:r>
        <w:rPr>
          <w:rFonts w:hint="eastAsia" w:cs="宋体"/>
          <w:color w:val="auto"/>
          <w:szCs w:val="21"/>
          <w:highlight w:val="none"/>
        </w:rPr>
        <w:t>21.1本须知前附表第17项规定的投标截止时间</w:t>
      </w:r>
      <w:r>
        <w:rPr>
          <w:rFonts w:hint="eastAsia" w:cs="宋体"/>
          <w:bCs/>
          <w:color w:val="auto"/>
          <w:szCs w:val="21"/>
          <w:highlight w:val="none"/>
        </w:rPr>
        <w:t>后送达的电子投标文件，</w:t>
      </w:r>
      <w:r>
        <w:rPr>
          <w:rFonts w:hint="eastAsia" w:cs="宋体"/>
          <w:color w:val="auto"/>
          <w:szCs w:val="21"/>
          <w:highlight w:val="none"/>
        </w:rPr>
        <w:t>交易平台将予以拒收。</w:t>
      </w:r>
    </w:p>
    <w:p>
      <w:pPr>
        <w:pBdr>
          <w:bottom w:val="single" w:color="auto" w:sz="6" w:space="1"/>
        </w:pBdr>
        <w:adjustRightInd w:val="0"/>
        <w:spacing w:line="360" w:lineRule="auto"/>
        <w:ind w:firstLine="411" w:firstLineChars="195"/>
        <w:textAlignment w:val="baseline"/>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21.1本须知前附表第17项规定的投标截止时间</w:t>
      </w:r>
      <w:r>
        <w:rPr>
          <w:rFonts w:hint="eastAsia" w:cs="宋体"/>
          <w:bCs/>
          <w:color w:val="auto"/>
          <w:szCs w:val="21"/>
          <w:highlight w:val="none"/>
        </w:rPr>
        <w:t>后送达的电子投标文件，</w:t>
      </w:r>
      <w:r>
        <w:rPr>
          <w:rFonts w:hint="eastAsia" w:cs="宋体"/>
          <w:color w:val="auto"/>
          <w:szCs w:val="21"/>
          <w:highlight w:val="none"/>
          <w:u w:val="single"/>
        </w:rPr>
        <w:t>广州交易集团有限公司（广州公共资源交易中心）</w:t>
      </w:r>
      <w:r>
        <w:rPr>
          <w:rFonts w:hint="eastAsia" w:cs="宋体"/>
          <w:color w:val="auto"/>
          <w:szCs w:val="21"/>
          <w:highlight w:val="none"/>
        </w:rPr>
        <w:t>交易平台将予以拒收。</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条款号：27.1                        修改类型：修改</w:t>
      </w:r>
    </w:p>
    <w:p>
      <w:pPr>
        <w:spacing w:line="360" w:lineRule="auto"/>
        <w:ind w:firstLine="411" w:firstLineChars="195"/>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27.1招标人将在交易平台、广东省招标投标监管网和中国招标投标公共服务平台公示中标候选人，公示期为三天。</w:t>
      </w:r>
    </w:p>
    <w:p>
      <w:pPr>
        <w:pBdr>
          <w:bottom w:val="single" w:color="auto" w:sz="6" w:space="1"/>
        </w:pBdr>
        <w:spacing w:line="360" w:lineRule="auto"/>
        <w:ind w:firstLine="411" w:firstLineChars="195"/>
        <w:rPr>
          <w:rFonts w:cs="宋体"/>
          <w:color w:val="auto"/>
          <w:szCs w:val="21"/>
          <w:highlight w:val="none"/>
          <w:u w:val="single"/>
        </w:rPr>
      </w:pPr>
      <w:r>
        <w:rPr>
          <w:rFonts w:hint="eastAsia" w:cs="宋体"/>
          <w:b/>
          <w:color w:val="auto"/>
          <w:szCs w:val="21"/>
          <w:highlight w:val="none"/>
        </w:rPr>
        <w:t>现文：</w:t>
      </w:r>
      <w:r>
        <w:rPr>
          <w:rFonts w:hint="eastAsia" w:cs="宋体"/>
          <w:color w:val="auto"/>
          <w:szCs w:val="21"/>
          <w:highlight w:val="none"/>
        </w:rPr>
        <w:t>27.1招标人将在</w:t>
      </w:r>
      <w:r>
        <w:rPr>
          <w:rFonts w:hint="eastAsia" w:cs="宋体"/>
          <w:color w:val="auto"/>
          <w:szCs w:val="21"/>
          <w:highlight w:val="none"/>
          <w:u w:val="single"/>
        </w:rPr>
        <w:t>广州交易集团有限公司（广州公共资源交易中心）</w:t>
      </w:r>
      <w:r>
        <w:rPr>
          <w:rFonts w:hint="eastAsia" w:cs="宋体"/>
          <w:color w:val="auto"/>
          <w:szCs w:val="21"/>
          <w:highlight w:val="none"/>
        </w:rPr>
        <w:t>交易平台、广东省招标投标监管网和中国招标投标公共服务平台公示中标候选人，公示期为三天。</w:t>
      </w:r>
      <w:r>
        <w:rPr>
          <w:rFonts w:hint="eastAsia" w:cs="宋体"/>
          <w:color w:val="auto"/>
          <w:szCs w:val="21"/>
          <w:highlight w:val="none"/>
          <w:u w:val="singl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条款号：27.4                        修改类型：修改</w:t>
      </w:r>
    </w:p>
    <w:p>
      <w:pPr>
        <w:spacing w:line="360" w:lineRule="auto"/>
        <w:ind w:firstLine="411" w:firstLineChars="195"/>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27.4在产生中标候选人后，招标人将中标候选人的投标文件商务部分文件的所有内容（包括人员、业绩、奖项等资料）在交易平台和广东省招标投标监管网公开。</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27.4在产生中标候选人后，招标人将中标候选人的投标文件商务部分文件的所有内容（</w:t>
      </w:r>
      <w:r>
        <w:rPr>
          <w:rFonts w:hint="eastAsia" w:cs="宋体"/>
          <w:color w:val="auto"/>
          <w:szCs w:val="21"/>
          <w:highlight w:val="none"/>
          <w:u w:val="none"/>
        </w:rPr>
        <w:t>包括人员、业绩、奖项等资料</w:t>
      </w:r>
      <w:r>
        <w:rPr>
          <w:rFonts w:hint="eastAsia" w:cs="宋体"/>
          <w:color w:val="auto"/>
          <w:szCs w:val="21"/>
          <w:highlight w:val="none"/>
        </w:rPr>
        <w:t>）在</w:t>
      </w:r>
      <w:r>
        <w:rPr>
          <w:rFonts w:hint="eastAsia" w:cs="宋体"/>
          <w:color w:val="auto"/>
          <w:szCs w:val="21"/>
          <w:highlight w:val="none"/>
          <w:u w:val="single"/>
        </w:rPr>
        <w:t>广州交易集团有限公司（广州公共资源交易中心）</w:t>
      </w:r>
      <w:r>
        <w:rPr>
          <w:rFonts w:hint="eastAsia" w:cs="宋体"/>
          <w:color w:val="auto"/>
          <w:szCs w:val="21"/>
          <w:highlight w:val="none"/>
        </w:rPr>
        <w:t>交易平台和广东省招标投标监管网公开。</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条款号：29.</w:t>
      </w:r>
      <w:r>
        <w:rPr>
          <w:rFonts w:cs="宋体"/>
          <w:b/>
          <w:color w:val="auto"/>
          <w:szCs w:val="21"/>
          <w:highlight w:val="none"/>
        </w:rPr>
        <w:t>1</w:t>
      </w:r>
      <w:r>
        <w:rPr>
          <w:rFonts w:hint="eastAsia" w:cs="宋体"/>
          <w:b/>
          <w:color w:val="auto"/>
          <w:szCs w:val="21"/>
          <w:highlight w:val="none"/>
        </w:rPr>
        <w:t xml:space="preserve">                        修改类型：修改</w:t>
      </w:r>
    </w:p>
    <w:p>
      <w:pPr>
        <w:spacing w:line="360" w:lineRule="auto"/>
        <w:ind w:firstLine="411" w:firstLineChars="195"/>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29.</w:t>
      </w:r>
      <w:r>
        <w:rPr>
          <w:rFonts w:cs="宋体"/>
          <w:color w:val="auto"/>
          <w:szCs w:val="21"/>
          <w:highlight w:val="none"/>
        </w:rPr>
        <w:t>1</w:t>
      </w:r>
      <w:r>
        <w:rPr>
          <w:rFonts w:hint="eastAsia" w:cs="宋体"/>
          <w:color w:val="auto"/>
          <w:szCs w:val="21"/>
          <w:highlight w:val="none"/>
        </w:rPr>
        <w:t>在收到中标通知书后的</w:t>
      </w:r>
      <w:r>
        <w:rPr>
          <w:rFonts w:cs="宋体"/>
          <w:color w:val="auto"/>
          <w:szCs w:val="21"/>
          <w:highlight w:val="none"/>
        </w:rPr>
        <w:t>15</w:t>
      </w:r>
      <w:r>
        <w:rPr>
          <w:rFonts w:hint="eastAsia" w:cs="宋体"/>
          <w:color w:val="auto"/>
          <w:szCs w:val="21"/>
          <w:highlight w:val="none"/>
        </w:rPr>
        <w:t>日内，中标人应按本须知前附表第</w:t>
      </w:r>
      <w:r>
        <w:rPr>
          <w:rFonts w:cs="宋体"/>
          <w:color w:val="auto"/>
          <w:szCs w:val="21"/>
          <w:highlight w:val="none"/>
        </w:rPr>
        <w:t>2</w:t>
      </w:r>
      <w:r>
        <w:rPr>
          <w:rFonts w:hint="eastAsia" w:cs="宋体"/>
          <w:color w:val="auto"/>
          <w:szCs w:val="21"/>
          <w:highlight w:val="none"/>
        </w:rPr>
        <w:t>0项的规定向招标人提交履约担保；如果中标人的履约担保是以银行保函的形式提供，则该银行保函应由在中国注册且营业地点在广州行政辖区内的银行开具。</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：29.</w:t>
      </w:r>
      <w:r>
        <w:rPr>
          <w:rFonts w:cs="宋体"/>
          <w:color w:val="auto"/>
          <w:szCs w:val="21"/>
          <w:highlight w:val="none"/>
        </w:rPr>
        <w:t>1</w:t>
      </w:r>
      <w:r>
        <w:rPr>
          <w:rFonts w:hint="eastAsia" w:cs="宋体"/>
          <w:color w:val="auto"/>
          <w:szCs w:val="21"/>
          <w:highlight w:val="none"/>
          <w:u w:val="single"/>
        </w:rPr>
        <w:t>合同正式签订之日起</w:t>
      </w:r>
      <w:r>
        <w:rPr>
          <w:rFonts w:cs="宋体"/>
          <w:color w:val="auto"/>
          <w:szCs w:val="21"/>
          <w:highlight w:val="none"/>
          <w:u w:val="single"/>
        </w:rPr>
        <w:t>15</w:t>
      </w:r>
      <w:r>
        <w:rPr>
          <w:rFonts w:hint="eastAsia" w:cs="宋体"/>
          <w:color w:val="auto"/>
          <w:szCs w:val="21"/>
          <w:highlight w:val="none"/>
          <w:u w:val="single"/>
        </w:rPr>
        <w:t>日内</w:t>
      </w:r>
      <w:r>
        <w:rPr>
          <w:rFonts w:hint="eastAsia" w:cs="宋体"/>
          <w:color w:val="auto"/>
          <w:szCs w:val="21"/>
          <w:highlight w:val="none"/>
        </w:rPr>
        <w:t>，中标人应按本须知前附表第</w:t>
      </w:r>
      <w:r>
        <w:rPr>
          <w:rFonts w:cs="宋体"/>
          <w:color w:val="auto"/>
          <w:szCs w:val="21"/>
          <w:highlight w:val="none"/>
        </w:rPr>
        <w:t>2</w:t>
      </w:r>
      <w:r>
        <w:rPr>
          <w:rFonts w:hint="eastAsia" w:cs="宋体"/>
          <w:color w:val="auto"/>
          <w:szCs w:val="21"/>
          <w:highlight w:val="none"/>
        </w:rPr>
        <w:t>0项的规定向招标人提交</w:t>
      </w:r>
      <w:r>
        <w:rPr>
          <w:rFonts w:hint="eastAsia" w:cs="宋体"/>
          <w:color w:val="auto"/>
          <w:szCs w:val="21"/>
          <w:highlight w:val="none"/>
          <w:u w:val="single"/>
        </w:rPr>
        <w:t>由银行开具的无条件不可撤销的</w:t>
      </w:r>
      <w:r>
        <w:rPr>
          <w:rFonts w:hint="eastAsia" w:cs="宋体"/>
          <w:color w:val="auto"/>
          <w:szCs w:val="21"/>
          <w:highlight w:val="none"/>
        </w:rPr>
        <w:t>履约担保；如果中标人的履约担保是以银行保函的形式提供，则该银行保函应由在中国注册且营业的</w:t>
      </w:r>
      <w:r>
        <w:rPr>
          <w:rFonts w:hint="eastAsia" w:cs="宋体"/>
          <w:color w:val="auto"/>
          <w:szCs w:val="21"/>
          <w:highlight w:val="none"/>
          <w:u w:val="single"/>
        </w:rPr>
        <w:t>分行级别或以上</w:t>
      </w:r>
      <w:r>
        <w:rPr>
          <w:rFonts w:hint="eastAsia" w:cs="宋体"/>
          <w:color w:val="auto"/>
          <w:szCs w:val="21"/>
          <w:highlight w:val="none"/>
        </w:rPr>
        <w:t>的银行开具。</w:t>
      </w:r>
    </w:p>
    <w:p>
      <w:pPr>
        <w:spacing w:line="360" w:lineRule="auto"/>
        <w:ind w:firstLine="411" w:firstLineChars="195"/>
        <w:rPr>
          <w:rFonts w:cs="宋体"/>
          <w:b/>
          <w:color w:val="auto"/>
          <w:szCs w:val="21"/>
          <w:highlight w:val="none"/>
        </w:rPr>
      </w:pPr>
      <w:r>
        <w:rPr>
          <w:rFonts w:hint="eastAsia" w:cs="宋体"/>
          <w:b/>
          <w:color w:val="auto"/>
          <w:szCs w:val="21"/>
          <w:highlight w:val="none"/>
        </w:rPr>
        <w:t>条款号：29.2                        修改类型：修改</w:t>
      </w:r>
    </w:p>
    <w:p>
      <w:pPr>
        <w:spacing w:line="360" w:lineRule="auto"/>
        <w:ind w:firstLine="411" w:firstLineChars="195"/>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：29.2</w:t>
      </w:r>
      <w:r>
        <w:rPr>
          <w:rFonts w:hint="eastAsia" w:cs="宋体"/>
          <w:color w:val="auto"/>
          <w:szCs w:val="21"/>
          <w:highlight w:val="none"/>
          <w:u w:val="single"/>
        </w:rPr>
        <w:t>合同正式签订之日起</w:t>
      </w:r>
      <w:r>
        <w:rPr>
          <w:rFonts w:cs="宋体"/>
          <w:color w:val="auto"/>
          <w:szCs w:val="21"/>
          <w:highlight w:val="none"/>
          <w:u w:val="single"/>
        </w:rPr>
        <w:t>15</w:t>
      </w:r>
      <w:r>
        <w:rPr>
          <w:rFonts w:hint="eastAsia" w:cs="宋体"/>
          <w:color w:val="auto"/>
          <w:szCs w:val="21"/>
          <w:highlight w:val="none"/>
          <w:u w:val="single"/>
        </w:rPr>
        <w:t>日内</w:t>
      </w:r>
      <w:r>
        <w:rPr>
          <w:rFonts w:hint="eastAsia" w:cs="宋体"/>
          <w:color w:val="auto"/>
          <w:szCs w:val="21"/>
          <w:highlight w:val="none"/>
        </w:rPr>
        <w:t>，中标人未按上款的规定递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11" w:firstLineChars="195"/>
        <w:rPr>
          <w:rFonts w:cs="宋体"/>
          <w:b/>
          <w:bCs/>
          <w:color w:val="auto"/>
          <w:szCs w:val="21"/>
          <w:highlight w:val="none"/>
        </w:rPr>
      </w:pPr>
      <w:r>
        <w:rPr>
          <w:rFonts w:hint="eastAsia" w:cs="宋体"/>
          <w:b/>
          <w:bCs/>
          <w:color w:val="auto"/>
          <w:szCs w:val="21"/>
          <w:highlight w:val="none"/>
        </w:rPr>
        <w:t>条款号：31                          修改类型：修改</w:t>
      </w:r>
    </w:p>
    <w:p>
      <w:pPr>
        <w:pBdr>
          <w:bottom w:val="single" w:color="auto" w:sz="6" w:space="1"/>
        </w:pBdr>
        <w:spacing w:line="360" w:lineRule="auto"/>
        <w:ind w:firstLine="411" w:firstLineChars="195"/>
        <w:rPr>
          <w:rFonts w:cs="宋体"/>
          <w:b/>
          <w:bCs/>
          <w:color w:val="auto"/>
          <w:szCs w:val="21"/>
          <w:highlight w:val="none"/>
        </w:rPr>
      </w:pPr>
      <w:r>
        <w:rPr>
          <w:rFonts w:hint="eastAsia" w:cs="宋体"/>
          <w:b/>
          <w:bCs/>
          <w:color w:val="auto"/>
          <w:szCs w:val="21"/>
          <w:highlight w:val="none"/>
        </w:rPr>
        <w:t>原文：31.其它费用</w:t>
      </w:r>
    </w:p>
    <w:p>
      <w:pPr>
        <w:pBdr>
          <w:bottom w:val="single" w:color="auto" w:sz="6" w:space="1"/>
        </w:pBdr>
        <w:spacing w:line="360" w:lineRule="auto"/>
        <w:ind w:firstLine="411" w:firstLineChars="195"/>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w:t>
      </w:r>
      <w:r>
        <w:rPr>
          <w:rFonts w:hint="eastAsia" w:cs="宋体"/>
          <w:b/>
          <w:color w:val="auto"/>
          <w:szCs w:val="21"/>
          <w:highlight w:val="none"/>
        </w:rPr>
        <w:t>31.</w:t>
      </w:r>
      <w:r>
        <w:rPr>
          <w:rFonts w:hint="eastAsia" w:cs="宋体"/>
          <w:b/>
          <w:bCs/>
          <w:color w:val="auto"/>
          <w:szCs w:val="21"/>
          <w:highlight w:val="none"/>
        </w:rPr>
        <w:t>其它费用</w:t>
      </w:r>
    </w:p>
    <w:p>
      <w:pPr>
        <w:pBdr>
          <w:bottom w:val="single" w:color="auto" w:sz="6" w:space="1"/>
        </w:pBdr>
        <w:spacing w:line="360" w:lineRule="auto"/>
        <w:ind w:firstLine="409" w:firstLineChars="195"/>
        <w:rPr>
          <w:rFonts w:hint="eastAsia" w:cs="宋体"/>
          <w:color w:val="auto"/>
          <w:szCs w:val="21"/>
          <w:highlight w:val="none"/>
          <w:u w:val="single"/>
        </w:rPr>
      </w:pPr>
      <w:r>
        <w:rPr>
          <w:rFonts w:hint="eastAsia" w:cs="宋体"/>
          <w:color w:val="auto"/>
          <w:szCs w:val="21"/>
          <w:highlight w:val="none"/>
          <w:u w:val="single"/>
        </w:rPr>
        <w:t>中标人代缴广州公共资源交易中心的交易服务费，其费用包含在中标人投标报价中，交易中心向中标人开具增值税发票。</w:t>
      </w:r>
    </w:p>
    <w:p>
      <w:pPr>
        <w:spacing w:line="360" w:lineRule="auto"/>
        <w:rPr>
          <w:rFonts w:cs="宋体"/>
          <w:b/>
          <w:color w:val="auto"/>
          <w:szCs w:val="21"/>
          <w:highlight w:val="none"/>
        </w:rPr>
      </w:pPr>
      <w:r>
        <w:rPr>
          <w:rFonts w:hint="eastAsia" w:cs="宋体"/>
          <w:b/>
          <w:color w:val="auto"/>
          <w:szCs w:val="21"/>
          <w:highlight w:val="none"/>
        </w:rPr>
        <w:t>注：以上修改，仅限于本范本中有可供选择条款的情形。</w:t>
      </w:r>
    </w:p>
    <w:p>
      <w:pPr>
        <w:spacing w:line="360" w:lineRule="auto"/>
        <w:rPr>
          <w:rFonts w:cs="宋体"/>
          <w:color w:val="auto"/>
          <w:highlight w:val="none"/>
        </w:rPr>
      </w:pPr>
      <w:r>
        <w:rPr>
          <w:rFonts w:hint="eastAsia" w:cs="宋体"/>
          <w:b/>
          <w:color w:val="auto"/>
          <w:szCs w:val="21"/>
          <w:highlight w:val="none"/>
        </w:rPr>
        <w:t>（以下无正文）</w:t>
      </w:r>
    </w:p>
    <w:p>
      <w:pPr>
        <w:rPr>
          <w:rFonts w:hint="eastAsia"/>
          <w:color w:val="auto"/>
          <w:highlight w:val="none"/>
        </w:rPr>
      </w:pPr>
      <w:r>
        <w:rPr>
          <w:rFonts w:hint="eastAsia"/>
          <w:color w:val="auto"/>
          <w:highlight w:val="none"/>
        </w:rPr>
        <w:br w:type="page"/>
      </w:r>
    </w:p>
    <w:p>
      <w:pPr>
        <w:pStyle w:val="3"/>
        <w:rPr>
          <w:color w:val="auto"/>
          <w:sz w:val="21"/>
          <w:szCs w:val="21"/>
          <w:highlight w:val="none"/>
        </w:rPr>
      </w:pPr>
      <w:r>
        <w:rPr>
          <w:rFonts w:hint="eastAsia"/>
          <w:color w:val="auto"/>
          <w:sz w:val="21"/>
          <w:szCs w:val="21"/>
          <w:highlight w:val="none"/>
        </w:rPr>
        <w:t>三、投标须知通用条款</w:t>
      </w:r>
      <w:bookmarkEnd w:id="3"/>
    </w:p>
    <w:p>
      <w:pPr>
        <w:pStyle w:val="4"/>
        <w:spacing w:before="156" w:after="156"/>
        <w:jc w:val="center"/>
        <w:rPr>
          <w:color w:val="auto"/>
          <w:sz w:val="21"/>
          <w:szCs w:val="21"/>
          <w:highlight w:val="none"/>
        </w:rPr>
      </w:pPr>
      <w:bookmarkStart w:id="4" w:name="_Toc30203"/>
      <w:bookmarkStart w:id="5" w:name="_Toc18664061"/>
      <w:r>
        <w:rPr>
          <w:rFonts w:hint="eastAsia"/>
          <w:color w:val="auto"/>
          <w:sz w:val="21"/>
          <w:szCs w:val="21"/>
          <w:highlight w:val="none"/>
        </w:rPr>
        <w:t>（一）总则</w:t>
      </w:r>
      <w:bookmarkEnd w:id="4"/>
    </w:p>
    <w:p>
      <w:pPr>
        <w:pStyle w:val="23"/>
        <w:spacing w:after="0" w:line="360" w:lineRule="auto"/>
        <w:ind w:firstLine="422" w:firstLineChars="200"/>
        <w:rPr>
          <w:rFonts w:ascii="宋体"/>
          <w:b/>
          <w:bCs/>
          <w:color w:val="auto"/>
          <w:sz w:val="21"/>
          <w:szCs w:val="21"/>
          <w:highlight w:val="none"/>
        </w:rPr>
      </w:pPr>
      <w:r>
        <w:rPr>
          <w:rFonts w:ascii="宋体" w:hAnsi="宋体"/>
          <w:b/>
          <w:bCs/>
          <w:color w:val="auto"/>
          <w:sz w:val="21"/>
          <w:szCs w:val="21"/>
          <w:highlight w:val="none"/>
        </w:rPr>
        <w:t>1</w:t>
      </w:r>
      <w:r>
        <w:rPr>
          <w:rFonts w:hint="eastAsia" w:ascii="宋体" w:hAnsi="宋体"/>
          <w:b/>
          <w:bCs/>
          <w:color w:val="auto"/>
          <w:sz w:val="21"/>
          <w:szCs w:val="21"/>
          <w:highlight w:val="none"/>
        </w:rPr>
        <w:t>、定义</w:t>
      </w:r>
    </w:p>
    <w:p>
      <w:pPr>
        <w:pStyle w:val="23"/>
        <w:spacing w:after="0" w:line="360" w:lineRule="auto"/>
        <w:ind w:firstLine="420" w:firstLineChars="200"/>
        <w:rPr>
          <w:rFonts w:ascii="宋体"/>
          <w:b/>
          <w:bCs/>
          <w:color w:val="auto"/>
          <w:sz w:val="21"/>
          <w:szCs w:val="21"/>
          <w:highlight w:val="none"/>
        </w:rPr>
      </w:pPr>
      <w:r>
        <w:rPr>
          <w:rFonts w:hint="eastAsia" w:ascii="宋体" w:hAnsi="宋体"/>
          <w:color w:val="auto"/>
          <w:sz w:val="21"/>
          <w:szCs w:val="21"/>
          <w:highlight w:val="none"/>
        </w:rPr>
        <w:t>本招标文件使用的下列词语具有如下规定的意义：</w:t>
      </w:r>
    </w:p>
    <w:p>
      <w:pPr>
        <w:pStyle w:val="23"/>
        <w:spacing w:after="0" w:line="360" w:lineRule="auto"/>
        <w:ind w:firstLine="420" w:firstLineChars="200"/>
        <w:rPr>
          <w:rFonts w:ascii="宋体"/>
          <w:b/>
          <w:bCs/>
          <w:color w:val="auto"/>
          <w:sz w:val="21"/>
          <w:szCs w:val="21"/>
          <w:highlight w:val="none"/>
          <w:u w:val="single"/>
        </w:rPr>
      </w:pPr>
      <w:r>
        <w:rPr>
          <w:rFonts w:hint="eastAsia" w:ascii="宋体" w:hAnsi="宋体"/>
          <w:color w:val="auto"/>
          <w:sz w:val="21"/>
          <w:szCs w:val="21"/>
          <w:highlight w:val="none"/>
        </w:rPr>
        <w:t>（</w:t>
      </w:r>
      <w:r>
        <w:rPr>
          <w:rFonts w:ascii="宋体" w:hAnsi="宋体"/>
          <w:color w:val="auto"/>
          <w:sz w:val="21"/>
          <w:szCs w:val="21"/>
          <w:highlight w:val="none"/>
        </w:rPr>
        <w:t>1</w:t>
      </w:r>
      <w:r>
        <w:rPr>
          <w:rFonts w:hint="eastAsia" w:ascii="宋体" w:hAnsi="宋体"/>
          <w:color w:val="auto"/>
          <w:sz w:val="21"/>
          <w:szCs w:val="21"/>
          <w:highlight w:val="none"/>
        </w:rPr>
        <w:t>）“招标人”（即发包人）、“项目建设管理单位</w:t>
      </w:r>
      <w:r>
        <w:rPr>
          <w:rFonts w:hint="eastAsia" w:ascii="宋体"/>
          <w:color w:val="auto"/>
          <w:sz w:val="21"/>
          <w:szCs w:val="21"/>
          <w:highlight w:val="none"/>
        </w:rPr>
        <w:t>”</w:t>
      </w:r>
      <w:r>
        <w:rPr>
          <w:rFonts w:hint="eastAsia" w:ascii="宋体" w:hAnsi="宋体"/>
          <w:color w:val="auto"/>
          <w:sz w:val="21"/>
          <w:szCs w:val="21"/>
          <w:highlight w:val="none"/>
        </w:rPr>
        <w:t>（或称“项目代建单位”）、“招标代理”、“设计单位”、“监理单位”均已在投标须知前附表中列明。</w:t>
      </w:r>
    </w:p>
    <w:p>
      <w:pPr>
        <w:pStyle w:val="23"/>
        <w:spacing w:after="0" w:line="360" w:lineRule="auto"/>
        <w:ind w:firstLine="420" w:firstLineChars="200"/>
        <w:rPr>
          <w:rFonts w:ascii="宋体"/>
          <w:color w:val="auto"/>
          <w:sz w:val="21"/>
          <w:szCs w:val="21"/>
          <w:highlight w:val="none"/>
          <w:u w:val="single"/>
        </w:rPr>
      </w:pPr>
      <w:r>
        <w:rPr>
          <w:rFonts w:hint="eastAsia" w:ascii="宋体" w:hAnsi="宋体"/>
          <w:color w:val="auto"/>
          <w:sz w:val="21"/>
          <w:szCs w:val="21"/>
          <w:highlight w:val="none"/>
        </w:rPr>
        <w:t>（</w:t>
      </w:r>
      <w:r>
        <w:rPr>
          <w:rFonts w:ascii="宋体" w:hAnsi="宋体"/>
          <w:color w:val="auto"/>
          <w:sz w:val="21"/>
          <w:szCs w:val="21"/>
          <w:highlight w:val="none"/>
        </w:rPr>
        <w:t>2</w:t>
      </w:r>
      <w:r>
        <w:rPr>
          <w:rFonts w:hint="eastAsia" w:ascii="宋体" w:hAnsi="宋体"/>
          <w:color w:val="auto"/>
          <w:sz w:val="21"/>
          <w:szCs w:val="21"/>
          <w:highlight w:val="none"/>
        </w:rPr>
        <w:t>）“投标人”指向招标人提交投标文件的当事人。</w:t>
      </w:r>
      <w:r>
        <w:rPr>
          <w:rFonts w:ascii="宋体" w:hAnsi="宋体"/>
          <w:color w:val="auto"/>
          <w:sz w:val="21"/>
          <w:szCs w:val="21"/>
          <w:highlight w:val="none"/>
        </w:rPr>
        <w:t xml:space="preserve">   </w:t>
      </w:r>
    </w:p>
    <w:p>
      <w:pPr>
        <w:pStyle w:val="23"/>
        <w:spacing w:after="0"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3</w:t>
      </w:r>
      <w:r>
        <w:rPr>
          <w:rFonts w:hint="eastAsia" w:ascii="宋体" w:hAnsi="宋体"/>
          <w:color w:val="auto"/>
          <w:sz w:val="21"/>
          <w:szCs w:val="21"/>
          <w:highlight w:val="none"/>
        </w:rPr>
        <w:t>）“承包人”指其投标被招标人接受并与其签订承包合同的当事人。</w:t>
      </w:r>
    </w:p>
    <w:p>
      <w:pPr>
        <w:pStyle w:val="23"/>
        <w:spacing w:after="0" w:line="360" w:lineRule="auto"/>
        <w:ind w:firstLine="420" w:firstLineChars="200"/>
        <w:rPr>
          <w:rFonts w:ascii="宋体"/>
          <w:color w:val="auto"/>
          <w:sz w:val="21"/>
          <w:szCs w:val="21"/>
          <w:highlight w:val="none"/>
          <w:u w:val="singl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）“招标文件”指由招标代理发出的本文件（包括全部章节、附件）及招标答疑会会议纪要和</w:t>
      </w:r>
      <w:r>
        <w:rPr>
          <w:rFonts w:hint="eastAsia" w:ascii="宋体" w:hAnsi="宋体"/>
          <w:bCs/>
          <w:color w:val="auto"/>
          <w:sz w:val="21"/>
          <w:szCs w:val="21"/>
          <w:highlight w:val="none"/>
        </w:rPr>
        <w:t>招标文件的澄清与修改</w:t>
      </w:r>
      <w:r>
        <w:rPr>
          <w:rFonts w:hint="eastAsia" w:ascii="宋体" w:hAnsi="宋体"/>
          <w:color w:val="auto"/>
          <w:sz w:val="21"/>
          <w:szCs w:val="21"/>
          <w:highlight w:val="none"/>
        </w:rPr>
        <w:t>文件。</w:t>
      </w:r>
    </w:p>
    <w:p>
      <w:pPr>
        <w:pStyle w:val="23"/>
        <w:spacing w:after="0"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5</w:t>
      </w:r>
      <w:r>
        <w:rPr>
          <w:rFonts w:hint="eastAsia" w:ascii="宋体" w:hAnsi="宋体"/>
          <w:color w:val="auto"/>
          <w:sz w:val="21"/>
          <w:szCs w:val="21"/>
          <w:highlight w:val="none"/>
        </w:rPr>
        <w:t>）“投标文件”指投标人根据本项目招标文件向招标人提交的全部文件。</w:t>
      </w:r>
    </w:p>
    <w:p>
      <w:pPr>
        <w:pStyle w:val="23"/>
        <w:spacing w:after="0"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6</w:t>
      </w:r>
      <w:r>
        <w:rPr>
          <w:rFonts w:hint="eastAsia" w:ascii="宋体" w:hAnsi="宋体"/>
          <w:color w:val="auto"/>
          <w:sz w:val="21"/>
          <w:szCs w:val="21"/>
          <w:highlight w:val="none"/>
        </w:rPr>
        <w:t>）“书面形式”指打字或印刷的文件和数据电文（包括电报、电传、传真、电子数据交换和电子邮件）。</w:t>
      </w:r>
    </w:p>
    <w:p>
      <w:pPr>
        <w:spacing w:line="360" w:lineRule="auto"/>
        <w:ind w:firstLine="422" w:firstLineChars="200"/>
        <w:rPr>
          <w:b/>
          <w:color w:val="auto"/>
          <w:sz w:val="21"/>
          <w:szCs w:val="21"/>
          <w:highlight w:val="none"/>
        </w:rPr>
      </w:pPr>
      <w:r>
        <w:rPr>
          <w:b/>
          <w:color w:val="auto"/>
          <w:sz w:val="21"/>
          <w:szCs w:val="21"/>
          <w:highlight w:val="none"/>
        </w:rPr>
        <w:t>2</w:t>
      </w:r>
      <w:r>
        <w:rPr>
          <w:rFonts w:hint="eastAsia"/>
          <w:b/>
          <w:color w:val="auto"/>
          <w:sz w:val="21"/>
          <w:szCs w:val="21"/>
          <w:highlight w:val="none"/>
        </w:rPr>
        <w:t>、招标说明</w:t>
      </w:r>
    </w:p>
    <w:p>
      <w:pPr>
        <w:spacing w:line="360" w:lineRule="auto"/>
        <w:ind w:firstLine="420" w:firstLineChars="200"/>
        <w:rPr>
          <w:bCs/>
          <w:color w:val="auto"/>
          <w:sz w:val="21"/>
          <w:szCs w:val="21"/>
          <w:highlight w:val="none"/>
        </w:rPr>
      </w:pPr>
      <w:r>
        <w:rPr>
          <w:bCs/>
          <w:color w:val="auto"/>
          <w:sz w:val="21"/>
          <w:szCs w:val="21"/>
          <w:highlight w:val="none"/>
        </w:rPr>
        <w:t>2.1</w:t>
      </w:r>
      <w:r>
        <w:rPr>
          <w:rFonts w:hint="eastAsia"/>
          <w:bCs/>
          <w:color w:val="auto"/>
          <w:sz w:val="21"/>
          <w:szCs w:val="21"/>
          <w:highlight w:val="none"/>
        </w:rPr>
        <w:t>本招标工程项目按照《中华人民共和国招标投标法》等有关法律、行政法规、规章和规范性文件，通过招标方式选定承包人。</w:t>
      </w:r>
    </w:p>
    <w:p>
      <w:pPr>
        <w:spacing w:line="360" w:lineRule="auto"/>
        <w:ind w:firstLine="420" w:firstLineChars="200"/>
        <w:rPr>
          <w:bCs/>
          <w:color w:val="auto"/>
          <w:sz w:val="21"/>
          <w:szCs w:val="21"/>
          <w:highlight w:val="none"/>
        </w:rPr>
      </w:pPr>
      <w:r>
        <w:rPr>
          <w:bCs/>
          <w:color w:val="auto"/>
          <w:sz w:val="21"/>
          <w:szCs w:val="21"/>
          <w:highlight w:val="none"/>
        </w:rPr>
        <w:t>2.2</w:t>
      </w:r>
      <w:r>
        <w:rPr>
          <w:rFonts w:hint="eastAsia"/>
          <w:bCs/>
          <w:color w:val="auto"/>
          <w:sz w:val="21"/>
          <w:szCs w:val="21"/>
          <w:highlight w:val="none"/>
        </w:rPr>
        <w:t>工程名称、建设地点、建设规模、承包方式、质量标准、招标范围、工期要求等均在投标须知前附表中列明。</w:t>
      </w:r>
    </w:p>
    <w:p>
      <w:pPr>
        <w:spacing w:line="360" w:lineRule="auto"/>
        <w:ind w:firstLine="420" w:firstLineChars="200"/>
        <w:rPr>
          <w:bCs/>
          <w:color w:val="auto"/>
          <w:sz w:val="21"/>
          <w:szCs w:val="21"/>
          <w:highlight w:val="none"/>
        </w:rPr>
      </w:pPr>
      <w:r>
        <w:rPr>
          <w:bCs/>
          <w:color w:val="auto"/>
          <w:sz w:val="21"/>
          <w:szCs w:val="21"/>
          <w:highlight w:val="none"/>
        </w:rPr>
        <w:t>2.3</w:t>
      </w:r>
      <w:r>
        <w:rPr>
          <w:rFonts w:hint="eastAsia"/>
          <w:bCs/>
          <w:color w:val="auto"/>
          <w:sz w:val="21"/>
          <w:szCs w:val="21"/>
          <w:highlight w:val="none"/>
        </w:rPr>
        <w:t>设计说明：详见招标图纸。</w:t>
      </w:r>
    </w:p>
    <w:p>
      <w:pPr>
        <w:spacing w:line="360" w:lineRule="auto"/>
        <w:ind w:firstLine="420" w:firstLineChars="200"/>
        <w:rPr>
          <w:bCs/>
          <w:color w:val="auto"/>
          <w:sz w:val="21"/>
          <w:szCs w:val="21"/>
          <w:highlight w:val="none"/>
        </w:rPr>
      </w:pPr>
      <w:r>
        <w:rPr>
          <w:bCs/>
          <w:color w:val="auto"/>
          <w:sz w:val="21"/>
          <w:szCs w:val="21"/>
          <w:highlight w:val="none"/>
        </w:rPr>
        <w:t>2.4</w:t>
      </w:r>
      <w:r>
        <w:rPr>
          <w:rFonts w:hint="eastAsia"/>
          <w:bCs/>
          <w:color w:val="auto"/>
          <w:sz w:val="21"/>
          <w:szCs w:val="21"/>
          <w:highlight w:val="none"/>
        </w:rPr>
        <w:t>工程施工特点：详见招标图纸。</w:t>
      </w:r>
    </w:p>
    <w:p>
      <w:pPr>
        <w:tabs>
          <w:tab w:val="left" w:pos="105"/>
        </w:tabs>
        <w:spacing w:line="360" w:lineRule="auto"/>
        <w:ind w:firstLine="422" w:firstLineChars="200"/>
        <w:rPr>
          <w:b/>
          <w:color w:val="auto"/>
          <w:sz w:val="21"/>
          <w:szCs w:val="21"/>
          <w:highlight w:val="none"/>
        </w:rPr>
      </w:pPr>
      <w:r>
        <w:rPr>
          <w:b/>
          <w:color w:val="auto"/>
          <w:sz w:val="21"/>
          <w:szCs w:val="21"/>
          <w:highlight w:val="none"/>
        </w:rPr>
        <w:t>3</w:t>
      </w:r>
      <w:r>
        <w:rPr>
          <w:rFonts w:hint="eastAsia"/>
          <w:b/>
          <w:color w:val="auto"/>
          <w:sz w:val="21"/>
          <w:szCs w:val="21"/>
          <w:highlight w:val="none"/>
        </w:rPr>
        <w:t>．资金来源</w:t>
      </w:r>
    </w:p>
    <w:p>
      <w:pPr>
        <w:spacing w:line="360" w:lineRule="auto"/>
        <w:ind w:firstLine="420" w:firstLineChars="200"/>
        <w:rPr>
          <w:bCs/>
          <w:color w:val="auto"/>
          <w:sz w:val="21"/>
          <w:szCs w:val="21"/>
          <w:highlight w:val="none"/>
        </w:rPr>
      </w:pPr>
      <w:r>
        <w:rPr>
          <w:bCs/>
          <w:color w:val="auto"/>
          <w:sz w:val="21"/>
          <w:szCs w:val="21"/>
          <w:highlight w:val="none"/>
        </w:rPr>
        <w:t>3.1</w:t>
      </w:r>
      <w:r>
        <w:rPr>
          <w:rFonts w:hint="eastAsia"/>
          <w:bCs/>
          <w:color w:val="auto"/>
          <w:sz w:val="21"/>
          <w:szCs w:val="21"/>
          <w:highlight w:val="none"/>
        </w:rPr>
        <w:t>本招标工程项目资金来源见投标须知前附表第</w:t>
      </w:r>
      <w:r>
        <w:rPr>
          <w:bCs/>
          <w:color w:val="auto"/>
          <w:sz w:val="21"/>
          <w:szCs w:val="21"/>
          <w:highlight w:val="none"/>
        </w:rPr>
        <w:t>9</w:t>
      </w:r>
      <w:r>
        <w:rPr>
          <w:rFonts w:hint="eastAsia"/>
          <w:bCs/>
          <w:color w:val="auto"/>
          <w:sz w:val="21"/>
          <w:szCs w:val="21"/>
          <w:highlight w:val="none"/>
        </w:rPr>
        <w:t>项</w:t>
      </w:r>
    </w:p>
    <w:p>
      <w:pPr>
        <w:tabs>
          <w:tab w:val="left" w:pos="105"/>
        </w:tabs>
        <w:spacing w:line="360" w:lineRule="auto"/>
        <w:ind w:firstLine="422" w:firstLineChars="200"/>
        <w:rPr>
          <w:b/>
          <w:color w:val="auto"/>
          <w:sz w:val="21"/>
          <w:szCs w:val="21"/>
          <w:highlight w:val="none"/>
        </w:rPr>
      </w:pPr>
      <w:r>
        <w:rPr>
          <w:b/>
          <w:color w:val="auto"/>
          <w:sz w:val="21"/>
          <w:szCs w:val="21"/>
          <w:highlight w:val="none"/>
        </w:rPr>
        <w:t>4</w:t>
      </w:r>
      <w:r>
        <w:rPr>
          <w:rFonts w:hint="eastAsia"/>
          <w:b/>
          <w:color w:val="auto"/>
          <w:sz w:val="21"/>
          <w:szCs w:val="21"/>
          <w:highlight w:val="none"/>
        </w:rPr>
        <w:t>．合格投标人的条件</w:t>
      </w:r>
    </w:p>
    <w:p>
      <w:pPr>
        <w:spacing w:line="360" w:lineRule="auto"/>
        <w:ind w:firstLine="420" w:firstLineChars="200"/>
        <w:rPr>
          <w:bCs/>
          <w:color w:val="auto"/>
          <w:sz w:val="21"/>
          <w:szCs w:val="21"/>
          <w:highlight w:val="none"/>
        </w:rPr>
      </w:pPr>
      <w:r>
        <w:rPr>
          <w:bCs/>
          <w:color w:val="auto"/>
          <w:sz w:val="21"/>
          <w:szCs w:val="21"/>
          <w:highlight w:val="none"/>
        </w:rPr>
        <w:t>4.1</w:t>
      </w:r>
      <w:r>
        <w:rPr>
          <w:rFonts w:hint="eastAsia"/>
          <w:bCs/>
          <w:color w:val="auto"/>
          <w:sz w:val="21"/>
          <w:szCs w:val="21"/>
          <w:highlight w:val="none"/>
        </w:rPr>
        <w:t>详见本项目招标公告</w:t>
      </w:r>
    </w:p>
    <w:p>
      <w:pPr>
        <w:tabs>
          <w:tab w:val="left" w:pos="105"/>
        </w:tabs>
        <w:spacing w:line="360" w:lineRule="auto"/>
        <w:ind w:firstLine="422" w:firstLineChars="200"/>
        <w:rPr>
          <w:b/>
          <w:color w:val="auto"/>
          <w:sz w:val="21"/>
          <w:szCs w:val="21"/>
          <w:highlight w:val="none"/>
        </w:rPr>
      </w:pPr>
      <w:r>
        <w:rPr>
          <w:b/>
          <w:color w:val="auto"/>
          <w:sz w:val="21"/>
          <w:szCs w:val="21"/>
          <w:highlight w:val="none"/>
        </w:rPr>
        <w:t>5</w:t>
      </w:r>
      <w:r>
        <w:rPr>
          <w:rFonts w:hint="eastAsia"/>
          <w:b/>
          <w:color w:val="auto"/>
          <w:sz w:val="21"/>
          <w:szCs w:val="21"/>
          <w:highlight w:val="none"/>
        </w:rPr>
        <w:t>．踏勘现场</w:t>
      </w:r>
    </w:p>
    <w:p>
      <w:pPr>
        <w:spacing w:line="360" w:lineRule="auto"/>
        <w:ind w:firstLine="420" w:firstLineChars="200"/>
        <w:rPr>
          <w:bCs/>
          <w:color w:val="auto"/>
          <w:sz w:val="21"/>
          <w:szCs w:val="21"/>
          <w:highlight w:val="none"/>
          <w:u w:val="single"/>
        </w:rPr>
      </w:pPr>
      <w:r>
        <w:rPr>
          <w:bCs/>
          <w:color w:val="auto"/>
          <w:sz w:val="21"/>
          <w:szCs w:val="21"/>
          <w:highlight w:val="none"/>
        </w:rPr>
        <w:t xml:space="preserve">5.1 </w:t>
      </w:r>
      <w:r>
        <w:rPr>
          <w:rFonts w:hint="eastAsia"/>
          <w:bCs/>
          <w:color w:val="auto"/>
          <w:sz w:val="21"/>
          <w:szCs w:val="21"/>
          <w:highlight w:val="none"/>
        </w:rPr>
        <w:t>投标人应按本投标须知前附表第</w:t>
      </w:r>
      <w:r>
        <w:rPr>
          <w:bCs/>
          <w:color w:val="auto"/>
          <w:sz w:val="21"/>
          <w:szCs w:val="21"/>
          <w:highlight w:val="none"/>
        </w:rPr>
        <w:t>15</w:t>
      </w:r>
      <w:r>
        <w:rPr>
          <w:rFonts w:hint="eastAsia"/>
          <w:bCs/>
          <w:color w:val="auto"/>
          <w:sz w:val="21"/>
          <w:szCs w:val="21"/>
          <w:highlight w:val="none"/>
        </w:rPr>
        <w:t>项所述时间和要求对工程现场及周围环境进行踏勘，</w:t>
      </w:r>
      <w:r>
        <w:rPr>
          <w:rFonts w:hint="eastAsia"/>
          <w:color w:val="auto"/>
          <w:sz w:val="21"/>
          <w:szCs w:val="21"/>
          <w:highlight w:val="none"/>
        </w:rPr>
        <w:t>投标人应充分重视和仔细地进行这种考察，</w:t>
      </w:r>
      <w:r>
        <w:rPr>
          <w:rFonts w:hint="eastAsia"/>
          <w:bCs/>
          <w:color w:val="auto"/>
          <w:sz w:val="21"/>
          <w:szCs w:val="21"/>
          <w:highlight w:val="none"/>
        </w:rPr>
        <w:t>以便投标人获取</w:t>
      </w:r>
      <w:r>
        <w:rPr>
          <w:rFonts w:hint="eastAsia"/>
          <w:color w:val="auto"/>
          <w:sz w:val="21"/>
          <w:szCs w:val="21"/>
          <w:highlight w:val="none"/>
        </w:rPr>
        <w:t>那些须投标人自己负责的</w:t>
      </w:r>
      <w:r>
        <w:rPr>
          <w:rFonts w:hint="eastAsia"/>
          <w:bCs/>
          <w:color w:val="auto"/>
          <w:sz w:val="21"/>
          <w:szCs w:val="21"/>
          <w:highlight w:val="none"/>
        </w:rPr>
        <w:t>有关编制投标文件和签署合同所涉及现场所有的资料。</w:t>
      </w:r>
      <w:r>
        <w:rPr>
          <w:rFonts w:hint="eastAsia"/>
          <w:color w:val="auto"/>
          <w:sz w:val="21"/>
          <w:szCs w:val="21"/>
          <w:highlight w:val="none"/>
        </w:rPr>
        <w:t>一旦中标，这种考察即被认为其结果已在中标文件中得到充分反映。考察现场的费用由投标人自己承担。</w:t>
      </w:r>
    </w:p>
    <w:p>
      <w:pPr>
        <w:tabs>
          <w:tab w:val="left" w:pos="105"/>
        </w:tabs>
        <w:spacing w:line="360" w:lineRule="auto"/>
        <w:ind w:firstLine="420" w:firstLineChars="200"/>
        <w:rPr>
          <w:bCs/>
          <w:color w:val="auto"/>
          <w:sz w:val="21"/>
          <w:szCs w:val="21"/>
          <w:highlight w:val="none"/>
        </w:rPr>
      </w:pPr>
      <w:r>
        <w:rPr>
          <w:bCs/>
          <w:color w:val="auto"/>
          <w:sz w:val="21"/>
          <w:szCs w:val="21"/>
          <w:highlight w:val="none"/>
        </w:rPr>
        <w:t xml:space="preserve">5.2 </w:t>
      </w:r>
      <w:r>
        <w:rPr>
          <w:rFonts w:hint="eastAsia"/>
          <w:bCs/>
          <w:color w:val="auto"/>
          <w:sz w:val="21"/>
          <w:szCs w:val="21"/>
          <w:highlight w:val="none"/>
        </w:rPr>
        <w:t>招标人向投标人提供的有关现场的数据和资料，是招标人现有的能被投标人利用的资料，招标人对投标人做出的任何推论、理解和结论均不负责任。</w:t>
      </w:r>
    </w:p>
    <w:p>
      <w:pPr>
        <w:spacing w:line="360" w:lineRule="auto"/>
        <w:ind w:firstLine="420" w:firstLineChars="200"/>
        <w:rPr>
          <w:bCs/>
          <w:color w:val="auto"/>
          <w:sz w:val="21"/>
          <w:szCs w:val="21"/>
          <w:highlight w:val="none"/>
        </w:rPr>
      </w:pPr>
      <w:r>
        <w:rPr>
          <w:bCs/>
          <w:color w:val="auto"/>
          <w:sz w:val="21"/>
          <w:szCs w:val="21"/>
          <w:highlight w:val="none"/>
        </w:rPr>
        <w:t xml:space="preserve">5.3 </w:t>
      </w:r>
      <w:r>
        <w:rPr>
          <w:rFonts w:hint="eastAsia"/>
          <w:bCs/>
          <w:color w:val="auto"/>
          <w:sz w:val="21"/>
          <w:szCs w:val="21"/>
          <w:highlight w:val="none"/>
        </w:rPr>
        <w:t>经招标人允许，投标人可为踏勘目的进入招标人的项目现场。</w:t>
      </w:r>
      <w:r>
        <w:rPr>
          <w:rFonts w:hint="eastAsia"/>
          <w:color w:val="auto"/>
          <w:sz w:val="21"/>
          <w:szCs w:val="21"/>
          <w:highlight w:val="none"/>
        </w:rPr>
        <w:t>在考察过程中，投标人及其代表必须承担那些进入现场后，由于他们的行为所造成的人身伤害（不管是否致命）、财产损失或损坏，以及其他任何原因造成的损失、损坏或费用，</w:t>
      </w:r>
      <w:r>
        <w:rPr>
          <w:rFonts w:hint="eastAsia"/>
          <w:bCs/>
          <w:color w:val="auto"/>
          <w:sz w:val="21"/>
          <w:szCs w:val="21"/>
          <w:highlight w:val="none"/>
        </w:rPr>
        <w:t>投标人不得因此使招标人承担有关的责任和蒙受损失。</w:t>
      </w:r>
    </w:p>
    <w:p>
      <w:pPr>
        <w:tabs>
          <w:tab w:val="left" w:pos="105"/>
        </w:tabs>
        <w:spacing w:line="360" w:lineRule="auto"/>
        <w:ind w:firstLine="422" w:firstLineChars="200"/>
        <w:rPr>
          <w:b/>
          <w:color w:val="auto"/>
          <w:sz w:val="21"/>
          <w:szCs w:val="21"/>
          <w:highlight w:val="none"/>
        </w:rPr>
      </w:pPr>
      <w:r>
        <w:rPr>
          <w:b/>
          <w:color w:val="auto"/>
          <w:sz w:val="21"/>
          <w:szCs w:val="21"/>
          <w:highlight w:val="none"/>
        </w:rPr>
        <w:t>6</w:t>
      </w:r>
      <w:r>
        <w:rPr>
          <w:rFonts w:hint="eastAsia"/>
          <w:b/>
          <w:color w:val="auto"/>
          <w:sz w:val="21"/>
          <w:szCs w:val="21"/>
          <w:highlight w:val="none"/>
        </w:rPr>
        <w:t>．投标费用</w:t>
      </w:r>
    </w:p>
    <w:p>
      <w:pPr>
        <w:tabs>
          <w:tab w:val="left" w:pos="105"/>
        </w:tabs>
        <w:spacing w:line="360" w:lineRule="auto"/>
        <w:ind w:firstLine="420" w:firstLineChars="200"/>
        <w:rPr>
          <w:bCs/>
          <w:color w:val="auto"/>
          <w:sz w:val="21"/>
          <w:szCs w:val="21"/>
          <w:highlight w:val="none"/>
        </w:rPr>
      </w:pPr>
      <w:r>
        <w:rPr>
          <w:bCs/>
          <w:color w:val="auto"/>
          <w:sz w:val="21"/>
          <w:szCs w:val="21"/>
          <w:highlight w:val="none"/>
        </w:rPr>
        <w:t>6.1</w:t>
      </w:r>
      <w:r>
        <w:rPr>
          <w:rFonts w:hint="eastAsia"/>
          <w:color w:val="auto"/>
          <w:sz w:val="21"/>
          <w:szCs w:val="21"/>
          <w:highlight w:val="none"/>
        </w:rPr>
        <w:t>不论投标结果如何，投标人应承担</w:t>
      </w:r>
      <w:r>
        <w:rPr>
          <w:rFonts w:hint="eastAsia"/>
          <w:bCs/>
          <w:color w:val="auto"/>
          <w:sz w:val="21"/>
          <w:szCs w:val="21"/>
          <w:highlight w:val="none"/>
        </w:rPr>
        <w:t>自身</w:t>
      </w:r>
      <w:r>
        <w:rPr>
          <w:rFonts w:hint="eastAsia"/>
          <w:color w:val="auto"/>
          <w:sz w:val="21"/>
          <w:szCs w:val="21"/>
          <w:highlight w:val="none"/>
        </w:rPr>
        <w:t>因投标文件编制、递交及其他</w:t>
      </w:r>
      <w:r>
        <w:rPr>
          <w:rFonts w:hint="eastAsia"/>
          <w:bCs/>
          <w:color w:val="auto"/>
          <w:sz w:val="21"/>
          <w:szCs w:val="21"/>
          <w:highlight w:val="none"/>
        </w:rPr>
        <w:t>参加本招标活动</w:t>
      </w:r>
      <w:r>
        <w:rPr>
          <w:rFonts w:hint="eastAsia"/>
          <w:color w:val="auto"/>
          <w:sz w:val="21"/>
          <w:szCs w:val="21"/>
          <w:highlight w:val="none"/>
        </w:rPr>
        <w:t>所涉及的一切费用，招标人对上述费用不负任何责任。</w:t>
      </w:r>
    </w:p>
    <w:p>
      <w:pPr>
        <w:pStyle w:val="4"/>
        <w:spacing w:before="156" w:after="156"/>
        <w:rPr>
          <w:color w:val="auto"/>
          <w:sz w:val="21"/>
          <w:szCs w:val="21"/>
          <w:highlight w:val="none"/>
        </w:rPr>
      </w:pPr>
      <w:bookmarkStart w:id="6" w:name="_Toc22955"/>
      <w:r>
        <w:rPr>
          <w:rFonts w:hint="eastAsia"/>
          <w:color w:val="auto"/>
          <w:sz w:val="21"/>
          <w:szCs w:val="21"/>
          <w:highlight w:val="none"/>
        </w:rPr>
        <w:t>（二）招标文件</w:t>
      </w:r>
      <w:bookmarkEnd w:id="6"/>
    </w:p>
    <w:p>
      <w:pPr>
        <w:tabs>
          <w:tab w:val="left" w:pos="105"/>
        </w:tabs>
        <w:spacing w:line="360" w:lineRule="auto"/>
        <w:ind w:firstLine="422" w:firstLineChars="200"/>
        <w:rPr>
          <w:b/>
          <w:color w:val="auto"/>
          <w:sz w:val="21"/>
          <w:szCs w:val="21"/>
          <w:highlight w:val="none"/>
        </w:rPr>
      </w:pPr>
      <w:r>
        <w:rPr>
          <w:b/>
          <w:color w:val="auto"/>
          <w:sz w:val="21"/>
          <w:szCs w:val="21"/>
          <w:highlight w:val="none"/>
        </w:rPr>
        <w:t>7.</w:t>
      </w:r>
      <w:r>
        <w:rPr>
          <w:rFonts w:hint="eastAsia"/>
          <w:b/>
          <w:color w:val="auto"/>
          <w:sz w:val="21"/>
          <w:szCs w:val="21"/>
          <w:highlight w:val="none"/>
        </w:rPr>
        <w:t>招标文件的组成</w:t>
      </w:r>
    </w:p>
    <w:p>
      <w:pPr>
        <w:spacing w:line="360" w:lineRule="auto"/>
        <w:ind w:firstLine="420" w:firstLineChars="200"/>
        <w:rPr>
          <w:color w:val="auto"/>
          <w:sz w:val="21"/>
          <w:szCs w:val="21"/>
          <w:highlight w:val="none"/>
        </w:rPr>
      </w:pPr>
      <w:r>
        <w:rPr>
          <w:bCs/>
          <w:color w:val="auto"/>
          <w:sz w:val="21"/>
          <w:szCs w:val="21"/>
          <w:highlight w:val="none"/>
        </w:rPr>
        <w:t>7.1</w:t>
      </w:r>
      <w:r>
        <w:rPr>
          <w:rFonts w:hint="eastAsia"/>
          <w:color w:val="auto"/>
          <w:sz w:val="21"/>
          <w:szCs w:val="21"/>
          <w:highlight w:val="none"/>
        </w:rPr>
        <w:t>本招标文件包括下列文件，以及所有按本须知第</w:t>
      </w:r>
      <w:r>
        <w:rPr>
          <w:color w:val="auto"/>
          <w:sz w:val="21"/>
          <w:szCs w:val="21"/>
          <w:highlight w:val="none"/>
        </w:rPr>
        <w:t>8</w:t>
      </w:r>
      <w:r>
        <w:rPr>
          <w:rFonts w:hint="eastAsia"/>
          <w:color w:val="auto"/>
          <w:sz w:val="21"/>
          <w:szCs w:val="21"/>
          <w:highlight w:val="none"/>
        </w:rPr>
        <w:t>条发出的招标答疑会会议纪要和按本须知第</w:t>
      </w:r>
      <w:r>
        <w:rPr>
          <w:color w:val="auto"/>
          <w:sz w:val="21"/>
          <w:szCs w:val="21"/>
          <w:highlight w:val="none"/>
        </w:rPr>
        <w:t>9</w:t>
      </w:r>
      <w:r>
        <w:rPr>
          <w:rFonts w:hint="eastAsia"/>
          <w:color w:val="auto"/>
          <w:sz w:val="21"/>
          <w:szCs w:val="21"/>
          <w:highlight w:val="none"/>
        </w:rPr>
        <w:t>条发出的澄清或修改：</w:t>
      </w:r>
    </w:p>
    <w:p>
      <w:pPr>
        <w:pStyle w:val="23"/>
        <w:spacing w:after="0" w:line="360" w:lineRule="auto"/>
        <w:ind w:left="-2" w:firstLine="420" w:firstLineChars="200"/>
        <w:rPr>
          <w:rFonts w:ascii="宋体"/>
          <w:color w:val="auto"/>
          <w:sz w:val="21"/>
          <w:szCs w:val="21"/>
          <w:highlight w:val="none"/>
        </w:rPr>
      </w:pPr>
      <w:r>
        <w:rPr>
          <w:rFonts w:hint="eastAsia" w:ascii="宋体" w:hAnsi="宋体"/>
          <w:bCs/>
          <w:color w:val="auto"/>
          <w:sz w:val="21"/>
          <w:szCs w:val="21"/>
          <w:highlight w:val="none"/>
        </w:rPr>
        <w:t>第一章</w:t>
      </w:r>
      <w:r>
        <w:rPr>
          <w:rFonts w:ascii="宋体" w:hAnsi="宋体"/>
          <w:bCs/>
          <w:color w:val="auto"/>
          <w:sz w:val="21"/>
          <w:szCs w:val="21"/>
          <w:highlight w:val="none"/>
        </w:rPr>
        <w:t xml:space="preserve">  </w:t>
      </w:r>
      <w:r>
        <w:rPr>
          <w:rFonts w:hint="eastAsia" w:ascii="宋体" w:hAnsi="宋体"/>
          <w:color w:val="auto"/>
          <w:sz w:val="21"/>
          <w:szCs w:val="21"/>
          <w:highlight w:val="none"/>
        </w:rPr>
        <w:t>投标须知</w:t>
      </w:r>
    </w:p>
    <w:p>
      <w:pPr>
        <w:pStyle w:val="23"/>
        <w:spacing w:after="0" w:line="360" w:lineRule="auto"/>
        <w:ind w:left="-2" w:firstLine="420" w:firstLineChars="200"/>
        <w:rPr>
          <w:rFonts w:ascii="宋体"/>
          <w:color w:val="auto"/>
          <w:sz w:val="21"/>
          <w:szCs w:val="21"/>
          <w:highlight w:val="none"/>
        </w:rPr>
      </w:pPr>
      <w:r>
        <w:rPr>
          <w:rFonts w:hint="eastAsia" w:ascii="宋体" w:hAnsi="宋体"/>
          <w:bCs/>
          <w:color w:val="auto"/>
          <w:sz w:val="21"/>
          <w:szCs w:val="21"/>
          <w:highlight w:val="none"/>
        </w:rPr>
        <w:t>第二章</w:t>
      </w:r>
      <w:r>
        <w:rPr>
          <w:rFonts w:ascii="宋体" w:hAnsi="宋体"/>
          <w:bCs/>
          <w:color w:val="auto"/>
          <w:sz w:val="21"/>
          <w:szCs w:val="21"/>
          <w:highlight w:val="none"/>
        </w:rPr>
        <w:t xml:space="preserve">  </w:t>
      </w:r>
      <w:r>
        <w:rPr>
          <w:rFonts w:hint="eastAsia" w:ascii="宋体" w:hAnsi="宋体"/>
          <w:color w:val="auto"/>
          <w:sz w:val="21"/>
          <w:szCs w:val="21"/>
          <w:highlight w:val="none"/>
        </w:rPr>
        <w:t>开标、评标及定标办法</w:t>
      </w:r>
    </w:p>
    <w:p>
      <w:pPr>
        <w:pStyle w:val="23"/>
        <w:spacing w:after="0"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第三章</w:t>
      </w:r>
      <w:r>
        <w:rPr>
          <w:rFonts w:ascii="宋体" w:hAnsi="宋体"/>
          <w:color w:val="auto"/>
          <w:sz w:val="21"/>
          <w:szCs w:val="21"/>
          <w:highlight w:val="none"/>
        </w:rPr>
        <w:t xml:space="preserve">  </w:t>
      </w:r>
      <w:r>
        <w:rPr>
          <w:rFonts w:hint="eastAsia" w:ascii="宋体" w:hAnsi="宋体"/>
          <w:color w:val="auto"/>
          <w:sz w:val="21"/>
          <w:szCs w:val="21"/>
          <w:highlight w:val="none"/>
        </w:rPr>
        <w:t>合同条款</w:t>
      </w:r>
    </w:p>
    <w:p>
      <w:pPr>
        <w:pStyle w:val="23"/>
        <w:spacing w:after="0" w:line="360" w:lineRule="auto"/>
        <w:ind w:firstLine="420" w:firstLineChars="200"/>
        <w:rPr>
          <w:rFonts w:ascii="宋体"/>
          <w:color w:val="auto"/>
          <w:sz w:val="21"/>
          <w:szCs w:val="21"/>
          <w:highlight w:val="none"/>
        </w:rPr>
      </w:pPr>
      <w:r>
        <w:rPr>
          <w:rFonts w:hint="eastAsia" w:ascii="宋体" w:hAnsi="宋体"/>
          <w:bCs/>
          <w:color w:val="auto"/>
          <w:sz w:val="21"/>
          <w:szCs w:val="21"/>
          <w:highlight w:val="none"/>
        </w:rPr>
        <w:t>第四章</w:t>
      </w:r>
      <w:r>
        <w:rPr>
          <w:rFonts w:ascii="宋体" w:hAnsi="宋体"/>
          <w:bCs/>
          <w:color w:val="auto"/>
          <w:sz w:val="21"/>
          <w:szCs w:val="21"/>
          <w:highlight w:val="none"/>
        </w:rPr>
        <w:t xml:space="preserve">  </w:t>
      </w:r>
      <w:r>
        <w:rPr>
          <w:rFonts w:hint="eastAsia" w:ascii="宋体" w:hAnsi="宋体"/>
          <w:color w:val="auto"/>
          <w:sz w:val="21"/>
          <w:szCs w:val="21"/>
          <w:highlight w:val="none"/>
        </w:rPr>
        <w:t>投标文件格式</w:t>
      </w:r>
    </w:p>
    <w:p>
      <w:pPr>
        <w:pStyle w:val="23"/>
        <w:spacing w:after="0" w:line="360" w:lineRule="auto"/>
        <w:ind w:left="-2" w:firstLine="420" w:firstLineChars="200"/>
        <w:rPr>
          <w:rFonts w:ascii="宋体"/>
          <w:color w:val="auto"/>
          <w:sz w:val="21"/>
          <w:szCs w:val="21"/>
          <w:highlight w:val="none"/>
        </w:rPr>
      </w:pPr>
      <w:r>
        <w:rPr>
          <w:rFonts w:hint="eastAsia" w:ascii="宋体" w:hAnsi="宋体"/>
          <w:bCs/>
          <w:color w:val="auto"/>
          <w:sz w:val="21"/>
          <w:szCs w:val="21"/>
          <w:highlight w:val="none"/>
        </w:rPr>
        <w:t>第五章</w:t>
      </w:r>
      <w:r>
        <w:rPr>
          <w:rFonts w:ascii="宋体" w:hAnsi="宋体"/>
          <w:bCs/>
          <w:color w:val="auto"/>
          <w:sz w:val="21"/>
          <w:szCs w:val="21"/>
          <w:highlight w:val="none"/>
        </w:rPr>
        <w:t xml:space="preserve">  </w:t>
      </w:r>
      <w:r>
        <w:rPr>
          <w:rFonts w:hint="eastAsia" w:ascii="宋体" w:hAnsi="宋体"/>
          <w:color w:val="auto"/>
          <w:sz w:val="21"/>
          <w:szCs w:val="21"/>
          <w:highlight w:val="none"/>
        </w:rPr>
        <w:t>技术条件（工程建设标准）（另册）</w:t>
      </w:r>
    </w:p>
    <w:p>
      <w:pPr>
        <w:pStyle w:val="23"/>
        <w:spacing w:after="0" w:line="360" w:lineRule="auto"/>
        <w:ind w:left="-2" w:firstLine="420" w:firstLineChars="200"/>
        <w:rPr>
          <w:rFonts w:ascii="宋体"/>
          <w:color w:val="auto"/>
          <w:sz w:val="21"/>
          <w:szCs w:val="21"/>
          <w:highlight w:val="none"/>
        </w:rPr>
      </w:pPr>
      <w:r>
        <w:rPr>
          <w:rFonts w:hint="eastAsia" w:ascii="宋体" w:hAnsi="宋体"/>
          <w:bCs/>
          <w:color w:val="auto"/>
          <w:sz w:val="21"/>
          <w:szCs w:val="21"/>
          <w:highlight w:val="none"/>
        </w:rPr>
        <w:t>第六章</w:t>
      </w:r>
      <w:r>
        <w:rPr>
          <w:rFonts w:ascii="宋体" w:hAnsi="宋体"/>
          <w:bCs/>
          <w:color w:val="auto"/>
          <w:sz w:val="21"/>
          <w:szCs w:val="21"/>
          <w:highlight w:val="none"/>
        </w:rPr>
        <w:t xml:space="preserve">  </w:t>
      </w:r>
      <w:r>
        <w:rPr>
          <w:rFonts w:hint="eastAsia" w:ascii="宋体" w:hAnsi="宋体"/>
          <w:color w:val="auto"/>
          <w:sz w:val="21"/>
          <w:szCs w:val="21"/>
          <w:highlight w:val="none"/>
        </w:rPr>
        <w:t>图纸及勘察资料（另册）</w:t>
      </w:r>
    </w:p>
    <w:p>
      <w:pPr>
        <w:pStyle w:val="23"/>
        <w:spacing w:after="0" w:line="360" w:lineRule="auto"/>
        <w:ind w:left="-2" w:firstLine="420" w:firstLineChars="200"/>
        <w:rPr>
          <w:rFonts w:ascii="宋体"/>
          <w:color w:val="auto"/>
          <w:sz w:val="21"/>
          <w:szCs w:val="21"/>
          <w:highlight w:val="none"/>
        </w:rPr>
      </w:pPr>
      <w:r>
        <w:rPr>
          <w:rFonts w:hint="eastAsia" w:ascii="宋体" w:hAnsi="宋体"/>
          <w:bCs/>
          <w:color w:val="auto"/>
          <w:sz w:val="21"/>
          <w:szCs w:val="21"/>
          <w:highlight w:val="none"/>
        </w:rPr>
        <w:t>第七章</w:t>
      </w:r>
      <w:r>
        <w:rPr>
          <w:rFonts w:ascii="宋体" w:hAnsi="宋体"/>
          <w:bCs/>
          <w:color w:val="auto"/>
          <w:sz w:val="21"/>
          <w:szCs w:val="21"/>
          <w:highlight w:val="none"/>
        </w:rPr>
        <w:t xml:space="preserve">  </w:t>
      </w:r>
      <w:r>
        <w:rPr>
          <w:rFonts w:hint="eastAsia" w:ascii="宋体" w:hAnsi="宋体"/>
          <w:bCs/>
          <w:color w:val="auto"/>
          <w:sz w:val="21"/>
          <w:szCs w:val="21"/>
          <w:highlight w:val="none"/>
        </w:rPr>
        <w:t>招标</w:t>
      </w:r>
      <w:r>
        <w:rPr>
          <w:rFonts w:hint="eastAsia" w:ascii="宋体" w:hAnsi="宋体"/>
          <w:color w:val="auto"/>
          <w:sz w:val="21"/>
          <w:szCs w:val="21"/>
          <w:highlight w:val="none"/>
        </w:rPr>
        <w:t>工程量清单（另册）</w:t>
      </w:r>
    </w:p>
    <w:p>
      <w:pPr>
        <w:pStyle w:val="23"/>
        <w:spacing w:after="0" w:line="360" w:lineRule="auto"/>
        <w:ind w:left="-2" w:firstLine="420" w:firstLineChars="200"/>
        <w:rPr>
          <w:rFonts w:ascii="宋体"/>
          <w:color w:val="auto"/>
          <w:sz w:val="21"/>
          <w:szCs w:val="21"/>
          <w:highlight w:val="none"/>
        </w:rPr>
      </w:pPr>
      <w:r>
        <w:rPr>
          <w:rFonts w:hint="eastAsia" w:ascii="宋体" w:hAnsi="宋体"/>
          <w:color w:val="auto"/>
          <w:sz w:val="21"/>
          <w:szCs w:val="21"/>
          <w:highlight w:val="none"/>
        </w:rPr>
        <w:t>第八章</w:t>
      </w:r>
      <w:r>
        <w:rPr>
          <w:rFonts w:ascii="宋体" w:hAnsi="宋体"/>
          <w:color w:val="auto"/>
          <w:sz w:val="21"/>
          <w:szCs w:val="21"/>
          <w:highlight w:val="none"/>
        </w:rPr>
        <w:t xml:space="preserve">  </w:t>
      </w:r>
      <w:r>
        <w:rPr>
          <w:rFonts w:hint="eastAsia" w:ascii="宋体" w:hAnsi="宋体"/>
          <w:color w:val="auto"/>
          <w:sz w:val="21"/>
          <w:szCs w:val="21"/>
          <w:highlight w:val="none"/>
        </w:rPr>
        <w:t>最高投标限价</w:t>
      </w:r>
    </w:p>
    <w:p>
      <w:pPr>
        <w:pStyle w:val="23"/>
        <w:spacing w:after="0" w:line="360" w:lineRule="auto"/>
        <w:ind w:firstLine="422" w:firstLineChars="200"/>
        <w:rPr>
          <w:rFonts w:ascii="宋体" w:hAnsi="宋体"/>
          <w:b/>
          <w:bCs/>
          <w:color w:val="auto"/>
          <w:sz w:val="21"/>
          <w:szCs w:val="21"/>
          <w:highlight w:val="none"/>
        </w:rPr>
      </w:pPr>
      <w:r>
        <w:rPr>
          <w:rFonts w:hint="eastAsia" w:ascii="宋体" w:hAnsi="宋体"/>
          <w:b/>
          <w:bCs/>
          <w:color w:val="auto"/>
          <w:sz w:val="21"/>
          <w:szCs w:val="21"/>
          <w:highlight w:val="none"/>
        </w:rPr>
        <w:t>注：招标人应在技术条件（工程建设标准）中明确施工现场建筑垃圾源头减量的具体要求和建筑垃圾综合利用产品的使用要求。</w:t>
      </w:r>
    </w:p>
    <w:p>
      <w:pPr>
        <w:pStyle w:val="23"/>
        <w:spacing w:after="0" w:line="360" w:lineRule="auto"/>
        <w:ind w:firstLine="420" w:firstLineChars="200"/>
        <w:rPr>
          <w:rFonts w:ascii="宋体"/>
          <w:color w:val="auto"/>
          <w:sz w:val="21"/>
          <w:szCs w:val="21"/>
          <w:highlight w:val="none"/>
        </w:rPr>
      </w:pPr>
      <w:r>
        <w:rPr>
          <w:rFonts w:ascii="宋体" w:hAnsi="宋体"/>
          <w:color w:val="auto"/>
          <w:sz w:val="21"/>
          <w:szCs w:val="21"/>
          <w:highlight w:val="none"/>
        </w:rPr>
        <w:t xml:space="preserve">7.2 </w:t>
      </w:r>
      <w:r>
        <w:rPr>
          <w:rFonts w:hint="eastAsia" w:ascii="宋体" w:hAnsi="宋体"/>
          <w:color w:val="auto"/>
          <w:sz w:val="21"/>
          <w:szCs w:val="21"/>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pStyle w:val="23"/>
        <w:spacing w:after="0" w:line="360" w:lineRule="auto"/>
        <w:ind w:firstLine="420" w:firstLineChars="200"/>
        <w:rPr>
          <w:rFonts w:ascii="宋体"/>
          <w:color w:val="auto"/>
          <w:sz w:val="21"/>
          <w:szCs w:val="21"/>
          <w:highlight w:val="none"/>
        </w:rPr>
      </w:pPr>
      <w:r>
        <w:rPr>
          <w:rFonts w:ascii="宋体" w:hAnsi="宋体"/>
          <w:color w:val="auto"/>
          <w:sz w:val="21"/>
          <w:szCs w:val="21"/>
          <w:highlight w:val="none"/>
        </w:rPr>
        <w:t xml:space="preserve">7.3 </w:t>
      </w:r>
      <w:r>
        <w:rPr>
          <w:rFonts w:hint="eastAsia" w:ascii="宋体" w:hAnsi="宋体"/>
          <w:color w:val="auto"/>
          <w:sz w:val="21"/>
          <w:szCs w:val="21"/>
          <w:highlight w:val="none"/>
        </w:rPr>
        <w:t>投标人一旦中标，招标文件的内容对招标人和中标人双方均有约束力。</w:t>
      </w:r>
    </w:p>
    <w:p>
      <w:pPr>
        <w:pStyle w:val="23"/>
        <w:spacing w:after="0" w:line="360" w:lineRule="auto"/>
        <w:ind w:firstLine="422" w:firstLineChars="200"/>
        <w:rPr>
          <w:rFonts w:ascii="宋体"/>
          <w:b/>
          <w:bCs/>
          <w:color w:val="auto"/>
          <w:sz w:val="21"/>
          <w:szCs w:val="21"/>
          <w:highlight w:val="none"/>
        </w:rPr>
      </w:pPr>
      <w:r>
        <w:rPr>
          <w:rFonts w:ascii="宋体" w:hAnsi="宋体"/>
          <w:b/>
          <w:bCs/>
          <w:color w:val="auto"/>
          <w:sz w:val="21"/>
          <w:szCs w:val="21"/>
          <w:highlight w:val="none"/>
        </w:rPr>
        <w:t>8</w:t>
      </w:r>
      <w:r>
        <w:rPr>
          <w:rFonts w:hint="eastAsia" w:ascii="宋体" w:hAnsi="宋体"/>
          <w:b/>
          <w:bCs/>
          <w:color w:val="auto"/>
          <w:sz w:val="21"/>
          <w:szCs w:val="21"/>
          <w:highlight w:val="none"/>
        </w:rPr>
        <w:t>．招标答疑</w:t>
      </w:r>
    </w:p>
    <w:p>
      <w:pPr>
        <w:pStyle w:val="23"/>
        <w:spacing w:after="0" w:line="360" w:lineRule="auto"/>
        <w:ind w:firstLine="420" w:firstLineChars="200"/>
        <w:rPr>
          <w:rFonts w:ascii="宋体"/>
          <w:color w:val="auto"/>
          <w:sz w:val="21"/>
          <w:szCs w:val="21"/>
          <w:highlight w:val="none"/>
        </w:rPr>
      </w:pPr>
      <w:r>
        <w:rPr>
          <w:rFonts w:ascii="宋体" w:hAnsi="宋体"/>
          <w:color w:val="auto"/>
          <w:sz w:val="21"/>
          <w:szCs w:val="21"/>
          <w:highlight w:val="none"/>
        </w:rPr>
        <w:t xml:space="preserve">8.1 </w:t>
      </w:r>
      <w:r>
        <w:rPr>
          <w:rFonts w:hint="eastAsia" w:ascii="宋体" w:hAnsi="宋体"/>
          <w:color w:val="auto"/>
          <w:sz w:val="21"/>
          <w:szCs w:val="21"/>
          <w:highlight w:val="none"/>
        </w:rPr>
        <w:t>投标人若对招标文件（包括招标图纸）中有疑问，可以书面形式</w:t>
      </w:r>
      <w:r>
        <w:rPr>
          <w:rFonts w:hint="eastAsia"/>
          <w:color w:val="auto"/>
          <w:sz w:val="21"/>
          <w:szCs w:val="21"/>
          <w:highlight w:val="none"/>
        </w:rPr>
        <w:t>通过</w:t>
      </w:r>
      <w:r>
        <w:rPr>
          <w:color w:val="auto"/>
          <w:sz w:val="21"/>
          <w:szCs w:val="21"/>
          <w:highlight w:val="none"/>
          <w:u w:val="single"/>
        </w:rPr>
        <w:t xml:space="preserve">        </w:t>
      </w:r>
      <w:r>
        <w:rPr>
          <w:rFonts w:hint="eastAsia" w:ascii="宋体" w:hAnsi="宋体"/>
          <w:color w:val="auto"/>
          <w:sz w:val="21"/>
          <w:szCs w:val="21"/>
          <w:highlight w:val="none"/>
        </w:rPr>
        <w:t>交易平台</w:t>
      </w:r>
      <w:r>
        <w:rPr>
          <w:rFonts w:hint="eastAsia"/>
          <w:color w:val="auto"/>
          <w:sz w:val="21"/>
          <w:szCs w:val="21"/>
          <w:highlight w:val="none"/>
        </w:rPr>
        <w:t>提交</w:t>
      </w:r>
      <w:r>
        <w:rPr>
          <w:rFonts w:hint="eastAsia" w:ascii="宋体" w:hAnsi="宋体"/>
          <w:color w:val="auto"/>
          <w:sz w:val="21"/>
          <w:szCs w:val="21"/>
          <w:highlight w:val="none"/>
        </w:rPr>
        <w:t>给招标人或招标代理人，提交形式见本须知前附表第</w:t>
      </w:r>
      <w:r>
        <w:rPr>
          <w:rFonts w:ascii="宋体" w:hAnsi="宋体"/>
          <w:color w:val="auto"/>
          <w:sz w:val="21"/>
          <w:szCs w:val="21"/>
          <w:highlight w:val="none"/>
        </w:rPr>
        <w:t>16</w:t>
      </w:r>
      <w:r>
        <w:rPr>
          <w:rFonts w:hint="eastAsia" w:ascii="宋体" w:hAnsi="宋体"/>
          <w:color w:val="auto"/>
          <w:sz w:val="21"/>
          <w:szCs w:val="21"/>
          <w:highlight w:val="none"/>
        </w:rPr>
        <w:t>项。</w:t>
      </w:r>
    </w:p>
    <w:p>
      <w:pPr>
        <w:pStyle w:val="23"/>
        <w:spacing w:after="0" w:line="360" w:lineRule="auto"/>
        <w:ind w:firstLine="420" w:firstLineChars="200"/>
        <w:rPr>
          <w:rFonts w:ascii="宋体"/>
          <w:color w:val="auto"/>
          <w:sz w:val="21"/>
          <w:szCs w:val="21"/>
          <w:highlight w:val="none"/>
        </w:rPr>
      </w:pPr>
      <w:r>
        <w:rPr>
          <w:rFonts w:ascii="宋体" w:hAnsi="宋体"/>
          <w:color w:val="auto"/>
          <w:sz w:val="21"/>
          <w:szCs w:val="21"/>
          <w:highlight w:val="none"/>
        </w:rPr>
        <w:t>8.2</w:t>
      </w:r>
      <w:r>
        <w:rPr>
          <w:rFonts w:hint="eastAsia" w:ascii="宋体"/>
          <w:color w:val="auto"/>
          <w:sz w:val="21"/>
          <w:szCs w:val="21"/>
          <w:highlight w:val="none"/>
        </w:rPr>
        <w:t>招标答疑会会议纪要将在提交投标文件截止时间15日前在</w:t>
      </w:r>
      <w:r>
        <w:rPr>
          <w:color w:val="auto"/>
          <w:sz w:val="21"/>
          <w:szCs w:val="21"/>
          <w:highlight w:val="none"/>
          <w:u w:val="single"/>
        </w:rPr>
        <w:t xml:space="preserve">        </w:t>
      </w:r>
      <w:r>
        <w:rPr>
          <w:rFonts w:hint="eastAsia" w:ascii="宋体" w:hAnsi="宋体"/>
          <w:color w:val="auto"/>
          <w:sz w:val="21"/>
          <w:szCs w:val="21"/>
          <w:highlight w:val="none"/>
        </w:rPr>
        <w:t>交易平台</w:t>
      </w:r>
      <w:r>
        <w:rPr>
          <w:rFonts w:hint="eastAsia" w:ascii="宋体"/>
          <w:color w:val="auto"/>
          <w:sz w:val="21"/>
          <w:szCs w:val="21"/>
          <w:highlight w:val="none"/>
        </w:rPr>
        <w:t xml:space="preserve"> “项目答疑纪要”专区公开发布。答疑纪要一经在</w:t>
      </w:r>
      <w:r>
        <w:rPr>
          <w:color w:val="auto"/>
          <w:sz w:val="21"/>
          <w:szCs w:val="21"/>
          <w:highlight w:val="none"/>
          <w:u w:val="single"/>
        </w:rPr>
        <w:t xml:space="preserve">        </w:t>
      </w:r>
      <w:r>
        <w:rPr>
          <w:rFonts w:hint="eastAsia" w:ascii="宋体" w:hAnsi="宋体"/>
          <w:color w:val="auto"/>
          <w:sz w:val="21"/>
          <w:szCs w:val="21"/>
          <w:highlight w:val="none"/>
        </w:rPr>
        <w:t>交易平台</w:t>
      </w:r>
      <w:r>
        <w:rPr>
          <w:rFonts w:hint="eastAsia" w:ascii="宋体"/>
          <w:color w:val="auto"/>
          <w:sz w:val="21"/>
          <w:szCs w:val="21"/>
          <w:highlight w:val="none"/>
        </w:rPr>
        <w:t>发布，视作已发放给所有投标人。</w:t>
      </w:r>
    </w:p>
    <w:p>
      <w:pPr>
        <w:pStyle w:val="23"/>
        <w:spacing w:after="0" w:line="360" w:lineRule="auto"/>
        <w:ind w:firstLine="420" w:firstLineChars="200"/>
        <w:rPr>
          <w:rFonts w:ascii="宋体"/>
          <w:color w:val="auto"/>
          <w:sz w:val="21"/>
          <w:szCs w:val="21"/>
          <w:highlight w:val="none"/>
        </w:rPr>
      </w:pPr>
      <w:r>
        <w:rPr>
          <w:rFonts w:ascii="宋体" w:hAnsi="宋体"/>
          <w:color w:val="auto"/>
          <w:sz w:val="21"/>
          <w:szCs w:val="21"/>
          <w:highlight w:val="none"/>
        </w:rPr>
        <w:t>8.3</w:t>
      </w:r>
      <w:r>
        <w:rPr>
          <w:rFonts w:hint="eastAsia" w:ascii="宋体" w:hAnsi="宋体"/>
          <w:color w:val="auto"/>
          <w:sz w:val="21"/>
          <w:szCs w:val="21"/>
          <w:highlight w:val="none"/>
        </w:rPr>
        <w:t>答疑会会议纪要为招标文件的一部分。</w:t>
      </w:r>
    </w:p>
    <w:p>
      <w:pPr>
        <w:pStyle w:val="23"/>
        <w:spacing w:after="0" w:line="360" w:lineRule="auto"/>
        <w:ind w:firstLine="420" w:firstLineChars="200"/>
        <w:rPr>
          <w:rFonts w:ascii="宋体"/>
          <w:color w:val="auto"/>
          <w:sz w:val="21"/>
          <w:szCs w:val="21"/>
          <w:highlight w:val="none"/>
        </w:rPr>
      </w:pPr>
      <w:r>
        <w:rPr>
          <w:rFonts w:ascii="宋体" w:hAnsi="宋体"/>
          <w:color w:val="auto"/>
          <w:sz w:val="21"/>
          <w:szCs w:val="21"/>
          <w:highlight w:val="none"/>
        </w:rPr>
        <w:t>8.4</w:t>
      </w:r>
      <w:r>
        <w:rPr>
          <w:rFonts w:hint="eastAsia" w:ascii="宋体" w:hAnsi="宋体"/>
          <w:color w:val="auto"/>
          <w:sz w:val="21"/>
          <w:szCs w:val="21"/>
          <w:highlight w:val="none"/>
        </w:rPr>
        <w:t>若招标答疑会会议纪要与招标文件有矛盾，以答疑会议纪要最后发出的书面形式的文件为准。</w:t>
      </w:r>
    </w:p>
    <w:p>
      <w:pPr>
        <w:pStyle w:val="23"/>
        <w:spacing w:after="0" w:line="360" w:lineRule="auto"/>
        <w:ind w:firstLine="422" w:firstLineChars="200"/>
        <w:rPr>
          <w:rFonts w:ascii="宋体"/>
          <w:b/>
          <w:bCs/>
          <w:color w:val="auto"/>
          <w:sz w:val="21"/>
          <w:szCs w:val="21"/>
          <w:highlight w:val="none"/>
        </w:rPr>
      </w:pPr>
      <w:r>
        <w:rPr>
          <w:rFonts w:ascii="宋体" w:hAnsi="宋体"/>
          <w:b/>
          <w:bCs/>
          <w:color w:val="auto"/>
          <w:sz w:val="21"/>
          <w:szCs w:val="21"/>
          <w:highlight w:val="none"/>
        </w:rPr>
        <w:t>9.</w:t>
      </w:r>
      <w:r>
        <w:rPr>
          <w:rFonts w:hint="eastAsia" w:ascii="宋体" w:hAnsi="宋体"/>
          <w:b/>
          <w:bCs/>
          <w:color w:val="auto"/>
          <w:sz w:val="21"/>
          <w:szCs w:val="21"/>
          <w:highlight w:val="none"/>
        </w:rPr>
        <w:t>招标文件的澄清与修改</w:t>
      </w:r>
    </w:p>
    <w:p>
      <w:pPr>
        <w:pStyle w:val="23"/>
        <w:spacing w:after="0" w:line="360" w:lineRule="auto"/>
        <w:ind w:firstLine="420" w:firstLineChars="200"/>
        <w:rPr>
          <w:rFonts w:ascii="宋体"/>
          <w:color w:val="auto"/>
          <w:sz w:val="21"/>
          <w:szCs w:val="21"/>
          <w:highlight w:val="none"/>
        </w:rPr>
      </w:pPr>
      <w:r>
        <w:rPr>
          <w:rFonts w:ascii="宋体" w:hAnsi="宋体"/>
          <w:color w:val="auto"/>
          <w:sz w:val="21"/>
          <w:szCs w:val="21"/>
          <w:highlight w:val="none"/>
        </w:rPr>
        <w:t>9.1</w:t>
      </w:r>
      <w:r>
        <w:rPr>
          <w:rFonts w:hint="eastAsia" w:ascii="宋体" w:hAnsi="宋体"/>
          <w:color w:val="auto"/>
          <w:sz w:val="21"/>
          <w:szCs w:val="21"/>
          <w:highlight w:val="none"/>
        </w:rPr>
        <w:t>招标文件发出后</w:t>
      </w:r>
      <w:r>
        <w:rPr>
          <w:rFonts w:ascii="宋体"/>
          <w:color w:val="auto"/>
          <w:sz w:val="21"/>
          <w:szCs w:val="21"/>
          <w:highlight w:val="none"/>
        </w:rPr>
        <w:t>,</w:t>
      </w:r>
      <w:r>
        <w:rPr>
          <w:rFonts w:hint="eastAsia" w:ascii="宋体" w:hAnsi="宋体"/>
          <w:color w:val="auto"/>
          <w:sz w:val="21"/>
          <w:szCs w:val="21"/>
          <w:highlight w:val="none"/>
        </w:rPr>
        <w:t>在提交投标文件截止时间15日前，招标人可对招标文件进行必要的澄清或修改。</w:t>
      </w:r>
    </w:p>
    <w:p>
      <w:pPr>
        <w:pStyle w:val="23"/>
        <w:spacing w:after="0" w:line="360" w:lineRule="auto"/>
        <w:ind w:firstLine="420" w:firstLineChars="200"/>
        <w:rPr>
          <w:rFonts w:ascii="宋体"/>
          <w:color w:val="auto"/>
          <w:sz w:val="21"/>
          <w:szCs w:val="21"/>
          <w:highlight w:val="none"/>
        </w:rPr>
      </w:pPr>
      <w:r>
        <w:rPr>
          <w:rFonts w:ascii="宋体" w:hAnsi="宋体"/>
          <w:color w:val="auto"/>
          <w:sz w:val="21"/>
          <w:szCs w:val="21"/>
          <w:highlight w:val="none"/>
        </w:rPr>
        <w:t>9.2</w:t>
      </w:r>
      <w:r>
        <w:rPr>
          <w:rFonts w:hint="eastAsia" w:ascii="宋体"/>
          <w:color w:val="auto"/>
          <w:sz w:val="21"/>
          <w:szCs w:val="21"/>
          <w:highlight w:val="none"/>
        </w:rPr>
        <w:t>招标文件的澄清或修改将在</w:t>
      </w:r>
      <w:r>
        <w:rPr>
          <w:color w:val="auto"/>
          <w:sz w:val="21"/>
          <w:szCs w:val="21"/>
          <w:highlight w:val="none"/>
          <w:u w:val="single"/>
        </w:rPr>
        <w:t xml:space="preserve">        </w:t>
      </w:r>
      <w:r>
        <w:rPr>
          <w:rFonts w:hint="eastAsia" w:ascii="宋体" w:hAnsi="宋体"/>
          <w:color w:val="auto"/>
          <w:sz w:val="21"/>
          <w:szCs w:val="21"/>
          <w:highlight w:val="none"/>
        </w:rPr>
        <w:t>交易平台</w:t>
      </w:r>
      <w:r>
        <w:rPr>
          <w:rFonts w:hint="eastAsia" w:ascii="宋体"/>
          <w:color w:val="auto"/>
          <w:sz w:val="21"/>
          <w:szCs w:val="21"/>
          <w:highlight w:val="none"/>
        </w:rPr>
        <w:t>“项目答疑纪要”专区公开发布。答疑纪要一经在</w:t>
      </w:r>
      <w:r>
        <w:rPr>
          <w:color w:val="auto"/>
          <w:sz w:val="21"/>
          <w:szCs w:val="21"/>
          <w:highlight w:val="none"/>
          <w:u w:val="single"/>
        </w:rPr>
        <w:t xml:space="preserve">        </w:t>
      </w:r>
      <w:r>
        <w:rPr>
          <w:rFonts w:hint="eastAsia" w:ascii="宋体" w:hAnsi="宋体"/>
          <w:color w:val="auto"/>
          <w:sz w:val="21"/>
          <w:szCs w:val="21"/>
          <w:highlight w:val="none"/>
        </w:rPr>
        <w:t>交易平台</w:t>
      </w:r>
      <w:r>
        <w:rPr>
          <w:rFonts w:hint="eastAsia" w:ascii="宋体"/>
          <w:color w:val="auto"/>
          <w:sz w:val="21"/>
          <w:szCs w:val="21"/>
          <w:highlight w:val="none"/>
        </w:rPr>
        <w:t>发布，视作已发放给所有投标人，以</w:t>
      </w:r>
      <w:r>
        <w:rPr>
          <w:color w:val="auto"/>
          <w:sz w:val="21"/>
          <w:szCs w:val="21"/>
          <w:highlight w:val="none"/>
          <w:u w:val="single"/>
        </w:rPr>
        <w:t xml:space="preserve">        </w:t>
      </w:r>
      <w:r>
        <w:rPr>
          <w:rFonts w:hint="eastAsia" w:ascii="宋体" w:hAnsi="宋体"/>
          <w:color w:val="auto"/>
          <w:sz w:val="21"/>
          <w:szCs w:val="21"/>
          <w:highlight w:val="none"/>
        </w:rPr>
        <w:t>交易平台</w:t>
      </w:r>
      <w:r>
        <w:rPr>
          <w:rFonts w:hint="eastAsia" w:ascii="宋体"/>
          <w:color w:val="auto"/>
          <w:sz w:val="21"/>
          <w:szCs w:val="21"/>
          <w:highlight w:val="none"/>
        </w:rPr>
        <w:t>上网发布时间作为送达时间。</w:t>
      </w:r>
    </w:p>
    <w:p>
      <w:pPr>
        <w:pStyle w:val="23"/>
        <w:spacing w:after="0" w:line="360" w:lineRule="auto"/>
        <w:ind w:firstLine="420" w:firstLineChars="200"/>
        <w:rPr>
          <w:rFonts w:ascii="宋体"/>
          <w:color w:val="auto"/>
          <w:sz w:val="21"/>
          <w:szCs w:val="21"/>
          <w:highlight w:val="none"/>
        </w:rPr>
      </w:pPr>
      <w:r>
        <w:rPr>
          <w:rFonts w:ascii="宋体" w:hAnsi="宋体"/>
          <w:color w:val="auto"/>
          <w:sz w:val="21"/>
          <w:szCs w:val="21"/>
          <w:highlight w:val="none"/>
        </w:rPr>
        <w:t>9.3</w:t>
      </w:r>
      <w:r>
        <w:rPr>
          <w:rFonts w:hint="eastAsia" w:ascii="宋体" w:hAnsi="宋体"/>
          <w:color w:val="auto"/>
          <w:sz w:val="21"/>
          <w:szCs w:val="21"/>
          <w:highlight w:val="none"/>
        </w:rPr>
        <w:t>招标文件的修改内容为招标文件的组成部分。</w:t>
      </w:r>
    </w:p>
    <w:p>
      <w:pPr>
        <w:pStyle w:val="23"/>
        <w:spacing w:after="0" w:line="360" w:lineRule="auto"/>
        <w:ind w:firstLine="420" w:firstLineChars="200"/>
        <w:rPr>
          <w:rFonts w:ascii="宋体"/>
          <w:color w:val="auto"/>
          <w:sz w:val="21"/>
          <w:szCs w:val="21"/>
          <w:highlight w:val="none"/>
        </w:rPr>
      </w:pPr>
      <w:r>
        <w:rPr>
          <w:rFonts w:ascii="宋体" w:hAnsi="宋体"/>
          <w:color w:val="auto"/>
          <w:sz w:val="21"/>
          <w:szCs w:val="21"/>
          <w:highlight w:val="none"/>
        </w:rPr>
        <w:t>9.4</w:t>
      </w:r>
      <w:r>
        <w:rPr>
          <w:rFonts w:hint="eastAsia" w:ascii="宋体" w:hAnsi="宋体"/>
          <w:color w:val="auto"/>
          <w:sz w:val="21"/>
          <w:szCs w:val="21"/>
          <w:highlight w:val="none"/>
        </w:rPr>
        <w:t>招标文件的澄清或修改均以书面形式明确的内容为准。当招标文件的澄清、修改、补充等在同一内容的表述不一致时，以最后发出的书面形式的文件为准。</w:t>
      </w:r>
    </w:p>
    <w:p>
      <w:pPr>
        <w:pStyle w:val="23"/>
        <w:spacing w:after="0" w:line="360" w:lineRule="auto"/>
        <w:ind w:firstLine="420" w:firstLineChars="200"/>
        <w:rPr>
          <w:rFonts w:ascii="宋体"/>
          <w:color w:val="auto"/>
          <w:sz w:val="21"/>
          <w:szCs w:val="21"/>
          <w:highlight w:val="none"/>
        </w:rPr>
      </w:pPr>
      <w:r>
        <w:rPr>
          <w:rFonts w:ascii="宋体" w:hAnsi="宋体"/>
          <w:color w:val="auto"/>
          <w:sz w:val="21"/>
          <w:szCs w:val="21"/>
          <w:highlight w:val="none"/>
        </w:rPr>
        <w:t>9.5</w:t>
      </w:r>
      <w:r>
        <w:rPr>
          <w:rFonts w:hint="eastAsia" w:ascii="宋体" w:hAnsi="宋体"/>
          <w:color w:val="auto"/>
          <w:sz w:val="21"/>
          <w:szCs w:val="21"/>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4"/>
        <w:spacing w:before="156" w:after="156"/>
        <w:rPr>
          <w:color w:val="auto"/>
          <w:sz w:val="21"/>
          <w:szCs w:val="21"/>
          <w:highlight w:val="none"/>
        </w:rPr>
      </w:pPr>
      <w:bookmarkStart w:id="7" w:name="_Toc8804"/>
      <w:r>
        <w:rPr>
          <w:rFonts w:hint="eastAsia"/>
          <w:color w:val="auto"/>
          <w:sz w:val="21"/>
          <w:szCs w:val="21"/>
          <w:highlight w:val="none"/>
        </w:rPr>
        <w:t>（三）投标文件的编制</w:t>
      </w:r>
      <w:bookmarkEnd w:id="7"/>
    </w:p>
    <w:p>
      <w:pPr>
        <w:pStyle w:val="23"/>
        <w:spacing w:after="0" w:line="360" w:lineRule="auto"/>
        <w:ind w:firstLine="422" w:firstLineChars="200"/>
        <w:rPr>
          <w:rFonts w:ascii="宋体"/>
          <w:b/>
          <w:bCs/>
          <w:color w:val="auto"/>
          <w:sz w:val="21"/>
          <w:szCs w:val="21"/>
          <w:highlight w:val="none"/>
        </w:rPr>
      </w:pPr>
      <w:r>
        <w:rPr>
          <w:rFonts w:ascii="宋体" w:hAnsi="宋体"/>
          <w:b/>
          <w:bCs/>
          <w:color w:val="auto"/>
          <w:sz w:val="21"/>
          <w:szCs w:val="21"/>
          <w:highlight w:val="none"/>
        </w:rPr>
        <w:t>10</w:t>
      </w:r>
      <w:r>
        <w:rPr>
          <w:rFonts w:hint="eastAsia" w:ascii="宋体" w:hAnsi="宋体"/>
          <w:b/>
          <w:bCs/>
          <w:color w:val="auto"/>
          <w:sz w:val="21"/>
          <w:szCs w:val="21"/>
          <w:highlight w:val="none"/>
        </w:rPr>
        <w:t>．投标文件的语言及度量衡单位</w:t>
      </w:r>
    </w:p>
    <w:p>
      <w:pPr>
        <w:pStyle w:val="23"/>
        <w:spacing w:after="0" w:line="360" w:lineRule="auto"/>
        <w:ind w:firstLine="420" w:firstLineChars="200"/>
        <w:rPr>
          <w:rFonts w:ascii="宋体"/>
          <w:color w:val="auto"/>
          <w:sz w:val="21"/>
          <w:szCs w:val="21"/>
          <w:highlight w:val="none"/>
        </w:rPr>
      </w:pPr>
      <w:r>
        <w:rPr>
          <w:rFonts w:ascii="宋体" w:hAnsi="宋体"/>
          <w:color w:val="auto"/>
          <w:sz w:val="21"/>
          <w:szCs w:val="21"/>
          <w:highlight w:val="none"/>
        </w:rPr>
        <w:t xml:space="preserve">10.1 </w:t>
      </w:r>
      <w:r>
        <w:rPr>
          <w:rFonts w:hint="eastAsia" w:ascii="宋体" w:hAnsi="宋体"/>
          <w:color w:val="auto"/>
          <w:sz w:val="21"/>
          <w:szCs w:val="21"/>
          <w:highlight w:val="none"/>
        </w:rPr>
        <w:t>投标文件和与投标有关的所有文件均应使用中文。</w:t>
      </w:r>
    </w:p>
    <w:p>
      <w:pPr>
        <w:pStyle w:val="23"/>
        <w:spacing w:after="0" w:line="360" w:lineRule="auto"/>
        <w:ind w:firstLine="420" w:firstLineChars="200"/>
        <w:rPr>
          <w:rFonts w:ascii="宋体"/>
          <w:color w:val="auto"/>
          <w:sz w:val="21"/>
          <w:szCs w:val="21"/>
          <w:highlight w:val="none"/>
        </w:rPr>
      </w:pPr>
      <w:r>
        <w:rPr>
          <w:rFonts w:ascii="宋体" w:hAnsi="宋体"/>
          <w:color w:val="auto"/>
          <w:sz w:val="21"/>
          <w:szCs w:val="21"/>
          <w:highlight w:val="none"/>
        </w:rPr>
        <w:t xml:space="preserve">10.2 </w:t>
      </w:r>
      <w:r>
        <w:rPr>
          <w:rFonts w:hint="eastAsia" w:ascii="宋体" w:hAnsi="宋体"/>
          <w:color w:val="auto"/>
          <w:sz w:val="21"/>
          <w:szCs w:val="21"/>
          <w:highlight w:val="none"/>
        </w:rPr>
        <w:t>除工程规范另有规定外，投标文件使用的度量衡单位，均采用中华人民共和国法定计量单位。</w:t>
      </w:r>
    </w:p>
    <w:p>
      <w:pPr>
        <w:pStyle w:val="23"/>
        <w:spacing w:after="0" w:line="360" w:lineRule="auto"/>
        <w:ind w:firstLine="422" w:firstLineChars="200"/>
        <w:rPr>
          <w:rFonts w:ascii="宋体"/>
          <w:b/>
          <w:bCs/>
          <w:color w:val="auto"/>
          <w:sz w:val="21"/>
          <w:szCs w:val="21"/>
          <w:highlight w:val="none"/>
        </w:rPr>
      </w:pPr>
      <w:r>
        <w:rPr>
          <w:rFonts w:ascii="宋体" w:hAnsi="宋体"/>
          <w:b/>
          <w:bCs/>
          <w:color w:val="auto"/>
          <w:sz w:val="21"/>
          <w:szCs w:val="21"/>
          <w:highlight w:val="none"/>
        </w:rPr>
        <w:t>11</w:t>
      </w:r>
      <w:r>
        <w:rPr>
          <w:rFonts w:hint="eastAsia" w:ascii="宋体" w:hAnsi="宋体"/>
          <w:b/>
          <w:bCs/>
          <w:color w:val="auto"/>
          <w:sz w:val="21"/>
          <w:szCs w:val="21"/>
          <w:highlight w:val="none"/>
        </w:rPr>
        <w:t>．投标文件的组成</w:t>
      </w:r>
    </w:p>
    <w:p>
      <w:pPr>
        <w:pStyle w:val="23"/>
        <w:spacing w:after="0" w:line="360" w:lineRule="auto"/>
        <w:ind w:firstLine="420" w:firstLineChars="200"/>
        <w:rPr>
          <w:rFonts w:ascii="宋体"/>
          <w:b/>
          <w:color w:val="auto"/>
          <w:sz w:val="21"/>
          <w:szCs w:val="21"/>
          <w:highlight w:val="none"/>
        </w:rPr>
      </w:pPr>
      <w:r>
        <w:rPr>
          <w:rFonts w:ascii="宋体" w:hAnsi="宋体"/>
          <w:color w:val="auto"/>
          <w:sz w:val="21"/>
          <w:szCs w:val="21"/>
          <w:highlight w:val="none"/>
        </w:rPr>
        <w:t xml:space="preserve">11.1 </w:t>
      </w:r>
      <w:r>
        <w:rPr>
          <w:rFonts w:hint="eastAsia" w:ascii="宋体" w:hAnsi="宋体"/>
          <w:color w:val="auto"/>
          <w:sz w:val="21"/>
          <w:szCs w:val="21"/>
          <w:highlight w:val="none"/>
        </w:rPr>
        <w:t>投标文件由技术部分（含资格审查文件）和经济部分两部分投标文件组成</w:t>
      </w:r>
      <w:r>
        <w:rPr>
          <w:rFonts w:hint="eastAsia" w:ascii="宋体" w:hAnsi="宋体"/>
          <w:b/>
          <w:color w:val="auto"/>
          <w:sz w:val="21"/>
          <w:szCs w:val="21"/>
          <w:highlight w:val="none"/>
        </w:rPr>
        <w:t>。</w:t>
      </w:r>
    </w:p>
    <w:p>
      <w:pPr>
        <w:spacing w:line="360" w:lineRule="auto"/>
        <w:ind w:firstLine="420" w:firstLineChars="200"/>
        <w:rPr>
          <w:bCs/>
          <w:color w:val="auto"/>
          <w:sz w:val="21"/>
          <w:szCs w:val="21"/>
          <w:highlight w:val="none"/>
        </w:rPr>
      </w:pPr>
      <w:r>
        <w:rPr>
          <w:bCs/>
          <w:color w:val="auto"/>
          <w:sz w:val="21"/>
          <w:szCs w:val="21"/>
          <w:highlight w:val="none"/>
        </w:rPr>
        <w:t>11.2</w:t>
      </w:r>
      <w:r>
        <w:rPr>
          <w:rFonts w:hint="eastAsia"/>
          <w:bCs/>
          <w:color w:val="auto"/>
          <w:sz w:val="21"/>
          <w:szCs w:val="21"/>
          <w:highlight w:val="none"/>
        </w:rPr>
        <w:t>投标文件技术标部分主要包括下列内容</w:t>
      </w:r>
      <w:r>
        <w:rPr>
          <w:bCs/>
          <w:color w:val="auto"/>
          <w:sz w:val="21"/>
          <w:szCs w:val="21"/>
          <w:highlight w:val="none"/>
        </w:rPr>
        <w:t>:</w:t>
      </w:r>
    </w:p>
    <w:p>
      <w:pPr>
        <w:spacing w:line="360" w:lineRule="auto"/>
        <w:ind w:firstLine="420" w:firstLineChars="200"/>
        <w:rPr>
          <w:bCs/>
          <w:color w:val="auto"/>
          <w:sz w:val="21"/>
          <w:szCs w:val="21"/>
          <w:highlight w:val="none"/>
        </w:rPr>
      </w:pPr>
      <w:r>
        <w:rPr>
          <w:rFonts w:hint="eastAsia"/>
          <w:bCs/>
          <w:color w:val="auto"/>
          <w:sz w:val="21"/>
          <w:szCs w:val="21"/>
          <w:highlight w:val="none"/>
        </w:rPr>
        <w:t>11.2.1 技术投标文件</w:t>
      </w:r>
      <w:r>
        <w:rPr>
          <w:color w:val="auto"/>
          <w:sz w:val="21"/>
          <w:szCs w:val="21"/>
          <w:highlight w:val="none"/>
        </w:rPr>
        <w:t>(</w:t>
      </w:r>
      <w:r>
        <w:rPr>
          <w:rFonts w:hint="eastAsia"/>
          <w:color w:val="auto"/>
          <w:sz w:val="21"/>
          <w:szCs w:val="21"/>
          <w:highlight w:val="none"/>
        </w:rPr>
        <w:t>按招标文件的要求填写</w:t>
      </w:r>
      <w:r>
        <w:rPr>
          <w:color w:val="auto"/>
          <w:sz w:val="21"/>
          <w:szCs w:val="21"/>
          <w:highlight w:val="none"/>
        </w:rPr>
        <w:t>)</w:t>
      </w:r>
      <w:r>
        <w:rPr>
          <w:rFonts w:hint="eastAsia"/>
          <w:bCs/>
          <w:color w:val="auto"/>
          <w:sz w:val="21"/>
          <w:szCs w:val="21"/>
          <w:highlight w:val="none"/>
        </w:rPr>
        <w:t>；</w:t>
      </w:r>
    </w:p>
    <w:p>
      <w:pPr>
        <w:spacing w:line="360" w:lineRule="auto"/>
        <w:ind w:firstLine="420" w:firstLineChars="200"/>
        <w:rPr>
          <w:bCs/>
          <w:color w:val="auto"/>
          <w:sz w:val="21"/>
          <w:szCs w:val="21"/>
          <w:highlight w:val="none"/>
        </w:rPr>
      </w:pPr>
      <w:r>
        <w:rPr>
          <w:rFonts w:hint="eastAsia"/>
          <w:bCs/>
          <w:color w:val="auto"/>
          <w:sz w:val="21"/>
          <w:szCs w:val="21"/>
          <w:highlight w:val="none"/>
        </w:rPr>
        <w:t>11.2.2 资格审查文件：</w:t>
      </w:r>
    </w:p>
    <w:p>
      <w:pPr>
        <w:spacing w:line="360" w:lineRule="auto"/>
        <w:ind w:firstLine="420" w:firstLineChars="200"/>
        <w:rPr>
          <w:bCs/>
          <w:color w:val="auto"/>
          <w:sz w:val="21"/>
          <w:szCs w:val="21"/>
          <w:highlight w:val="none"/>
        </w:rPr>
      </w:pPr>
      <w:r>
        <w:rPr>
          <w:rFonts w:hint="eastAsia"/>
          <w:bCs/>
          <w:color w:val="auto"/>
          <w:sz w:val="21"/>
          <w:szCs w:val="21"/>
          <w:highlight w:val="none"/>
        </w:rPr>
        <w:t xml:space="preserve">（1）投标人声明； </w:t>
      </w:r>
    </w:p>
    <w:p>
      <w:pPr>
        <w:spacing w:line="360" w:lineRule="auto"/>
        <w:ind w:firstLine="420" w:firstLineChars="200"/>
        <w:rPr>
          <w:bCs/>
          <w:color w:val="auto"/>
          <w:sz w:val="21"/>
          <w:szCs w:val="21"/>
          <w:highlight w:val="none"/>
        </w:rPr>
      </w:pPr>
      <w:r>
        <w:rPr>
          <w:rFonts w:hint="eastAsia"/>
          <w:bCs/>
          <w:color w:val="auto"/>
          <w:sz w:val="21"/>
          <w:szCs w:val="21"/>
          <w:highlight w:val="none"/>
        </w:rPr>
        <w:t>（2）法定代表人证明书、法定代表人签字或盖章的本投标文件授权委托证明书；</w:t>
      </w:r>
    </w:p>
    <w:p>
      <w:pPr>
        <w:spacing w:line="360" w:lineRule="auto"/>
        <w:ind w:firstLine="420" w:firstLineChars="200"/>
        <w:rPr>
          <w:bCs/>
          <w:color w:val="auto"/>
          <w:sz w:val="21"/>
          <w:szCs w:val="21"/>
          <w:highlight w:val="none"/>
        </w:rPr>
      </w:pPr>
      <w:r>
        <w:rPr>
          <w:rFonts w:hint="eastAsia"/>
          <w:bCs/>
          <w:color w:val="auto"/>
          <w:sz w:val="21"/>
          <w:szCs w:val="21"/>
          <w:highlight w:val="none"/>
        </w:rPr>
        <w:t>（3）企业营业执照（取自平台内上传件）；</w:t>
      </w:r>
    </w:p>
    <w:p>
      <w:pPr>
        <w:spacing w:line="360" w:lineRule="auto"/>
        <w:ind w:firstLine="420" w:firstLineChars="200"/>
        <w:rPr>
          <w:bCs/>
          <w:color w:val="auto"/>
          <w:sz w:val="21"/>
          <w:szCs w:val="21"/>
          <w:highlight w:val="none"/>
        </w:rPr>
      </w:pPr>
      <w:r>
        <w:rPr>
          <w:rFonts w:hint="eastAsia"/>
          <w:bCs/>
          <w:color w:val="auto"/>
          <w:sz w:val="21"/>
          <w:szCs w:val="21"/>
          <w:highlight w:val="none"/>
        </w:rPr>
        <w:t>（4）企业资质证书（取自平台内上传件）；</w:t>
      </w:r>
    </w:p>
    <w:p>
      <w:pPr>
        <w:spacing w:line="360" w:lineRule="auto"/>
        <w:ind w:firstLine="420" w:firstLineChars="200"/>
        <w:rPr>
          <w:bCs/>
          <w:color w:val="auto"/>
          <w:sz w:val="21"/>
          <w:szCs w:val="21"/>
          <w:highlight w:val="none"/>
        </w:rPr>
      </w:pPr>
      <w:r>
        <w:rPr>
          <w:rFonts w:hint="eastAsia"/>
          <w:bCs/>
          <w:color w:val="auto"/>
          <w:sz w:val="21"/>
          <w:szCs w:val="21"/>
          <w:highlight w:val="none"/>
        </w:rPr>
        <w:t>（5）建筑施工企业安全生产许可证（取自平台内上传件）；</w:t>
      </w:r>
    </w:p>
    <w:p>
      <w:pPr>
        <w:spacing w:line="360" w:lineRule="auto"/>
        <w:ind w:firstLine="420" w:firstLineChars="200"/>
        <w:rPr>
          <w:bCs/>
          <w:color w:val="auto"/>
          <w:sz w:val="21"/>
          <w:szCs w:val="21"/>
          <w:highlight w:val="none"/>
        </w:rPr>
      </w:pPr>
      <w:r>
        <w:rPr>
          <w:rFonts w:hint="eastAsia"/>
          <w:bCs/>
          <w:color w:val="auto"/>
          <w:sz w:val="21"/>
          <w:szCs w:val="21"/>
          <w:highlight w:val="none"/>
        </w:rPr>
        <w:t>（6）项目负责人（按网上投标登记时选择拟投标的项目负责人）</w:t>
      </w:r>
    </w:p>
    <w:p>
      <w:pPr>
        <w:spacing w:line="360" w:lineRule="auto"/>
        <w:ind w:firstLine="420" w:firstLineChars="200"/>
        <w:rPr>
          <w:bCs/>
          <w:color w:val="auto"/>
          <w:sz w:val="21"/>
          <w:szCs w:val="21"/>
          <w:highlight w:val="none"/>
        </w:rPr>
      </w:pPr>
      <w:r>
        <w:rPr>
          <w:rFonts w:hint="eastAsia"/>
          <w:bCs/>
          <w:color w:val="auto"/>
          <w:sz w:val="21"/>
          <w:szCs w:val="21"/>
          <w:highlight w:val="none"/>
        </w:rPr>
        <w:t>（7）专职安全员（按网上投标登记时选择拟投标的专职安全员）</w:t>
      </w:r>
    </w:p>
    <w:p>
      <w:pPr>
        <w:spacing w:line="360" w:lineRule="auto"/>
        <w:ind w:firstLine="420" w:firstLineChars="200"/>
        <w:rPr>
          <w:bCs/>
          <w:color w:val="auto"/>
          <w:sz w:val="21"/>
          <w:szCs w:val="21"/>
          <w:highlight w:val="none"/>
        </w:rPr>
      </w:pPr>
      <w:r>
        <w:rPr>
          <w:rFonts w:hint="eastAsia"/>
          <w:bCs/>
          <w:color w:val="auto"/>
          <w:sz w:val="21"/>
          <w:szCs w:val="21"/>
          <w:highlight w:val="none"/>
        </w:rPr>
        <w:t>（8）拟委托技术负责人的相关证书、资料（具体要求由招标人明确）</w:t>
      </w:r>
    </w:p>
    <w:p>
      <w:pPr>
        <w:spacing w:line="360" w:lineRule="auto"/>
        <w:ind w:firstLine="420" w:firstLineChars="200"/>
        <w:rPr>
          <w:bCs/>
          <w:color w:val="auto"/>
          <w:sz w:val="21"/>
          <w:szCs w:val="21"/>
          <w:highlight w:val="none"/>
        </w:rPr>
      </w:pPr>
      <w:r>
        <w:rPr>
          <w:rFonts w:hint="eastAsia"/>
          <w:bCs/>
          <w:color w:val="auto"/>
          <w:sz w:val="21"/>
          <w:szCs w:val="21"/>
          <w:highlight w:val="none"/>
        </w:rPr>
        <w:t xml:space="preserve">（9）拟委派项目负责人的建造师注册证书或小型项目负责人相关证明（取自平台内上传件）； </w:t>
      </w:r>
    </w:p>
    <w:p>
      <w:pPr>
        <w:spacing w:line="360" w:lineRule="auto"/>
        <w:ind w:firstLine="420" w:firstLineChars="200"/>
        <w:rPr>
          <w:bCs/>
          <w:color w:val="auto"/>
          <w:sz w:val="21"/>
          <w:szCs w:val="21"/>
          <w:highlight w:val="none"/>
        </w:rPr>
      </w:pPr>
      <w:r>
        <w:rPr>
          <w:rFonts w:hint="eastAsia"/>
          <w:bCs/>
          <w:color w:val="auto"/>
          <w:sz w:val="21"/>
          <w:szCs w:val="21"/>
          <w:highlight w:val="none"/>
        </w:rPr>
        <w:t>（10）项目负责人安全培训考核合格证明或在有效期内的安全考核合格证书（B类）或建筑施工企业项目负责人安全生产考核合格证书（取自平台内上传件）；</w:t>
      </w:r>
    </w:p>
    <w:p>
      <w:pPr>
        <w:spacing w:line="360" w:lineRule="auto"/>
        <w:ind w:firstLine="420" w:firstLineChars="200"/>
        <w:rPr>
          <w:bCs/>
          <w:color w:val="auto"/>
          <w:sz w:val="21"/>
          <w:szCs w:val="21"/>
          <w:highlight w:val="none"/>
        </w:rPr>
      </w:pPr>
      <w:r>
        <w:rPr>
          <w:rFonts w:hint="eastAsia"/>
          <w:bCs/>
          <w:color w:val="auto"/>
          <w:sz w:val="21"/>
          <w:szCs w:val="21"/>
          <w:highlight w:val="none"/>
        </w:rPr>
        <w:t>（11）专职安全员须具有在有效期内的安全考核合格证书（C类）或建筑施工企业专职安全生产管理人员安全生产考核合格证书（取自平台内上传件）；</w:t>
      </w:r>
    </w:p>
    <w:p>
      <w:pPr>
        <w:spacing w:line="360" w:lineRule="auto"/>
        <w:ind w:firstLine="420" w:firstLineChars="200"/>
        <w:rPr>
          <w:bCs/>
          <w:color w:val="auto"/>
          <w:sz w:val="21"/>
          <w:szCs w:val="21"/>
          <w:highlight w:val="none"/>
        </w:rPr>
      </w:pPr>
      <w:r>
        <w:rPr>
          <w:rFonts w:hint="eastAsia"/>
          <w:bCs/>
          <w:color w:val="auto"/>
          <w:sz w:val="21"/>
          <w:szCs w:val="21"/>
          <w:highlight w:val="none"/>
        </w:rPr>
        <w:t>（12）用于资格审查的业绩（设置业绩要求时选择此项，投标人</w:t>
      </w:r>
      <w:r>
        <w:rPr>
          <w:rFonts w:hint="eastAsia"/>
          <w:color w:val="auto"/>
          <w:sz w:val="21"/>
          <w:szCs w:val="21"/>
          <w:highlight w:val="none"/>
        </w:rPr>
        <w:t>须提供类似工程业绩的项目名称及项目编号，具体格式由招标人自定</w:t>
      </w:r>
      <w:r>
        <w:rPr>
          <w:rFonts w:hint="eastAsia"/>
          <w:bCs/>
          <w:color w:val="auto"/>
          <w:sz w:val="21"/>
          <w:szCs w:val="21"/>
          <w:highlight w:val="none"/>
        </w:rPr>
        <w:t>）；</w:t>
      </w:r>
    </w:p>
    <w:p>
      <w:pPr>
        <w:spacing w:line="360" w:lineRule="auto"/>
        <w:ind w:firstLine="420" w:firstLineChars="200"/>
        <w:rPr>
          <w:bCs/>
          <w:color w:val="auto"/>
          <w:sz w:val="21"/>
          <w:szCs w:val="21"/>
          <w:highlight w:val="none"/>
        </w:rPr>
      </w:pPr>
      <w:r>
        <w:rPr>
          <w:rFonts w:hint="eastAsia"/>
          <w:bCs/>
          <w:color w:val="auto"/>
          <w:sz w:val="21"/>
          <w:szCs w:val="21"/>
          <w:highlight w:val="none"/>
        </w:rPr>
        <w:t>（13）资格审查前，投标人须在广州市住房和城乡建设局建立企业信用档案，拟担任本工程项目负责人、专职安全员须是本企业信用档案中的在册人员。</w:t>
      </w:r>
    </w:p>
    <w:p>
      <w:pPr>
        <w:spacing w:line="360" w:lineRule="auto"/>
        <w:ind w:firstLine="420" w:firstLineChars="200"/>
        <w:rPr>
          <w:bCs/>
          <w:color w:val="auto"/>
          <w:sz w:val="21"/>
          <w:szCs w:val="21"/>
          <w:highlight w:val="none"/>
        </w:rPr>
      </w:pPr>
      <w:r>
        <w:rPr>
          <w:rFonts w:hint="eastAsia"/>
          <w:bCs/>
          <w:color w:val="auto"/>
          <w:sz w:val="21"/>
          <w:szCs w:val="21"/>
          <w:highlight w:val="none"/>
        </w:rPr>
        <w:t>（14）列明主办单位的联合体工作协议（采用联合体投标时需递交，投标人拟任本工程项目负责人应为联合体主办方信用档案中的在册人员，</w:t>
      </w:r>
      <w:r>
        <w:rPr>
          <w:rFonts w:hint="eastAsia"/>
          <w:color w:val="auto"/>
          <w:sz w:val="21"/>
          <w:szCs w:val="21"/>
          <w:highlight w:val="none"/>
        </w:rPr>
        <w:t>联合体工作协议应明确约定各方拟承担的工作和责任</w:t>
      </w:r>
      <w:r>
        <w:rPr>
          <w:rFonts w:hint="eastAsia"/>
          <w:bCs/>
          <w:color w:val="auto"/>
          <w:sz w:val="21"/>
          <w:szCs w:val="21"/>
          <w:highlight w:val="none"/>
        </w:rPr>
        <w:t xml:space="preserve">）； </w:t>
      </w:r>
    </w:p>
    <w:p>
      <w:pPr>
        <w:spacing w:line="360" w:lineRule="auto"/>
        <w:ind w:firstLine="420" w:firstLineChars="200"/>
        <w:rPr>
          <w:bCs/>
          <w:color w:val="auto"/>
          <w:sz w:val="21"/>
          <w:szCs w:val="21"/>
          <w:highlight w:val="none"/>
        </w:rPr>
      </w:pPr>
      <w:r>
        <w:rPr>
          <w:rFonts w:hint="eastAsia"/>
          <w:bCs/>
          <w:color w:val="auto"/>
          <w:sz w:val="21"/>
          <w:szCs w:val="21"/>
          <w:highlight w:val="none"/>
        </w:rPr>
        <w:t>（15）</w:t>
      </w:r>
      <w:r>
        <w:rPr>
          <w:rFonts w:hint="eastAsia"/>
          <w:color w:val="auto"/>
          <w:sz w:val="21"/>
          <w:szCs w:val="21"/>
          <w:highlight w:val="none"/>
        </w:rPr>
        <w:t>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pPr>
        <w:spacing w:line="360" w:lineRule="auto"/>
        <w:ind w:firstLine="420" w:firstLineChars="200"/>
        <w:rPr>
          <w:color w:val="auto"/>
          <w:sz w:val="21"/>
          <w:szCs w:val="21"/>
          <w:highlight w:val="none"/>
        </w:rPr>
      </w:pPr>
      <w:r>
        <w:rPr>
          <w:color w:val="auto"/>
          <w:sz w:val="21"/>
          <w:szCs w:val="21"/>
          <w:highlight w:val="none"/>
        </w:rPr>
        <w:t>11.2.3</w:t>
      </w:r>
      <w:r>
        <w:rPr>
          <w:rFonts w:hint="eastAsia"/>
          <w:color w:val="auto"/>
          <w:sz w:val="21"/>
          <w:szCs w:val="21"/>
          <w:highlight w:val="none"/>
        </w:rPr>
        <w:t>项目管理机构配备。</w:t>
      </w:r>
    </w:p>
    <w:p>
      <w:pPr>
        <w:spacing w:line="360"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）投标人应列出该项目工程的施工组织机构构成和画出机构框架图及其负责人；</w:t>
      </w:r>
    </w:p>
    <w:p>
      <w:pPr>
        <w:spacing w:line="360"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）投标人应详细列出该施工组织机构中主要成员的名单、简历资料、职务职称和在本项目中拟担任的职务等资料，并附上有关证明材料扫描件；</w:t>
      </w:r>
    </w:p>
    <w:p>
      <w:pPr>
        <w:spacing w:line="360"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）其他辅助说明资料。</w:t>
      </w:r>
    </w:p>
    <w:p>
      <w:pPr>
        <w:spacing w:line="360" w:lineRule="auto"/>
        <w:ind w:firstLine="420" w:firstLineChars="200"/>
        <w:rPr>
          <w:color w:val="auto"/>
          <w:sz w:val="21"/>
          <w:szCs w:val="21"/>
          <w:highlight w:val="none"/>
        </w:rPr>
      </w:pPr>
      <w:r>
        <w:rPr>
          <w:color w:val="auto"/>
          <w:sz w:val="21"/>
          <w:szCs w:val="21"/>
          <w:highlight w:val="none"/>
        </w:rPr>
        <w:t>11.2.4</w:t>
      </w:r>
      <w:r>
        <w:rPr>
          <w:rFonts w:hint="eastAsia"/>
          <w:color w:val="auto"/>
          <w:sz w:val="21"/>
          <w:szCs w:val="21"/>
          <w:highlight w:val="none"/>
        </w:rPr>
        <w:t>投标人在广州市可使用适合本工程的机械设备（附：机械设备为自有或租赁的说明；及承诺机械设备如属于租赁的，其租赁是不属于重复租赁）。</w:t>
      </w:r>
    </w:p>
    <w:p>
      <w:pPr>
        <w:tabs>
          <w:tab w:val="left" w:pos="1125"/>
        </w:tabs>
        <w:spacing w:line="360" w:lineRule="auto"/>
        <w:ind w:firstLine="420" w:firstLineChars="200"/>
        <w:rPr>
          <w:color w:val="auto"/>
          <w:sz w:val="21"/>
          <w:szCs w:val="21"/>
          <w:highlight w:val="none"/>
        </w:rPr>
      </w:pPr>
      <w:r>
        <w:rPr>
          <w:color w:val="auto"/>
          <w:sz w:val="21"/>
          <w:szCs w:val="21"/>
          <w:highlight w:val="none"/>
        </w:rPr>
        <w:t>11.2.5</w:t>
      </w:r>
      <w:r>
        <w:rPr>
          <w:rFonts w:hint="eastAsia"/>
          <w:color w:val="auto"/>
          <w:sz w:val="21"/>
          <w:szCs w:val="21"/>
          <w:highlight w:val="none"/>
        </w:rPr>
        <w:t>施工组织设计或施工方案。</w:t>
      </w:r>
      <w:r>
        <w:rPr>
          <w:rFonts w:hint="eastAsia"/>
          <w:b/>
          <w:bCs/>
          <w:color w:val="auto"/>
          <w:sz w:val="21"/>
          <w:szCs w:val="21"/>
          <w:highlight w:val="none"/>
        </w:rPr>
        <w:t>（投标人在编制施工组织设计或施工方案时应按照招标人提出的施工现场建筑垃圾源头减量的具体要求以及建筑垃圾综合利用产品的使用要求提供相应措施。）</w:t>
      </w:r>
    </w:p>
    <w:p>
      <w:pPr>
        <w:tabs>
          <w:tab w:val="left" w:pos="1125"/>
        </w:tabs>
        <w:spacing w:line="360" w:lineRule="auto"/>
        <w:ind w:firstLine="420" w:firstLineChars="200"/>
        <w:rPr>
          <w:color w:val="auto"/>
          <w:sz w:val="21"/>
          <w:szCs w:val="21"/>
          <w:highlight w:val="none"/>
        </w:rPr>
      </w:pPr>
      <w:r>
        <w:rPr>
          <w:color w:val="auto"/>
          <w:sz w:val="21"/>
          <w:szCs w:val="21"/>
          <w:highlight w:val="none"/>
        </w:rPr>
        <w:t>11.2.</w:t>
      </w:r>
      <w:r>
        <w:rPr>
          <w:rFonts w:hint="eastAsia"/>
          <w:color w:val="auto"/>
          <w:sz w:val="21"/>
          <w:szCs w:val="21"/>
          <w:highlight w:val="none"/>
        </w:rPr>
        <w:t>6按照</w:t>
      </w:r>
      <w:r>
        <w:rPr>
          <w:rFonts w:hint="eastAsia"/>
          <w:bCs/>
          <w:color w:val="auto"/>
          <w:sz w:val="21"/>
          <w:szCs w:val="21"/>
          <w:highlight w:val="none"/>
        </w:rPr>
        <w:t>招标文件要求</w:t>
      </w:r>
      <w:r>
        <w:rPr>
          <w:rFonts w:hint="eastAsia"/>
          <w:color w:val="auto"/>
          <w:sz w:val="21"/>
          <w:szCs w:val="21"/>
          <w:highlight w:val="none"/>
        </w:rPr>
        <w:t>填写的《参与编制技术标投标文件人员名单》。</w:t>
      </w:r>
    </w:p>
    <w:p>
      <w:pPr>
        <w:spacing w:line="360" w:lineRule="auto"/>
        <w:ind w:firstLine="420" w:firstLineChars="200"/>
        <w:rPr>
          <w:bCs/>
          <w:color w:val="auto"/>
          <w:sz w:val="21"/>
          <w:szCs w:val="21"/>
          <w:highlight w:val="none"/>
        </w:rPr>
      </w:pPr>
      <w:r>
        <w:rPr>
          <w:bCs/>
          <w:color w:val="auto"/>
          <w:sz w:val="21"/>
          <w:szCs w:val="21"/>
          <w:highlight w:val="none"/>
        </w:rPr>
        <w:t xml:space="preserve">11.3 </w:t>
      </w:r>
      <w:r>
        <w:rPr>
          <w:rFonts w:hint="eastAsia"/>
          <w:bCs/>
          <w:color w:val="auto"/>
          <w:sz w:val="21"/>
          <w:szCs w:val="21"/>
          <w:highlight w:val="none"/>
        </w:rPr>
        <w:t>经济部分投标文件主要包括下列内容：</w:t>
      </w:r>
    </w:p>
    <w:p>
      <w:pPr>
        <w:spacing w:line="360" w:lineRule="auto"/>
        <w:ind w:firstLine="420" w:firstLineChars="200"/>
        <w:rPr>
          <w:color w:val="auto"/>
          <w:sz w:val="21"/>
          <w:szCs w:val="21"/>
          <w:highlight w:val="none"/>
        </w:rPr>
      </w:pPr>
      <w:r>
        <w:rPr>
          <w:color w:val="auto"/>
          <w:sz w:val="21"/>
          <w:szCs w:val="21"/>
          <w:highlight w:val="none"/>
        </w:rPr>
        <w:t xml:space="preserve">11.3.1 </w:t>
      </w:r>
      <w:r>
        <w:rPr>
          <w:rFonts w:hint="eastAsia"/>
          <w:color w:val="auto"/>
          <w:sz w:val="21"/>
          <w:szCs w:val="21"/>
          <w:highlight w:val="none"/>
        </w:rPr>
        <w:t>经济投标文件</w:t>
      </w:r>
      <w:r>
        <w:rPr>
          <w:color w:val="auto"/>
          <w:sz w:val="21"/>
          <w:szCs w:val="21"/>
          <w:highlight w:val="none"/>
        </w:rPr>
        <w:t>(</w:t>
      </w:r>
      <w:r>
        <w:rPr>
          <w:rFonts w:hint="eastAsia"/>
          <w:color w:val="auto"/>
          <w:sz w:val="21"/>
          <w:szCs w:val="21"/>
          <w:highlight w:val="none"/>
        </w:rPr>
        <w:t>按招标文件的要求填写</w:t>
      </w:r>
      <w:r>
        <w:rPr>
          <w:color w:val="auto"/>
          <w:sz w:val="21"/>
          <w:szCs w:val="21"/>
          <w:highlight w:val="none"/>
        </w:rPr>
        <w:t>)</w:t>
      </w:r>
      <w:r>
        <w:rPr>
          <w:rFonts w:hint="eastAsia"/>
          <w:color w:val="auto"/>
          <w:sz w:val="21"/>
          <w:szCs w:val="21"/>
          <w:highlight w:val="none"/>
        </w:rPr>
        <w:t>。</w:t>
      </w:r>
    </w:p>
    <w:p>
      <w:pPr>
        <w:spacing w:line="360" w:lineRule="auto"/>
        <w:ind w:firstLine="420" w:firstLineChars="200"/>
        <w:rPr>
          <w:color w:val="auto"/>
          <w:sz w:val="21"/>
          <w:szCs w:val="21"/>
          <w:highlight w:val="none"/>
        </w:rPr>
      </w:pPr>
      <w:r>
        <w:rPr>
          <w:color w:val="auto"/>
          <w:sz w:val="21"/>
          <w:szCs w:val="21"/>
          <w:highlight w:val="none"/>
        </w:rPr>
        <w:t>11.3.2</w:t>
      </w:r>
      <w:r>
        <w:rPr>
          <w:rFonts w:hint="eastAsia"/>
          <w:color w:val="auto"/>
          <w:sz w:val="21"/>
          <w:szCs w:val="21"/>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r>
        <w:rPr>
          <w:color w:val="auto"/>
          <w:sz w:val="21"/>
          <w:szCs w:val="21"/>
          <w:highlight w:val="none"/>
        </w:rPr>
        <w:t xml:space="preserve"> </w:t>
      </w:r>
    </w:p>
    <w:p>
      <w:pPr>
        <w:spacing w:line="360" w:lineRule="auto"/>
        <w:ind w:firstLine="495" w:firstLineChars="236"/>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）投标总价封面、扉页；</w:t>
      </w:r>
    </w:p>
    <w:p>
      <w:pPr>
        <w:spacing w:line="360" w:lineRule="auto"/>
        <w:ind w:firstLine="495" w:firstLineChars="236"/>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）总说明</w:t>
      </w:r>
    </w:p>
    <w:p>
      <w:pPr>
        <w:spacing w:line="360" w:lineRule="auto"/>
        <w:ind w:firstLine="495" w:firstLineChars="236"/>
        <w:rPr>
          <w:color w:val="auto"/>
          <w:sz w:val="21"/>
          <w:szCs w:val="21"/>
          <w:highlight w:val="none"/>
        </w:rPr>
      </w:pPr>
      <w:r>
        <w:rPr>
          <w:rFonts w:hint="eastAsia"/>
          <w:color w:val="auto"/>
          <w:sz w:val="21"/>
          <w:szCs w:val="21"/>
          <w:highlight w:val="none"/>
        </w:rPr>
        <w:t>（3）工程项目投标报价汇总表；</w:t>
      </w:r>
    </w:p>
    <w:p>
      <w:pPr>
        <w:spacing w:line="360" w:lineRule="auto"/>
        <w:ind w:firstLine="495" w:firstLineChars="236"/>
        <w:rPr>
          <w:color w:val="auto"/>
          <w:sz w:val="21"/>
          <w:szCs w:val="21"/>
          <w:highlight w:val="none"/>
        </w:rPr>
      </w:pPr>
      <w:r>
        <w:rPr>
          <w:rFonts w:hint="eastAsia"/>
          <w:color w:val="auto"/>
          <w:sz w:val="21"/>
          <w:szCs w:val="21"/>
          <w:highlight w:val="none"/>
        </w:rPr>
        <w:t>（4）单项工程投标报价汇总表；</w:t>
      </w:r>
    </w:p>
    <w:p>
      <w:pPr>
        <w:spacing w:line="360" w:lineRule="auto"/>
        <w:ind w:firstLine="495" w:firstLineChars="236"/>
        <w:rPr>
          <w:color w:val="auto"/>
          <w:sz w:val="21"/>
          <w:szCs w:val="21"/>
          <w:highlight w:val="none"/>
        </w:rPr>
      </w:pPr>
      <w:r>
        <w:rPr>
          <w:rFonts w:hint="eastAsia"/>
          <w:color w:val="auto"/>
          <w:sz w:val="21"/>
          <w:szCs w:val="21"/>
          <w:highlight w:val="none"/>
        </w:rPr>
        <w:t>（5）单位工程投标报价汇总表；</w:t>
      </w:r>
    </w:p>
    <w:p>
      <w:pPr>
        <w:spacing w:line="360" w:lineRule="auto"/>
        <w:ind w:firstLine="495" w:firstLineChars="236"/>
        <w:rPr>
          <w:color w:val="auto"/>
          <w:sz w:val="21"/>
          <w:szCs w:val="21"/>
          <w:highlight w:val="none"/>
        </w:rPr>
      </w:pPr>
      <w:r>
        <w:rPr>
          <w:rFonts w:hint="eastAsia"/>
          <w:color w:val="auto"/>
          <w:sz w:val="21"/>
          <w:szCs w:val="21"/>
          <w:highlight w:val="none"/>
        </w:rPr>
        <w:t>（6）分部分项工程清单与计价表；</w:t>
      </w:r>
    </w:p>
    <w:p>
      <w:pPr>
        <w:spacing w:line="360" w:lineRule="auto"/>
        <w:ind w:firstLine="495" w:firstLineChars="236"/>
        <w:rPr>
          <w:color w:val="auto"/>
          <w:sz w:val="21"/>
          <w:szCs w:val="21"/>
          <w:highlight w:val="none"/>
        </w:rPr>
      </w:pPr>
      <w:r>
        <w:rPr>
          <w:rFonts w:hint="eastAsia"/>
          <w:color w:val="auto"/>
          <w:sz w:val="21"/>
          <w:szCs w:val="21"/>
          <w:highlight w:val="none"/>
        </w:rPr>
        <w:t>（7）单价措施项目清单与计价表；</w:t>
      </w:r>
    </w:p>
    <w:p>
      <w:pPr>
        <w:spacing w:line="360" w:lineRule="auto"/>
        <w:ind w:firstLine="495" w:firstLineChars="236"/>
        <w:rPr>
          <w:color w:val="auto"/>
          <w:sz w:val="21"/>
          <w:szCs w:val="21"/>
          <w:highlight w:val="none"/>
        </w:rPr>
      </w:pPr>
      <w:r>
        <w:rPr>
          <w:rFonts w:hint="eastAsia"/>
          <w:color w:val="auto"/>
          <w:sz w:val="21"/>
          <w:szCs w:val="21"/>
          <w:highlight w:val="none"/>
        </w:rPr>
        <w:t>（8）总价措施项目清单与计价表；</w:t>
      </w:r>
    </w:p>
    <w:p>
      <w:pPr>
        <w:spacing w:line="360" w:lineRule="auto"/>
        <w:ind w:firstLine="495" w:firstLineChars="236"/>
        <w:rPr>
          <w:color w:val="auto"/>
          <w:sz w:val="21"/>
          <w:szCs w:val="21"/>
          <w:highlight w:val="none"/>
        </w:rPr>
      </w:pPr>
      <w:r>
        <w:rPr>
          <w:rFonts w:hint="eastAsia"/>
          <w:color w:val="auto"/>
          <w:sz w:val="21"/>
          <w:szCs w:val="21"/>
          <w:highlight w:val="none"/>
        </w:rPr>
        <w:t>（9）综合单价分析表；</w:t>
      </w:r>
    </w:p>
    <w:p>
      <w:pPr>
        <w:spacing w:line="360" w:lineRule="auto"/>
        <w:ind w:firstLine="495" w:firstLineChars="236"/>
        <w:rPr>
          <w:color w:val="auto"/>
          <w:sz w:val="21"/>
          <w:szCs w:val="21"/>
          <w:highlight w:val="none"/>
        </w:rPr>
      </w:pPr>
      <w:r>
        <w:rPr>
          <w:rFonts w:hint="eastAsia"/>
          <w:color w:val="auto"/>
          <w:sz w:val="21"/>
          <w:szCs w:val="21"/>
          <w:highlight w:val="none"/>
        </w:rPr>
        <w:t>（10）其他项目清单与计价汇总表；</w:t>
      </w:r>
    </w:p>
    <w:p>
      <w:pPr>
        <w:spacing w:line="360" w:lineRule="auto"/>
        <w:ind w:firstLine="495" w:firstLineChars="236"/>
        <w:rPr>
          <w:color w:val="auto"/>
          <w:sz w:val="21"/>
          <w:szCs w:val="21"/>
          <w:highlight w:val="none"/>
        </w:rPr>
      </w:pPr>
      <w:r>
        <w:rPr>
          <w:rFonts w:hint="eastAsia"/>
          <w:color w:val="auto"/>
          <w:sz w:val="21"/>
          <w:szCs w:val="21"/>
          <w:highlight w:val="none"/>
        </w:rPr>
        <w:t>（11）暂列金额明细表；</w:t>
      </w:r>
    </w:p>
    <w:p>
      <w:pPr>
        <w:spacing w:line="360" w:lineRule="auto"/>
        <w:ind w:firstLine="495" w:firstLineChars="236"/>
        <w:rPr>
          <w:color w:val="auto"/>
          <w:sz w:val="21"/>
          <w:szCs w:val="21"/>
          <w:highlight w:val="none"/>
        </w:rPr>
      </w:pPr>
      <w:r>
        <w:rPr>
          <w:rFonts w:hint="eastAsia"/>
          <w:color w:val="auto"/>
          <w:sz w:val="21"/>
          <w:szCs w:val="21"/>
          <w:highlight w:val="none"/>
        </w:rPr>
        <w:t>（12）材料（工程设备）暂估价明细表；</w:t>
      </w:r>
    </w:p>
    <w:p>
      <w:pPr>
        <w:spacing w:line="360" w:lineRule="auto"/>
        <w:ind w:firstLine="495" w:firstLineChars="236"/>
        <w:rPr>
          <w:color w:val="auto"/>
          <w:sz w:val="21"/>
          <w:szCs w:val="21"/>
          <w:highlight w:val="none"/>
        </w:rPr>
      </w:pPr>
      <w:r>
        <w:rPr>
          <w:rFonts w:hint="eastAsia"/>
          <w:color w:val="auto"/>
          <w:sz w:val="21"/>
          <w:szCs w:val="21"/>
          <w:highlight w:val="none"/>
        </w:rPr>
        <w:t>（13）专业工程暂估价明细表；</w:t>
      </w:r>
    </w:p>
    <w:p>
      <w:pPr>
        <w:spacing w:line="360" w:lineRule="auto"/>
        <w:ind w:firstLine="495" w:firstLineChars="236"/>
        <w:rPr>
          <w:color w:val="auto"/>
          <w:sz w:val="21"/>
          <w:szCs w:val="21"/>
          <w:highlight w:val="none"/>
        </w:rPr>
      </w:pPr>
      <w:r>
        <w:rPr>
          <w:rFonts w:hint="eastAsia"/>
          <w:color w:val="auto"/>
          <w:sz w:val="21"/>
          <w:szCs w:val="21"/>
          <w:highlight w:val="none"/>
        </w:rPr>
        <w:t>（14）计日工表；</w:t>
      </w:r>
    </w:p>
    <w:p>
      <w:pPr>
        <w:spacing w:line="360" w:lineRule="auto"/>
        <w:ind w:firstLine="495" w:firstLineChars="236"/>
        <w:rPr>
          <w:color w:val="auto"/>
          <w:sz w:val="21"/>
          <w:szCs w:val="21"/>
          <w:highlight w:val="none"/>
        </w:rPr>
      </w:pPr>
      <w:r>
        <w:rPr>
          <w:rFonts w:hint="eastAsia"/>
          <w:color w:val="auto"/>
          <w:sz w:val="21"/>
          <w:szCs w:val="21"/>
          <w:highlight w:val="none"/>
        </w:rPr>
        <w:t>（15）总承包服务计价表；</w:t>
      </w:r>
    </w:p>
    <w:p>
      <w:pPr>
        <w:spacing w:line="360" w:lineRule="auto"/>
        <w:ind w:firstLine="495" w:firstLineChars="236"/>
        <w:rPr>
          <w:color w:val="auto"/>
          <w:sz w:val="21"/>
          <w:szCs w:val="21"/>
          <w:highlight w:val="none"/>
        </w:rPr>
      </w:pPr>
      <w:r>
        <w:rPr>
          <w:rFonts w:hint="eastAsia"/>
          <w:color w:val="auto"/>
          <w:sz w:val="21"/>
          <w:szCs w:val="21"/>
          <w:highlight w:val="none"/>
        </w:rPr>
        <w:t>（16）规费和税金项目计价表；</w:t>
      </w:r>
    </w:p>
    <w:p>
      <w:pPr>
        <w:spacing w:line="360" w:lineRule="auto"/>
        <w:ind w:firstLine="420" w:firstLineChars="200"/>
        <w:rPr>
          <w:color w:val="auto"/>
          <w:sz w:val="21"/>
          <w:szCs w:val="21"/>
          <w:highlight w:val="none"/>
        </w:rPr>
      </w:pPr>
      <w:r>
        <w:rPr>
          <w:rFonts w:hint="eastAsia"/>
          <w:color w:val="auto"/>
          <w:sz w:val="21"/>
          <w:szCs w:val="21"/>
          <w:highlight w:val="none"/>
        </w:rPr>
        <w:t xml:space="preserve"> （17）人工、主要材料和设备一览表</w:t>
      </w:r>
    </w:p>
    <w:p>
      <w:pPr>
        <w:tabs>
          <w:tab w:val="left" w:pos="1125"/>
        </w:tabs>
        <w:spacing w:line="360" w:lineRule="auto"/>
        <w:ind w:firstLine="420" w:firstLineChars="200"/>
        <w:rPr>
          <w:color w:val="auto"/>
          <w:sz w:val="21"/>
          <w:szCs w:val="21"/>
          <w:highlight w:val="none"/>
        </w:rPr>
      </w:pPr>
      <w:r>
        <w:rPr>
          <w:color w:val="auto"/>
          <w:sz w:val="21"/>
          <w:szCs w:val="21"/>
          <w:highlight w:val="none"/>
        </w:rPr>
        <w:t>11.3.</w:t>
      </w:r>
      <w:r>
        <w:rPr>
          <w:rFonts w:hint="eastAsia"/>
          <w:color w:val="auto"/>
          <w:sz w:val="21"/>
          <w:szCs w:val="21"/>
          <w:highlight w:val="none"/>
        </w:rPr>
        <w:t>3按照</w:t>
      </w:r>
      <w:r>
        <w:rPr>
          <w:rFonts w:hint="eastAsia"/>
          <w:bCs/>
          <w:color w:val="auto"/>
          <w:sz w:val="21"/>
          <w:szCs w:val="21"/>
          <w:highlight w:val="none"/>
        </w:rPr>
        <w:t>招标文件要求</w:t>
      </w:r>
      <w:r>
        <w:rPr>
          <w:rFonts w:hint="eastAsia"/>
          <w:color w:val="auto"/>
          <w:sz w:val="21"/>
          <w:szCs w:val="21"/>
          <w:highlight w:val="none"/>
        </w:rPr>
        <w:t>填写的《参与编制经济标投标文件人员名单》。</w:t>
      </w:r>
    </w:p>
    <w:p>
      <w:pPr>
        <w:tabs>
          <w:tab w:val="left" w:pos="1125"/>
        </w:tabs>
        <w:spacing w:line="360" w:lineRule="auto"/>
        <w:ind w:firstLine="420" w:firstLineChars="200"/>
        <w:rPr>
          <w:color w:val="auto"/>
          <w:sz w:val="21"/>
          <w:szCs w:val="21"/>
          <w:highlight w:val="none"/>
        </w:rPr>
      </w:pPr>
      <w:r>
        <w:rPr>
          <w:rFonts w:hint="eastAsia"/>
          <w:color w:val="auto"/>
          <w:sz w:val="21"/>
          <w:szCs w:val="21"/>
          <w:highlight w:val="none"/>
        </w:rPr>
        <w:t>11.3.4若投标人的投标报价低于工程成本警戒价的，投标人还须提供详细的施工组织设计、单价、措施性费用、单价分析表、主要材料价格表、投标人成本分析供评标委员会评审。</w:t>
      </w:r>
    </w:p>
    <w:p>
      <w:pPr>
        <w:pStyle w:val="23"/>
        <w:spacing w:after="0" w:line="360" w:lineRule="auto"/>
        <w:ind w:firstLine="422" w:firstLineChars="200"/>
        <w:rPr>
          <w:rFonts w:ascii="宋体"/>
          <w:b/>
          <w:bCs/>
          <w:color w:val="auto"/>
          <w:sz w:val="21"/>
          <w:szCs w:val="21"/>
          <w:highlight w:val="none"/>
        </w:rPr>
      </w:pPr>
      <w:r>
        <w:rPr>
          <w:rFonts w:ascii="宋体" w:hAnsi="宋体"/>
          <w:b/>
          <w:bCs/>
          <w:color w:val="auto"/>
          <w:sz w:val="21"/>
          <w:szCs w:val="21"/>
          <w:highlight w:val="none"/>
        </w:rPr>
        <w:t>12</w:t>
      </w:r>
      <w:r>
        <w:rPr>
          <w:rFonts w:hint="eastAsia" w:ascii="宋体" w:hAnsi="宋体"/>
          <w:b/>
          <w:bCs/>
          <w:color w:val="auto"/>
          <w:sz w:val="21"/>
          <w:szCs w:val="21"/>
          <w:highlight w:val="none"/>
        </w:rPr>
        <w:t>．投标文件格式</w:t>
      </w:r>
    </w:p>
    <w:p>
      <w:pPr>
        <w:pStyle w:val="23"/>
        <w:spacing w:after="0"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 xml:space="preserve">12.1 </w:t>
      </w:r>
      <w:r>
        <w:rPr>
          <w:rFonts w:hint="eastAsia" w:ascii="宋体" w:hAnsi="宋体"/>
          <w:color w:val="auto"/>
          <w:sz w:val="21"/>
          <w:szCs w:val="21"/>
          <w:highlight w:val="none"/>
        </w:rPr>
        <w:t>投标文件包括本须知第</w:t>
      </w:r>
      <w:r>
        <w:rPr>
          <w:rFonts w:ascii="宋体" w:hAnsi="宋体"/>
          <w:color w:val="auto"/>
          <w:sz w:val="21"/>
          <w:szCs w:val="21"/>
          <w:highlight w:val="none"/>
        </w:rPr>
        <w:t>11</w:t>
      </w:r>
      <w:r>
        <w:rPr>
          <w:rFonts w:hint="eastAsia" w:ascii="宋体" w:hAnsi="宋体"/>
          <w:color w:val="auto"/>
          <w:sz w:val="21"/>
          <w:szCs w:val="21"/>
          <w:highlight w:val="none"/>
        </w:rPr>
        <w:t>条中规定的内容，投标人提交的投标文件应当使用招标文件所提供的投标文件全部格式（表格可以按同样格式扩展）。</w:t>
      </w:r>
    </w:p>
    <w:p>
      <w:pPr>
        <w:pStyle w:val="23"/>
        <w:spacing w:after="0"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color w:val="auto"/>
          <w:sz w:val="21"/>
          <w:szCs w:val="21"/>
          <w:highlight w:val="none"/>
        </w:rPr>
        <w:t>全流程电子化项目的相关指南进行操作。详见：</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color w:val="auto"/>
          <w:sz w:val="21"/>
          <w:szCs w:val="21"/>
          <w:highlight w:val="none"/>
        </w:rPr>
        <w:t xml:space="preserve"> 。</w:t>
      </w:r>
    </w:p>
    <w:p>
      <w:pPr>
        <w:pStyle w:val="23"/>
        <w:spacing w:after="0"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12.3 </w:t>
      </w:r>
      <w:r>
        <w:rPr>
          <w:rFonts w:hint="eastAsia" w:ascii="宋体" w:hAnsi="宋体"/>
          <w:bCs/>
          <w:color w:val="auto"/>
          <w:sz w:val="21"/>
          <w:szCs w:val="21"/>
          <w:highlight w:val="none"/>
        </w:rPr>
        <w:t>投标文件应按</w:t>
      </w:r>
      <w:r>
        <w:rPr>
          <w:rFonts w:hint="eastAsia" w:ascii="宋体" w:hAnsi="宋体"/>
          <w:color w:val="auto"/>
          <w:sz w:val="21"/>
          <w:szCs w:val="21"/>
          <w:highlight w:val="none"/>
        </w:rPr>
        <w:t>照交易平台关于全流程电子化项目的相关指南进行编制，详见：</w:t>
      </w:r>
      <w:r>
        <w:rPr>
          <w:color w:val="auto"/>
          <w:sz w:val="21"/>
          <w:szCs w:val="21"/>
          <w:highlight w:val="none"/>
          <w:u w:val="single"/>
        </w:rPr>
        <w:t xml:space="preserve">       </w:t>
      </w:r>
      <w:r>
        <w:rPr>
          <w:rFonts w:hint="eastAsia"/>
          <w:color w:val="auto"/>
          <w:sz w:val="21"/>
          <w:szCs w:val="21"/>
          <w:highlight w:val="none"/>
          <w:u w:val="single"/>
        </w:rPr>
        <w:t xml:space="preserve">     </w:t>
      </w:r>
      <w:r>
        <w:rPr>
          <w:rFonts w:hint="eastAsia" w:ascii="宋体" w:hAnsi="宋体"/>
          <w:color w:val="auto"/>
          <w:sz w:val="21"/>
          <w:szCs w:val="21"/>
          <w:highlight w:val="none"/>
        </w:rPr>
        <w:t xml:space="preserve">。               </w:t>
      </w:r>
    </w:p>
    <w:p>
      <w:pPr>
        <w:pStyle w:val="23"/>
        <w:spacing w:after="0" w:line="360" w:lineRule="auto"/>
        <w:ind w:firstLine="0"/>
        <w:rPr>
          <w:rFonts w:ascii="宋体" w:hAnsi="宋体"/>
          <w:color w:val="auto"/>
          <w:sz w:val="21"/>
          <w:szCs w:val="21"/>
          <w:highlight w:val="none"/>
        </w:rPr>
      </w:pPr>
      <w:r>
        <w:rPr>
          <w:rFonts w:hint="eastAsia" w:ascii="宋体" w:hAnsi="宋体"/>
          <w:bCs/>
          <w:color w:val="auto"/>
          <w:sz w:val="21"/>
          <w:szCs w:val="21"/>
          <w:highlight w:val="none"/>
        </w:rPr>
        <w:t>如不按上述要求编制引起系统无法检索、读取相关信息的，其后果由投标人承担。</w:t>
      </w:r>
    </w:p>
    <w:p>
      <w:pPr>
        <w:pStyle w:val="23"/>
        <w:spacing w:after="0" w:line="360" w:lineRule="auto"/>
        <w:ind w:firstLine="422" w:firstLineChars="200"/>
        <w:rPr>
          <w:rFonts w:ascii="宋体"/>
          <w:b/>
          <w:bCs/>
          <w:color w:val="auto"/>
          <w:sz w:val="21"/>
          <w:szCs w:val="21"/>
          <w:highlight w:val="none"/>
        </w:rPr>
      </w:pPr>
      <w:r>
        <w:rPr>
          <w:rFonts w:ascii="宋体" w:hAnsi="宋体"/>
          <w:b/>
          <w:bCs/>
          <w:color w:val="auto"/>
          <w:sz w:val="21"/>
          <w:szCs w:val="21"/>
          <w:highlight w:val="none"/>
        </w:rPr>
        <w:t>13</w:t>
      </w:r>
      <w:r>
        <w:rPr>
          <w:rFonts w:hint="eastAsia" w:ascii="宋体" w:hAnsi="宋体"/>
          <w:b/>
          <w:bCs/>
          <w:color w:val="auto"/>
          <w:sz w:val="21"/>
          <w:szCs w:val="21"/>
          <w:highlight w:val="none"/>
        </w:rPr>
        <w:t>．投标报价及造价承包和变更结算方式</w:t>
      </w:r>
    </w:p>
    <w:p>
      <w:pPr>
        <w:pStyle w:val="23"/>
        <w:spacing w:after="0" w:line="360" w:lineRule="auto"/>
        <w:ind w:firstLine="420" w:firstLineChars="200"/>
        <w:rPr>
          <w:rFonts w:ascii="宋体"/>
          <w:color w:val="auto"/>
          <w:sz w:val="21"/>
          <w:szCs w:val="21"/>
          <w:highlight w:val="none"/>
        </w:rPr>
      </w:pPr>
      <w:r>
        <w:rPr>
          <w:rFonts w:ascii="宋体" w:hAnsi="宋体"/>
          <w:color w:val="auto"/>
          <w:sz w:val="21"/>
          <w:szCs w:val="21"/>
          <w:highlight w:val="none"/>
        </w:rPr>
        <w:t xml:space="preserve">13.1 </w:t>
      </w:r>
      <w:r>
        <w:rPr>
          <w:rFonts w:hint="eastAsia" w:ascii="宋体" w:hAnsi="宋体"/>
          <w:color w:val="auto"/>
          <w:sz w:val="21"/>
          <w:szCs w:val="21"/>
          <w:highlight w:val="none"/>
        </w:rPr>
        <w:t>本工程的投标报价采用投标须知前附表第</w:t>
      </w:r>
      <w:r>
        <w:rPr>
          <w:rFonts w:ascii="宋体" w:hAnsi="宋体"/>
          <w:color w:val="auto"/>
          <w:sz w:val="21"/>
          <w:szCs w:val="21"/>
          <w:highlight w:val="none"/>
        </w:rPr>
        <w:t>12</w:t>
      </w:r>
      <w:r>
        <w:rPr>
          <w:rFonts w:hint="eastAsia" w:ascii="宋体" w:hAnsi="宋体"/>
          <w:color w:val="auto"/>
          <w:sz w:val="21"/>
          <w:szCs w:val="21"/>
          <w:highlight w:val="none"/>
        </w:rPr>
        <w:t>项所规定的方式。投标报价（含单价及总价）精确到“分”。</w:t>
      </w:r>
    </w:p>
    <w:p>
      <w:pPr>
        <w:pStyle w:val="23"/>
        <w:spacing w:after="0" w:line="360" w:lineRule="auto"/>
        <w:ind w:firstLine="420" w:firstLineChars="200"/>
        <w:rPr>
          <w:rFonts w:ascii="宋体"/>
          <w:color w:val="auto"/>
          <w:sz w:val="21"/>
          <w:szCs w:val="21"/>
          <w:highlight w:val="none"/>
        </w:rPr>
      </w:pPr>
      <w:r>
        <w:rPr>
          <w:rFonts w:ascii="宋体" w:hAnsi="宋体"/>
          <w:color w:val="auto"/>
          <w:sz w:val="21"/>
          <w:szCs w:val="21"/>
          <w:highlight w:val="none"/>
        </w:rPr>
        <w:t>13.2</w:t>
      </w:r>
      <w:r>
        <w:rPr>
          <w:rFonts w:hint="eastAsia" w:ascii="宋体" w:hAnsi="宋体"/>
          <w:color w:val="auto"/>
          <w:sz w:val="21"/>
          <w:szCs w:val="21"/>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pStyle w:val="23"/>
        <w:spacing w:after="0" w:line="360" w:lineRule="auto"/>
        <w:ind w:firstLine="420" w:firstLineChars="200"/>
        <w:rPr>
          <w:rFonts w:ascii="宋体"/>
          <w:color w:val="auto"/>
          <w:sz w:val="21"/>
          <w:szCs w:val="21"/>
          <w:highlight w:val="none"/>
        </w:rPr>
      </w:pPr>
      <w:r>
        <w:rPr>
          <w:rFonts w:ascii="宋体" w:hAnsi="宋体"/>
          <w:color w:val="auto"/>
          <w:sz w:val="21"/>
          <w:szCs w:val="21"/>
          <w:highlight w:val="none"/>
        </w:rPr>
        <w:t>13.3</w:t>
      </w:r>
      <w:r>
        <w:rPr>
          <w:rFonts w:hint="eastAsia" w:ascii="宋体" w:hAnsi="宋体"/>
          <w:color w:val="auto"/>
          <w:sz w:val="21"/>
          <w:szCs w:val="21"/>
          <w:highlight w:val="none"/>
        </w:rPr>
        <w:t>投标人的投标报价，应是按照投标须知前附表第</w:t>
      </w:r>
      <w:r>
        <w:rPr>
          <w:rFonts w:ascii="宋体" w:hAnsi="宋体"/>
          <w:color w:val="auto"/>
          <w:sz w:val="21"/>
          <w:szCs w:val="21"/>
          <w:highlight w:val="none"/>
        </w:rPr>
        <w:t>8</w:t>
      </w:r>
      <w:r>
        <w:rPr>
          <w:rFonts w:hint="eastAsia" w:ascii="宋体" w:hAnsi="宋体"/>
          <w:color w:val="auto"/>
          <w:sz w:val="21"/>
          <w:szCs w:val="21"/>
          <w:highlight w:val="none"/>
        </w:rPr>
        <w:t>项的工期要求，在投标须知前附表第</w:t>
      </w:r>
      <w:r>
        <w:rPr>
          <w:rFonts w:ascii="宋体" w:hAnsi="宋体"/>
          <w:color w:val="auto"/>
          <w:sz w:val="21"/>
          <w:szCs w:val="21"/>
          <w:highlight w:val="none"/>
        </w:rPr>
        <w:t>3</w:t>
      </w:r>
      <w:r>
        <w:rPr>
          <w:rFonts w:hint="eastAsia" w:ascii="宋体" w:hAnsi="宋体"/>
          <w:color w:val="auto"/>
          <w:sz w:val="21"/>
          <w:szCs w:val="21"/>
          <w:highlight w:val="none"/>
        </w:rPr>
        <w:t>项的建设地点，完成投标须知前附表第</w:t>
      </w:r>
      <w:r>
        <w:rPr>
          <w:rFonts w:ascii="宋体" w:hAnsi="宋体"/>
          <w:color w:val="auto"/>
          <w:sz w:val="21"/>
          <w:szCs w:val="21"/>
          <w:highlight w:val="none"/>
        </w:rPr>
        <w:t>7</w:t>
      </w:r>
      <w:r>
        <w:rPr>
          <w:rFonts w:hint="eastAsia" w:ascii="宋体" w:hAnsi="宋体"/>
          <w:color w:val="auto"/>
          <w:sz w:val="21"/>
          <w:szCs w:val="21"/>
          <w:highlight w:val="none"/>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Style w:val="23"/>
        <w:spacing w:after="0" w:line="360" w:lineRule="auto"/>
        <w:ind w:firstLine="420" w:firstLineChars="200"/>
        <w:rPr>
          <w:rFonts w:ascii="宋体"/>
          <w:color w:val="auto"/>
          <w:sz w:val="21"/>
          <w:szCs w:val="21"/>
          <w:highlight w:val="none"/>
        </w:rPr>
      </w:pPr>
      <w:r>
        <w:rPr>
          <w:rFonts w:ascii="宋体" w:hAnsi="宋体"/>
          <w:color w:val="auto"/>
          <w:sz w:val="21"/>
          <w:szCs w:val="21"/>
          <w:highlight w:val="none"/>
        </w:rPr>
        <w:t>13.4</w:t>
      </w:r>
      <w:r>
        <w:rPr>
          <w:rFonts w:hint="eastAsia" w:ascii="宋体" w:hAnsi="宋体"/>
          <w:color w:val="auto"/>
          <w:sz w:val="21"/>
          <w:szCs w:val="21"/>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Style w:val="23"/>
        <w:spacing w:after="0" w:line="360" w:lineRule="auto"/>
        <w:ind w:firstLine="420" w:firstLineChars="200"/>
        <w:rPr>
          <w:rFonts w:ascii="宋体"/>
          <w:color w:val="auto"/>
          <w:sz w:val="21"/>
          <w:szCs w:val="21"/>
          <w:highlight w:val="none"/>
        </w:rPr>
      </w:pPr>
      <w:r>
        <w:rPr>
          <w:rFonts w:ascii="宋体" w:hAnsi="宋体"/>
          <w:color w:val="auto"/>
          <w:sz w:val="21"/>
          <w:szCs w:val="21"/>
          <w:highlight w:val="none"/>
        </w:rPr>
        <w:t>13.5</w:t>
      </w:r>
      <w:r>
        <w:rPr>
          <w:rFonts w:hint="eastAsia" w:ascii="宋体" w:hAnsi="宋体"/>
          <w:color w:val="auto"/>
          <w:sz w:val="21"/>
          <w:szCs w:val="21"/>
          <w:highlight w:val="none"/>
        </w:rPr>
        <w:t>工程项目实施期间和结算时，招标文件工程量清单中漏列而由监理单位和招标人现场签证确认的工程项目、原设计没有而由招标人批准设计变更产生的工程项目，视为新增项目，按以下顺序确定价格：</w:t>
      </w:r>
    </w:p>
    <w:p>
      <w:pPr>
        <w:pStyle w:val="23"/>
        <w:spacing w:after="0" w:line="360" w:lineRule="auto"/>
        <w:ind w:firstLine="420" w:firstLineChars="200"/>
        <w:rPr>
          <w:rFonts w:ascii="宋体"/>
          <w:color w:val="auto"/>
          <w:sz w:val="21"/>
          <w:szCs w:val="21"/>
          <w:highlight w:val="none"/>
        </w:rPr>
      </w:pPr>
      <w:r>
        <w:rPr>
          <w:rFonts w:ascii="宋体" w:hAnsi="宋体"/>
          <w:color w:val="auto"/>
          <w:sz w:val="21"/>
          <w:szCs w:val="21"/>
          <w:highlight w:val="none"/>
        </w:rPr>
        <w:t>13.5.1</w:t>
      </w:r>
      <w:r>
        <w:rPr>
          <w:rFonts w:hint="eastAsia" w:ascii="宋体" w:hAnsi="宋体"/>
          <w:color w:val="auto"/>
          <w:sz w:val="21"/>
          <w:szCs w:val="21"/>
          <w:highlight w:val="none"/>
        </w:rPr>
        <w:t>中标的投标文件工程量清单中已有相同项目的适用综合单价，则沿用；</w:t>
      </w:r>
    </w:p>
    <w:p>
      <w:pPr>
        <w:pStyle w:val="23"/>
        <w:spacing w:after="0" w:line="360" w:lineRule="auto"/>
        <w:ind w:firstLine="420" w:firstLineChars="200"/>
        <w:rPr>
          <w:rFonts w:ascii="宋体"/>
          <w:color w:val="auto"/>
          <w:sz w:val="21"/>
          <w:szCs w:val="21"/>
          <w:highlight w:val="none"/>
        </w:rPr>
      </w:pPr>
      <w:r>
        <w:rPr>
          <w:rFonts w:ascii="宋体" w:hAnsi="宋体"/>
          <w:color w:val="auto"/>
          <w:sz w:val="21"/>
          <w:szCs w:val="21"/>
          <w:highlight w:val="none"/>
        </w:rPr>
        <w:t>13.5.2</w:t>
      </w:r>
      <w:r>
        <w:rPr>
          <w:rFonts w:hint="eastAsia" w:ascii="宋体" w:hAnsi="宋体"/>
          <w:color w:val="auto"/>
          <w:sz w:val="21"/>
          <w:szCs w:val="21"/>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23"/>
        <w:spacing w:after="0" w:line="360" w:lineRule="auto"/>
        <w:ind w:firstLine="420" w:firstLineChars="200"/>
        <w:rPr>
          <w:rFonts w:ascii="宋体"/>
          <w:color w:val="auto"/>
          <w:sz w:val="21"/>
          <w:szCs w:val="21"/>
          <w:highlight w:val="none"/>
        </w:rPr>
      </w:pPr>
      <w:r>
        <w:rPr>
          <w:rFonts w:ascii="宋体" w:hAnsi="宋体"/>
          <w:color w:val="auto"/>
          <w:sz w:val="21"/>
          <w:szCs w:val="21"/>
          <w:highlight w:val="none"/>
        </w:rPr>
        <w:t xml:space="preserve">13.5.3 </w:t>
      </w:r>
      <w:r>
        <w:rPr>
          <w:rFonts w:hint="eastAsia" w:ascii="宋体" w:hAnsi="宋体"/>
          <w:color w:val="auto"/>
          <w:sz w:val="21"/>
          <w:szCs w:val="21"/>
          <w:highlight w:val="none"/>
        </w:rPr>
        <w:t>中标的投标文件工程量清单中没有相同项目或类似项目的，如可套取相关定额，则以相关定额为基数下浮计算单价</w:t>
      </w:r>
      <w:r>
        <w:rPr>
          <w:rFonts w:ascii="宋体"/>
          <w:color w:val="auto"/>
          <w:sz w:val="21"/>
          <w:szCs w:val="21"/>
          <w:highlight w:val="none"/>
        </w:rPr>
        <w:t>,</w:t>
      </w:r>
      <w:r>
        <w:rPr>
          <w:rFonts w:hint="eastAsia" w:ascii="宋体" w:hAnsi="宋体"/>
          <w:color w:val="auto"/>
          <w:sz w:val="21"/>
          <w:szCs w:val="21"/>
          <w:highlight w:val="none"/>
        </w:rPr>
        <w:t>下浮率为中标价相对于最高投标限价的下浮率（下浮率</w:t>
      </w:r>
      <w:r>
        <w:rPr>
          <w:rFonts w:ascii="宋体" w:hAnsi="宋体"/>
          <w:color w:val="auto"/>
          <w:sz w:val="21"/>
          <w:szCs w:val="21"/>
          <w:highlight w:val="none"/>
        </w:rPr>
        <w:t>=(</w:t>
      </w:r>
      <w:r>
        <w:rPr>
          <w:rFonts w:hint="eastAsia" w:ascii="宋体" w:hAnsi="宋体"/>
          <w:color w:val="auto"/>
          <w:sz w:val="21"/>
          <w:szCs w:val="21"/>
          <w:highlight w:val="none"/>
        </w:rPr>
        <w:t>最高投标限价</w:t>
      </w:r>
      <w:r>
        <w:rPr>
          <w:rFonts w:ascii="宋体"/>
          <w:color w:val="auto"/>
          <w:sz w:val="21"/>
          <w:szCs w:val="21"/>
          <w:highlight w:val="none"/>
        </w:rPr>
        <w:t>-</w:t>
      </w:r>
      <w:r>
        <w:rPr>
          <w:rFonts w:hint="eastAsia" w:ascii="宋体" w:hAnsi="宋体"/>
          <w:color w:val="auto"/>
          <w:sz w:val="21"/>
          <w:szCs w:val="21"/>
          <w:highlight w:val="none"/>
        </w:rPr>
        <w:t>中标价</w:t>
      </w:r>
      <w:r>
        <w:rPr>
          <w:rFonts w:ascii="宋体" w:hAnsi="宋体"/>
          <w:color w:val="auto"/>
          <w:sz w:val="21"/>
          <w:szCs w:val="21"/>
          <w:highlight w:val="none"/>
        </w:rPr>
        <w:t xml:space="preserve">)/ </w:t>
      </w:r>
      <w:r>
        <w:rPr>
          <w:rFonts w:hint="eastAsia" w:ascii="宋体" w:hAnsi="宋体"/>
          <w:color w:val="auto"/>
          <w:sz w:val="21"/>
          <w:szCs w:val="21"/>
          <w:highlight w:val="none"/>
        </w:rPr>
        <w:t>最高投标限价）。</w:t>
      </w:r>
    </w:p>
    <w:p>
      <w:pPr>
        <w:pStyle w:val="23"/>
        <w:spacing w:after="0" w:line="360" w:lineRule="auto"/>
        <w:ind w:firstLine="420" w:firstLineChars="200"/>
        <w:rPr>
          <w:rFonts w:ascii="宋体"/>
          <w:color w:val="auto"/>
          <w:sz w:val="21"/>
          <w:szCs w:val="21"/>
          <w:highlight w:val="none"/>
        </w:rPr>
      </w:pPr>
      <w:r>
        <w:rPr>
          <w:rFonts w:ascii="宋体" w:hAnsi="宋体"/>
          <w:color w:val="auto"/>
          <w:sz w:val="21"/>
          <w:szCs w:val="21"/>
          <w:highlight w:val="none"/>
        </w:rPr>
        <w:t xml:space="preserve">13.5.4 </w:t>
      </w:r>
      <w:r>
        <w:rPr>
          <w:rFonts w:hint="eastAsia" w:ascii="宋体" w:hAnsi="宋体"/>
          <w:color w:val="auto"/>
          <w:sz w:val="21"/>
          <w:szCs w:val="21"/>
          <w:highlight w:val="none"/>
        </w:rPr>
        <w:t>如相关定额没有相应子目的，其计价方式由招标人在本招标文件第三章中另行规定。未规定的，中标后双方协商约定。</w:t>
      </w:r>
    </w:p>
    <w:p>
      <w:pPr>
        <w:pStyle w:val="23"/>
        <w:spacing w:after="0" w:line="360" w:lineRule="auto"/>
        <w:ind w:firstLine="420" w:firstLineChars="200"/>
        <w:rPr>
          <w:rFonts w:ascii="宋体"/>
          <w:color w:val="auto"/>
          <w:sz w:val="21"/>
          <w:szCs w:val="21"/>
          <w:highlight w:val="none"/>
        </w:rPr>
      </w:pPr>
      <w:r>
        <w:rPr>
          <w:rFonts w:ascii="宋体" w:hAnsi="宋体"/>
          <w:color w:val="auto"/>
          <w:sz w:val="21"/>
          <w:szCs w:val="21"/>
          <w:highlight w:val="none"/>
        </w:rPr>
        <w:t>13.6</w:t>
      </w:r>
      <w:r>
        <w:rPr>
          <w:rFonts w:hint="eastAsia" w:ascii="宋体" w:hAnsi="宋体"/>
          <w:color w:val="auto"/>
          <w:sz w:val="21"/>
          <w:szCs w:val="21"/>
          <w:highlight w:val="none"/>
        </w:rPr>
        <w:t>暂列金额、暂估价</w:t>
      </w:r>
    </w:p>
    <w:p>
      <w:pPr>
        <w:pStyle w:val="23"/>
        <w:spacing w:after="0" w:line="360" w:lineRule="auto"/>
        <w:ind w:firstLine="420" w:firstLineChars="200"/>
        <w:rPr>
          <w:rFonts w:ascii="宋体"/>
          <w:color w:val="auto"/>
          <w:sz w:val="21"/>
          <w:szCs w:val="21"/>
          <w:highlight w:val="none"/>
        </w:rPr>
      </w:pPr>
      <w:r>
        <w:rPr>
          <w:rFonts w:ascii="宋体" w:hAnsi="宋体"/>
          <w:color w:val="auto"/>
          <w:sz w:val="21"/>
          <w:szCs w:val="21"/>
          <w:highlight w:val="none"/>
        </w:rPr>
        <w:t>13.6.1</w:t>
      </w:r>
      <w:r>
        <w:rPr>
          <w:rFonts w:hint="eastAsia" w:ascii="宋体" w:hAnsi="宋体"/>
          <w:color w:val="auto"/>
          <w:sz w:val="21"/>
          <w:szCs w:val="21"/>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pStyle w:val="23"/>
        <w:spacing w:after="0"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暂估价是指招标人在工程量清单中提供的用于支付必然发生但暂时不能确定价格的材料的单价以及专业工程的金额。</w:t>
      </w:r>
    </w:p>
    <w:p>
      <w:pPr>
        <w:pStyle w:val="23"/>
        <w:spacing w:after="0" w:line="360" w:lineRule="auto"/>
        <w:ind w:firstLine="420" w:firstLineChars="200"/>
        <w:rPr>
          <w:rFonts w:ascii="宋体"/>
          <w:color w:val="auto"/>
          <w:sz w:val="21"/>
          <w:szCs w:val="21"/>
          <w:highlight w:val="none"/>
        </w:rPr>
      </w:pPr>
      <w:r>
        <w:rPr>
          <w:rFonts w:ascii="宋体" w:hAnsi="宋体"/>
          <w:color w:val="auto"/>
          <w:sz w:val="21"/>
          <w:szCs w:val="21"/>
          <w:highlight w:val="none"/>
        </w:rPr>
        <w:t>13.6.2</w:t>
      </w:r>
      <w:r>
        <w:rPr>
          <w:rFonts w:hint="eastAsia" w:ascii="宋体" w:hAnsi="宋体"/>
          <w:color w:val="auto"/>
          <w:sz w:val="21"/>
          <w:szCs w:val="21"/>
          <w:highlight w:val="none"/>
        </w:rPr>
        <w:t>在工程实施中，暂列金额、暂估价所包含的工作范围和图纸、标准深化固定后，按照工程专业、设备、材料类别等分类汇总的金额，达到法定招标范围标准的，应由招标人同中标人联合招标，确定承包人和承包价格。</w:t>
      </w:r>
    </w:p>
    <w:p>
      <w:pPr>
        <w:pStyle w:val="23"/>
        <w:spacing w:after="0" w:line="360" w:lineRule="auto"/>
        <w:ind w:firstLine="420" w:firstLineChars="200"/>
        <w:rPr>
          <w:rFonts w:ascii="宋体"/>
          <w:color w:val="auto"/>
          <w:sz w:val="21"/>
          <w:szCs w:val="21"/>
          <w:highlight w:val="none"/>
        </w:rPr>
      </w:pPr>
      <w:r>
        <w:rPr>
          <w:rFonts w:ascii="宋体" w:hAnsi="宋体"/>
          <w:color w:val="auto"/>
          <w:sz w:val="21"/>
          <w:szCs w:val="21"/>
          <w:highlight w:val="none"/>
        </w:rPr>
        <w:t>13.6.3</w:t>
      </w:r>
      <w:r>
        <w:rPr>
          <w:rFonts w:hint="eastAsia" w:ascii="宋体" w:hAnsi="宋体"/>
          <w:color w:val="auto"/>
          <w:sz w:val="21"/>
          <w:szCs w:val="21"/>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Style w:val="23"/>
        <w:spacing w:after="0" w:line="360" w:lineRule="auto"/>
        <w:ind w:firstLine="420" w:firstLineChars="200"/>
        <w:rPr>
          <w:rFonts w:ascii="宋体"/>
          <w:color w:val="auto"/>
          <w:sz w:val="21"/>
          <w:szCs w:val="21"/>
          <w:highlight w:val="none"/>
        </w:rPr>
      </w:pPr>
      <w:r>
        <w:rPr>
          <w:rFonts w:ascii="宋体" w:hAnsi="宋体"/>
          <w:color w:val="auto"/>
          <w:sz w:val="21"/>
          <w:szCs w:val="21"/>
          <w:highlight w:val="none"/>
        </w:rPr>
        <w:t>13.6.4</w:t>
      </w:r>
      <w:r>
        <w:rPr>
          <w:rFonts w:hint="eastAsia" w:ascii="宋体" w:hAnsi="宋体"/>
          <w:color w:val="auto"/>
          <w:sz w:val="21"/>
          <w:szCs w:val="21"/>
          <w:highlight w:val="none"/>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color w:val="auto"/>
          <w:sz w:val="21"/>
          <w:szCs w:val="21"/>
          <w:highlight w:val="none"/>
        </w:rPr>
        <w:t>13.5</w:t>
      </w:r>
      <w:r>
        <w:rPr>
          <w:rFonts w:hint="eastAsia" w:ascii="宋体" w:hAnsi="宋体"/>
          <w:color w:val="auto"/>
          <w:sz w:val="21"/>
          <w:szCs w:val="21"/>
          <w:highlight w:val="none"/>
        </w:rPr>
        <w:t>款规定确定。</w:t>
      </w:r>
    </w:p>
    <w:p>
      <w:pPr>
        <w:pStyle w:val="23"/>
        <w:spacing w:after="0" w:line="360" w:lineRule="auto"/>
        <w:ind w:firstLine="420" w:firstLineChars="200"/>
        <w:rPr>
          <w:rFonts w:ascii="宋体"/>
          <w:color w:val="auto"/>
          <w:sz w:val="21"/>
          <w:szCs w:val="21"/>
          <w:highlight w:val="none"/>
        </w:rPr>
      </w:pPr>
      <w:r>
        <w:rPr>
          <w:rFonts w:ascii="宋体" w:hAnsi="宋体"/>
          <w:color w:val="auto"/>
          <w:sz w:val="21"/>
          <w:szCs w:val="21"/>
          <w:highlight w:val="none"/>
        </w:rPr>
        <w:t>13.6.5</w:t>
      </w:r>
      <w:r>
        <w:rPr>
          <w:rFonts w:hint="eastAsia" w:ascii="宋体" w:hAnsi="宋体"/>
          <w:color w:val="auto"/>
          <w:sz w:val="21"/>
          <w:szCs w:val="21"/>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Style w:val="23"/>
        <w:spacing w:after="0" w:line="360" w:lineRule="auto"/>
        <w:ind w:firstLine="420" w:firstLineChars="200"/>
        <w:rPr>
          <w:rFonts w:ascii="宋体"/>
          <w:color w:val="auto"/>
          <w:sz w:val="21"/>
          <w:szCs w:val="21"/>
          <w:highlight w:val="none"/>
        </w:rPr>
      </w:pPr>
      <w:r>
        <w:rPr>
          <w:rFonts w:ascii="宋体" w:hAnsi="宋体"/>
          <w:color w:val="auto"/>
          <w:sz w:val="21"/>
          <w:szCs w:val="21"/>
          <w:highlight w:val="none"/>
        </w:rPr>
        <w:t xml:space="preserve">13.6.6 </w:t>
      </w:r>
      <w:r>
        <w:rPr>
          <w:rFonts w:hint="eastAsia" w:ascii="宋体" w:hAnsi="宋体"/>
          <w:color w:val="auto"/>
          <w:sz w:val="21"/>
          <w:szCs w:val="21"/>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Style w:val="23"/>
        <w:spacing w:after="0" w:line="360" w:lineRule="auto"/>
        <w:ind w:firstLine="420" w:firstLineChars="200"/>
        <w:rPr>
          <w:rFonts w:ascii="宋体"/>
          <w:color w:val="auto"/>
          <w:sz w:val="21"/>
          <w:szCs w:val="21"/>
          <w:highlight w:val="none"/>
        </w:rPr>
      </w:pPr>
      <w:r>
        <w:rPr>
          <w:rFonts w:ascii="宋体" w:hAnsi="宋体"/>
          <w:color w:val="auto"/>
          <w:sz w:val="21"/>
          <w:szCs w:val="21"/>
          <w:highlight w:val="none"/>
        </w:rPr>
        <w:t>13.7</w:t>
      </w:r>
      <w:r>
        <w:rPr>
          <w:rFonts w:hint="eastAsia" w:ascii="宋体" w:hAnsi="宋体"/>
          <w:color w:val="auto"/>
          <w:sz w:val="21"/>
          <w:szCs w:val="21"/>
          <w:highlight w:val="none"/>
        </w:rPr>
        <w:t>投标人可先到工地踏勘以充分了解工地位置、情况、道路、储存空间、装卸限制及任何其他足以影响承包价的情况，任何因忽视或误解工地情况而导致的索赔或工期延长申请将不被批准。</w:t>
      </w:r>
    </w:p>
    <w:p>
      <w:pPr>
        <w:pStyle w:val="23"/>
        <w:spacing w:after="0" w:line="360" w:lineRule="auto"/>
        <w:ind w:firstLine="420" w:firstLineChars="200"/>
        <w:rPr>
          <w:rFonts w:ascii="宋体"/>
          <w:color w:val="auto"/>
          <w:sz w:val="21"/>
          <w:szCs w:val="21"/>
          <w:highlight w:val="none"/>
        </w:rPr>
      </w:pPr>
      <w:r>
        <w:rPr>
          <w:rFonts w:ascii="宋体" w:hAnsi="宋体"/>
          <w:color w:val="auto"/>
          <w:sz w:val="21"/>
          <w:szCs w:val="21"/>
          <w:highlight w:val="none"/>
        </w:rPr>
        <w:t>13.8</w:t>
      </w:r>
      <w:r>
        <w:rPr>
          <w:rFonts w:hint="eastAsia" w:ascii="宋体" w:hAnsi="宋体"/>
          <w:color w:val="auto"/>
          <w:sz w:val="21"/>
          <w:szCs w:val="21"/>
          <w:highlight w:val="none"/>
        </w:rPr>
        <w:t>属于承包人自行采购的主要材料、设备，招标人应当在招标文件中提出材料、设备的技术标准或者质量要求，或者提出不少于</w:t>
      </w:r>
      <w:r>
        <w:rPr>
          <w:rFonts w:ascii="宋体" w:hAnsi="宋体"/>
          <w:color w:val="auto"/>
          <w:sz w:val="21"/>
          <w:szCs w:val="21"/>
          <w:highlight w:val="none"/>
        </w:rPr>
        <w:t>3</w:t>
      </w:r>
      <w:r>
        <w:rPr>
          <w:rFonts w:hint="eastAsia" w:ascii="宋体" w:hAnsi="宋体"/>
          <w:color w:val="auto"/>
          <w:sz w:val="21"/>
          <w:szCs w:val="21"/>
          <w:highlight w:val="none"/>
        </w:rPr>
        <w:t>个同等档次品牌或分包商供投标人报价时选择</w:t>
      </w:r>
      <w:r>
        <w:rPr>
          <w:rFonts w:ascii="宋体"/>
          <w:color w:val="auto"/>
          <w:sz w:val="21"/>
          <w:szCs w:val="21"/>
          <w:highlight w:val="none"/>
        </w:rPr>
        <w:t>,</w:t>
      </w:r>
      <w:r>
        <w:rPr>
          <w:rFonts w:hint="eastAsia" w:ascii="宋体" w:hAnsi="宋体"/>
          <w:color w:val="auto"/>
          <w:sz w:val="21"/>
          <w:szCs w:val="21"/>
          <w:highlight w:val="none"/>
        </w:rPr>
        <w:t>凡招标人在招标文件中提出参考品牌的，必须在参考品牌后面加上“或相当于”字样。投标人在投标文件中应明确所选用主要材料、设备的品牌、厂家以及质量等级，并且应当符合招标文件的要求。</w:t>
      </w:r>
    </w:p>
    <w:p>
      <w:pPr>
        <w:pStyle w:val="23"/>
        <w:spacing w:after="0" w:line="360" w:lineRule="auto"/>
        <w:ind w:firstLine="420" w:firstLineChars="200"/>
        <w:rPr>
          <w:rFonts w:ascii="宋体"/>
          <w:color w:val="auto"/>
          <w:sz w:val="21"/>
          <w:szCs w:val="21"/>
          <w:highlight w:val="none"/>
        </w:rPr>
      </w:pPr>
      <w:r>
        <w:rPr>
          <w:rFonts w:ascii="宋体" w:hAnsi="宋体"/>
          <w:color w:val="auto"/>
          <w:sz w:val="21"/>
          <w:szCs w:val="21"/>
          <w:highlight w:val="none"/>
        </w:rPr>
        <w:t>13.9</w:t>
      </w:r>
      <w:r>
        <w:rPr>
          <w:rFonts w:hint="eastAsia" w:ascii="宋体"/>
          <w:color w:val="auto"/>
          <w:sz w:val="21"/>
          <w:szCs w:val="21"/>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Style w:val="23"/>
        <w:spacing w:after="0" w:line="360" w:lineRule="auto"/>
        <w:ind w:firstLine="422" w:firstLineChars="200"/>
        <w:rPr>
          <w:rFonts w:ascii="宋体"/>
          <w:b/>
          <w:bCs/>
          <w:color w:val="auto"/>
          <w:sz w:val="21"/>
          <w:szCs w:val="21"/>
          <w:highlight w:val="none"/>
        </w:rPr>
      </w:pPr>
      <w:r>
        <w:rPr>
          <w:rFonts w:ascii="宋体" w:hAnsi="宋体"/>
          <w:b/>
          <w:bCs/>
          <w:color w:val="auto"/>
          <w:sz w:val="21"/>
          <w:szCs w:val="21"/>
          <w:highlight w:val="none"/>
        </w:rPr>
        <w:t>14</w:t>
      </w:r>
      <w:r>
        <w:rPr>
          <w:rFonts w:hint="eastAsia" w:ascii="宋体" w:hAnsi="宋体"/>
          <w:b/>
          <w:bCs/>
          <w:color w:val="auto"/>
          <w:sz w:val="21"/>
          <w:szCs w:val="21"/>
          <w:highlight w:val="none"/>
        </w:rPr>
        <w:t>．投标货币</w:t>
      </w:r>
    </w:p>
    <w:p>
      <w:pPr>
        <w:pStyle w:val="23"/>
        <w:spacing w:after="0" w:line="360" w:lineRule="auto"/>
        <w:ind w:firstLine="420" w:firstLineChars="200"/>
        <w:rPr>
          <w:rFonts w:ascii="宋体"/>
          <w:color w:val="auto"/>
          <w:sz w:val="21"/>
          <w:szCs w:val="21"/>
          <w:highlight w:val="none"/>
        </w:rPr>
      </w:pPr>
      <w:r>
        <w:rPr>
          <w:rFonts w:ascii="宋体" w:hAnsi="宋体"/>
          <w:color w:val="auto"/>
          <w:sz w:val="21"/>
          <w:szCs w:val="21"/>
          <w:highlight w:val="none"/>
        </w:rPr>
        <w:t xml:space="preserve">14.1 </w:t>
      </w:r>
      <w:r>
        <w:rPr>
          <w:rFonts w:hint="eastAsia" w:ascii="宋体" w:hAnsi="宋体"/>
          <w:color w:val="auto"/>
          <w:sz w:val="21"/>
          <w:szCs w:val="21"/>
          <w:highlight w:val="none"/>
        </w:rPr>
        <w:t>本工程投标报价采用的币种为人民币。</w:t>
      </w:r>
    </w:p>
    <w:p>
      <w:pPr>
        <w:pStyle w:val="23"/>
        <w:spacing w:after="0" w:line="360" w:lineRule="auto"/>
        <w:ind w:firstLine="422" w:firstLineChars="200"/>
        <w:rPr>
          <w:rFonts w:ascii="宋体"/>
          <w:color w:val="auto"/>
          <w:sz w:val="21"/>
          <w:szCs w:val="21"/>
          <w:highlight w:val="none"/>
        </w:rPr>
      </w:pPr>
      <w:r>
        <w:rPr>
          <w:rFonts w:ascii="宋体" w:hAnsi="宋体"/>
          <w:b/>
          <w:bCs/>
          <w:color w:val="auto"/>
          <w:sz w:val="21"/>
          <w:szCs w:val="21"/>
          <w:highlight w:val="none"/>
        </w:rPr>
        <w:t>15</w:t>
      </w:r>
      <w:r>
        <w:rPr>
          <w:rFonts w:hint="eastAsia" w:ascii="宋体" w:hAnsi="宋体"/>
          <w:b/>
          <w:bCs/>
          <w:color w:val="auto"/>
          <w:sz w:val="21"/>
          <w:szCs w:val="21"/>
          <w:highlight w:val="none"/>
        </w:rPr>
        <w:t>．投标有效期</w:t>
      </w:r>
    </w:p>
    <w:p>
      <w:pPr>
        <w:pStyle w:val="23"/>
        <w:spacing w:after="0" w:line="360" w:lineRule="auto"/>
        <w:ind w:firstLine="420" w:firstLineChars="200"/>
        <w:rPr>
          <w:rFonts w:ascii="宋体"/>
          <w:color w:val="auto"/>
          <w:sz w:val="21"/>
          <w:szCs w:val="21"/>
          <w:highlight w:val="none"/>
        </w:rPr>
      </w:pPr>
      <w:r>
        <w:rPr>
          <w:rFonts w:ascii="宋体" w:hAnsi="宋体"/>
          <w:color w:val="auto"/>
          <w:sz w:val="21"/>
          <w:szCs w:val="21"/>
          <w:highlight w:val="none"/>
        </w:rPr>
        <w:t xml:space="preserve">15.1 </w:t>
      </w:r>
      <w:r>
        <w:rPr>
          <w:rFonts w:hint="eastAsia" w:ascii="宋体" w:hAnsi="宋体"/>
          <w:color w:val="auto"/>
          <w:sz w:val="21"/>
          <w:szCs w:val="21"/>
          <w:highlight w:val="none"/>
        </w:rPr>
        <w:t>投标有效期见投标须知前附表第</w:t>
      </w:r>
      <w:r>
        <w:rPr>
          <w:rFonts w:ascii="宋体" w:hAnsi="宋体"/>
          <w:color w:val="auto"/>
          <w:sz w:val="21"/>
          <w:szCs w:val="21"/>
          <w:highlight w:val="none"/>
        </w:rPr>
        <w:t>13</w:t>
      </w:r>
      <w:r>
        <w:rPr>
          <w:rFonts w:hint="eastAsia" w:ascii="宋体" w:hAnsi="宋体"/>
          <w:color w:val="auto"/>
          <w:sz w:val="21"/>
          <w:szCs w:val="21"/>
          <w:highlight w:val="none"/>
        </w:rPr>
        <w:t>项所规定的期限，在此期限内，凡符合本招标文件要求的投标文件均保持有效。</w:t>
      </w:r>
    </w:p>
    <w:p>
      <w:pPr>
        <w:pStyle w:val="23"/>
        <w:spacing w:after="0" w:line="360" w:lineRule="auto"/>
        <w:ind w:firstLine="420" w:firstLineChars="200"/>
        <w:rPr>
          <w:rFonts w:ascii="宋体"/>
          <w:color w:val="auto"/>
          <w:sz w:val="21"/>
          <w:szCs w:val="21"/>
          <w:highlight w:val="none"/>
        </w:rPr>
      </w:pPr>
      <w:r>
        <w:rPr>
          <w:rFonts w:ascii="宋体" w:hAnsi="宋体"/>
          <w:color w:val="auto"/>
          <w:sz w:val="21"/>
          <w:szCs w:val="21"/>
          <w:highlight w:val="none"/>
        </w:rPr>
        <w:t xml:space="preserve">15.2 </w:t>
      </w:r>
      <w:r>
        <w:rPr>
          <w:rFonts w:hint="eastAsia" w:ascii="宋体" w:hAnsi="宋体"/>
          <w:color w:val="auto"/>
          <w:sz w:val="21"/>
          <w:szCs w:val="21"/>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color w:val="auto"/>
          <w:sz w:val="21"/>
          <w:szCs w:val="21"/>
          <w:highlight w:val="none"/>
        </w:rPr>
        <w:t>16</w:t>
      </w:r>
      <w:r>
        <w:rPr>
          <w:rFonts w:hint="eastAsia" w:ascii="宋体" w:hAnsi="宋体"/>
          <w:color w:val="auto"/>
          <w:sz w:val="21"/>
          <w:szCs w:val="21"/>
          <w:highlight w:val="none"/>
        </w:rPr>
        <w:t>条关于投标保证金的退还与不予退还的规定仍然适用。</w:t>
      </w:r>
    </w:p>
    <w:p>
      <w:pPr>
        <w:pStyle w:val="23"/>
        <w:spacing w:after="0" w:line="360" w:lineRule="auto"/>
        <w:ind w:firstLine="422" w:firstLineChars="200"/>
        <w:rPr>
          <w:rFonts w:ascii="宋体"/>
          <w:b/>
          <w:bCs/>
          <w:color w:val="auto"/>
          <w:sz w:val="21"/>
          <w:szCs w:val="21"/>
          <w:highlight w:val="none"/>
        </w:rPr>
      </w:pPr>
      <w:r>
        <w:rPr>
          <w:rFonts w:ascii="宋体" w:hAnsi="宋体"/>
          <w:b/>
          <w:bCs/>
          <w:color w:val="auto"/>
          <w:sz w:val="21"/>
          <w:szCs w:val="21"/>
          <w:highlight w:val="none"/>
        </w:rPr>
        <w:t>16</w:t>
      </w:r>
      <w:r>
        <w:rPr>
          <w:rFonts w:hint="eastAsia" w:ascii="宋体" w:hAnsi="宋体"/>
          <w:b/>
          <w:bCs/>
          <w:color w:val="auto"/>
          <w:sz w:val="21"/>
          <w:szCs w:val="21"/>
          <w:highlight w:val="none"/>
        </w:rPr>
        <w:t>．投标保证金</w:t>
      </w:r>
    </w:p>
    <w:p>
      <w:pPr>
        <w:spacing w:line="360" w:lineRule="auto"/>
        <w:ind w:firstLine="420" w:firstLineChars="200"/>
        <w:rPr>
          <w:color w:val="auto"/>
          <w:sz w:val="21"/>
          <w:szCs w:val="21"/>
          <w:highlight w:val="none"/>
        </w:rPr>
      </w:pPr>
      <w:r>
        <w:rPr>
          <w:color w:val="auto"/>
          <w:sz w:val="21"/>
          <w:szCs w:val="21"/>
          <w:highlight w:val="none"/>
        </w:rPr>
        <w:t>16.1</w:t>
      </w:r>
      <w:r>
        <w:rPr>
          <w:rFonts w:hint="eastAsia"/>
          <w:color w:val="auto"/>
          <w:sz w:val="21"/>
          <w:szCs w:val="21"/>
          <w:highlight w:val="none"/>
        </w:rPr>
        <w:t>投标人应按投标须知前附表第</w:t>
      </w:r>
      <w:r>
        <w:rPr>
          <w:color w:val="auto"/>
          <w:sz w:val="21"/>
          <w:szCs w:val="21"/>
          <w:highlight w:val="none"/>
        </w:rPr>
        <w:t>14</w:t>
      </w:r>
      <w:r>
        <w:rPr>
          <w:rFonts w:hint="eastAsia"/>
          <w:color w:val="auto"/>
          <w:sz w:val="21"/>
          <w:szCs w:val="21"/>
          <w:highlight w:val="none"/>
        </w:rPr>
        <w:t>项所述金额和时间递交</w:t>
      </w:r>
      <w:r>
        <w:rPr>
          <w:rFonts w:hint="eastAsia"/>
          <w:bCs/>
          <w:color w:val="auto"/>
          <w:sz w:val="21"/>
          <w:szCs w:val="21"/>
          <w:highlight w:val="none"/>
        </w:rPr>
        <w:t>投标保证金</w:t>
      </w:r>
      <w:r>
        <w:rPr>
          <w:rFonts w:hint="eastAsia"/>
          <w:color w:val="auto"/>
          <w:sz w:val="21"/>
          <w:szCs w:val="21"/>
          <w:highlight w:val="none"/>
        </w:rPr>
        <w:t>。招标人应当允许投标人自主选择现金、银行保函、保证保险、专业工程担保公司担保等方式缴纳投标保证金。</w:t>
      </w:r>
    </w:p>
    <w:p>
      <w:pPr>
        <w:spacing w:line="360" w:lineRule="auto"/>
        <w:ind w:firstLine="420" w:firstLineChars="200"/>
        <w:rPr>
          <w:color w:val="auto"/>
          <w:sz w:val="21"/>
          <w:szCs w:val="21"/>
          <w:highlight w:val="none"/>
        </w:rPr>
      </w:pPr>
      <w:r>
        <w:rPr>
          <w:rFonts w:hint="eastAsia"/>
          <w:color w:val="auto"/>
          <w:sz w:val="21"/>
          <w:szCs w:val="21"/>
          <w:highlight w:val="none"/>
        </w:rPr>
        <w:t>16.1.1 采用现金或者支票形式提交的，投标保证金须从投标人的银行基本账户转出。</w:t>
      </w:r>
    </w:p>
    <w:p>
      <w:pPr>
        <w:spacing w:line="360" w:lineRule="auto"/>
        <w:ind w:firstLine="420" w:firstLineChars="200"/>
        <w:rPr>
          <w:color w:val="auto"/>
          <w:sz w:val="21"/>
          <w:szCs w:val="21"/>
          <w:highlight w:val="none"/>
        </w:rPr>
      </w:pPr>
      <w:r>
        <w:rPr>
          <w:rFonts w:hint="eastAsia"/>
          <w:color w:val="auto"/>
          <w:sz w:val="21"/>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20" w:firstLineChars="200"/>
        <w:rPr>
          <w:color w:val="auto"/>
          <w:sz w:val="21"/>
          <w:szCs w:val="21"/>
          <w:highlight w:val="none"/>
        </w:rPr>
      </w:pPr>
      <w:r>
        <w:rPr>
          <w:rFonts w:hint="eastAsia"/>
          <w:color w:val="auto"/>
          <w:sz w:val="21"/>
          <w:szCs w:val="21"/>
          <w:highlight w:val="none"/>
        </w:rPr>
        <w:t>16.1.3 采用电子形式的保函、担保或保证保险提交投标保证金的，应在招标文件中明确电子递交途径。</w:t>
      </w:r>
    </w:p>
    <w:p>
      <w:pPr>
        <w:spacing w:line="360" w:lineRule="auto"/>
        <w:ind w:firstLine="420" w:firstLineChars="200"/>
        <w:rPr>
          <w:color w:val="auto"/>
          <w:sz w:val="21"/>
          <w:szCs w:val="21"/>
          <w:highlight w:val="none"/>
        </w:rPr>
      </w:pPr>
      <w:r>
        <w:rPr>
          <w:rFonts w:hint="eastAsia"/>
          <w:color w:val="auto"/>
          <w:sz w:val="21"/>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20" w:firstLineChars="200"/>
        <w:rPr>
          <w:color w:val="auto"/>
          <w:sz w:val="21"/>
          <w:szCs w:val="21"/>
          <w:highlight w:val="none"/>
        </w:rPr>
      </w:pPr>
      <w:r>
        <w:rPr>
          <w:rFonts w:hint="eastAsia"/>
          <w:color w:val="auto"/>
          <w:sz w:val="21"/>
          <w:szCs w:val="21"/>
          <w:highlight w:val="none"/>
        </w:rPr>
        <w:t>16.3投标保证金应依据法律法规的相关规定退还。</w:t>
      </w:r>
    </w:p>
    <w:p>
      <w:pPr>
        <w:spacing w:line="360" w:lineRule="auto"/>
        <w:ind w:firstLine="420" w:firstLineChars="200"/>
        <w:rPr>
          <w:color w:val="auto"/>
          <w:sz w:val="21"/>
          <w:szCs w:val="21"/>
          <w:highlight w:val="none"/>
        </w:rPr>
      </w:pPr>
      <w:r>
        <w:rPr>
          <w:rFonts w:hint="eastAsia"/>
          <w:color w:val="auto"/>
          <w:sz w:val="21"/>
          <w:szCs w:val="21"/>
          <w:highlight w:val="none"/>
        </w:rPr>
        <w:t>16.4如有下列情况之一的，招标人可以不予退还投标保证金（是否退还投标保证金由招标人在招标文件中规定）：</w:t>
      </w:r>
    </w:p>
    <w:p>
      <w:pPr>
        <w:spacing w:line="360" w:lineRule="auto"/>
        <w:ind w:firstLine="420" w:firstLineChars="200"/>
        <w:rPr>
          <w:color w:val="auto"/>
          <w:sz w:val="21"/>
          <w:szCs w:val="21"/>
          <w:highlight w:val="none"/>
        </w:rPr>
      </w:pPr>
      <w:r>
        <w:rPr>
          <w:rFonts w:hint="eastAsia"/>
          <w:color w:val="auto"/>
          <w:sz w:val="21"/>
          <w:szCs w:val="21"/>
          <w:highlight w:val="none"/>
        </w:rPr>
        <w:t>16.4.1因投标人原因造成投标文件未解密的；</w:t>
      </w:r>
    </w:p>
    <w:p>
      <w:pPr>
        <w:spacing w:line="360" w:lineRule="auto"/>
        <w:ind w:firstLine="420" w:firstLineChars="200"/>
        <w:rPr>
          <w:color w:val="auto"/>
          <w:sz w:val="21"/>
          <w:szCs w:val="21"/>
          <w:highlight w:val="none"/>
        </w:rPr>
      </w:pPr>
      <w:r>
        <w:rPr>
          <w:rFonts w:hint="eastAsia"/>
          <w:color w:val="auto"/>
          <w:sz w:val="21"/>
          <w:szCs w:val="21"/>
          <w:highlight w:val="none"/>
        </w:rPr>
        <w:t>16.4.2投标人在投标有效期内撤销投标文件；</w:t>
      </w:r>
    </w:p>
    <w:p>
      <w:pPr>
        <w:spacing w:line="360" w:lineRule="auto"/>
        <w:ind w:firstLine="420" w:firstLineChars="200"/>
        <w:rPr>
          <w:color w:val="auto"/>
          <w:sz w:val="21"/>
          <w:szCs w:val="21"/>
          <w:highlight w:val="none"/>
        </w:rPr>
      </w:pPr>
      <w:r>
        <w:rPr>
          <w:rFonts w:hint="eastAsia"/>
          <w:color w:val="auto"/>
          <w:sz w:val="21"/>
          <w:szCs w:val="21"/>
          <w:highlight w:val="none"/>
        </w:rPr>
        <w:t>16.4.3中标人未能在规定期限内按要求提交履约担保；</w:t>
      </w:r>
    </w:p>
    <w:p>
      <w:pPr>
        <w:spacing w:line="360" w:lineRule="auto"/>
        <w:ind w:firstLine="420" w:firstLineChars="200"/>
        <w:rPr>
          <w:color w:val="auto"/>
          <w:sz w:val="21"/>
          <w:szCs w:val="21"/>
          <w:highlight w:val="none"/>
        </w:rPr>
      </w:pPr>
      <w:r>
        <w:rPr>
          <w:rFonts w:hint="eastAsia"/>
          <w:color w:val="auto"/>
          <w:sz w:val="21"/>
          <w:szCs w:val="21"/>
          <w:highlight w:val="none"/>
        </w:rPr>
        <w:t>16.4.4中标人未能在规定期限内签署合同协议。</w:t>
      </w:r>
    </w:p>
    <w:p>
      <w:pPr>
        <w:spacing w:line="360" w:lineRule="auto"/>
        <w:ind w:firstLine="420" w:firstLineChars="200"/>
        <w:rPr>
          <w:color w:val="auto"/>
          <w:sz w:val="21"/>
          <w:szCs w:val="21"/>
          <w:highlight w:val="none"/>
        </w:rPr>
      </w:pPr>
      <w:r>
        <w:rPr>
          <w:rFonts w:hint="eastAsia"/>
          <w:color w:val="auto"/>
          <w:sz w:val="21"/>
          <w:szCs w:val="21"/>
          <w:highlight w:val="none"/>
        </w:rPr>
        <w:t>16.5投标人如存在下列情况之一的，将被拒绝在一定时期内参与招标人后续工程投标（拒绝时限需在招标文件中明确）：</w:t>
      </w:r>
    </w:p>
    <w:p>
      <w:pPr>
        <w:spacing w:line="360" w:lineRule="auto"/>
        <w:ind w:firstLine="420" w:firstLineChars="200"/>
        <w:rPr>
          <w:color w:val="auto"/>
          <w:sz w:val="21"/>
          <w:szCs w:val="21"/>
          <w:highlight w:val="none"/>
        </w:rPr>
      </w:pPr>
      <w:r>
        <w:rPr>
          <w:rFonts w:hint="eastAsia"/>
          <w:color w:val="auto"/>
          <w:sz w:val="21"/>
          <w:szCs w:val="21"/>
          <w:highlight w:val="none"/>
        </w:rPr>
        <w:t>16.5.1投标人存在16.4条款所列情形且投标人提交的保函、担保或保证保险无法兑付的；</w:t>
      </w:r>
    </w:p>
    <w:p>
      <w:pPr>
        <w:spacing w:line="360" w:lineRule="auto"/>
        <w:ind w:firstLine="420" w:firstLineChars="200"/>
        <w:rPr>
          <w:color w:val="auto"/>
          <w:sz w:val="21"/>
          <w:szCs w:val="21"/>
          <w:highlight w:val="none"/>
        </w:rPr>
      </w:pPr>
      <w:r>
        <w:rPr>
          <w:rFonts w:hint="eastAsia"/>
          <w:color w:val="auto"/>
          <w:sz w:val="21"/>
          <w:szCs w:val="21"/>
          <w:highlight w:val="none"/>
        </w:rPr>
        <w:t>16.5.2采用非电子形式提交投标保证金的投标人存在16.4条款所列情形，且未按招标人要求补交银行保函、专业工程担保公司担保或保证保险原件的；</w:t>
      </w:r>
    </w:p>
    <w:p>
      <w:pPr>
        <w:spacing w:line="360" w:lineRule="auto"/>
        <w:ind w:firstLine="420" w:firstLineChars="200"/>
        <w:rPr>
          <w:color w:val="auto"/>
          <w:sz w:val="21"/>
          <w:szCs w:val="21"/>
          <w:highlight w:val="none"/>
        </w:rPr>
      </w:pPr>
      <w:r>
        <w:rPr>
          <w:rFonts w:hint="eastAsia"/>
          <w:color w:val="auto"/>
          <w:sz w:val="21"/>
          <w:szCs w:val="21"/>
          <w:highlight w:val="none"/>
        </w:rPr>
        <w:t>16.5.3按招标文件要求免于提供投标保证金的投标人存在16.4条款所列情形，且未按招标人要求补交投标保证金的；</w:t>
      </w:r>
    </w:p>
    <w:p>
      <w:pPr>
        <w:spacing w:line="360" w:lineRule="auto"/>
        <w:ind w:firstLine="420" w:firstLineChars="200"/>
        <w:rPr>
          <w:color w:val="auto"/>
          <w:sz w:val="21"/>
          <w:szCs w:val="21"/>
          <w:highlight w:val="none"/>
        </w:rPr>
      </w:pPr>
      <w:r>
        <w:rPr>
          <w:rFonts w:hint="eastAsia"/>
          <w:color w:val="auto"/>
          <w:sz w:val="21"/>
          <w:szCs w:val="21"/>
          <w:highlight w:val="none"/>
        </w:rPr>
        <w:t>16.5.3按招标文件要求免于提供投标保证金的投标人存在16.4条款所列情形的。</w:t>
      </w:r>
    </w:p>
    <w:p>
      <w:pPr>
        <w:spacing w:line="360" w:lineRule="auto"/>
        <w:ind w:firstLine="420" w:firstLineChars="200"/>
        <w:rPr>
          <w:color w:val="auto"/>
          <w:sz w:val="21"/>
          <w:szCs w:val="21"/>
          <w:highlight w:val="none"/>
        </w:rPr>
      </w:pPr>
      <w:r>
        <w:rPr>
          <w:rFonts w:hint="eastAsia"/>
          <w:color w:val="auto"/>
          <w:sz w:val="21"/>
          <w:szCs w:val="21"/>
          <w:highlight w:val="none"/>
        </w:rPr>
        <w:t>注：16.5.3款由招标人二选一，需在招标文件中明确。</w:t>
      </w:r>
    </w:p>
    <w:p>
      <w:pPr>
        <w:pStyle w:val="23"/>
        <w:spacing w:after="0" w:line="360" w:lineRule="auto"/>
        <w:ind w:firstLine="422" w:firstLineChars="200"/>
        <w:rPr>
          <w:rFonts w:ascii="宋体"/>
          <w:b/>
          <w:bCs/>
          <w:color w:val="auto"/>
          <w:sz w:val="21"/>
          <w:szCs w:val="21"/>
          <w:highlight w:val="none"/>
        </w:rPr>
      </w:pPr>
      <w:r>
        <w:rPr>
          <w:rFonts w:ascii="宋体" w:hAnsi="宋体"/>
          <w:b/>
          <w:bCs/>
          <w:color w:val="auto"/>
          <w:sz w:val="21"/>
          <w:szCs w:val="21"/>
          <w:highlight w:val="none"/>
        </w:rPr>
        <w:t>17</w:t>
      </w:r>
      <w:r>
        <w:rPr>
          <w:rFonts w:hint="eastAsia" w:ascii="宋体" w:hAnsi="宋体"/>
          <w:b/>
          <w:bCs/>
          <w:color w:val="auto"/>
          <w:sz w:val="21"/>
          <w:szCs w:val="21"/>
          <w:highlight w:val="none"/>
        </w:rPr>
        <w:t>．投标文件的签署</w:t>
      </w:r>
    </w:p>
    <w:p>
      <w:pPr>
        <w:spacing w:line="360" w:lineRule="auto"/>
        <w:ind w:firstLine="420" w:firstLineChars="200"/>
        <w:rPr>
          <w:color w:val="auto"/>
          <w:sz w:val="21"/>
          <w:szCs w:val="21"/>
          <w:highlight w:val="none"/>
        </w:rPr>
      </w:pPr>
      <w:r>
        <w:rPr>
          <w:color w:val="auto"/>
          <w:sz w:val="21"/>
          <w:szCs w:val="21"/>
          <w:highlight w:val="none"/>
        </w:rPr>
        <w:t>17.1</w:t>
      </w:r>
      <w:r>
        <w:rPr>
          <w:rFonts w:hint="eastAsia"/>
          <w:color w:val="auto"/>
          <w:sz w:val="21"/>
          <w:szCs w:val="21"/>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color w:val="auto"/>
          <w:sz w:val="21"/>
          <w:szCs w:val="21"/>
          <w:highlight w:val="none"/>
          <w:u w:val="single"/>
        </w:rPr>
        <w:t xml:space="preserve">            </w:t>
      </w:r>
      <w:r>
        <w:rPr>
          <w:rFonts w:hint="eastAsia"/>
          <w:color w:val="auto"/>
          <w:sz w:val="21"/>
          <w:szCs w:val="21"/>
          <w:highlight w:val="none"/>
        </w:rPr>
        <w:t xml:space="preserve"> 。</w:t>
      </w:r>
    </w:p>
    <w:p>
      <w:pPr>
        <w:pStyle w:val="4"/>
        <w:spacing w:before="156" w:after="156"/>
        <w:rPr>
          <w:color w:val="auto"/>
          <w:sz w:val="21"/>
          <w:szCs w:val="21"/>
          <w:highlight w:val="none"/>
        </w:rPr>
      </w:pPr>
      <w:bookmarkStart w:id="8" w:name="_Toc2638"/>
      <w:r>
        <w:rPr>
          <w:rFonts w:hint="eastAsia"/>
          <w:color w:val="auto"/>
          <w:sz w:val="21"/>
          <w:szCs w:val="21"/>
          <w:highlight w:val="none"/>
        </w:rPr>
        <w:t>（四）投标文件的提交</w:t>
      </w:r>
      <w:bookmarkEnd w:id="8"/>
    </w:p>
    <w:p>
      <w:pPr>
        <w:pStyle w:val="23"/>
        <w:spacing w:after="0" w:line="360" w:lineRule="auto"/>
        <w:ind w:firstLine="422" w:firstLineChars="200"/>
        <w:rPr>
          <w:rFonts w:ascii="宋体"/>
          <w:b/>
          <w:bCs/>
          <w:color w:val="auto"/>
          <w:sz w:val="21"/>
          <w:szCs w:val="21"/>
          <w:highlight w:val="none"/>
        </w:rPr>
      </w:pPr>
      <w:r>
        <w:rPr>
          <w:rFonts w:ascii="宋体" w:hAnsi="宋体"/>
          <w:b/>
          <w:bCs/>
          <w:color w:val="auto"/>
          <w:sz w:val="21"/>
          <w:szCs w:val="21"/>
          <w:highlight w:val="none"/>
        </w:rPr>
        <w:t>18</w:t>
      </w:r>
      <w:r>
        <w:rPr>
          <w:rFonts w:hint="eastAsia" w:ascii="宋体" w:hAnsi="宋体"/>
          <w:b/>
          <w:bCs/>
          <w:color w:val="auto"/>
          <w:sz w:val="21"/>
          <w:szCs w:val="21"/>
          <w:highlight w:val="none"/>
        </w:rPr>
        <w:t>．</w:t>
      </w:r>
      <w:r>
        <w:rPr>
          <w:rFonts w:hint="eastAsia"/>
          <w:b/>
          <w:color w:val="auto"/>
          <w:sz w:val="21"/>
          <w:szCs w:val="21"/>
          <w:highlight w:val="none"/>
        </w:rPr>
        <w:t>投标文件的密封和标记</w:t>
      </w:r>
    </w:p>
    <w:p>
      <w:pPr>
        <w:spacing w:line="360" w:lineRule="auto"/>
        <w:ind w:firstLine="420" w:firstLineChars="200"/>
        <w:rPr>
          <w:bCs/>
          <w:color w:val="auto"/>
          <w:sz w:val="21"/>
          <w:szCs w:val="21"/>
          <w:highlight w:val="none"/>
        </w:rPr>
      </w:pPr>
      <w:r>
        <w:rPr>
          <w:bCs/>
          <w:color w:val="auto"/>
          <w:sz w:val="21"/>
          <w:szCs w:val="21"/>
          <w:highlight w:val="none"/>
        </w:rPr>
        <w:t>1</w:t>
      </w:r>
      <w:r>
        <w:rPr>
          <w:rFonts w:hint="eastAsia"/>
          <w:bCs/>
          <w:color w:val="auto"/>
          <w:sz w:val="21"/>
          <w:szCs w:val="21"/>
          <w:highlight w:val="none"/>
        </w:rPr>
        <w:t>8</w:t>
      </w:r>
      <w:r>
        <w:rPr>
          <w:bCs/>
          <w:color w:val="auto"/>
          <w:sz w:val="21"/>
          <w:szCs w:val="21"/>
          <w:highlight w:val="none"/>
        </w:rPr>
        <w:t>.1</w:t>
      </w:r>
      <w:r>
        <w:rPr>
          <w:rFonts w:hint="eastAsia"/>
          <w:bCs/>
          <w:color w:val="auto"/>
          <w:sz w:val="21"/>
          <w:szCs w:val="21"/>
          <w:highlight w:val="none"/>
        </w:rPr>
        <w:t>递交的电子投标文件（不含备用光盘）必须进行加密。按照交易平台关于</w:t>
      </w:r>
      <w:r>
        <w:rPr>
          <w:rFonts w:hint="eastAsia"/>
          <w:color w:val="auto"/>
          <w:sz w:val="21"/>
          <w:szCs w:val="21"/>
          <w:highlight w:val="none"/>
        </w:rPr>
        <w:t>全流程电子化项目的相关指南进行操作。详见：</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color w:val="auto"/>
          <w:sz w:val="21"/>
          <w:szCs w:val="21"/>
          <w:highlight w:val="none"/>
        </w:rPr>
        <w:t xml:space="preserve"> 。</w:t>
      </w:r>
    </w:p>
    <w:p>
      <w:pPr>
        <w:spacing w:line="360" w:lineRule="auto"/>
        <w:ind w:firstLine="420" w:firstLineChars="200"/>
        <w:rPr>
          <w:bCs/>
          <w:color w:val="auto"/>
          <w:sz w:val="21"/>
          <w:szCs w:val="21"/>
          <w:highlight w:val="none"/>
        </w:rPr>
      </w:pPr>
      <w:r>
        <w:rPr>
          <w:bCs/>
          <w:color w:val="auto"/>
          <w:sz w:val="21"/>
          <w:szCs w:val="21"/>
          <w:highlight w:val="none"/>
        </w:rPr>
        <w:t>1</w:t>
      </w:r>
      <w:r>
        <w:rPr>
          <w:rFonts w:hint="eastAsia"/>
          <w:bCs/>
          <w:color w:val="auto"/>
          <w:sz w:val="21"/>
          <w:szCs w:val="21"/>
          <w:highlight w:val="none"/>
        </w:rPr>
        <w:t>8</w:t>
      </w:r>
      <w:r>
        <w:rPr>
          <w:bCs/>
          <w:color w:val="auto"/>
          <w:sz w:val="21"/>
          <w:szCs w:val="21"/>
          <w:highlight w:val="none"/>
        </w:rPr>
        <w:t xml:space="preserve">.2 </w:t>
      </w:r>
      <w:r>
        <w:rPr>
          <w:rFonts w:hint="eastAsia"/>
          <w:bCs/>
          <w:color w:val="auto"/>
          <w:sz w:val="21"/>
          <w:szCs w:val="21"/>
          <w:highlight w:val="none"/>
        </w:rPr>
        <w:t>未按要求加密的投标文件，</w:t>
      </w:r>
      <w:r>
        <w:rPr>
          <w:color w:val="auto"/>
          <w:sz w:val="21"/>
          <w:szCs w:val="21"/>
          <w:highlight w:val="none"/>
          <w:u w:val="single"/>
        </w:rPr>
        <w:t xml:space="preserve">        </w:t>
      </w:r>
      <w:r>
        <w:rPr>
          <w:rFonts w:hint="eastAsia"/>
          <w:color w:val="auto"/>
          <w:sz w:val="21"/>
          <w:szCs w:val="21"/>
          <w:highlight w:val="none"/>
        </w:rPr>
        <w:t>交易平台</w:t>
      </w:r>
      <w:r>
        <w:rPr>
          <w:rFonts w:hint="eastAsia"/>
          <w:bCs/>
          <w:color w:val="auto"/>
          <w:sz w:val="21"/>
          <w:szCs w:val="21"/>
          <w:highlight w:val="none"/>
        </w:rPr>
        <w:t>将予以拒收。</w:t>
      </w:r>
    </w:p>
    <w:p>
      <w:pPr>
        <w:spacing w:line="360" w:lineRule="auto"/>
        <w:ind w:firstLine="422" w:firstLineChars="200"/>
        <w:rPr>
          <w:b/>
          <w:bCs/>
          <w:color w:val="auto"/>
          <w:sz w:val="21"/>
          <w:szCs w:val="21"/>
          <w:highlight w:val="none"/>
        </w:rPr>
      </w:pPr>
      <w:r>
        <w:rPr>
          <w:b/>
          <w:bCs/>
          <w:color w:val="auto"/>
          <w:sz w:val="21"/>
          <w:szCs w:val="21"/>
          <w:highlight w:val="none"/>
        </w:rPr>
        <w:t>19</w:t>
      </w:r>
      <w:r>
        <w:rPr>
          <w:rFonts w:hint="eastAsia"/>
          <w:b/>
          <w:bCs/>
          <w:color w:val="auto"/>
          <w:sz w:val="21"/>
          <w:szCs w:val="21"/>
          <w:highlight w:val="none"/>
        </w:rPr>
        <w:t>．投标文件的递交和接收</w:t>
      </w:r>
    </w:p>
    <w:p>
      <w:pPr>
        <w:spacing w:line="360" w:lineRule="auto"/>
        <w:ind w:firstLine="420" w:firstLineChars="200"/>
        <w:rPr>
          <w:bCs/>
          <w:color w:val="auto"/>
          <w:sz w:val="21"/>
          <w:szCs w:val="21"/>
          <w:highlight w:val="none"/>
        </w:rPr>
      </w:pPr>
      <w:r>
        <w:rPr>
          <w:bCs/>
          <w:color w:val="auto"/>
          <w:sz w:val="21"/>
          <w:szCs w:val="21"/>
          <w:highlight w:val="none"/>
        </w:rPr>
        <w:t>1</w:t>
      </w:r>
      <w:r>
        <w:rPr>
          <w:rFonts w:hint="eastAsia"/>
          <w:bCs/>
          <w:color w:val="auto"/>
          <w:sz w:val="21"/>
          <w:szCs w:val="21"/>
          <w:highlight w:val="none"/>
        </w:rPr>
        <w:t>9</w:t>
      </w:r>
      <w:r>
        <w:rPr>
          <w:bCs/>
          <w:color w:val="auto"/>
          <w:sz w:val="21"/>
          <w:szCs w:val="21"/>
          <w:highlight w:val="none"/>
        </w:rPr>
        <w:t>.</w:t>
      </w:r>
      <w:r>
        <w:rPr>
          <w:rFonts w:hint="eastAsia"/>
          <w:bCs/>
          <w:color w:val="auto"/>
          <w:sz w:val="21"/>
          <w:szCs w:val="21"/>
          <w:highlight w:val="none"/>
        </w:rPr>
        <w:t>1投标人通过</w:t>
      </w:r>
      <w:r>
        <w:rPr>
          <w:color w:val="auto"/>
          <w:sz w:val="21"/>
          <w:szCs w:val="21"/>
          <w:highlight w:val="none"/>
          <w:u w:val="single"/>
        </w:rPr>
        <w:t xml:space="preserve">        </w:t>
      </w:r>
      <w:r>
        <w:rPr>
          <w:rFonts w:hint="eastAsia"/>
          <w:color w:val="auto"/>
          <w:sz w:val="21"/>
          <w:szCs w:val="21"/>
          <w:highlight w:val="none"/>
        </w:rPr>
        <w:t>交易平台递交电子投标文件。</w:t>
      </w:r>
    </w:p>
    <w:p>
      <w:pPr>
        <w:spacing w:line="360" w:lineRule="auto"/>
        <w:ind w:firstLine="420" w:firstLineChars="200"/>
        <w:rPr>
          <w:bCs/>
          <w:color w:val="auto"/>
          <w:sz w:val="21"/>
          <w:szCs w:val="21"/>
          <w:highlight w:val="none"/>
        </w:rPr>
      </w:pPr>
      <w:r>
        <w:rPr>
          <w:bCs/>
          <w:color w:val="auto"/>
          <w:sz w:val="21"/>
          <w:szCs w:val="21"/>
          <w:highlight w:val="none"/>
        </w:rPr>
        <w:t>1</w:t>
      </w:r>
      <w:r>
        <w:rPr>
          <w:rFonts w:hint="eastAsia"/>
          <w:bCs/>
          <w:color w:val="auto"/>
          <w:sz w:val="21"/>
          <w:szCs w:val="21"/>
          <w:highlight w:val="none"/>
        </w:rPr>
        <w:t>9</w:t>
      </w:r>
      <w:r>
        <w:rPr>
          <w:bCs/>
          <w:color w:val="auto"/>
          <w:sz w:val="21"/>
          <w:szCs w:val="21"/>
          <w:highlight w:val="none"/>
        </w:rPr>
        <w:t>.</w:t>
      </w:r>
      <w:r>
        <w:rPr>
          <w:rFonts w:hint="eastAsia"/>
          <w:bCs/>
          <w:color w:val="auto"/>
          <w:sz w:val="21"/>
          <w:szCs w:val="21"/>
          <w:highlight w:val="none"/>
        </w:rPr>
        <w:t>2投标人完成电子</w:t>
      </w:r>
      <w:r>
        <w:rPr>
          <w:rFonts w:hint="eastAsia"/>
          <w:color w:val="auto"/>
          <w:sz w:val="21"/>
          <w:szCs w:val="21"/>
          <w:highlight w:val="none"/>
        </w:rPr>
        <w:t>投标文件</w:t>
      </w:r>
      <w:r>
        <w:rPr>
          <w:rFonts w:hint="eastAsia"/>
          <w:bCs/>
          <w:color w:val="auto"/>
          <w:sz w:val="21"/>
          <w:szCs w:val="21"/>
          <w:highlight w:val="none"/>
        </w:rPr>
        <w:t>上传后，</w:t>
      </w:r>
      <w:r>
        <w:rPr>
          <w:color w:val="auto"/>
          <w:sz w:val="21"/>
          <w:szCs w:val="21"/>
          <w:highlight w:val="none"/>
          <w:u w:val="single"/>
        </w:rPr>
        <w:t xml:space="preserve">        </w:t>
      </w:r>
      <w:r>
        <w:rPr>
          <w:rFonts w:hint="eastAsia"/>
          <w:color w:val="auto"/>
          <w:sz w:val="21"/>
          <w:szCs w:val="21"/>
          <w:highlight w:val="none"/>
        </w:rPr>
        <w:t>交易平台即时向投标人发出递交回执通知。递交时间以递交回执通知载明的传输完成时间为准。</w:t>
      </w:r>
    </w:p>
    <w:p>
      <w:pPr>
        <w:spacing w:line="360" w:lineRule="auto"/>
        <w:ind w:firstLine="420" w:firstLineChars="200"/>
        <w:rPr>
          <w:color w:val="auto"/>
          <w:sz w:val="21"/>
          <w:szCs w:val="21"/>
          <w:highlight w:val="none"/>
        </w:rPr>
      </w:pPr>
      <w:r>
        <w:rPr>
          <w:bCs/>
          <w:color w:val="auto"/>
          <w:sz w:val="21"/>
          <w:szCs w:val="21"/>
          <w:highlight w:val="none"/>
        </w:rPr>
        <w:t>1</w:t>
      </w:r>
      <w:r>
        <w:rPr>
          <w:rFonts w:hint="eastAsia"/>
          <w:bCs/>
          <w:color w:val="auto"/>
          <w:sz w:val="21"/>
          <w:szCs w:val="21"/>
          <w:highlight w:val="none"/>
        </w:rPr>
        <w:t>9</w:t>
      </w:r>
      <w:r>
        <w:rPr>
          <w:bCs/>
          <w:color w:val="auto"/>
          <w:sz w:val="21"/>
          <w:szCs w:val="21"/>
          <w:highlight w:val="none"/>
        </w:rPr>
        <w:t>.</w:t>
      </w:r>
      <w:r>
        <w:rPr>
          <w:rFonts w:hint="eastAsia"/>
          <w:bCs/>
          <w:color w:val="auto"/>
          <w:sz w:val="21"/>
          <w:szCs w:val="21"/>
          <w:highlight w:val="none"/>
        </w:rPr>
        <w:t>3逾期送达的电子投标文件，</w:t>
      </w:r>
      <w:r>
        <w:rPr>
          <w:color w:val="auto"/>
          <w:sz w:val="21"/>
          <w:szCs w:val="21"/>
          <w:highlight w:val="none"/>
          <w:u w:val="single"/>
        </w:rPr>
        <w:t xml:space="preserve">        </w:t>
      </w:r>
      <w:r>
        <w:rPr>
          <w:rFonts w:hint="eastAsia"/>
          <w:color w:val="auto"/>
          <w:sz w:val="21"/>
          <w:szCs w:val="21"/>
          <w:highlight w:val="none"/>
        </w:rPr>
        <w:t>交易平台将予以拒收。</w:t>
      </w:r>
    </w:p>
    <w:p>
      <w:pPr>
        <w:spacing w:line="360" w:lineRule="auto"/>
        <w:ind w:firstLine="420" w:firstLineChars="200"/>
        <w:rPr>
          <w:color w:val="auto"/>
          <w:sz w:val="21"/>
          <w:szCs w:val="21"/>
          <w:highlight w:val="none"/>
        </w:rPr>
      </w:pPr>
      <w:r>
        <w:rPr>
          <w:color w:val="auto"/>
          <w:sz w:val="21"/>
          <w:szCs w:val="21"/>
          <w:highlight w:val="none"/>
        </w:rPr>
        <w:t>19.</w:t>
      </w:r>
      <w:r>
        <w:rPr>
          <w:rFonts w:hint="eastAsia"/>
          <w:color w:val="auto"/>
          <w:sz w:val="21"/>
          <w:szCs w:val="21"/>
          <w:highlight w:val="none"/>
        </w:rPr>
        <w:t>4</w:t>
      </w:r>
      <w:r>
        <w:rPr>
          <w:color w:val="auto"/>
          <w:sz w:val="21"/>
          <w:szCs w:val="21"/>
          <w:highlight w:val="none"/>
        </w:rPr>
        <w:t xml:space="preserve"> </w:t>
      </w:r>
      <w:r>
        <w:rPr>
          <w:rFonts w:hint="eastAsia"/>
          <w:color w:val="auto"/>
          <w:sz w:val="21"/>
          <w:szCs w:val="21"/>
          <w:highlight w:val="none"/>
        </w:rPr>
        <w:t>投标截止前，招标人拒绝接收符合条件的投标文件，投标人可向招标投标监督机构投诉。</w:t>
      </w:r>
    </w:p>
    <w:p>
      <w:pPr>
        <w:spacing w:line="360" w:lineRule="auto"/>
        <w:ind w:firstLine="420" w:firstLineChars="200"/>
        <w:rPr>
          <w:color w:val="auto"/>
          <w:sz w:val="21"/>
          <w:szCs w:val="21"/>
          <w:highlight w:val="none"/>
        </w:rPr>
      </w:pPr>
      <w:r>
        <w:rPr>
          <w:color w:val="auto"/>
          <w:sz w:val="21"/>
          <w:szCs w:val="21"/>
          <w:highlight w:val="none"/>
        </w:rPr>
        <w:t>19.</w:t>
      </w:r>
      <w:r>
        <w:rPr>
          <w:rFonts w:hint="eastAsia"/>
          <w:color w:val="auto"/>
          <w:sz w:val="21"/>
          <w:szCs w:val="21"/>
          <w:highlight w:val="none"/>
        </w:rPr>
        <w:t>5如技术标和经济标先后分别开启，</w:t>
      </w:r>
      <w:r>
        <w:rPr>
          <w:color w:val="auto"/>
          <w:sz w:val="21"/>
          <w:szCs w:val="21"/>
          <w:highlight w:val="none"/>
          <w:u w:val="single"/>
        </w:rPr>
        <w:t xml:space="preserve">        </w:t>
      </w:r>
      <w:r>
        <w:rPr>
          <w:rFonts w:hint="eastAsia"/>
          <w:color w:val="auto"/>
          <w:sz w:val="21"/>
          <w:szCs w:val="21"/>
          <w:highlight w:val="none"/>
        </w:rPr>
        <w:t>交易平台将按招标文件规定的时间分别开启技术标和经济标。</w:t>
      </w:r>
    </w:p>
    <w:p>
      <w:pPr>
        <w:spacing w:line="360" w:lineRule="auto"/>
        <w:ind w:firstLine="420" w:firstLineChars="200"/>
        <w:rPr>
          <w:color w:val="auto"/>
          <w:sz w:val="21"/>
          <w:szCs w:val="21"/>
          <w:highlight w:val="none"/>
        </w:rPr>
      </w:pPr>
      <w:r>
        <w:rPr>
          <w:color w:val="auto"/>
          <w:sz w:val="21"/>
          <w:szCs w:val="21"/>
          <w:highlight w:val="none"/>
        </w:rPr>
        <w:t>19.6</w:t>
      </w:r>
      <w:r>
        <w:rPr>
          <w:rFonts w:hint="eastAsia"/>
          <w:color w:val="auto"/>
          <w:sz w:val="21"/>
          <w:szCs w:val="21"/>
          <w:highlight w:val="none"/>
        </w:rPr>
        <w:t>在规定的时间内，项目负责人须到自助签到。按照交易平台有关项目负责人自助签到流程进行操作。项目负责人凡未凭身份证按时到达指定地点签到的，该投标文件将不能参与资格审查和评标（选择性条款）。</w:t>
      </w:r>
    </w:p>
    <w:p>
      <w:pPr>
        <w:spacing w:line="360" w:lineRule="auto"/>
        <w:ind w:firstLine="422" w:firstLineChars="200"/>
        <w:rPr>
          <w:b/>
          <w:bCs/>
          <w:color w:val="auto"/>
          <w:sz w:val="21"/>
          <w:szCs w:val="21"/>
          <w:highlight w:val="none"/>
        </w:rPr>
      </w:pPr>
      <w:r>
        <w:rPr>
          <w:b/>
          <w:bCs/>
          <w:color w:val="auto"/>
          <w:sz w:val="21"/>
          <w:szCs w:val="21"/>
          <w:highlight w:val="none"/>
        </w:rPr>
        <w:t>20</w:t>
      </w:r>
      <w:r>
        <w:rPr>
          <w:rFonts w:hint="eastAsia"/>
          <w:b/>
          <w:bCs/>
          <w:color w:val="auto"/>
          <w:sz w:val="21"/>
          <w:szCs w:val="21"/>
          <w:highlight w:val="none"/>
        </w:rPr>
        <w:t>．投标文件提交的截止时间</w:t>
      </w:r>
    </w:p>
    <w:p>
      <w:pPr>
        <w:spacing w:line="360" w:lineRule="auto"/>
        <w:ind w:firstLine="420" w:firstLineChars="200"/>
        <w:rPr>
          <w:b/>
          <w:bCs/>
          <w:color w:val="auto"/>
          <w:sz w:val="21"/>
          <w:szCs w:val="21"/>
          <w:highlight w:val="none"/>
        </w:rPr>
      </w:pPr>
      <w:r>
        <w:rPr>
          <w:color w:val="auto"/>
          <w:sz w:val="21"/>
          <w:szCs w:val="21"/>
          <w:highlight w:val="none"/>
        </w:rPr>
        <w:t>20.1</w:t>
      </w:r>
      <w:r>
        <w:rPr>
          <w:rFonts w:hint="eastAsia"/>
          <w:color w:val="auto"/>
          <w:sz w:val="21"/>
          <w:szCs w:val="21"/>
          <w:highlight w:val="none"/>
        </w:rPr>
        <w:t>投标人应在投标须知前附表第17项所述的时间前提交投标文件。</w:t>
      </w:r>
    </w:p>
    <w:p>
      <w:pPr>
        <w:spacing w:line="360" w:lineRule="auto"/>
        <w:ind w:firstLine="420" w:firstLineChars="200"/>
        <w:rPr>
          <w:color w:val="auto"/>
          <w:sz w:val="21"/>
          <w:szCs w:val="21"/>
          <w:highlight w:val="none"/>
        </w:rPr>
      </w:pPr>
      <w:r>
        <w:rPr>
          <w:color w:val="auto"/>
          <w:sz w:val="21"/>
          <w:szCs w:val="21"/>
          <w:highlight w:val="none"/>
        </w:rPr>
        <w:t>20.2</w:t>
      </w:r>
      <w:r>
        <w:rPr>
          <w:rFonts w:hint="eastAsia"/>
          <w:color w:val="auto"/>
          <w:sz w:val="21"/>
          <w:szCs w:val="21"/>
          <w:highlight w:val="none"/>
        </w:rPr>
        <w:t>招标人可按本须知第</w:t>
      </w:r>
      <w:r>
        <w:rPr>
          <w:color w:val="auto"/>
          <w:sz w:val="21"/>
          <w:szCs w:val="21"/>
          <w:highlight w:val="none"/>
        </w:rPr>
        <w:t>9</w:t>
      </w:r>
      <w:r>
        <w:rPr>
          <w:rFonts w:hint="eastAsia"/>
          <w:color w:val="auto"/>
          <w:sz w:val="21"/>
          <w:szCs w:val="21"/>
          <w:highlight w:val="none"/>
        </w:rPr>
        <w:t>条规定以招标文件修改的方式，酌情延长提交投标文件的截止时间。在此情况下，投标人的所有权利和义务以及投标人受制约的截止时间，均以延长后新的投标截止时间为准。</w:t>
      </w:r>
    </w:p>
    <w:p>
      <w:pPr>
        <w:spacing w:line="360" w:lineRule="auto"/>
        <w:ind w:firstLine="420" w:firstLineChars="200"/>
        <w:rPr>
          <w:color w:val="auto"/>
          <w:sz w:val="21"/>
          <w:szCs w:val="21"/>
          <w:highlight w:val="none"/>
        </w:rPr>
      </w:pPr>
      <w:r>
        <w:rPr>
          <w:color w:val="auto"/>
          <w:sz w:val="21"/>
          <w:szCs w:val="21"/>
          <w:highlight w:val="none"/>
        </w:rPr>
        <w:t xml:space="preserve">20.3 </w:t>
      </w:r>
      <w:r>
        <w:rPr>
          <w:rFonts w:hint="eastAsia"/>
          <w:color w:val="auto"/>
          <w:sz w:val="21"/>
          <w:szCs w:val="21"/>
          <w:highlight w:val="none"/>
        </w:rPr>
        <w:t>到投标截止时间止，招标人收到的投标文件少于3家的，招标人将重新组织招标（当</w:t>
      </w:r>
      <w:r>
        <w:rPr>
          <w:color w:val="auto"/>
          <w:sz w:val="21"/>
          <w:szCs w:val="21"/>
          <w:highlight w:val="none"/>
        </w:rPr>
        <w:t>N</w:t>
      </w:r>
      <w:r>
        <w:rPr>
          <w:rFonts w:hint="eastAsia"/>
          <w:color w:val="auto"/>
          <w:sz w:val="21"/>
          <w:szCs w:val="21"/>
          <w:highlight w:val="none"/>
        </w:rPr>
        <w:t>个标段同时招标且不允许兼中时，若有效投标人不足</w:t>
      </w:r>
      <w:r>
        <w:rPr>
          <w:color w:val="auto"/>
          <w:sz w:val="21"/>
          <w:szCs w:val="21"/>
          <w:highlight w:val="none"/>
        </w:rPr>
        <w:t>N+</w:t>
      </w:r>
      <w:r>
        <w:rPr>
          <w:rFonts w:hint="eastAsia"/>
          <w:color w:val="auto"/>
          <w:sz w:val="21"/>
          <w:szCs w:val="21"/>
          <w:highlight w:val="none"/>
        </w:rPr>
        <w:t>2家，则重新组织招标）。</w:t>
      </w:r>
    </w:p>
    <w:p>
      <w:pPr>
        <w:spacing w:line="360" w:lineRule="auto"/>
        <w:ind w:firstLine="422" w:firstLineChars="200"/>
        <w:rPr>
          <w:b/>
          <w:bCs/>
          <w:color w:val="auto"/>
          <w:sz w:val="21"/>
          <w:szCs w:val="21"/>
          <w:highlight w:val="none"/>
        </w:rPr>
      </w:pPr>
      <w:r>
        <w:rPr>
          <w:b/>
          <w:bCs/>
          <w:color w:val="auto"/>
          <w:sz w:val="21"/>
          <w:szCs w:val="21"/>
          <w:highlight w:val="none"/>
        </w:rPr>
        <w:t>21</w:t>
      </w:r>
      <w:r>
        <w:rPr>
          <w:rFonts w:hint="eastAsia"/>
          <w:b/>
          <w:bCs/>
          <w:color w:val="auto"/>
          <w:sz w:val="21"/>
          <w:szCs w:val="21"/>
          <w:highlight w:val="none"/>
        </w:rPr>
        <w:t>．迟交的投标文件</w:t>
      </w:r>
    </w:p>
    <w:p>
      <w:pPr>
        <w:spacing w:line="360" w:lineRule="auto"/>
        <w:ind w:firstLine="420" w:firstLineChars="200"/>
        <w:rPr>
          <w:color w:val="auto"/>
          <w:sz w:val="21"/>
          <w:szCs w:val="21"/>
          <w:highlight w:val="none"/>
        </w:rPr>
      </w:pPr>
      <w:r>
        <w:rPr>
          <w:color w:val="auto"/>
          <w:sz w:val="21"/>
          <w:szCs w:val="21"/>
          <w:highlight w:val="none"/>
        </w:rPr>
        <w:t xml:space="preserve">21.1 </w:t>
      </w:r>
      <w:r>
        <w:rPr>
          <w:rFonts w:hint="eastAsia"/>
          <w:color w:val="auto"/>
          <w:sz w:val="21"/>
          <w:szCs w:val="21"/>
          <w:highlight w:val="none"/>
        </w:rPr>
        <w:t>本须知前附表第</w:t>
      </w:r>
      <w:r>
        <w:rPr>
          <w:color w:val="auto"/>
          <w:sz w:val="21"/>
          <w:szCs w:val="21"/>
          <w:highlight w:val="none"/>
        </w:rPr>
        <w:t>1</w:t>
      </w:r>
      <w:r>
        <w:rPr>
          <w:rFonts w:hint="eastAsia"/>
          <w:color w:val="auto"/>
          <w:sz w:val="21"/>
          <w:szCs w:val="21"/>
          <w:highlight w:val="none"/>
        </w:rPr>
        <w:t>7项规定的投标截止时间</w:t>
      </w:r>
      <w:r>
        <w:rPr>
          <w:rFonts w:hint="eastAsia"/>
          <w:bCs/>
          <w:color w:val="auto"/>
          <w:sz w:val="21"/>
          <w:szCs w:val="21"/>
          <w:highlight w:val="none"/>
        </w:rPr>
        <w:t>后送达的电子投标文件，</w:t>
      </w:r>
      <w:r>
        <w:rPr>
          <w:color w:val="auto"/>
          <w:sz w:val="21"/>
          <w:szCs w:val="21"/>
          <w:highlight w:val="none"/>
          <w:u w:val="single"/>
        </w:rPr>
        <w:t xml:space="preserve">       </w:t>
      </w:r>
      <w:r>
        <w:rPr>
          <w:rFonts w:hint="eastAsia"/>
          <w:color w:val="auto"/>
          <w:sz w:val="21"/>
          <w:szCs w:val="21"/>
          <w:highlight w:val="none"/>
        </w:rPr>
        <w:t>交易平台将予以拒收。</w:t>
      </w:r>
    </w:p>
    <w:p>
      <w:pPr>
        <w:spacing w:line="360" w:lineRule="auto"/>
        <w:ind w:firstLine="422" w:firstLineChars="200"/>
        <w:rPr>
          <w:b/>
          <w:bCs/>
          <w:color w:val="auto"/>
          <w:sz w:val="21"/>
          <w:szCs w:val="21"/>
          <w:highlight w:val="none"/>
        </w:rPr>
      </w:pPr>
      <w:r>
        <w:rPr>
          <w:b/>
          <w:bCs/>
          <w:color w:val="auto"/>
          <w:sz w:val="21"/>
          <w:szCs w:val="21"/>
          <w:highlight w:val="none"/>
        </w:rPr>
        <w:t>22</w:t>
      </w:r>
      <w:r>
        <w:rPr>
          <w:rFonts w:hint="eastAsia"/>
          <w:b/>
          <w:bCs/>
          <w:color w:val="auto"/>
          <w:sz w:val="21"/>
          <w:szCs w:val="21"/>
          <w:highlight w:val="none"/>
        </w:rPr>
        <w:t>．投标文件的修改与撤回</w:t>
      </w:r>
    </w:p>
    <w:p>
      <w:pPr>
        <w:spacing w:line="360" w:lineRule="auto"/>
        <w:ind w:firstLine="420" w:firstLineChars="200"/>
        <w:rPr>
          <w:color w:val="auto"/>
          <w:sz w:val="21"/>
          <w:szCs w:val="21"/>
          <w:highlight w:val="none"/>
        </w:rPr>
      </w:pPr>
      <w:r>
        <w:rPr>
          <w:color w:val="auto"/>
          <w:sz w:val="21"/>
          <w:szCs w:val="21"/>
          <w:highlight w:val="none"/>
        </w:rPr>
        <w:t>22.1</w:t>
      </w:r>
      <w:r>
        <w:rPr>
          <w:rFonts w:hint="eastAsia"/>
          <w:color w:val="auto"/>
          <w:sz w:val="21"/>
          <w:szCs w:val="21"/>
          <w:highlight w:val="none"/>
        </w:rPr>
        <w:t>在规定的投标截止时间前，投标人可以修改或撤回已递交的投标文件，但应以书面形式通知招标人。</w:t>
      </w:r>
    </w:p>
    <w:p>
      <w:pPr>
        <w:spacing w:line="360" w:lineRule="auto"/>
        <w:ind w:firstLine="420" w:firstLineChars="200"/>
        <w:rPr>
          <w:color w:val="auto"/>
          <w:sz w:val="21"/>
          <w:szCs w:val="21"/>
          <w:highlight w:val="none"/>
        </w:rPr>
      </w:pPr>
      <w:r>
        <w:rPr>
          <w:color w:val="auto"/>
          <w:sz w:val="21"/>
          <w:szCs w:val="21"/>
          <w:highlight w:val="none"/>
        </w:rPr>
        <w:t>22.2投标人修改或撤回已递交</w:t>
      </w:r>
      <w:r>
        <w:rPr>
          <w:rFonts w:hint="eastAsia"/>
          <w:color w:val="auto"/>
          <w:sz w:val="21"/>
          <w:szCs w:val="21"/>
          <w:highlight w:val="none"/>
        </w:rPr>
        <w:t>的</w:t>
      </w:r>
      <w:r>
        <w:rPr>
          <w:color w:val="auto"/>
          <w:sz w:val="21"/>
          <w:szCs w:val="21"/>
          <w:highlight w:val="none"/>
        </w:rPr>
        <w:t>投标文件</w:t>
      </w:r>
      <w:r>
        <w:rPr>
          <w:rFonts w:hint="eastAsia"/>
          <w:color w:val="auto"/>
          <w:sz w:val="21"/>
          <w:szCs w:val="21"/>
          <w:highlight w:val="none"/>
        </w:rPr>
        <w:t>，需在交易平台发出修改或撤回</w:t>
      </w:r>
      <w:r>
        <w:rPr>
          <w:color w:val="auto"/>
          <w:sz w:val="21"/>
          <w:szCs w:val="21"/>
          <w:highlight w:val="none"/>
        </w:rPr>
        <w:t>通知，</w:t>
      </w:r>
      <w:r>
        <w:rPr>
          <w:rFonts w:hint="eastAsia"/>
          <w:color w:val="auto"/>
          <w:sz w:val="21"/>
          <w:szCs w:val="21"/>
          <w:highlight w:val="none"/>
        </w:rPr>
        <w:t>并按</w:t>
      </w:r>
      <w:r>
        <w:rPr>
          <w:color w:val="auto"/>
          <w:sz w:val="21"/>
          <w:szCs w:val="21"/>
          <w:highlight w:val="none"/>
        </w:rPr>
        <w:t>要求加盖电子印章。</w:t>
      </w:r>
      <w:r>
        <w:rPr>
          <w:bCs/>
          <w:iCs/>
          <w:color w:val="auto"/>
          <w:sz w:val="21"/>
          <w:szCs w:val="21"/>
          <w:highlight w:val="none"/>
        </w:rPr>
        <w:t>电子招标投标交易平台收到通知后，</w:t>
      </w:r>
      <w:r>
        <w:rPr>
          <w:color w:val="auto"/>
          <w:sz w:val="21"/>
          <w:szCs w:val="21"/>
          <w:highlight w:val="none"/>
        </w:rPr>
        <w:t>即时向投标人发出确认回执通知。</w:t>
      </w:r>
    </w:p>
    <w:p>
      <w:pPr>
        <w:spacing w:line="360" w:lineRule="auto"/>
        <w:ind w:firstLine="420" w:firstLineChars="200"/>
        <w:rPr>
          <w:color w:val="auto"/>
          <w:sz w:val="21"/>
          <w:szCs w:val="21"/>
          <w:highlight w:val="none"/>
        </w:rPr>
      </w:pPr>
      <w:r>
        <w:rPr>
          <w:rFonts w:hint="eastAsia"/>
          <w:color w:val="auto"/>
          <w:sz w:val="21"/>
          <w:szCs w:val="21"/>
          <w:highlight w:val="none"/>
        </w:rPr>
        <w:t>22.3修改后再次递交的，按19点的规定执行。</w:t>
      </w:r>
    </w:p>
    <w:p>
      <w:pPr>
        <w:spacing w:line="360" w:lineRule="auto"/>
        <w:ind w:firstLine="420" w:firstLineChars="200"/>
        <w:rPr>
          <w:color w:val="auto"/>
          <w:sz w:val="21"/>
          <w:szCs w:val="21"/>
          <w:highlight w:val="none"/>
        </w:rPr>
      </w:pPr>
      <w:r>
        <w:rPr>
          <w:color w:val="auto"/>
          <w:sz w:val="21"/>
          <w:szCs w:val="21"/>
          <w:highlight w:val="none"/>
        </w:rPr>
        <w:t>22.</w:t>
      </w:r>
      <w:r>
        <w:rPr>
          <w:rFonts w:hint="eastAsia"/>
          <w:color w:val="auto"/>
          <w:sz w:val="21"/>
          <w:szCs w:val="21"/>
          <w:highlight w:val="none"/>
        </w:rPr>
        <w:t>4</w:t>
      </w:r>
      <w:r>
        <w:rPr>
          <w:color w:val="auto"/>
          <w:sz w:val="21"/>
          <w:szCs w:val="21"/>
          <w:highlight w:val="none"/>
        </w:rPr>
        <w:t xml:space="preserve"> </w:t>
      </w:r>
      <w:r>
        <w:rPr>
          <w:rFonts w:hint="eastAsia"/>
          <w:color w:val="auto"/>
          <w:sz w:val="21"/>
          <w:szCs w:val="21"/>
          <w:highlight w:val="none"/>
        </w:rPr>
        <w:t>在投标截止时间之后，投标人不得补充、修改和更换投标文件。</w:t>
      </w:r>
    </w:p>
    <w:p>
      <w:pPr>
        <w:pStyle w:val="4"/>
        <w:spacing w:before="156" w:after="156"/>
        <w:rPr>
          <w:color w:val="auto"/>
          <w:sz w:val="21"/>
          <w:szCs w:val="21"/>
          <w:highlight w:val="none"/>
        </w:rPr>
      </w:pPr>
      <w:bookmarkStart w:id="9" w:name="_Toc29693"/>
      <w:r>
        <w:rPr>
          <w:rFonts w:hint="eastAsia"/>
          <w:color w:val="auto"/>
          <w:sz w:val="21"/>
          <w:szCs w:val="21"/>
          <w:highlight w:val="none"/>
        </w:rPr>
        <w:t>（五）开标、评标、定标及合同签定</w:t>
      </w:r>
      <w:bookmarkEnd w:id="9"/>
    </w:p>
    <w:p>
      <w:pPr>
        <w:spacing w:line="360" w:lineRule="auto"/>
        <w:ind w:firstLine="422" w:firstLineChars="200"/>
        <w:rPr>
          <w:b/>
          <w:bCs/>
          <w:color w:val="auto"/>
          <w:sz w:val="21"/>
          <w:szCs w:val="21"/>
          <w:highlight w:val="none"/>
        </w:rPr>
      </w:pPr>
      <w:r>
        <w:rPr>
          <w:b/>
          <w:bCs/>
          <w:color w:val="auto"/>
          <w:sz w:val="21"/>
          <w:szCs w:val="21"/>
          <w:highlight w:val="none"/>
        </w:rPr>
        <w:t>23</w:t>
      </w:r>
      <w:r>
        <w:rPr>
          <w:rFonts w:hint="eastAsia"/>
          <w:b/>
          <w:bCs/>
          <w:color w:val="auto"/>
          <w:sz w:val="21"/>
          <w:szCs w:val="21"/>
          <w:highlight w:val="none"/>
        </w:rPr>
        <w:t>、开标。</w:t>
      </w:r>
    </w:p>
    <w:p>
      <w:pPr>
        <w:spacing w:line="360" w:lineRule="auto"/>
        <w:ind w:firstLine="420" w:firstLineChars="200"/>
        <w:rPr>
          <w:color w:val="auto"/>
          <w:sz w:val="21"/>
          <w:szCs w:val="21"/>
          <w:highlight w:val="none"/>
        </w:rPr>
      </w:pPr>
      <w:r>
        <w:rPr>
          <w:rFonts w:hint="eastAsia"/>
          <w:color w:val="auto"/>
          <w:sz w:val="21"/>
          <w:szCs w:val="21"/>
          <w:highlight w:val="none"/>
        </w:rPr>
        <w:t>详见第二章开标、评标及定标办法</w:t>
      </w:r>
    </w:p>
    <w:p>
      <w:pPr>
        <w:spacing w:line="360" w:lineRule="auto"/>
        <w:ind w:firstLine="422" w:firstLineChars="200"/>
        <w:rPr>
          <w:b/>
          <w:bCs/>
          <w:color w:val="auto"/>
          <w:sz w:val="21"/>
          <w:szCs w:val="21"/>
          <w:highlight w:val="none"/>
        </w:rPr>
      </w:pPr>
      <w:r>
        <w:rPr>
          <w:b/>
          <w:bCs/>
          <w:color w:val="auto"/>
          <w:sz w:val="21"/>
          <w:szCs w:val="21"/>
          <w:highlight w:val="none"/>
        </w:rPr>
        <w:t>24</w:t>
      </w:r>
      <w:r>
        <w:rPr>
          <w:rFonts w:hint="eastAsia"/>
          <w:b/>
          <w:bCs/>
          <w:color w:val="auto"/>
          <w:sz w:val="21"/>
          <w:szCs w:val="21"/>
          <w:highlight w:val="none"/>
        </w:rPr>
        <w:t>．评标过程的保密</w:t>
      </w:r>
    </w:p>
    <w:p>
      <w:pPr>
        <w:spacing w:line="360" w:lineRule="auto"/>
        <w:ind w:firstLine="420" w:firstLineChars="200"/>
        <w:rPr>
          <w:color w:val="auto"/>
          <w:sz w:val="21"/>
          <w:szCs w:val="21"/>
          <w:highlight w:val="none"/>
        </w:rPr>
      </w:pPr>
      <w:r>
        <w:rPr>
          <w:color w:val="auto"/>
          <w:sz w:val="21"/>
          <w:szCs w:val="21"/>
          <w:highlight w:val="none"/>
        </w:rPr>
        <w:t xml:space="preserve">24.1 </w:t>
      </w:r>
      <w:r>
        <w:rPr>
          <w:rFonts w:hint="eastAsia"/>
          <w:color w:val="auto"/>
          <w:sz w:val="21"/>
          <w:szCs w:val="21"/>
          <w:highlight w:val="none"/>
        </w:rPr>
        <w:t>开标后，直至中标公示为止，凡属于对投标文件的审查、澄清、评价和比较有关的资料以及中标候选人的推荐情况，与评标有关的其他任何情况均严格保密。</w:t>
      </w:r>
    </w:p>
    <w:p>
      <w:pPr>
        <w:spacing w:line="360" w:lineRule="auto"/>
        <w:ind w:firstLine="420" w:firstLineChars="200"/>
        <w:rPr>
          <w:color w:val="auto"/>
          <w:sz w:val="21"/>
          <w:szCs w:val="21"/>
          <w:highlight w:val="none"/>
        </w:rPr>
      </w:pPr>
      <w:r>
        <w:rPr>
          <w:color w:val="auto"/>
          <w:sz w:val="21"/>
          <w:szCs w:val="21"/>
          <w:highlight w:val="none"/>
        </w:rPr>
        <w:t xml:space="preserve">24.2 </w:t>
      </w:r>
      <w:r>
        <w:rPr>
          <w:rFonts w:hint="eastAsia"/>
          <w:color w:val="auto"/>
          <w:sz w:val="21"/>
          <w:szCs w:val="21"/>
          <w:highlight w:val="none"/>
        </w:rPr>
        <w:t>在投标文件的评审和比较、中标候选人推荐以及授予合同的过程中，投标人向招标人和评标委员会施加不公正影响的任何行为，都将会导致其投标被拒绝。</w:t>
      </w:r>
    </w:p>
    <w:p>
      <w:pPr>
        <w:spacing w:line="360" w:lineRule="auto"/>
        <w:ind w:firstLine="422" w:firstLineChars="200"/>
        <w:rPr>
          <w:b/>
          <w:bCs/>
          <w:color w:val="auto"/>
          <w:sz w:val="21"/>
          <w:szCs w:val="21"/>
          <w:highlight w:val="none"/>
        </w:rPr>
      </w:pPr>
      <w:r>
        <w:rPr>
          <w:b/>
          <w:bCs/>
          <w:color w:val="auto"/>
          <w:sz w:val="21"/>
          <w:szCs w:val="21"/>
          <w:highlight w:val="none"/>
        </w:rPr>
        <w:t>25</w:t>
      </w:r>
      <w:r>
        <w:rPr>
          <w:rFonts w:hint="eastAsia"/>
          <w:b/>
          <w:bCs/>
          <w:color w:val="auto"/>
          <w:sz w:val="21"/>
          <w:szCs w:val="21"/>
          <w:highlight w:val="none"/>
        </w:rPr>
        <w:t>．投标文件的澄清，计算错误的修正</w:t>
      </w:r>
    </w:p>
    <w:p>
      <w:pPr>
        <w:spacing w:line="360" w:lineRule="auto"/>
        <w:ind w:firstLine="420" w:firstLineChars="200"/>
        <w:rPr>
          <w:color w:val="auto"/>
          <w:sz w:val="21"/>
          <w:szCs w:val="21"/>
          <w:highlight w:val="none"/>
        </w:rPr>
      </w:pPr>
      <w:r>
        <w:rPr>
          <w:rFonts w:hint="eastAsia"/>
          <w:color w:val="auto"/>
          <w:sz w:val="21"/>
          <w:szCs w:val="21"/>
          <w:highlight w:val="none"/>
        </w:rPr>
        <w:t>详见招标文件第二章开标、评标及定标办法</w:t>
      </w:r>
    </w:p>
    <w:p>
      <w:pPr>
        <w:spacing w:line="360" w:lineRule="auto"/>
        <w:ind w:firstLine="422" w:firstLineChars="200"/>
        <w:rPr>
          <w:b/>
          <w:bCs/>
          <w:color w:val="auto"/>
          <w:sz w:val="21"/>
          <w:szCs w:val="21"/>
          <w:highlight w:val="none"/>
        </w:rPr>
      </w:pPr>
      <w:r>
        <w:rPr>
          <w:b/>
          <w:bCs/>
          <w:color w:val="auto"/>
          <w:sz w:val="21"/>
          <w:szCs w:val="21"/>
          <w:highlight w:val="none"/>
        </w:rPr>
        <w:t>26</w:t>
      </w:r>
      <w:r>
        <w:rPr>
          <w:rFonts w:hint="eastAsia"/>
          <w:b/>
          <w:bCs/>
          <w:color w:val="auto"/>
          <w:sz w:val="21"/>
          <w:szCs w:val="21"/>
          <w:highlight w:val="none"/>
        </w:rPr>
        <w:t>．投标文件的评审、比较和否决</w:t>
      </w:r>
    </w:p>
    <w:p>
      <w:pPr>
        <w:spacing w:line="360" w:lineRule="auto"/>
        <w:ind w:firstLine="420" w:firstLineChars="200"/>
        <w:rPr>
          <w:bCs/>
          <w:color w:val="auto"/>
          <w:sz w:val="21"/>
          <w:szCs w:val="21"/>
          <w:highlight w:val="none"/>
        </w:rPr>
      </w:pPr>
      <w:r>
        <w:rPr>
          <w:rFonts w:hint="eastAsia"/>
          <w:color w:val="auto"/>
          <w:sz w:val="21"/>
          <w:szCs w:val="21"/>
          <w:highlight w:val="none"/>
        </w:rPr>
        <w:t>详见招标文件第二章开标、评标及定标办法。</w:t>
      </w:r>
    </w:p>
    <w:p>
      <w:pPr>
        <w:spacing w:line="360" w:lineRule="auto"/>
        <w:ind w:firstLine="422" w:firstLineChars="200"/>
        <w:rPr>
          <w:b/>
          <w:bCs/>
          <w:color w:val="auto"/>
          <w:sz w:val="21"/>
          <w:szCs w:val="21"/>
          <w:highlight w:val="none"/>
        </w:rPr>
      </w:pPr>
      <w:r>
        <w:rPr>
          <w:b/>
          <w:bCs/>
          <w:color w:val="auto"/>
          <w:sz w:val="21"/>
          <w:szCs w:val="21"/>
          <w:highlight w:val="none"/>
        </w:rPr>
        <w:t>27</w:t>
      </w:r>
      <w:r>
        <w:rPr>
          <w:rFonts w:hint="eastAsia"/>
          <w:b/>
          <w:bCs/>
          <w:color w:val="auto"/>
          <w:sz w:val="21"/>
          <w:szCs w:val="21"/>
          <w:highlight w:val="none"/>
        </w:rPr>
        <w:t>．中标通知书</w:t>
      </w:r>
    </w:p>
    <w:p>
      <w:pPr>
        <w:spacing w:line="360" w:lineRule="auto"/>
        <w:ind w:firstLine="420" w:firstLineChars="200"/>
        <w:rPr>
          <w:color w:val="auto"/>
          <w:sz w:val="21"/>
          <w:szCs w:val="21"/>
          <w:highlight w:val="none"/>
        </w:rPr>
      </w:pPr>
      <w:r>
        <w:rPr>
          <w:color w:val="auto"/>
          <w:sz w:val="21"/>
          <w:szCs w:val="21"/>
          <w:highlight w:val="none"/>
        </w:rPr>
        <w:t>27.1</w:t>
      </w:r>
      <w:r>
        <w:rPr>
          <w:rFonts w:hint="eastAsia"/>
          <w:color w:val="auto"/>
          <w:sz w:val="21"/>
          <w:szCs w:val="21"/>
          <w:highlight w:val="none"/>
        </w:rPr>
        <w:t>招标人将在</w:t>
      </w:r>
      <w:r>
        <w:rPr>
          <w:color w:val="auto"/>
          <w:sz w:val="21"/>
          <w:szCs w:val="21"/>
          <w:highlight w:val="none"/>
          <w:u w:val="single"/>
        </w:rPr>
        <w:t xml:space="preserve">        </w:t>
      </w:r>
      <w:r>
        <w:rPr>
          <w:rFonts w:hint="eastAsia"/>
          <w:color w:val="auto"/>
          <w:sz w:val="21"/>
          <w:szCs w:val="21"/>
          <w:highlight w:val="none"/>
        </w:rPr>
        <w:t>交易平台、广东省招标投标监管网和中国招标投标公共服务平台公示中标候选人，公示期为三天。</w:t>
      </w:r>
    </w:p>
    <w:p>
      <w:pPr>
        <w:spacing w:line="360" w:lineRule="auto"/>
        <w:ind w:firstLine="420" w:firstLineChars="200"/>
        <w:rPr>
          <w:rFonts w:ascii="仿宋_GB2312" w:eastAsia="仿宋_GB2312"/>
          <w:color w:val="auto"/>
          <w:sz w:val="21"/>
          <w:szCs w:val="21"/>
          <w:highlight w:val="none"/>
        </w:rPr>
      </w:pPr>
      <w:r>
        <w:rPr>
          <w:color w:val="auto"/>
          <w:sz w:val="21"/>
          <w:szCs w:val="21"/>
          <w:highlight w:val="none"/>
        </w:rPr>
        <w:t>27.2</w:t>
      </w:r>
      <w:r>
        <w:rPr>
          <w:rFonts w:hint="eastAsia"/>
          <w:color w:val="auto"/>
          <w:sz w:val="21"/>
          <w:szCs w:val="21"/>
          <w:highlight w:val="none"/>
        </w:rPr>
        <w:t>招标人应当自确定中标人后，向招标投标监管机构提交招标投标情况的书面报告；经招投标监管机构备案后，方可发出中标通知书。</w:t>
      </w:r>
    </w:p>
    <w:p>
      <w:pPr>
        <w:spacing w:line="360" w:lineRule="auto"/>
        <w:ind w:firstLine="420" w:firstLineChars="200"/>
        <w:rPr>
          <w:color w:val="auto"/>
          <w:sz w:val="21"/>
          <w:szCs w:val="21"/>
          <w:highlight w:val="none"/>
        </w:rPr>
      </w:pPr>
      <w:r>
        <w:rPr>
          <w:color w:val="auto"/>
          <w:sz w:val="21"/>
          <w:szCs w:val="21"/>
          <w:highlight w:val="none"/>
        </w:rPr>
        <w:t>27.3</w:t>
      </w:r>
      <w:r>
        <w:rPr>
          <w:rFonts w:hint="eastAsia"/>
          <w:color w:val="auto"/>
          <w:sz w:val="21"/>
          <w:szCs w:val="21"/>
          <w:highlight w:val="none"/>
        </w:rPr>
        <w:t>中标人必须在收到中标通知书后</w:t>
      </w:r>
      <w:r>
        <w:rPr>
          <w:color w:val="auto"/>
          <w:sz w:val="21"/>
          <w:szCs w:val="21"/>
          <w:highlight w:val="none"/>
        </w:rPr>
        <w:t>24</w:t>
      </w:r>
      <w:r>
        <w:rPr>
          <w:rFonts w:hint="eastAsia"/>
          <w:color w:val="auto"/>
          <w:sz w:val="21"/>
          <w:szCs w:val="21"/>
          <w:highlight w:val="none"/>
        </w:rPr>
        <w:t>小时之内以书面形式回复招标人，确认收到。</w:t>
      </w:r>
    </w:p>
    <w:p>
      <w:pPr>
        <w:spacing w:line="360" w:lineRule="auto"/>
        <w:ind w:firstLine="420" w:firstLineChars="200"/>
        <w:rPr>
          <w:color w:val="auto"/>
          <w:sz w:val="21"/>
          <w:szCs w:val="21"/>
          <w:highlight w:val="none"/>
        </w:rPr>
      </w:pPr>
      <w:r>
        <w:rPr>
          <w:rFonts w:hint="eastAsia"/>
          <w:color w:val="auto"/>
          <w:sz w:val="21"/>
          <w:szCs w:val="21"/>
          <w:highlight w:val="none"/>
        </w:rPr>
        <w:t>27.4在产生中标候选人后，招标人将中标候选人的投标文件商务部分文件的所有内容（包括人员、业绩、奖项等资料）在</w:t>
      </w:r>
      <w:r>
        <w:rPr>
          <w:color w:val="auto"/>
          <w:sz w:val="21"/>
          <w:szCs w:val="21"/>
          <w:highlight w:val="none"/>
          <w:u w:val="single"/>
        </w:rPr>
        <w:t xml:space="preserve">        </w:t>
      </w:r>
      <w:r>
        <w:rPr>
          <w:rFonts w:hint="eastAsia"/>
          <w:color w:val="auto"/>
          <w:sz w:val="21"/>
          <w:szCs w:val="21"/>
          <w:highlight w:val="none"/>
        </w:rPr>
        <w:t>交易平台和广东省招标投标监管网公开。</w:t>
      </w:r>
    </w:p>
    <w:p>
      <w:pPr>
        <w:spacing w:line="360" w:lineRule="auto"/>
        <w:ind w:firstLine="422" w:firstLineChars="200"/>
        <w:rPr>
          <w:b/>
          <w:bCs/>
          <w:color w:val="auto"/>
          <w:sz w:val="21"/>
          <w:szCs w:val="21"/>
          <w:highlight w:val="none"/>
        </w:rPr>
      </w:pPr>
      <w:r>
        <w:rPr>
          <w:b/>
          <w:bCs/>
          <w:color w:val="auto"/>
          <w:sz w:val="21"/>
          <w:szCs w:val="21"/>
          <w:highlight w:val="none"/>
        </w:rPr>
        <w:t>28</w:t>
      </w:r>
      <w:r>
        <w:rPr>
          <w:rFonts w:hint="eastAsia"/>
          <w:b/>
          <w:bCs/>
          <w:color w:val="auto"/>
          <w:sz w:val="21"/>
          <w:szCs w:val="21"/>
          <w:highlight w:val="none"/>
        </w:rPr>
        <w:t>．合同协议书的签订</w:t>
      </w:r>
    </w:p>
    <w:p>
      <w:pPr>
        <w:spacing w:line="360" w:lineRule="auto"/>
        <w:ind w:firstLine="420" w:firstLineChars="200"/>
        <w:rPr>
          <w:color w:val="auto"/>
          <w:sz w:val="21"/>
          <w:szCs w:val="21"/>
          <w:highlight w:val="none"/>
        </w:rPr>
      </w:pPr>
      <w:r>
        <w:rPr>
          <w:color w:val="auto"/>
          <w:sz w:val="21"/>
          <w:szCs w:val="21"/>
          <w:highlight w:val="none"/>
        </w:rPr>
        <w:t xml:space="preserve">28.1 </w:t>
      </w:r>
      <w:r>
        <w:rPr>
          <w:rFonts w:hint="eastAsia"/>
          <w:color w:val="auto"/>
          <w:sz w:val="21"/>
          <w:szCs w:val="21"/>
          <w:highlight w:val="none"/>
        </w:rPr>
        <w:t>招标人与中标人将于中标通知书发出之日起</w:t>
      </w:r>
      <w:r>
        <w:rPr>
          <w:color w:val="auto"/>
          <w:sz w:val="21"/>
          <w:szCs w:val="21"/>
          <w:highlight w:val="none"/>
        </w:rPr>
        <w:t>30</w:t>
      </w:r>
      <w:r>
        <w:rPr>
          <w:rFonts w:hint="eastAsia"/>
          <w:color w:val="auto"/>
          <w:sz w:val="21"/>
          <w:szCs w:val="21"/>
          <w:highlight w:val="none"/>
        </w:rPr>
        <w:t>日内，按照招标文件和中标人的投标文件商定和签订合同，招标人和中标人不得再行订立背离合同实质性内容的其他协议。</w:t>
      </w:r>
    </w:p>
    <w:p>
      <w:pPr>
        <w:spacing w:line="360" w:lineRule="auto"/>
        <w:ind w:firstLine="420" w:firstLineChars="200"/>
        <w:rPr>
          <w:color w:val="auto"/>
          <w:sz w:val="21"/>
          <w:szCs w:val="21"/>
          <w:highlight w:val="none"/>
        </w:rPr>
      </w:pPr>
      <w:r>
        <w:rPr>
          <w:color w:val="auto"/>
          <w:sz w:val="21"/>
          <w:szCs w:val="21"/>
          <w:highlight w:val="none"/>
        </w:rPr>
        <w:t>28.2</w:t>
      </w:r>
      <w:r>
        <w:rPr>
          <w:rFonts w:hint="eastAsia"/>
          <w:color w:val="auto"/>
          <w:sz w:val="21"/>
          <w:szCs w:val="21"/>
          <w:highlight w:val="none"/>
        </w:rPr>
        <w:t>中标通知书发出之日起</w:t>
      </w:r>
      <w:r>
        <w:rPr>
          <w:color w:val="auto"/>
          <w:sz w:val="21"/>
          <w:szCs w:val="21"/>
          <w:highlight w:val="none"/>
        </w:rPr>
        <w:t>30</w:t>
      </w:r>
      <w:r>
        <w:rPr>
          <w:rFonts w:hint="eastAsia"/>
          <w:color w:val="auto"/>
          <w:sz w:val="21"/>
          <w:szCs w:val="21"/>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20" w:firstLineChars="200"/>
        <w:rPr>
          <w:color w:val="auto"/>
          <w:sz w:val="21"/>
          <w:szCs w:val="21"/>
          <w:highlight w:val="none"/>
        </w:rPr>
      </w:pPr>
      <w:r>
        <w:rPr>
          <w:color w:val="auto"/>
          <w:sz w:val="21"/>
          <w:szCs w:val="21"/>
          <w:highlight w:val="none"/>
        </w:rPr>
        <w:t>28.3</w:t>
      </w:r>
      <w:r>
        <w:rPr>
          <w:rFonts w:hint="eastAsia"/>
          <w:color w:val="auto"/>
          <w:sz w:val="21"/>
          <w:szCs w:val="21"/>
          <w:highlight w:val="none"/>
        </w:rPr>
        <w:t>非经招标人同意，中标人在投标过程中使用的银行名称及帐号至完成竣工结算不得变更，否则招标人有权停止工程款项的拔付及至解除合同，由此造成的一切责任由中标人承担。</w:t>
      </w:r>
    </w:p>
    <w:p>
      <w:pPr>
        <w:spacing w:line="360" w:lineRule="auto"/>
        <w:ind w:firstLine="420" w:firstLineChars="200"/>
        <w:rPr>
          <w:color w:val="auto"/>
          <w:sz w:val="21"/>
          <w:szCs w:val="21"/>
          <w:highlight w:val="none"/>
        </w:rPr>
      </w:pPr>
      <w:r>
        <w:rPr>
          <w:color w:val="auto"/>
          <w:sz w:val="21"/>
          <w:szCs w:val="21"/>
          <w:highlight w:val="none"/>
        </w:rPr>
        <w:t>28.4</w:t>
      </w:r>
      <w:r>
        <w:rPr>
          <w:rFonts w:hint="eastAsia"/>
          <w:color w:val="auto"/>
          <w:sz w:val="21"/>
          <w:szCs w:val="21"/>
          <w:highlight w:val="none"/>
        </w:rPr>
        <w:t>招标人支付工程款时，中标人应按规定开具发票。</w:t>
      </w:r>
    </w:p>
    <w:p>
      <w:pPr>
        <w:spacing w:line="360" w:lineRule="auto"/>
        <w:ind w:firstLine="422" w:firstLineChars="200"/>
        <w:rPr>
          <w:b/>
          <w:bCs/>
          <w:color w:val="auto"/>
          <w:sz w:val="21"/>
          <w:szCs w:val="21"/>
          <w:highlight w:val="none"/>
        </w:rPr>
      </w:pPr>
      <w:r>
        <w:rPr>
          <w:b/>
          <w:bCs/>
          <w:color w:val="auto"/>
          <w:sz w:val="21"/>
          <w:szCs w:val="21"/>
          <w:highlight w:val="none"/>
        </w:rPr>
        <w:t>29</w:t>
      </w:r>
      <w:r>
        <w:rPr>
          <w:rFonts w:hint="eastAsia"/>
          <w:b/>
          <w:bCs/>
          <w:color w:val="auto"/>
          <w:sz w:val="21"/>
          <w:szCs w:val="21"/>
          <w:highlight w:val="none"/>
        </w:rPr>
        <w:t>．履约担保</w:t>
      </w:r>
    </w:p>
    <w:p>
      <w:pPr>
        <w:snapToGrid w:val="0"/>
        <w:spacing w:line="360" w:lineRule="auto"/>
        <w:ind w:firstLine="420" w:firstLineChars="200"/>
        <w:rPr>
          <w:color w:val="auto"/>
          <w:sz w:val="21"/>
          <w:szCs w:val="21"/>
          <w:highlight w:val="none"/>
        </w:rPr>
      </w:pPr>
      <w:r>
        <w:rPr>
          <w:color w:val="auto"/>
          <w:sz w:val="21"/>
          <w:szCs w:val="21"/>
          <w:highlight w:val="none"/>
        </w:rPr>
        <w:t xml:space="preserve">29.1 </w:t>
      </w:r>
      <w:r>
        <w:rPr>
          <w:rFonts w:hint="eastAsia"/>
          <w:color w:val="auto"/>
          <w:sz w:val="21"/>
          <w:szCs w:val="21"/>
          <w:highlight w:val="none"/>
        </w:rPr>
        <w:t>在收到中标通知书后的</w:t>
      </w:r>
      <w:r>
        <w:rPr>
          <w:b/>
          <w:color w:val="auto"/>
          <w:sz w:val="21"/>
          <w:szCs w:val="21"/>
          <w:highlight w:val="none"/>
        </w:rPr>
        <w:t>15</w:t>
      </w:r>
      <w:r>
        <w:rPr>
          <w:rFonts w:hint="eastAsia"/>
          <w:b/>
          <w:color w:val="auto"/>
          <w:sz w:val="21"/>
          <w:szCs w:val="21"/>
          <w:highlight w:val="none"/>
        </w:rPr>
        <w:t>日</w:t>
      </w:r>
      <w:r>
        <w:rPr>
          <w:rFonts w:hint="eastAsia"/>
          <w:color w:val="auto"/>
          <w:sz w:val="21"/>
          <w:szCs w:val="21"/>
          <w:highlight w:val="none"/>
        </w:rPr>
        <w:t>内，中标人应按本须知前附表第</w:t>
      </w:r>
      <w:r>
        <w:rPr>
          <w:color w:val="auto"/>
          <w:sz w:val="21"/>
          <w:szCs w:val="21"/>
          <w:highlight w:val="none"/>
        </w:rPr>
        <w:t>2</w:t>
      </w:r>
      <w:r>
        <w:rPr>
          <w:rFonts w:hint="eastAsia"/>
          <w:color w:val="auto"/>
          <w:sz w:val="21"/>
          <w:szCs w:val="21"/>
          <w:highlight w:val="none"/>
        </w:rPr>
        <w:t>0项的规定向招标人提交履约担保。</w:t>
      </w:r>
    </w:p>
    <w:p>
      <w:pPr>
        <w:snapToGrid w:val="0"/>
        <w:spacing w:line="360" w:lineRule="auto"/>
        <w:ind w:firstLine="420" w:firstLineChars="200"/>
        <w:rPr>
          <w:color w:val="auto"/>
          <w:sz w:val="21"/>
          <w:szCs w:val="21"/>
          <w:highlight w:val="none"/>
        </w:rPr>
      </w:pPr>
      <w:r>
        <w:rPr>
          <w:color w:val="auto"/>
          <w:sz w:val="21"/>
          <w:szCs w:val="21"/>
          <w:highlight w:val="none"/>
        </w:rPr>
        <w:t>29.2</w:t>
      </w:r>
      <w:r>
        <w:rPr>
          <w:rFonts w:hint="eastAsia"/>
          <w:color w:val="auto"/>
          <w:sz w:val="21"/>
          <w:szCs w:val="21"/>
          <w:highlight w:val="none"/>
        </w:rPr>
        <w:t>中标通知书发出之日起</w:t>
      </w:r>
      <w:r>
        <w:rPr>
          <w:color w:val="auto"/>
          <w:sz w:val="21"/>
          <w:szCs w:val="21"/>
          <w:highlight w:val="none"/>
        </w:rPr>
        <w:t>15</w:t>
      </w:r>
      <w:r>
        <w:rPr>
          <w:rFonts w:hint="eastAsia"/>
          <w:color w:val="auto"/>
          <w:sz w:val="21"/>
          <w:szCs w:val="21"/>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22" w:firstLineChars="200"/>
        <w:rPr>
          <w:b/>
          <w:bCs/>
          <w:color w:val="auto"/>
          <w:sz w:val="21"/>
          <w:szCs w:val="21"/>
          <w:highlight w:val="none"/>
        </w:rPr>
      </w:pPr>
      <w:r>
        <w:rPr>
          <w:b/>
          <w:bCs/>
          <w:color w:val="auto"/>
          <w:sz w:val="21"/>
          <w:szCs w:val="21"/>
          <w:highlight w:val="none"/>
        </w:rPr>
        <w:t>30</w:t>
      </w:r>
      <w:r>
        <w:rPr>
          <w:rFonts w:hint="eastAsia"/>
          <w:b/>
          <w:bCs/>
          <w:color w:val="auto"/>
          <w:sz w:val="21"/>
          <w:szCs w:val="21"/>
          <w:highlight w:val="none"/>
        </w:rPr>
        <w:t>．合同生效</w:t>
      </w:r>
    </w:p>
    <w:p>
      <w:pPr>
        <w:spacing w:line="360" w:lineRule="auto"/>
        <w:ind w:firstLine="420" w:firstLineChars="200"/>
        <w:rPr>
          <w:color w:val="auto"/>
          <w:sz w:val="21"/>
          <w:szCs w:val="21"/>
          <w:highlight w:val="none"/>
        </w:rPr>
      </w:pPr>
      <w:r>
        <w:rPr>
          <w:color w:val="auto"/>
          <w:sz w:val="21"/>
          <w:szCs w:val="21"/>
          <w:highlight w:val="none"/>
        </w:rPr>
        <w:t>30.1</w:t>
      </w:r>
      <w:r>
        <w:rPr>
          <w:rFonts w:hint="eastAsia"/>
          <w:color w:val="auto"/>
          <w:sz w:val="21"/>
          <w:szCs w:val="21"/>
          <w:highlight w:val="none"/>
        </w:rPr>
        <w:t>在合同双方全权代表在合同协议书上签字，并分别加盖双方单位的公章后，合同正式生效。</w:t>
      </w:r>
    </w:p>
    <w:p>
      <w:pPr>
        <w:spacing w:line="360" w:lineRule="auto"/>
        <w:ind w:firstLine="422" w:firstLineChars="200"/>
        <w:rPr>
          <w:b/>
          <w:bCs/>
          <w:color w:val="auto"/>
          <w:sz w:val="21"/>
          <w:szCs w:val="21"/>
          <w:highlight w:val="none"/>
        </w:rPr>
      </w:pPr>
      <w:r>
        <w:rPr>
          <w:b/>
          <w:bCs/>
          <w:color w:val="auto"/>
          <w:sz w:val="21"/>
          <w:szCs w:val="21"/>
          <w:highlight w:val="none"/>
        </w:rPr>
        <w:t>31</w:t>
      </w:r>
      <w:r>
        <w:rPr>
          <w:rFonts w:hint="eastAsia"/>
          <w:b/>
          <w:bCs/>
          <w:color w:val="auto"/>
          <w:sz w:val="21"/>
          <w:szCs w:val="21"/>
          <w:highlight w:val="none"/>
        </w:rPr>
        <w:t>．其它费用</w:t>
      </w:r>
    </w:p>
    <w:p>
      <w:pPr>
        <w:pStyle w:val="23"/>
        <w:spacing w:after="0" w:line="360" w:lineRule="auto"/>
        <w:ind w:firstLine="422" w:firstLineChars="200"/>
        <w:rPr>
          <w:rFonts w:ascii="宋体"/>
          <w:b/>
          <w:bCs/>
          <w:color w:val="auto"/>
          <w:sz w:val="21"/>
          <w:szCs w:val="21"/>
          <w:highlight w:val="none"/>
        </w:rPr>
      </w:pPr>
      <w:r>
        <w:rPr>
          <w:rFonts w:ascii="宋体" w:hAnsi="宋体"/>
          <w:b/>
          <w:bCs/>
          <w:color w:val="auto"/>
          <w:sz w:val="21"/>
          <w:szCs w:val="21"/>
          <w:highlight w:val="none"/>
        </w:rPr>
        <w:t>32</w:t>
      </w:r>
      <w:r>
        <w:rPr>
          <w:rFonts w:hint="eastAsia" w:ascii="宋体" w:hAnsi="宋体"/>
          <w:b/>
          <w:bCs/>
          <w:color w:val="auto"/>
          <w:sz w:val="21"/>
          <w:szCs w:val="21"/>
          <w:highlight w:val="none"/>
        </w:rPr>
        <w:t>．腐败与欺诈行为</w:t>
      </w:r>
    </w:p>
    <w:p>
      <w:pPr>
        <w:pStyle w:val="23"/>
        <w:spacing w:after="0"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在招标和合同实施期间，招标人要求投标人和承包人遵守最高的道德标准。</w:t>
      </w:r>
    </w:p>
    <w:p>
      <w:pPr>
        <w:pStyle w:val="23"/>
        <w:spacing w:after="0" w:line="360" w:lineRule="auto"/>
        <w:ind w:firstLine="420" w:firstLineChars="200"/>
        <w:rPr>
          <w:rFonts w:ascii="宋体"/>
          <w:color w:val="auto"/>
          <w:sz w:val="21"/>
          <w:szCs w:val="21"/>
          <w:highlight w:val="none"/>
        </w:rPr>
      </w:pPr>
      <w:r>
        <w:rPr>
          <w:rFonts w:ascii="宋体" w:hAnsi="宋体"/>
          <w:color w:val="auto"/>
          <w:sz w:val="21"/>
          <w:szCs w:val="21"/>
          <w:highlight w:val="none"/>
        </w:rPr>
        <w:t>32</w:t>
      </w:r>
      <w:r>
        <w:rPr>
          <w:rFonts w:hint="eastAsia" w:ascii="宋体" w:hAnsi="宋体"/>
          <w:color w:val="auto"/>
          <w:sz w:val="21"/>
          <w:szCs w:val="21"/>
          <w:highlight w:val="none"/>
        </w:rPr>
        <w:t>．</w:t>
      </w:r>
      <w:r>
        <w:rPr>
          <w:rFonts w:ascii="宋体" w:hAnsi="宋体"/>
          <w:color w:val="auto"/>
          <w:sz w:val="21"/>
          <w:szCs w:val="21"/>
          <w:highlight w:val="none"/>
        </w:rPr>
        <w:t>1</w:t>
      </w:r>
      <w:r>
        <w:rPr>
          <w:rFonts w:hint="eastAsia" w:ascii="宋体" w:hAnsi="宋体"/>
          <w:color w:val="auto"/>
          <w:sz w:val="21"/>
          <w:szCs w:val="21"/>
          <w:highlight w:val="none"/>
        </w:rPr>
        <w:t>对本条款的规定，特定义如下词汇：</w:t>
      </w:r>
    </w:p>
    <w:p>
      <w:pPr>
        <w:pStyle w:val="23"/>
        <w:spacing w:after="0" w:line="360" w:lineRule="auto"/>
        <w:ind w:firstLine="420" w:firstLineChars="200"/>
        <w:rPr>
          <w:rFonts w:asci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）、“腐败行为”是指在招标或合同执行期间，通过提供、给予、接受或索要任何有价值的东西，从而影响招标人有关人员工作的行为；</w:t>
      </w:r>
    </w:p>
    <w:p>
      <w:pPr>
        <w:pStyle w:val="23"/>
        <w:spacing w:after="0" w:line="360" w:lineRule="auto"/>
        <w:ind w:firstLine="420" w:firstLineChars="200"/>
        <w:rPr>
          <w:rFonts w:asci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pStyle w:val="23"/>
        <w:spacing w:after="0"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32</w:t>
      </w:r>
      <w:r>
        <w:rPr>
          <w:rFonts w:hint="eastAsia" w:ascii="宋体" w:hAnsi="宋体"/>
          <w:color w:val="auto"/>
          <w:sz w:val="21"/>
          <w:szCs w:val="21"/>
          <w:highlight w:val="none"/>
        </w:rPr>
        <w:t>．</w:t>
      </w:r>
      <w:r>
        <w:rPr>
          <w:rFonts w:ascii="宋体" w:hAnsi="宋体"/>
          <w:color w:val="auto"/>
          <w:sz w:val="21"/>
          <w:szCs w:val="21"/>
          <w:highlight w:val="none"/>
        </w:rPr>
        <w:t>2</w:t>
      </w:r>
      <w:r>
        <w:rPr>
          <w:rFonts w:hint="eastAsia" w:ascii="宋体" w:hAnsi="宋体"/>
          <w:color w:val="auto"/>
          <w:sz w:val="21"/>
          <w:szCs w:val="21"/>
          <w:highlight w:val="none"/>
        </w:rPr>
        <w:t>如果投标人被认定在本招标的竞争中有腐败或欺诈行为，则会被取消投标资格。</w:t>
      </w:r>
    </w:p>
    <w:p>
      <w:pPr>
        <w:pStyle w:val="23"/>
        <w:spacing w:after="0" w:line="360" w:lineRule="auto"/>
        <w:ind w:firstLine="420" w:firstLineChars="200"/>
        <w:rPr>
          <w:rFonts w:ascii="宋体"/>
          <w:color w:val="auto"/>
          <w:sz w:val="21"/>
          <w:szCs w:val="21"/>
          <w:highlight w:val="none"/>
        </w:rPr>
      </w:pPr>
      <w:r>
        <w:rPr>
          <w:rFonts w:hint="eastAsia" w:ascii="宋体"/>
          <w:color w:val="auto"/>
          <w:sz w:val="21"/>
          <w:szCs w:val="21"/>
          <w:highlight w:val="none"/>
        </w:rPr>
        <w:t>32.3投标人如在本项目中存在串通投标、弄虚作假、行贿情形的，中标无效，行政监督部门将对其违法行为进行政处罚并通报。该投标人将被招标人列入黑名单并限制其参与招标人后续项目的投标。</w:t>
      </w:r>
    </w:p>
    <w:bookmarkEnd w:id="5"/>
    <w:p>
      <w:pPr>
        <w:pStyle w:val="2"/>
        <w:spacing w:before="0" w:beforeAutospacing="0" w:after="0" w:afterAutospacing="0"/>
        <w:jc w:val="center"/>
        <w:rPr>
          <w:rFonts w:hint="default"/>
          <w:color w:val="auto"/>
          <w:highlight w:val="none"/>
        </w:rPr>
      </w:pPr>
      <w:r>
        <w:rPr>
          <w:color w:val="auto"/>
          <w:sz w:val="24"/>
          <w:highlight w:val="none"/>
        </w:rPr>
        <w:br w:type="page"/>
      </w:r>
      <w:bookmarkStart w:id="10" w:name="_Toc18664066"/>
      <w:r>
        <w:rPr>
          <w:color w:val="auto"/>
          <w:highlight w:val="none"/>
        </w:rPr>
        <w:t>第二章  开标、评标及定标办法</w:t>
      </w:r>
      <w:bookmarkEnd w:id="10"/>
    </w:p>
    <w:p>
      <w:pPr>
        <w:pStyle w:val="3"/>
        <w:rPr>
          <w:color w:val="auto"/>
          <w:highlight w:val="none"/>
        </w:rPr>
      </w:pPr>
      <w:bookmarkStart w:id="11" w:name="_Toc18664067"/>
      <w:r>
        <w:rPr>
          <w:rFonts w:hint="eastAsia"/>
          <w:color w:val="auto"/>
          <w:sz w:val="28"/>
          <w:szCs w:val="28"/>
          <w:highlight w:val="none"/>
        </w:rPr>
        <w:t>一、</w:t>
      </w:r>
      <w:r>
        <w:rPr>
          <w:rFonts w:hint="eastAsia"/>
          <w:color w:val="auto"/>
          <w:highlight w:val="none"/>
        </w:rPr>
        <w:t>开标、评标及定标办法修改表</w:t>
      </w:r>
      <w:bookmarkEnd w:id="11"/>
    </w:p>
    <w:p>
      <w:pPr>
        <w:pStyle w:val="23"/>
        <w:spacing w:after="0" w:line="360" w:lineRule="auto"/>
        <w:rPr>
          <w:rFonts w:ascii="宋体" w:hAnsi="宋体" w:cs="宋体"/>
          <w:b/>
          <w:color w:val="auto"/>
          <w:szCs w:val="21"/>
          <w:highlight w:val="none"/>
        </w:rPr>
      </w:pPr>
      <w:r>
        <w:rPr>
          <w:rFonts w:hint="eastAsia" w:ascii="宋体" w:hAnsi="宋体" w:cs="宋体"/>
          <w:b/>
          <w:color w:val="auto"/>
          <w:szCs w:val="21"/>
          <w:highlight w:val="none"/>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http://zfcj.gz.gov.cn/）下载GZZB2018-3范本查阅。</w:t>
      </w:r>
    </w:p>
    <w:p>
      <w:pPr>
        <w:spacing w:line="360" w:lineRule="auto"/>
        <w:ind w:firstLine="472" w:firstLineChars="224"/>
        <w:rPr>
          <w:rFonts w:cs="宋体"/>
          <w:b/>
          <w:color w:val="auto"/>
          <w:szCs w:val="21"/>
          <w:highlight w:val="none"/>
        </w:rPr>
      </w:pPr>
      <w:r>
        <w:rPr>
          <w:rFonts w:hint="eastAsia" w:cs="宋体"/>
          <w:b/>
          <w:color w:val="auto"/>
          <w:szCs w:val="21"/>
          <w:highlight w:val="none"/>
        </w:rPr>
        <w:t>条款号：（二）开标评标办法程序和细则       修改类型：删除</w:t>
      </w:r>
    </w:p>
    <w:p>
      <w:pPr>
        <w:pBdr>
          <w:bottom w:val="single" w:color="auto" w:sz="6" w:space="1"/>
        </w:pBdr>
        <w:spacing w:line="360" w:lineRule="auto"/>
        <w:ind w:firstLine="472" w:firstLineChars="224"/>
        <w:rPr>
          <w:rFonts w:cs="宋体"/>
          <w:b/>
          <w:color w:val="auto"/>
          <w:szCs w:val="21"/>
          <w:highlight w:val="none"/>
        </w:rPr>
      </w:pPr>
      <w:r>
        <w:rPr>
          <w:rFonts w:hint="eastAsia" w:cs="宋体"/>
          <w:b/>
          <w:color w:val="auto"/>
          <w:szCs w:val="21"/>
          <w:highlight w:val="none"/>
        </w:rPr>
        <w:t>原文：</w:t>
      </w:r>
      <w:r>
        <w:rPr>
          <w:rFonts w:hint="eastAsia" w:cs="宋体"/>
          <w:color w:val="auto"/>
          <w:szCs w:val="21"/>
          <w:highlight w:val="none"/>
        </w:rPr>
        <w:t>可选办法一（适合综合评分法一，技术标与经济标先后分别开启）</w:t>
      </w:r>
    </w:p>
    <w:p>
      <w:pPr>
        <w:pBdr>
          <w:bottom w:val="single" w:color="auto" w:sz="6" w:space="1"/>
        </w:pBdr>
        <w:spacing w:line="360" w:lineRule="auto"/>
        <w:ind w:firstLine="472" w:firstLineChars="224"/>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可选办法二（适合综合评分法一，技术标与经济标同时开启）</w:t>
      </w:r>
    </w:p>
    <w:p>
      <w:pPr>
        <w:pBdr>
          <w:bottom w:val="single" w:color="auto" w:sz="6" w:space="1"/>
        </w:pBdr>
        <w:spacing w:line="360" w:lineRule="auto"/>
        <w:ind w:firstLine="472" w:firstLineChars="224"/>
        <w:rPr>
          <w:rFonts w:cs="宋体"/>
          <w:b/>
          <w:color w:val="auto"/>
          <w:szCs w:val="21"/>
          <w:highlight w:val="none"/>
        </w:rPr>
      </w:pPr>
      <w:r>
        <w:rPr>
          <w:rFonts w:hint="eastAsia" w:cs="宋体"/>
          <w:b/>
          <w:color w:val="auto"/>
          <w:szCs w:val="21"/>
          <w:highlight w:val="none"/>
        </w:rPr>
        <w:t>原文：</w:t>
      </w:r>
      <w:r>
        <w:rPr>
          <w:rFonts w:hint="eastAsia" w:cs="宋体"/>
          <w:color w:val="auto"/>
          <w:szCs w:val="21"/>
          <w:highlight w:val="none"/>
        </w:rPr>
        <w:t>可选办法三（适合综合评分法二，技术标与经济标先后分别开启）</w:t>
      </w:r>
    </w:p>
    <w:p>
      <w:pPr>
        <w:pBdr>
          <w:bottom w:val="single" w:color="auto" w:sz="6" w:space="1"/>
        </w:pBdr>
        <w:spacing w:line="360" w:lineRule="auto"/>
        <w:ind w:firstLine="472" w:firstLineChars="224"/>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可选办法四（适合综合评分法二，技术标与经济标同时开启）</w:t>
      </w:r>
    </w:p>
    <w:p>
      <w:pPr>
        <w:pBdr>
          <w:bottom w:val="single" w:color="auto" w:sz="6" w:space="1"/>
        </w:pBdr>
        <w:spacing w:line="360" w:lineRule="auto"/>
        <w:ind w:firstLine="472" w:firstLineChars="224"/>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可选办法五（适合综合评分法三，技术标与经济标先后分别开启）</w:t>
      </w:r>
    </w:p>
    <w:p>
      <w:pPr>
        <w:pBdr>
          <w:bottom w:val="single" w:color="auto" w:sz="6" w:space="1"/>
        </w:pBdr>
        <w:spacing w:line="360" w:lineRule="auto"/>
        <w:ind w:firstLine="472" w:firstLineChars="224"/>
        <w:rPr>
          <w:color w:val="auto"/>
          <w:highlight w:val="none"/>
        </w:rPr>
      </w:pPr>
      <w:r>
        <w:rPr>
          <w:rFonts w:hint="eastAsia" w:cs="宋体"/>
          <w:b/>
          <w:color w:val="auto"/>
          <w:szCs w:val="21"/>
          <w:highlight w:val="none"/>
        </w:rPr>
        <w:t>原文：</w:t>
      </w:r>
      <w:r>
        <w:rPr>
          <w:rFonts w:hint="eastAsia"/>
          <w:color w:val="auto"/>
          <w:highlight w:val="none"/>
        </w:rPr>
        <w:t>可选办法</w:t>
      </w:r>
      <w:r>
        <w:rPr>
          <w:rFonts w:hint="eastAsia"/>
          <w:color w:val="auto"/>
          <w:highlight w:val="none"/>
          <w:lang w:val="en-US" w:eastAsia="zh-CN"/>
        </w:rPr>
        <w:t>七</w:t>
      </w:r>
      <w:r>
        <w:rPr>
          <w:rFonts w:hint="eastAsia"/>
          <w:color w:val="auto"/>
          <w:highlight w:val="none"/>
        </w:rPr>
        <w:t>（适合综合评分法</w:t>
      </w:r>
      <w:r>
        <w:rPr>
          <w:rFonts w:hint="eastAsia" w:cs="宋体"/>
          <w:color w:val="auto"/>
          <w:szCs w:val="21"/>
          <w:highlight w:val="none"/>
          <w:lang w:val="en-US" w:eastAsia="zh-CN"/>
        </w:rPr>
        <w:t>四</w:t>
      </w:r>
      <w:r>
        <w:rPr>
          <w:rFonts w:hint="eastAsia"/>
          <w:color w:val="auto"/>
          <w:highlight w:val="none"/>
        </w:rPr>
        <w:t>，技术标与经济标同时开启）</w:t>
      </w:r>
    </w:p>
    <w:p>
      <w:pPr>
        <w:pBdr>
          <w:bottom w:val="single" w:color="auto" w:sz="6" w:space="1"/>
        </w:pBdr>
        <w:spacing w:line="360" w:lineRule="auto"/>
        <w:ind w:firstLine="472" w:firstLineChars="224"/>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可选办法八（适合经评审的最低投标价法，技术标与经济标同时开启）</w:t>
      </w:r>
    </w:p>
    <w:p>
      <w:pPr>
        <w:spacing w:line="480" w:lineRule="auto"/>
        <w:ind w:firstLine="422" w:firstLineChars="200"/>
        <w:rPr>
          <w:b/>
          <w:color w:val="auto"/>
          <w:szCs w:val="21"/>
          <w:highlight w:val="none"/>
        </w:rPr>
      </w:pPr>
      <w:r>
        <w:rPr>
          <w:rFonts w:hint="eastAsia"/>
          <w:b/>
          <w:color w:val="auto"/>
          <w:szCs w:val="21"/>
          <w:highlight w:val="none"/>
        </w:rPr>
        <w:t>条款号：</w:t>
      </w:r>
      <w:r>
        <w:rPr>
          <w:b/>
          <w:color w:val="auto"/>
          <w:szCs w:val="21"/>
          <w:highlight w:val="none"/>
        </w:rPr>
        <w:t xml:space="preserve"> </w:t>
      </w:r>
      <w:r>
        <w:rPr>
          <w:rFonts w:hint="eastAsia"/>
          <w:b/>
          <w:color w:val="auto"/>
          <w:szCs w:val="21"/>
          <w:highlight w:val="none"/>
        </w:rPr>
        <w:t>36.1</w:t>
      </w:r>
      <w:r>
        <w:rPr>
          <w:b/>
          <w:color w:val="auto"/>
          <w:szCs w:val="21"/>
          <w:highlight w:val="none"/>
        </w:rPr>
        <w:t xml:space="preserve">            </w:t>
      </w:r>
      <w:r>
        <w:rPr>
          <w:rFonts w:hint="eastAsia"/>
          <w:b/>
          <w:color w:val="auto"/>
          <w:szCs w:val="21"/>
          <w:highlight w:val="none"/>
        </w:rPr>
        <w:t>修改类型：修改</w:t>
      </w:r>
    </w:p>
    <w:p>
      <w:pPr>
        <w:spacing w:line="360" w:lineRule="auto"/>
        <w:ind w:firstLine="422" w:firstLineChars="200"/>
        <w:rPr>
          <w:b/>
          <w:color w:val="auto"/>
          <w:szCs w:val="21"/>
          <w:highlight w:val="none"/>
        </w:rPr>
      </w:pPr>
      <w:r>
        <w:rPr>
          <w:rFonts w:hint="eastAsia"/>
          <w:b/>
          <w:color w:val="auto"/>
          <w:szCs w:val="21"/>
          <w:highlight w:val="none"/>
        </w:rPr>
        <w:t>原文：</w:t>
      </w:r>
      <w:r>
        <w:rPr>
          <w:color w:val="auto"/>
          <w:szCs w:val="21"/>
          <w:highlight w:val="none"/>
        </w:rPr>
        <w:t xml:space="preserve">36.1 </w:t>
      </w:r>
      <w:r>
        <w:rPr>
          <w:rFonts w:hint="eastAsia"/>
          <w:color w:val="auto"/>
          <w:szCs w:val="21"/>
          <w:highlight w:val="none"/>
        </w:rPr>
        <w:t>招标人按投标须知前附表第18项所规定的时间和地点公开开标，并邀请所有投标人参加。截标后，开标开始时间因故推迟的，相关评标信息仍以原定的开标开始时间的信息为准。</w:t>
      </w:r>
    </w:p>
    <w:p>
      <w:pPr>
        <w:pBdr>
          <w:bottom w:val="single" w:color="auto" w:sz="6" w:space="1"/>
        </w:pBdr>
        <w:spacing w:line="360" w:lineRule="auto"/>
        <w:ind w:firstLine="422" w:firstLineChars="200"/>
        <w:rPr>
          <w:b/>
          <w:color w:val="auto"/>
          <w:szCs w:val="21"/>
          <w:highlight w:val="none"/>
        </w:rPr>
      </w:pPr>
      <w:r>
        <w:rPr>
          <w:rFonts w:hint="eastAsia"/>
          <w:b/>
          <w:color w:val="auto"/>
          <w:szCs w:val="21"/>
          <w:highlight w:val="none"/>
        </w:rPr>
        <w:t>现文：</w:t>
      </w:r>
      <w:r>
        <w:rPr>
          <w:color w:val="auto"/>
          <w:szCs w:val="21"/>
          <w:highlight w:val="none"/>
        </w:rPr>
        <w:t xml:space="preserve">36.1 </w:t>
      </w:r>
      <w:r>
        <w:rPr>
          <w:rFonts w:hint="eastAsia"/>
          <w:color w:val="auto"/>
          <w:szCs w:val="21"/>
          <w:highlight w:val="none"/>
        </w:rPr>
        <w:t>招标人按投标须知前附表第18项所规定的时间和地点公开开标，并邀请所有投标人参加。截标后，开标开始时间因故推迟的，相关评标信息仍以原定的开标开始时间的信息为准。</w:t>
      </w:r>
      <w:r>
        <w:rPr>
          <w:rFonts w:hint="eastAsia" w:cs="宋体"/>
          <w:color w:val="auto"/>
          <w:szCs w:val="21"/>
          <w:highlight w:val="none"/>
          <w:u w:val="single"/>
        </w:rPr>
        <w:t>若投标人不参加开标会的，其投标文件在开标现场的投标人或招标人代表、招标代理机构代表及交易中心代表见证下公开开启、解密、公布，并视同该投标人认可开标结果。</w:t>
      </w:r>
    </w:p>
    <w:p>
      <w:pPr>
        <w:spacing w:line="360" w:lineRule="auto"/>
        <w:ind w:firstLine="422" w:firstLineChars="200"/>
        <w:rPr>
          <w:b/>
          <w:color w:val="auto"/>
          <w:szCs w:val="21"/>
          <w:highlight w:val="none"/>
        </w:rPr>
      </w:pPr>
      <w:r>
        <w:rPr>
          <w:rFonts w:hint="eastAsia"/>
          <w:b/>
          <w:color w:val="auto"/>
          <w:szCs w:val="21"/>
          <w:highlight w:val="none"/>
        </w:rPr>
        <w:t>条款号：</w:t>
      </w:r>
      <w:r>
        <w:rPr>
          <w:rFonts w:hint="eastAsia"/>
          <w:b/>
          <w:bCs/>
          <w:color w:val="auto"/>
          <w:szCs w:val="21"/>
          <w:highlight w:val="none"/>
        </w:rPr>
        <w:t>36.3</w:t>
      </w:r>
      <w:r>
        <w:rPr>
          <w:b/>
          <w:color w:val="auto"/>
          <w:szCs w:val="21"/>
          <w:highlight w:val="none"/>
        </w:rPr>
        <w:t xml:space="preserve">           </w:t>
      </w:r>
      <w:r>
        <w:rPr>
          <w:rFonts w:hint="eastAsia"/>
          <w:b/>
          <w:color w:val="auto"/>
          <w:szCs w:val="21"/>
          <w:highlight w:val="none"/>
        </w:rPr>
        <w:t>修改类型：删除</w:t>
      </w:r>
    </w:p>
    <w:p>
      <w:pPr>
        <w:spacing w:line="360" w:lineRule="auto"/>
        <w:ind w:firstLine="422" w:firstLineChars="200"/>
        <w:rPr>
          <w:color w:val="auto"/>
          <w:szCs w:val="21"/>
          <w:highlight w:val="none"/>
        </w:rPr>
      </w:pPr>
      <w:r>
        <w:rPr>
          <w:rFonts w:hint="eastAsia"/>
          <w:b/>
          <w:color w:val="auto"/>
          <w:szCs w:val="21"/>
          <w:highlight w:val="none"/>
        </w:rPr>
        <w:t>原文：</w:t>
      </w:r>
      <w:r>
        <w:rPr>
          <w:rFonts w:hint="eastAsia"/>
          <w:color w:val="auto"/>
          <w:szCs w:val="21"/>
          <w:highlight w:val="none"/>
        </w:rPr>
        <w:t>36.3根据投标须知前附表第19项，如需抽取某一种评标办法供评标时使用的，应在开标前抽取。首先对招标文件中约定的若干种评标方法进行编号，再随机抽取某一编号，该编号所对</w:t>
      </w:r>
    </w:p>
    <w:p>
      <w:pPr>
        <w:pBdr>
          <w:bottom w:val="single" w:color="auto" w:sz="6" w:space="1"/>
        </w:pBdr>
        <w:spacing w:line="360" w:lineRule="auto"/>
        <w:rPr>
          <w:b/>
          <w:color w:val="auto"/>
          <w:szCs w:val="21"/>
          <w:highlight w:val="none"/>
        </w:rPr>
      </w:pPr>
      <w:r>
        <w:rPr>
          <w:rFonts w:hint="eastAsia"/>
          <w:color w:val="auto"/>
          <w:szCs w:val="21"/>
          <w:highlight w:val="none"/>
        </w:rPr>
        <w:t>应的评标办法供评标时使用。</w:t>
      </w:r>
    </w:p>
    <w:p>
      <w:pPr>
        <w:spacing w:line="360" w:lineRule="auto"/>
        <w:ind w:firstLine="422" w:firstLineChars="200"/>
        <w:rPr>
          <w:rFonts w:cs="宋体"/>
          <w:b/>
          <w:color w:val="auto"/>
          <w:szCs w:val="21"/>
          <w:highlight w:val="none"/>
        </w:rPr>
      </w:pPr>
      <w:r>
        <w:rPr>
          <w:rFonts w:hint="eastAsia" w:cs="宋体"/>
          <w:b/>
          <w:color w:val="auto"/>
          <w:szCs w:val="21"/>
          <w:highlight w:val="none"/>
        </w:rPr>
        <w:t>条款号：</w:t>
      </w:r>
      <w:r>
        <w:rPr>
          <w:rFonts w:hint="eastAsia" w:cs="宋体"/>
          <w:b/>
          <w:bCs/>
          <w:color w:val="auto"/>
          <w:szCs w:val="21"/>
          <w:highlight w:val="none"/>
        </w:rPr>
        <w:t>36.5.1</w:t>
      </w:r>
      <w:r>
        <w:rPr>
          <w:rFonts w:hint="eastAsia" w:cs="宋体"/>
          <w:color w:val="auto"/>
          <w:szCs w:val="21"/>
          <w:highlight w:val="none"/>
        </w:rPr>
        <w:t xml:space="preserve">  </w:t>
      </w:r>
      <w:r>
        <w:rPr>
          <w:rFonts w:hint="eastAsia" w:cs="宋体"/>
          <w:b/>
          <w:color w:val="auto"/>
          <w:szCs w:val="21"/>
          <w:highlight w:val="none"/>
        </w:rPr>
        <w:t xml:space="preserve">                修改类型：修改</w:t>
      </w:r>
    </w:p>
    <w:p>
      <w:pPr>
        <w:pBdr>
          <w:bottom w:val="single" w:color="auto" w:sz="6" w:space="1"/>
        </w:pBdr>
        <w:spacing w:line="360" w:lineRule="auto"/>
        <w:ind w:firstLine="413" w:firstLineChars="196"/>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 xml:space="preserve"> 在投标截止时间后半小时内，投标人通过</w:t>
      </w:r>
      <w:r>
        <w:rPr>
          <w:rFonts w:hint="eastAsia" w:cs="宋体"/>
          <w:color w:val="auto"/>
          <w:szCs w:val="21"/>
          <w:highlight w:val="none"/>
          <w:u w:val="single"/>
        </w:rPr>
        <w:t xml:space="preserve">        </w:t>
      </w:r>
      <w:r>
        <w:rPr>
          <w:rFonts w:hint="eastAsia" w:cs="宋体"/>
          <w:color w:val="auto"/>
          <w:szCs w:val="21"/>
          <w:highlight w:val="none"/>
        </w:rPr>
        <w:t>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pPr>
        <w:pBdr>
          <w:bottom w:val="single" w:color="auto" w:sz="6" w:space="1"/>
        </w:pBdr>
        <w:spacing w:line="360" w:lineRule="auto"/>
        <w:ind w:firstLine="413" w:firstLineChars="196"/>
        <w:rPr>
          <w:rFonts w:cs="宋体"/>
          <w:color w:val="auto"/>
          <w:szCs w:val="21"/>
          <w:highlight w:val="none"/>
        </w:rPr>
      </w:pPr>
      <w:r>
        <w:rPr>
          <w:rFonts w:hint="eastAsia" w:cs="宋体"/>
          <w:b/>
          <w:bCs/>
          <w:color w:val="auto"/>
          <w:szCs w:val="21"/>
          <w:highlight w:val="none"/>
        </w:rPr>
        <w:t>现文：</w:t>
      </w:r>
      <w:r>
        <w:rPr>
          <w:rFonts w:hint="eastAsia" w:cs="宋体"/>
          <w:color w:val="auto"/>
          <w:szCs w:val="21"/>
          <w:highlight w:val="none"/>
        </w:rPr>
        <w:t>在投标截止时间后半小时内，投标人通过</w:t>
      </w:r>
      <w:r>
        <w:rPr>
          <w:rFonts w:hint="eastAsia" w:ascii="宋体" w:hAnsi="宋体" w:cs="宋体"/>
          <w:color w:val="auto"/>
          <w:szCs w:val="21"/>
          <w:highlight w:val="none"/>
          <w:u w:val="single"/>
        </w:rPr>
        <w:t>广州交易集团有限公司（广州公共资源交易中心）</w:t>
      </w:r>
      <w:r>
        <w:rPr>
          <w:rFonts w:hint="eastAsia" w:cs="宋体"/>
          <w:color w:val="auto"/>
          <w:szCs w:val="21"/>
          <w:highlight w:val="none"/>
        </w:rPr>
        <w:t>交易平台对已递交的电子投标文件进行解密。投标人完成解密后，再由招标人</w:t>
      </w:r>
      <w:r>
        <w:rPr>
          <w:rFonts w:hint="eastAsia" w:ascii="宋体" w:hAnsi="宋体" w:cs="宋体"/>
          <w:color w:val="auto"/>
          <w:szCs w:val="21"/>
          <w:highlight w:val="none"/>
          <w:u w:val="single"/>
        </w:rPr>
        <w:t>或招标代理</w:t>
      </w:r>
      <w:r>
        <w:rPr>
          <w:rFonts w:hint="eastAsia" w:cs="宋体"/>
          <w:color w:val="auto"/>
          <w:szCs w:val="21"/>
          <w:highlight w:val="none"/>
        </w:rPr>
        <w:t>进行解密。解密完成后，公布招标项目名称、投标人名称、投标保证金的递交情况、投标报价、工期及其他内容；</w:t>
      </w:r>
    </w:p>
    <w:p>
      <w:pPr>
        <w:spacing w:line="360" w:lineRule="auto"/>
        <w:ind w:firstLine="422" w:firstLineChars="200"/>
        <w:rPr>
          <w:b/>
          <w:color w:val="auto"/>
          <w:szCs w:val="21"/>
          <w:highlight w:val="none"/>
        </w:rPr>
      </w:pPr>
      <w:r>
        <w:rPr>
          <w:rFonts w:hint="eastAsia"/>
          <w:b/>
          <w:color w:val="auto"/>
          <w:szCs w:val="21"/>
          <w:highlight w:val="none"/>
        </w:rPr>
        <w:t>条款号：38.1</w:t>
      </w:r>
      <w:r>
        <w:rPr>
          <w:b/>
          <w:color w:val="auto"/>
          <w:szCs w:val="21"/>
          <w:highlight w:val="none"/>
        </w:rPr>
        <w:t xml:space="preserve">             </w:t>
      </w:r>
      <w:r>
        <w:rPr>
          <w:rFonts w:hint="eastAsia"/>
          <w:b/>
          <w:color w:val="auto"/>
          <w:szCs w:val="21"/>
          <w:highlight w:val="none"/>
        </w:rPr>
        <w:t>修改类型：修改</w:t>
      </w:r>
    </w:p>
    <w:p>
      <w:pPr>
        <w:spacing w:line="360" w:lineRule="auto"/>
        <w:ind w:firstLine="422" w:firstLineChars="200"/>
        <w:rPr>
          <w:b/>
          <w:color w:val="auto"/>
          <w:szCs w:val="21"/>
          <w:highlight w:val="none"/>
        </w:rPr>
      </w:pPr>
      <w:r>
        <w:rPr>
          <w:rFonts w:hint="eastAsia"/>
          <w:b/>
          <w:color w:val="auto"/>
          <w:szCs w:val="21"/>
          <w:highlight w:val="none"/>
        </w:rPr>
        <w:t>原文：</w:t>
      </w:r>
      <w:r>
        <w:rPr>
          <w:rFonts w:hint="eastAsia"/>
          <w:color w:val="auto"/>
          <w:szCs w:val="21"/>
          <w:highlight w:val="none"/>
        </w:rPr>
        <w:t>3</w:t>
      </w:r>
      <w:r>
        <w:rPr>
          <w:color w:val="auto"/>
          <w:szCs w:val="21"/>
          <w:highlight w:val="none"/>
        </w:rPr>
        <w:t>8.1</w:t>
      </w:r>
      <w:r>
        <w:rPr>
          <w:rFonts w:hint="eastAsia"/>
          <w:color w:val="auto"/>
          <w:szCs w:val="21"/>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pBdr>
          <w:bottom w:val="single" w:color="auto" w:sz="6" w:space="1"/>
        </w:pBdr>
        <w:spacing w:line="360" w:lineRule="auto"/>
        <w:ind w:firstLine="422" w:firstLineChars="200"/>
        <w:rPr>
          <w:color w:val="auto"/>
          <w:szCs w:val="21"/>
          <w:highlight w:val="none"/>
        </w:rPr>
      </w:pPr>
      <w:r>
        <w:rPr>
          <w:rFonts w:hint="eastAsia"/>
          <w:b/>
          <w:color w:val="auto"/>
          <w:szCs w:val="21"/>
          <w:highlight w:val="none"/>
        </w:rPr>
        <w:t>现文：</w:t>
      </w:r>
      <w:r>
        <w:rPr>
          <w:rFonts w:hint="eastAsia"/>
          <w:color w:val="auto"/>
          <w:szCs w:val="21"/>
          <w:highlight w:val="none"/>
        </w:rPr>
        <w:t>3</w:t>
      </w:r>
      <w:r>
        <w:rPr>
          <w:color w:val="auto"/>
          <w:szCs w:val="21"/>
          <w:highlight w:val="none"/>
        </w:rPr>
        <w:t>8.1</w:t>
      </w:r>
      <w:r>
        <w:rPr>
          <w:rFonts w:hint="eastAsia"/>
          <w:color w:val="auto"/>
          <w:szCs w:val="21"/>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w:t>
      </w:r>
      <w:r>
        <w:rPr>
          <w:rFonts w:hint="eastAsia"/>
          <w:color w:val="auto"/>
          <w:szCs w:val="21"/>
          <w:highlight w:val="none"/>
          <w:u w:val="single"/>
        </w:rPr>
        <w:t>、对同类问题表述不一致、有明显文字和计算错误的内容以及细微偏差</w:t>
      </w:r>
      <w:r>
        <w:rPr>
          <w:rFonts w:hint="eastAsia"/>
          <w:color w:val="auto"/>
          <w:szCs w:val="21"/>
          <w:highlight w:val="none"/>
        </w:rPr>
        <w:t>的内容作出澄清。</w:t>
      </w:r>
    </w:p>
    <w:p>
      <w:pPr>
        <w:spacing w:line="360" w:lineRule="auto"/>
        <w:ind w:firstLine="422" w:firstLineChars="200"/>
        <w:rPr>
          <w:b/>
          <w:color w:val="auto"/>
          <w:szCs w:val="21"/>
          <w:highlight w:val="none"/>
        </w:rPr>
      </w:pPr>
      <w:r>
        <w:rPr>
          <w:rFonts w:hint="eastAsia"/>
          <w:b/>
          <w:color w:val="auto"/>
          <w:szCs w:val="21"/>
          <w:highlight w:val="none"/>
        </w:rPr>
        <w:t>条款号：</w:t>
      </w:r>
      <w:r>
        <w:rPr>
          <w:b/>
          <w:color w:val="auto"/>
          <w:szCs w:val="21"/>
          <w:highlight w:val="none"/>
        </w:rPr>
        <w:t xml:space="preserve">39.3             </w:t>
      </w:r>
      <w:r>
        <w:rPr>
          <w:rFonts w:hint="eastAsia"/>
          <w:b/>
          <w:color w:val="auto"/>
          <w:szCs w:val="21"/>
          <w:highlight w:val="none"/>
        </w:rPr>
        <w:t>修改类型：修改</w:t>
      </w:r>
    </w:p>
    <w:p>
      <w:pPr>
        <w:spacing w:line="360" w:lineRule="auto"/>
        <w:ind w:firstLine="422" w:firstLineChars="200"/>
        <w:rPr>
          <w:b/>
          <w:color w:val="auto"/>
          <w:szCs w:val="21"/>
          <w:highlight w:val="none"/>
        </w:rPr>
      </w:pPr>
      <w:r>
        <w:rPr>
          <w:rFonts w:hint="eastAsia"/>
          <w:b/>
          <w:color w:val="auto"/>
          <w:szCs w:val="21"/>
          <w:highlight w:val="none"/>
        </w:rPr>
        <w:t>原文：</w:t>
      </w:r>
      <w:r>
        <w:rPr>
          <w:color w:val="auto"/>
          <w:szCs w:val="21"/>
          <w:highlight w:val="none"/>
        </w:rPr>
        <w:t>39.3</w:t>
      </w:r>
      <w:r>
        <w:rPr>
          <w:rFonts w:hint="eastAsia"/>
          <w:color w:val="auto"/>
          <w:szCs w:val="21"/>
          <w:highlight w:val="none"/>
        </w:rPr>
        <w:t>排名第一的中标候选人放弃中标、或因不可抗力提出不能履行合同，或者招标文件规定应当提交履约担保而在规定的期限内未能提交的，招标人可以确定排名第二的中标候选人为中标人。</w:t>
      </w:r>
    </w:p>
    <w:p>
      <w:pPr>
        <w:pBdr>
          <w:bottom w:val="single" w:color="auto" w:sz="6" w:space="1"/>
        </w:pBdr>
        <w:spacing w:line="360" w:lineRule="auto"/>
        <w:ind w:firstLine="422" w:firstLineChars="200"/>
        <w:rPr>
          <w:color w:val="auto"/>
          <w:szCs w:val="21"/>
          <w:highlight w:val="none"/>
          <w:u w:val="single"/>
        </w:rPr>
      </w:pPr>
      <w:r>
        <w:rPr>
          <w:rFonts w:hint="eastAsia"/>
          <w:b/>
          <w:color w:val="auto"/>
          <w:szCs w:val="21"/>
          <w:highlight w:val="none"/>
        </w:rPr>
        <w:t>现文：</w:t>
      </w:r>
      <w:r>
        <w:rPr>
          <w:color w:val="auto"/>
          <w:szCs w:val="21"/>
          <w:highlight w:val="none"/>
        </w:rPr>
        <w:t>39.3</w:t>
      </w:r>
      <w:r>
        <w:rPr>
          <w:rFonts w:hint="eastAsia"/>
          <w:bCs/>
          <w:color w:val="auto"/>
          <w:szCs w:val="21"/>
          <w:highlight w:val="none"/>
        </w:rPr>
        <w:t>排名第一的中标候选人放弃中标、或因不可抗力提出不能履行合同，或者招标文件规定应当提交履约担保而在规定的期限内未能提交的，</w:t>
      </w:r>
      <w:r>
        <w:rPr>
          <w:rFonts w:hint="eastAsia" w:cs="宋体"/>
          <w:bCs/>
          <w:color w:val="auto"/>
          <w:szCs w:val="21"/>
          <w:highlight w:val="none"/>
          <w:u w:val="single"/>
        </w:rPr>
        <w:t>或经核查发现委派的项目负责人已在</w:t>
      </w:r>
      <w:r>
        <w:rPr>
          <w:rFonts w:hint="eastAsia"/>
          <w:color w:val="auto"/>
          <w:kern w:val="0"/>
          <w:szCs w:val="21"/>
          <w:highlight w:val="none"/>
        </w:rPr>
        <w:t>其他在建项目中任施工单位项目负责人</w:t>
      </w:r>
      <w:r>
        <w:rPr>
          <w:rFonts w:hint="eastAsia" w:cs="宋体"/>
          <w:bCs/>
          <w:color w:val="auto"/>
          <w:szCs w:val="21"/>
          <w:highlight w:val="none"/>
          <w:u w:val="single"/>
        </w:rPr>
        <w:t>的，或因中标候选人原因在招标文件规定时间内未与招标人完成合同签署的，招标人可以重新招标，也可以确定排名第二的中标候选人为中标人，如第二中标候选人出现前款所列的情形的，招标人也可以确定排名第三的中标候选人为中标人，如所有中标候选人均出现前款所列的情形，为招标失败，招标人依法重新招标</w:t>
      </w:r>
      <w:r>
        <w:rPr>
          <w:rFonts w:hint="eastAsia"/>
          <w:bCs/>
          <w:color w:val="auto"/>
          <w:szCs w:val="21"/>
          <w:highlight w:val="none"/>
          <w:u w:val="single"/>
        </w:rPr>
        <w:t>。</w:t>
      </w:r>
    </w:p>
    <w:p>
      <w:pPr>
        <w:spacing w:line="480" w:lineRule="auto"/>
        <w:ind w:firstLine="422" w:firstLineChars="200"/>
        <w:rPr>
          <w:b/>
          <w:color w:val="auto"/>
          <w:szCs w:val="21"/>
          <w:highlight w:val="none"/>
        </w:rPr>
      </w:pPr>
      <w:r>
        <w:rPr>
          <w:rFonts w:hint="eastAsia"/>
          <w:b/>
          <w:color w:val="auto"/>
          <w:szCs w:val="21"/>
          <w:highlight w:val="none"/>
        </w:rPr>
        <w:t>条款号：4</w:t>
      </w:r>
      <w:r>
        <w:rPr>
          <w:rFonts w:hint="eastAsia"/>
          <w:b/>
          <w:color w:val="auto"/>
          <w:szCs w:val="21"/>
          <w:highlight w:val="none"/>
          <w:lang w:val="en-US" w:eastAsia="zh-CN"/>
        </w:rPr>
        <w:t>0</w:t>
      </w:r>
      <w:r>
        <w:rPr>
          <w:rFonts w:hint="eastAsia"/>
          <w:b/>
          <w:color w:val="auto"/>
          <w:szCs w:val="21"/>
          <w:highlight w:val="none"/>
        </w:rPr>
        <w:t>.</w:t>
      </w:r>
      <w:r>
        <w:rPr>
          <w:rFonts w:hint="eastAsia"/>
          <w:b/>
          <w:color w:val="auto"/>
          <w:szCs w:val="21"/>
          <w:highlight w:val="none"/>
          <w:lang w:val="en-US" w:eastAsia="zh-CN"/>
        </w:rPr>
        <w:t>3</w:t>
      </w:r>
      <w:r>
        <w:rPr>
          <w:rFonts w:hint="eastAsia"/>
          <w:b/>
          <w:color w:val="auto"/>
          <w:szCs w:val="21"/>
          <w:highlight w:val="none"/>
        </w:rPr>
        <w:t xml:space="preserve">                   修改类型：修改</w:t>
      </w:r>
    </w:p>
    <w:p>
      <w:pPr>
        <w:snapToGrid w:val="0"/>
        <w:spacing w:line="360" w:lineRule="auto"/>
        <w:ind w:firstLine="422" w:firstLineChars="200"/>
        <w:rPr>
          <w:color w:val="auto"/>
          <w:szCs w:val="21"/>
          <w:highlight w:val="none"/>
        </w:rPr>
      </w:pPr>
      <w:r>
        <w:rPr>
          <w:rFonts w:hint="eastAsia"/>
          <w:b/>
          <w:color w:val="auto"/>
          <w:szCs w:val="21"/>
          <w:highlight w:val="none"/>
        </w:rPr>
        <w:t>原文：</w:t>
      </w:r>
      <w:r>
        <w:rPr>
          <w:rFonts w:hint="eastAsia"/>
          <w:color w:val="auto"/>
          <w:szCs w:val="21"/>
          <w:highlight w:val="none"/>
        </w:rPr>
        <w:t>4</w:t>
      </w:r>
      <w:r>
        <w:rPr>
          <w:rFonts w:hint="eastAsia"/>
          <w:color w:val="auto"/>
          <w:szCs w:val="21"/>
          <w:highlight w:val="none"/>
          <w:lang w:val="en-US" w:eastAsia="zh-CN"/>
        </w:rPr>
        <w:t>0</w:t>
      </w:r>
      <w:r>
        <w:rPr>
          <w:rFonts w:hint="eastAsia"/>
          <w:color w:val="auto"/>
          <w:szCs w:val="21"/>
          <w:highlight w:val="none"/>
        </w:rPr>
        <w:t>.</w:t>
      </w:r>
      <w:r>
        <w:rPr>
          <w:rFonts w:hint="eastAsia"/>
          <w:color w:val="auto"/>
          <w:szCs w:val="21"/>
          <w:highlight w:val="none"/>
          <w:lang w:val="en-US" w:eastAsia="zh-CN"/>
        </w:rPr>
        <w:t>3</w:t>
      </w:r>
      <w:r>
        <w:rPr>
          <w:rFonts w:hint="eastAsia"/>
          <w:color w:val="auto"/>
          <w:szCs w:val="21"/>
          <w:highlight w:val="none"/>
        </w:rPr>
        <w:t>由评标委员会对所有已公开开标的投标人进行资格审查。</w:t>
      </w:r>
    </w:p>
    <w:p>
      <w:pPr>
        <w:pBdr>
          <w:bottom w:val="single" w:color="auto" w:sz="6" w:space="1"/>
        </w:pBdr>
        <w:snapToGrid w:val="0"/>
        <w:spacing w:line="360" w:lineRule="auto"/>
        <w:ind w:firstLine="422" w:firstLineChars="200"/>
        <w:rPr>
          <w:rFonts w:hint="eastAsia"/>
          <w:color w:val="auto"/>
          <w:szCs w:val="21"/>
          <w:highlight w:val="none"/>
        </w:rPr>
      </w:pPr>
      <w:r>
        <w:rPr>
          <w:rFonts w:hint="eastAsia"/>
          <w:b/>
          <w:color w:val="auto"/>
          <w:szCs w:val="21"/>
          <w:highlight w:val="none"/>
        </w:rPr>
        <w:t>现文：</w:t>
      </w:r>
      <w:r>
        <w:rPr>
          <w:rFonts w:hint="eastAsia"/>
          <w:color w:val="auto"/>
          <w:szCs w:val="21"/>
          <w:highlight w:val="none"/>
        </w:rPr>
        <w:t>4</w:t>
      </w:r>
      <w:r>
        <w:rPr>
          <w:rFonts w:hint="eastAsia"/>
          <w:color w:val="auto"/>
          <w:szCs w:val="21"/>
          <w:highlight w:val="none"/>
          <w:lang w:val="en-US" w:eastAsia="zh-CN"/>
        </w:rPr>
        <w:t>0</w:t>
      </w:r>
      <w:r>
        <w:rPr>
          <w:rFonts w:hint="eastAsia"/>
          <w:color w:val="auto"/>
          <w:szCs w:val="21"/>
          <w:highlight w:val="none"/>
        </w:rPr>
        <w:t>.</w:t>
      </w:r>
      <w:r>
        <w:rPr>
          <w:rFonts w:hint="eastAsia"/>
          <w:color w:val="auto"/>
          <w:szCs w:val="21"/>
          <w:highlight w:val="none"/>
          <w:lang w:val="en-US" w:eastAsia="zh-CN"/>
        </w:rPr>
        <w:t>3</w:t>
      </w:r>
      <w:r>
        <w:rPr>
          <w:rFonts w:hint="eastAsia"/>
          <w:color w:val="auto"/>
          <w:szCs w:val="21"/>
          <w:highlight w:val="none"/>
        </w:rPr>
        <w:t>由评标委员会对所有已公开开标的投标人进行资格审查，</w:t>
      </w:r>
      <w:r>
        <w:rPr>
          <w:rFonts w:hint="eastAsia"/>
          <w:color w:val="auto"/>
          <w:szCs w:val="21"/>
          <w:highlight w:val="none"/>
          <w:u w:val="single"/>
        </w:rPr>
        <w:t>并编写资格审查报告</w:t>
      </w:r>
      <w:r>
        <w:rPr>
          <w:rFonts w:hint="eastAsia"/>
          <w:color w:val="auto"/>
          <w:szCs w:val="21"/>
          <w:highlight w:val="none"/>
        </w:rPr>
        <w:t>；</w:t>
      </w:r>
    </w:p>
    <w:p>
      <w:pPr>
        <w:spacing w:line="480" w:lineRule="auto"/>
        <w:ind w:firstLine="422" w:firstLineChars="200"/>
        <w:rPr>
          <w:b/>
          <w:color w:val="auto"/>
          <w:szCs w:val="21"/>
          <w:highlight w:val="none"/>
        </w:rPr>
      </w:pPr>
      <w:r>
        <w:rPr>
          <w:rFonts w:hint="eastAsia"/>
          <w:b/>
          <w:color w:val="auto"/>
          <w:szCs w:val="21"/>
          <w:highlight w:val="none"/>
        </w:rPr>
        <w:t>条款号：4</w:t>
      </w:r>
      <w:r>
        <w:rPr>
          <w:rFonts w:hint="eastAsia"/>
          <w:b/>
          <w:color w:val="auto"/>
          <w:szCs w:val="21"/>
          <w:highlight w:val="none"/>
          <w:lang w:val="en-US" w:eastAsia="zh-CN"/>
        </w:rPr>
        <w:t>0</w:t>
      </w:r>
      <w:r>
        <w:rPr>
          <w:rFonts w:hint="eastAsia"/>
          <w:b/>
          <w:color w:val="auto"/>
          <w:szCs w:val="21"/>
          <w:highlight w:val="none"/>
        </w:rPr>
        <w:t>.</w:t>
      </w:r>
      <w:r>
        <w:rPr>
          <w:rFonts w:hint="eastAsia"/>
          <w:b/>
          <w:color w:val="auto"/>
          <w:szCs w:val="21"/>
          <w:highlight w:val="none"/>
          <w:lang w:val="en-US" w:eastAsia="zh-CN"/>
        </w:rPr>
        <w:t>8</w:t>
      </w:r>
      <w:r>
        <w:rPr>
          <w:rFonts w:hint="eastAsia"/>
          <w:b/>
          <w:color w:val="auto"/>
          <w:szCs w:val="21"/>
          <w:highlight w:val="none"/>
        </w:rPr>
        <w:t xml:space="preserve">                   修改类型：修改</w:t>
      </w:r>
    </w:p>
    <w:p>
      <w:pPr>
        <w:snapToGrid w:val="0"/>
        <w:spacing w:line="360" w:lineRule="auto"/>
        <w:ind w:firstLine="422" w:firstLineChars="200"/>
        <w:rPr>
          <w:color w:val="auto"/>
          <w:szCs w:val="21"/>
          <w:highlight w:val="none"/>
        </w:rPr>
      </w:pPr>
      <w:r>
        <w:rPr>
          <w:rFonts w:hint="eastAsia"/>
          <w:b/>
          <w:color w:val="auto"/>
          <w:szCs w:val="21"/>
          <w:highlight w:val="none"/>
        </w:rPr>
        <w:t>原文：</w:t>
      </w:r>
      <w:r>
        <w:rPr>
          <w:rFonts w:hint="eastAsia"/>
          <w:color w:val="auto"/>
          <w:szCs w:val="21"/>
          <w:highlight w:val="none"/>
        </w:rPr>
        <w:t>4</w:t>
      </w:r>
      <w:r>
        <w:rPr>
          <w:rFonts w:hint="eastAsia"/>
          <w:color w:val="auto"/>
          <w:szCs w:val="21"/>
          <w:highlight w:val="none"/>
          <w:lang w:val="en-US" w:eastAsia="zh-CN"/>
        </w:rPr>
        <w:t>0</w:t>
      </w:r>
      <w:r>
        <w:rPr>
          <w:rFonts w:hint="eastAsia"/>
          <w:color w:val="auto"/>
          <w:szCs w:val="21"/>
          <w:highlight w:val="none"/>
        </w:rPr>
        <w:t>.</w:t>
      </w:r>
      <w:r>
        <w:rPr>
          <w:rFonts w:hint="eastAsia"/>
          <w:color w:val="auto"/>
          <w:szCs w:val="21"/>
          <w:highlight w:val="none"/>
          <w:lang w:val="en-US" w:eastAsia="zh-CN"/>
        </w:rPr>
        <w:t>8</w:t>
      </w:r>
      <w:r>
        <w:rPr>
          <w:rFonts w:hint="eastAsia"/>
          <w:color w:val="auto"/>
          <w:szCs w:val="21"/>
          <w:highlight w:val="none"/>
        </w:rPr>
        <w:t>将进入第二阶段评审的投标人进行排序。</w:t>
      </w:r>
    </w:p>
    <w:p>
      <w:pPr>
        <w:pBdr>
          <w:bottom w:val="single" w:color="auto" w:sz="6" w:space="1"/>
        </w:pBdr>
        <w:snapToGrid w:val="0"/>
        <w:spacing w:line="360" w:lineRule="auto"/>
        <w:ind w:firstLine="422" w:firstLineChars="200"/>
        <w:rPr>
          <w:color w:val="auto"/>
          <w:sz w:val="24"/>
          <w:szCs w:val="24"/>
          <w:highlight w:val="none"/>
        </w:rPr>
      </w:pPr>
      <w:r>
        <w:rPr>
          <w:rFonts w:hint="eastAsia"/>
          <w:b/>
          <w:color w:val="auto"/>
          <w:szCs w:val="21"/>
          <w:highlight w:val="none"/>
        </w:rPr>
        <w:t>现文：</w:t>
      </w:r>
      <w:r>
        <w:rPr>
          <w:rFonts w:hint="eastAsia"/>
          <w:color w:val="auto"/>
          <w:szCs w:val="21"/>
          <w:highlight w:val="none"/>
        </w:rPr>
        <w:t>4</w:t>
      </w:r>
      <w:r>
        <w:rPr>
          <w:rFonts w:hint="eastAsia"/>
          <w:color w:val="auto"/>
          <w:szCs w:val="21"/>
          <w:highlight w:val="none"/>
          <w:lang w:val="en-US" w:eastAsia="zh-CN"/>
        </w:rPr>
        <w:t>0</w:t>
      </w:r>
      <w:r>
        <w:rPr>
          <w:rFonts w:hint="eastAsia"/>
          <w:color w:val="auto"/>
          <w:szCs w:val="21"/>
          <w:highlight w:val="none"/>
        </w:rPr>
        <w:t>.</w:t>
      </w:r>
      <w:r>
        <w:rPr>
          <w:rFonts w:hint="eastAsia"/>
          <w:color w:val="auto"/>
          <w:szCs w:val="21"/>
          <w:highlight w:val="none"/>
          <w:lang w:val="en-US" w:eastAsia="zh-CN"/>
        </w:rPr>
        <w:t>8</w:t>
      </w:r>
      <w:r>
        <w:rPr>
          <w:rFonts w:hint="eastAsia"/>
          <w:color w:val="auto"/>
          <w:szCs w:val="21"/>
          <w:highlight w:val="none"/>
          <w:u w:val="single"/>
        </w:rPr>
        <w:t>将进入第二阶段评审的投标人的经济标进行评分，并汇总技术、经济评分</w:t>
      </w:r>
      <w:r>
        <w:rPr>
          <w:rFonts w:hint="eastAsia"/>
          <w:color w:val="auto"/>
          <w:szCs w:val="21"/>
          <w:highlight w:val="none"/>
          <w:u w:val="single"/>
          <w:lang w:eastAsia="zh-CN"/>
        </w:rPr>
        <w:t>、诚信分</w:t>
      </w:r>
      <w:r>
        <w:rPr>
          <w:rFonts w:hint="eastAsia"/>
          <w:color w:val="auto"/>
          <w:szCs w:val="21"/>
          <w:highlight w:val="none"/>
          <w:u w:val="single"/>
        </w:rPr>
        <w:t>，按总分排序</w:t>
      </w:r>
      <w:r>
        <w:rPr>
          <w:rFonts w:hint="eastAsia"/>
          <w:color w:val="auto"/>
          <w:szCs w:val="21"/>
          <w:highlight w:val="none"/>
        </w:rPr>
        <w:t>；</w:t>
      </w:r>
    </w:p>
    <w:p>
      <w:pPr>
        <w:spacing w:line="480" w:lineRule="auto"/>
        <w:ind w:firstLine="422" w:firstLineChars="200"/>
        <w:rPr>
          <w:b/>
          <w:color w:val="auto"/>
          <w:szCs w:val="21"/>
          <w:highlight w:val="none"/>
        </w:rPr>
      </w:pPr>
      <w:r>
        <w:rPr>
          <w:rFonts w:hint="eastAsia"/>
          <w:b/>
          <w:color w:val="auto"/>
          <w:szCs w:val="21"/>
          <w:highlight w:val="none"/>
        </w:rPr>
        <w:t>条款号：41.1                    修改类型：修改</w:t>
      </w:r>
    </w:p>
    <w:p>
      <w:pPr>
        <w:snapToGrid w:val="0"/>
        <w:spacing w:line="360" w:lineRule="auto"/>
        <w:ind w:firstLine="422" w:firstLineChars="200"/>
        <w:rPr>
          <w:color w:val="auto"/>
          <w:szCs w:val="21"/>
          <w:highlight w:val="none"/>
        </w:rPr>
      </w:pPr>
      <w:r>
        <w:rPr>
          <w:rFonts w:hint="eastAsia"/>
          <w:b/>
          <w:color w:val="auto"/>
          <w:szCs w:val="21"/>
          <w:highlight w:val="none"/>
        </w:rPr>
        <w:t>原文：</w:t>
      </w:r>
      <w:r>
        <w:rPr>
          <w:rFonts w:hint="eastAsia"/>
          <w:color w:val="auto"/>
          <w:szCs w:val="21"/>
          <w:highlight w:val="none"/>
        </w:rPr>
        <w:t>41.1开标由招标人主持。</w:t>
      </w:r>
    </w:p>
    <w:p>
      <w:pPr>
        <w:pBdr>
          <w:bottom w:val="single" w:color="auto" w:sz="6" w:space="1"/>
        </w:pBdr>
        <w:snapToGrid w:val="0"/>
        <w:spacing w:line="360" w:lineRule="auto"/>
        <w:ind w:firstLine="422" w:firstLineChars="200"/>
        <w:rPr>
          <w:color w:val="auto"/>
          <w:sz w:val="24"/>
          <w:szCs w:val="24"/>
          <w:highlight w:val="none"/>
        </w:rPr>
      </w:pPr>
      <w:r>
        <w:rPr>
          <w:rFonts w:hint="eastAsia"/>
          <w:b/>
          <w:color w:val="auto"/>
          <w:szCs w:val="21"/>
          <w:highlight w:val="none"/>
        </w:rPr>
        <w:t>现文：</w:t>
      </w:r>
      <w:r>
        <w:rPr>
          <w:rFonts w:hint="eastAsia"/>
          <w:color w:val="auto"/>
          <w:szCs w:val="21"/>
          <w:highlight w:val="none"/>
        </w:rPr>
        <w:t>41.1开标由招标人</w:t>
      </w:r>
      <w:r>
        <w:rPr>
          <w:rFonts w:hint="eastAsia"/>
          <w:color w:val="auto"/>
          <w:szCs w:val="21"/>
          <w:highlight w:val="none"/>
          <w:u w:val="single"/>
        </w:rPr>
        <w:t>或招标代理</w:t>
      </w:r>
      <w:r>
        <w:rPr>
          <w:rFonts w:hint="eastAsia"/>
          <w:color w:val="auto"/>
          <w:szCs w:val="21"/>
          <w:highlight w:val="none"/>
        </w:rPr>
        <w:t>主持；</w:t>
      </w:r>
    </w:p>
    <w:p>
      <w:pPr>
        <w:spacing w:line="360" w:lineRule="auto"/>
        <w:ind w:firstLine="422" w:firstLineChars="200"/>
        <w:rPr>
          <w:b/>
          <w:color w:val="auto"/>
          <w:szCs w:val="21"/>
          <w:highlight w:val="none"/>
        </w:rPr>
      </w:pPr>
      <w:r>
        <w:rPr>
          <w:rFonts w:hint="eastAsia"/>
          <w:b/>
          <w:color w:val="auto"/>
          <w:szCs w:val="21"/>
          <w:highlight w:val="none"/>
        </w:rPr>
        <w:t>条款号：41.2.1</w:t>
      </w:r>
      <w:r>
        <w:rPr>
          <w:b/>
          <w:color w:val="auto"/>
          <w:szCs w:val="21"/>
          <w:highlight w:val="none"/>
        </w:rPr>
        <w:t xml:space="preserve">             </w:t>
      </w:r>
      <w:r>
        <w:rPr>
          <w:rFonts w:hint="eastAsia"/>
          <w:b/>
          <w:color w:val="auto"/>
          <w:szCs w:val="21"/>
          <w:highlight w:val="none"/>
        </w:rPr>
        <w:t>修改类型：修改</w:t>
      </w:r>
    </w:p>
    <w:p>
      <w:pPr>
        <w:spacing w:line="360" w:lineRule="auto"/>
        <w:ind w:firstLine="422" w:firstLineChars="200"/>
        <w:rPr>
          <w:b/>
          <w:color w:val="auto"/>
          <w:szCs w:val="21"/>
          <w:highlight w:val="none"/>
        </w:rPr>
      </w:pPr>
      <w:r>
        <w:rPr>
          <w:rFonts w:hint="eastAsia"/>
          <w:b/>
          <w:color w:val="auto"/>
          <w:szCs w:val="21"/>
          <w:highlight w:val="none"/>
        </w:rPr>
        <w:t>原文：</w:t>
      </w:r>
      <w:r>
        <w:rPr>
          <w:rFonts w:hint="eastAsia"/>
          <w:color w:val="auto"/>
          <w:szCs w:val="21"/>
          <w:highlight w:val="none"/>
        </w:rPr>
        <w:t>4</w:t>
      </w:r>
      <w:r>
        <w:rPr>
          <w:color w:val="auto"/>
          <w:szCs w:val="21"/>
          <w:highlight w:val="none"/>
        </w:rPr>
        <w:t>1.2.1</w:t>
      </w:r>
      <w:r>
        <w:rPr>
          <w:rFonts w:hint="eastAsia"/>
          <w:color w:val="auto"/>
          <w:szCs w:val="21"/>
          <w:highlight w:val="none"/>
        </w:rPr>
        <w:t>投标截止期前，各投标人递交投标文件（包括技术标投标文件、经济标投标文件）至</w:t>
      </w:r>
      <w:r>
        <w:rPr>
          <w:rFonts w:hint="eastAsia"/>
          <w:color w:val="auto"/>
          <w:szCs w:val="21"/>
          <w:highlight w:val="none"/>
          <w:u w:val="single"/>
        </w:rPr>
        <w:t xml:space="preserve">     </w:t>
      </w:r>
      <w:r>
        <w:rPr>
          <w:rFonts w:hint="eastAsia"/>
          <w:color w:val="auto"/>
          <w:szCs w:val="21"/>
          <w:highlight w:val="none"/>
        </w:rPr>
        <w:t>交易平台。有关投标文件提交的事项详见第一章投标须知。</w:t>
      </w:r>
    </w:p>
    <w:p>
      <w:pPr>
        <w:pBdr>
          <w:bottom w:val="single" w:color="auto" w:sz="6" w:space="1"/>
        </w:pBdr>
        <w:spacing w:line="360" w:lineRule="auto"/>
        <w:ind w:firstLine="422" w:firstLineChars="200"/>
        <w:rPr>
          <w:color w:val="auto"/>
          <w:szCs w:val="21"/>
          <w:highlight w:val="none"/>
        </w:rPr>
      </w:pPr>
      <w:r>
        <w:rPr>
          <w:rFonts w:hint="eastAsia"/>
          <w:b/>
          <w:color w:val="auto"/>
          <w:szCs w:val="21"/>
          <w:highlight w:val="none"/>
        </w:rPr>
        <w:t>现文：</w:t>
      </w:r>
      <w:r>
        <w:rPr>
          <w:rFonts w:hint="eastAsia"/>
          <w:color w:val="auto"/>
          <w:szCs w:val="21"/>
          <w:highlight w:val="none"/>
        </w:rPr>
        <w:t>4</w:t>
      </w:r>
      <w:r>
        <w:rPr>
          <w:color w:val="auto"/>
          <w:szCs w:val="21"/>
          <w:highlight w:val="none"/>
        </w:rPr>
        <w:t>1.2.1</w:t>
      </w:r>
      <w:r>
        <w:rPr>
          <w:rFonts w:hint="eastAsia"/>
          <w:color w:val="auto"/>
          <w:szCs w:val="21"/>
          <w:highlight w:val="none"/>
        </w:rPr>
        <w:t>投标截止期前，各投标人递交投标文件</w:t>
      </w:r>
      <w:r>
        <w:rPr>
          <w:rFonts w:hint="eastAsia" w:ascii="宋体" w:hAnsi="宋体" w:cs="宋体"/>
          <w:bCs/>
          <w:color w:val="auto"/>
          <w:szCs w:val="21"/>
          <w:highlight w:val="none"/>
        </w:rPr>
        <w:t>（</w:t>
      </w:r>
      <w:r>
        <w:rPr>
          <w:rFonts w:hint="eastAsia" w:ascii="宋体" w:hAnsi="宋体" w:cs="宋体"/>
          <w:color w:val="auto"/>
          <w:szCs w:val="21"/>
          <w:highlight w:val="none"/>
        </w:rPr>
        <w:t>包括</w:t>
      </w:r>
      <w:r>
        <w:rPr>
          <w:rFonts w:hint="eastAsia" w:ascii="宋体" w:hAnsi="宋体" w:cs="宋体"/>
          <w:color w:val="auto"/>
          <w:szCs w:val="21"/>
          <w:highlight w:val="none"/>
          <w:u w:val="single"/>
        </w:rPr>
        <w:t>技术标投标文件（含资格审查文件）</w:t>
      </w:r>
      <w:r>
        <w:rPr>
          <w:rFonts w:hint="eastAsia" w:ascii="宋体" w:hAnsi="宋体" w:cs="宋体"/>
          <w:color w:val="auto"/>
          <w:szCs w:val="21"/>
          <w:highlight w:val="none"/>
        </w:rPr>
        <w:t>、经济标投标文件</w:t>
      </w:r>
      <w:r>
        <w:rPr>
          <w:rFonts w:hint="eastAsia" w:ascii="宋体" w:hAnsi="宋体" w:cs="宋体"/>
          <w:bCs/>
          <w:color w:val="auto"/>
          <w:szCs w:val="21"/>
          <w:highlight w:val="none"/>
        </w:rPr>
        <w:t>）</w:t>
      </w:r>
      <w:r>
        <w:rPr>
          <w:rFonts w:hint="eastAsia"/>
          <w:color w:val="auto"/>
          <w:szCs w:val="21"/>
          <w:highlight w:val="none"/>
        </w:rPr>
        <w:t>至</w:t>
      </w:r>
      <w:r>
        <w:rPr>
          <w:rFonts w:hint="eastAsia" w:ascii="宋体" w:hAnsi="宋体" w:cs="宋体"/>
          <w:color w:val="auto"/>
          <w:szCs w:val="21"/>
          <w:highlight w:val="none"/>
          <w:u w:val="single"/>
        </w:rPr>
        <w:t>广州交易集团有限公司（广州公共资源交易中心）</w:t>
      </w:r>
      <w:r>
        <w:rPr>
          <w:rFonts w:hint="eastAsia"/>
          <w:color w:val="auto"/>
          <w:szCs w:val="21"/>
          <w:highlight w:val="none"/>
        </w:rPr>
        <w:t>交易平台。有关投标文件提交的事项详见第一章投标须知。</w:t>
      </w:r>
    </w:p>
    <w:p>
      <w:pPr>
        <w:spacing w:line="360"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条款号：41.</w:t>
      </w:r>
      <w:r>
        <w:rPr>
          <w:rFonts w:hint="eastAsia" w:cs="宋体"/>
          <w:b/>
          <w:color w:val="auto"/>
          <w:szCs w:val="21"/>
          <w:highlight w:val="none"/>
          <w:lang w:val="en-US" w:eastAsia="zh-CN"/>
        </w:rPr>
        <w:t>4</w:t>
      </w:r>
      <w:r>
        <w:rPr>
          <w:rFonts w:ascii="宋体" w:hAnsi="宋体" w:cs="宋体"/>
          <w:b/>
          <w:color w:val="auto"/>
          <w:szCs w:val="21"/>
          <w:highlight w:val="none"/>
        </w:rPr>
        <w:t xml:space="preserve"> </w:t>
      </w:r>
      <w:r>
        <w:rPr>
          <w:rFonts w:hint="eastAsia" w:ascii="宋体" w:hAnsi="宋体" w:cs="宋体"/>
          <w:b/>
          <w:color w:val="auto"/>
          <w:szCs w:val="21"/>
          <w:highlight w:val="none"/>
        </w:rPr>
        <w:t xml:space="preserve">                 </w:t>
      </w:r>
      <w:r>
        <w:rPr>
          <w:rFonts w:ascii="宋体" w:hAnsi="宋体" w:cs="宋体"/>
          <w:b/>
          <w:color w:val="auto"/>
          <w:szCs w:val="21"/>
          <w:highlight w:val="none"/>
        </w:rPr>
        <w:t xml:space="preserve"> </w:t>
      </w:r>
      <w:r>
        <w:rPr>
          <w:rFonts w:hint="eastAsia" w:ascii="宋体" w:hAnsi="宋体" w:cs="宋体"/>
          <w:b/>
          <w:color w:val="auto"/>
          <w:szCs w:val="21"/>
          <w:highlight w:val="none"/>
        </w:rPr>
        <w:t xml:space="preserve">     修改类型：修改</w:t>
      </w:r>
    </w:p>
    <w:p>
      <w:pPr>
        <w:spacing w:line="360" w:lineRule="auto"/>
        <w:ind w:firstLine="424" w:firstLineChars="201"/>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w:t>
      </w:r>
      <w:r>
        <w:rPr>
          <w:rFonts w:hint="eastAsia" w:cs="宋体"/>
          <w:color w:val="auto"/>
          <w:szCs w:val="21"/>
          <w:highlight w:val="none"/>
          <w:lang w:val="en-US" w:eastAsia="zh-CN"/>
        </w:rPr>
        <w:t>4</w:t>
      </w:r>
      <w:r>
        <w:rPr>
          <w:rFonts w:hint="eastAsia" w:ascii="宋体" w:hAnsi="宋体" w:cs="宋体"/>
          <w:color w:val="auto"/>
          <w:szCs w:val="21"/>
          <w:highlight w:val="none"/>
        </w:rPr>
        <w:t>招标人对开标过程进行记录，并存档备查，投标人在技术标开标记录上签字。</w:t>
      </w:r>
    </w:p>
    <w:p>
      <w:pPr>
        <w:pStyle w:val="23"/>
        <w:spacing w:after="0" w:line="460" w:lineRule="exact"/>
        <w:ind w:firstLine="422" w:firstLineChars="200"/>
        <w:rPr>
          <w:rFonts w:hint="eastAsia" w:ascii="宋体" w:hAnsi="宋体" w:cs="宋体"/>
          <w:b/>
          <w:color w:val="auto"/>
          <w:sz w:val="21"/>
          <w:szCs w:val="21"/>
          <w:highlight w:val="none"/>
        </w:rPr>
      </w:pPr>
      <w:r>
        <w:rPr>
          <w:rFonts w:hint="eastAsia" w:ascii="宋体" w:hAnsi="宋体" w:cs="宋体"/>
          <w:b/>
          <w:color w:val="auto"/>
          <w:kern w:val="2"/>
          <w:sz w:val="21"/>
          <w:szCs w:val="21"/>
          <w:highlight w:val="none"/>
        </w:rPr>
        <w:t>现文：</w:t>
      </w:r>
      <w:r>
        <w:rPr>
          <w:rFonts w:hint="eastAsia" w:ascii="宋体" w:hAnsi="宋体" w:cs="宋体"/>
          <w:color w:val="auto"/>
          <w:kern w:val="2"/>
          <w:sz w:val="21"/>
          <w:szCs w:val="21"/>
          <w:highlight w:val="none"/>
        </w:rPr>
        <w:t>41.</w:t>
      </w:r>
      <w:r>
        <w:rPr>
          <w:rFonts w:hint="eastAsia" w:ascii="宋体" w:hAnsi="宋体" w:cs="宋体"/>
          <w:color w:val="auto"/>
          <w:kern w:val="2"/>
          <w:sz w:val="21"/>
          <w:szCs w:val="21"/>
          <w:highlight w:val="none"/>
          <w:lang w:val="en-US" w:eastAsia="zh-CN"/>
        </w:rPr>
        <w:t>4</w:t>
      </w:r>
      <w:r>
        <w:rPr>
          <w:rFonts w:hint="eastAsia" w:ascii="宋体" w:hAnsi="宋体" w:cs="宋体"/>
          <w:color w:val="auto"/>
          <w:kern w:val="2"/>
          <w:sz w:val="21"/>
          <w:szCs w:val="21"/>
          <w:highlight w:val="none"/>
        </w:rPr>
        <w:t>招标人</w:t>
      </w:r>
      <w:r>
        <w:rPr>
          <w:rFonts w:hint="eastAsia" w:ascii="宋体" w:hAnsi="宋体" w:cs="宋体"/>
          <w:color w:val="auto"/>
          <w:kern w:val="2"/>
          <w:sz w:val="21"/>
          <w:szCs w:val="21"/>
          <w:highlight w:val="none"/>
          <w:u w:val="single"/>
        </w:rPr>
        <w:t>或招标代理机构</w:t>
      </w:r>
      <w:r>
        <w:rPr>
          <w:rFonts w:hint="eastAsia" w:ascii="宋体" w:hAnsi="宋体" w:cs="宋体"/>
          <w:color w:val="auto"/>
          <w:kern w:val="2"/>
          <w:sz w:val="21"/>
          <w:szCs w:val="21"/>
          <w:highlight w:val="none"/>
        </w:rPr>
        <w:t>对开标过程进行记录，并存档备查，</w:t>
      </w:r>
      <w:r>
        <w:rPr>
          <w:rFonts w:hint="eastAsia" w:ascii="宋体" w:hAnsi="宋体" w:cs="宋体"/>
          <w:color w:val="auto"/>
          <w:kern w:val="2"/>
          <w:sz w:val="21"/>
          <w:szCs w:val="21"/>
          <w:highlight w:val="none"/>
          <w:u w:val="single"/>
        </w:rPr>
        <w:t>参加开标会的</w:t>
      </w:r>
      <w:r>
        <w:rPr>
          <w:rFonts w:hint="eastAsia" w:ascii="宋体" w:hAnsi="宋体" w:cs="宋体"/>
          <w:color w:val="auto"/>
          <w:kern w:val="2"/>
          <w:sz w:val="21"/>
          <w:szCs w:val="21"/>
          <w:highlight w:val="none"/>
        </w:rPr>
        <w:t>投标人在</w:t>
      </w:r>
      <w:r>
        <w:rPr>
          <w:rFonts w:hint="eastAsia" w:ascii="宋体" w:hAnsi="宋体" w:cs="宋体"/>
          <w:color w:val="auto"/>
          <w:kern w:val="2"/>
          <w:sz w:val="21"/>
          <w:szCs w:val="21"/>
          <w:highlight w:val="none"/>
          <w:u w:val="single"/>
        </w:rPr>
        <w:t>开标记录</w:t>
      </w:r>
      <w:r>
        <w:rPr>
          <w:rFonts w:hint="eastAsia" w:ascii="宋体" w:hAnsi="宋体" w:cs="宋体"/>
          <w:color w:val="auto"/>
          <w:kern w:val="2"/>
          <w:sz w:val="21"/>
          <w:szCs w:val="21"/>
          <w:highlight w:val="none"/>
        </w:rPr>
        <w:t>上签字。</w:t>
      </w:r>
    </w:p>
    <w:p>
      <w:pPr>
        <w:pBdr>
          <w:top w:val="single" w:color="auto" w:sz="4" w:space="0"/>
        </w:pBdr>
        <w:spacing w:line="480" w:lineRule="auto"/>
        <w:ind w:firstLine="422" w:firstLineChars="200"/>
        <w:rPr>
          <w:b/>
          <w:color w:val="auto"/>
          <w:szCs w:val="21"/>
          <w:highlight w:val="none"/>
        </w:rPr>
      </w:pPr>
      <w:r>
        <w:rPr>
          <w:rFonts w:hint="eastAsia"/>
          <w:b/>
          <w:color w:val="auto"/>
          <w:szCs w:val="21"/>
          <w:highlight w:val="none"/>
        </w:rPr>
        <w:t>条款号：42.1</w:t>
      </w:r>
      <w:r>
        <w:rPr>
          <w:b/>
          <w:color w:val="auto"/>
          <w:szCs w:val="21"/>
          <w:highlight w:val="none"/>
        </w:rPr>
        <w:t xml:space="preserve">             </w:t>
      </w:r>
      <w:r>
        <w:rPr>
          <w:rFonts w:hint="eastAsia"/>
          <w:b/>
          <w:color w:val="auto"/>
          <w:szCs w:val="21"/>
          <w:highlight w:val="none"/>
        </w:rPr>
        <w:t>修改类型：修改</w:t>
      </w:r>
    </w:p>
    <w:p>
      <w:pPr>
        <w:pBdr>
          <w:bottom w:val="single" w:color="auto" w:sz="6" w:space="1"/>
        </w:pBdr>
        <w:spacing w:line="360" w:lineRule="auto"/>
        <w:ind w:firstLine="422" w:firstLineChars="200"/>
        <w:rPr>
          <w:bCs/>
          <w:color w:val="auto"/>
          <w:szCs w:val="21"/>
          <w:highlight w:val="none"/>
        </w:rPr>
      </w:pPr>
      <w:r>
        <w:rPr>
          <w:rFonts w:hint="eastAsia"/>
          <w:b/>
          <w:color w:val="auto"/>
          <w:szCs w:val="21"/>
          <w:highlight w:val="none"/>
        </w:rPr>
        <w:t>原文：</w:t>
      </w:r>
      <w:r>
        <w:rPr>
          <w:rFonts w:hint="eastAsia"/>
          <w:bCs/>
          <w:color w:val="auto"/>
          <w:szCs w:val="21"/>
          <w:highlight w:val="none"/>
        </w:rPr>
        <w:t>42.1评标委员会的组成：方式</w:t>
      </w:r>
      <w:r>
        <w:rPr>
          <w:rFonts w:hint="eastAsia"/>
          <w:bCs/>
          <w:color w:val="auto"/>
          <w:szCs w:val="21"/>
          <w:highlight w:val="none"/>
          <w:u w:val="single"/>
        </w:rPr>
        <w:t xml:space="preserve">     </w:t>
      </w:r>
      <w:r>
        <w:rPr>
          <w:rFonts w:hint="eastAsia"/>
          <w:bCs/>
          <w:color w:val="auto"/>
          <w:szCs w:val="21"/>
          <w:highlight w:val="none"/>
        </w:rPr>
        <w:t>。</w:t>
      </w:r>
    </w:p>
    <w:p>
      <w:pPr>
        <w:pBdr>
          <w:bottom w:val="single" w:color="auto" w:sz="6" w:space="1"/>
        </w:pBdr>
        <w:spacing w:line="360" w:lineRule="auto"/>
        <w:ind w:firstLine="420" w:firstLineChars="200"/>
        <w:rPr>
          <w:bCs/>
          <w:color w:val="auto"/>
          <w:szCs w:val="21"/>
          <w:highlight w:val="none"/>
        </w:rPr>
      </w:pPr>
      <w:r>
        <w:rPr>
          <w:rFonts w:hint="eastAsia"/>
          <w:bCs/>
          <w:color w:val="auto"/>
          <w:szCs w:val="21"/>
          <w:highlight w:val="none"/>
        </w:rPr>
        <w:t>方式一：评标委员会为综合评标委员会，负责评标工作。</w:t>
      </w:r>
    </w:p>
    <w:p>
      <w:pPr>
        <w:pBdr>
          <w:bottom w:val="single" w:color="auto" w:sz="6" w:space="1"/>
        </w:pBdr>
        <w:spacing w:line="360" w:lineRule="auto"/>
        <w:ind w:firstLine="420" w:firstLineChars="200"/>
        <w:rPr>
          <w:bCs/>
          <w:color w:val="auto"/>
          <w:szCs w:val="21"/>
          <w:highlight w:val="none"/>
        </w:rPr>
      </w:pPr>
      <w:r>
        <w:rPr>
          <w:rFonts w:hint="eastAsia"/>
          <w:bCs/>
          <w:color w:val="auto"/>
          <w:szCs w:val="21"/>
          <w:highlight w:val="none"/>
        </w:rPr>
        <w:t>方式二：评标委员会由技术评审组和经济评审组组成。其中：资格审查、技术评审由技术评标组负责，经济评审由经济评审组负责。</w:t>
      </w:r>
    </w:p>
    <w:p>
      <w:pPr>
        <w:pBdr>
          <w:bottom w:val="single" w:color="auto" w:sz="6" w:space="1"/>
        </w:pBdr>
        <w:spacing w:line="360" w:lineRule="auto"/>
        <w:ind w:firstLine="422" w:firstLineChars="200"/>
        <w:rPr>
          <w:color w:val="auto"/>
          <w:szCs w:val="21"/>
          <w:highlight w:val="none"/>
        </w:rPr>
      </w:pPr>
      <w:r>
        <w:rPr>
          <w:rFonts w:hint="eastAsia"/>
          <w:b/>
          <w:color w:val="auto"/>
          <w:szCs w:val="21"/>
          <w:highlight w:val="none"/>
        </w:rPr>
        <w:t>现文：</w:t>
      </w:r>
      <w:r>
        <w:rPr>
          <w:rFonts w:hint="eastAsia"/>
          <w:color w:val="auto"/>
          <w:szCs w:val="21"/>
          <w:highlight w:val="none"/>
        </w:rPr>
        <w:t>4</w:t>
      </w:r>
      <w:r>
        <w:rPr>
          <w:color w:val="auto"/>
          <w:szCs w:val="21"/>
          <w:highlight w:val="none"/>
        </w:rPr>
        <w:t>2.2</w:t>
      </w:r>
      <w:r>
        <w:rPr>
          <w:rFonts w:hint="eastAsia"/>
          <w:color w:val="auto"/>
          <w:szCs w:val="21"/>
          <w:highlight w:val="none"/>
        </w:rPr>
        <w:t>评标委员会的组成：方式</w:t>
      </w:r>
      <w:r>
        <w:rPr>
          <w:rFonts w:hint="eastAsia"/>
          <w:color w:val="auto"/>
          <w:szCs w:val="21"/>
          <w:highlight w:val="none"/>
          <w:u w:val="single"/>
        </w:rPr>
        <w:t xml:space="preserve"> 一 </w:t>
      </w:r>
      <w:r>
        <w:rPr>
          <w:rFonts w:hint="eastAsia"/>
          <w:color w:val="auto"/>
          <w:szCs w:val="21"/>
          <w:highlight w:val="none"/>
        </w:rPr>
        <w:t xml:space="preserve">。 </w:t>
      </w:r>
    </w:p>
    <w:p>
      <w:pPr>
        <w:pBdr>
          <w:bottom w:val="single" w:color="auto" w:sz="6" w:space="1"/>
        </w:pBdr>
        <w:spacing w:line="360" w:lineRule="auto"/>
        <w:ind w:firstLine="422" w:firstLineChars="201"/>
        <w:rPr>
          <w:rFonts w:cs="宋体"/>
          <w:color w:val="auto"/>
          <w:szCs w:val="21"/>
          <w:highlight w:val="none"/>
        </w:rPr>
      </w:pPr>
      <w:r>
        <w:rPr>
          <w:rFonts w:hint="eastAsia"/>
          <w:color w:val="auto"/>
          <w:szCs w:val="21"/>
          <w:highlight w:val="none"/>
        </w:rPr>
        <w:t>方式一：评标委员会为综合评标委员会，负责资格审查及评标工作。</w:t>
      </w:r>
    </w:p>
    <w:p>
      <w:pPr>
        <w:spacing w:line="360" w:lineRule="auto"/>
        <w:ind w:firstLine="424" w:firstLineChars="201"/>
        <w:rPr>
          <w:rFonts w:cs="宋体"/>
          <w:b/>
          <w:color w:val="auto"/>
          <w:szCs w:val="21"/>
          <w:highlight w:val="none"/>
        </w:rPr>
      </w:pPr>
      <w:r>
        <w:rPr>
          <w:rFonts w:hint="eastAsia" w:cs="宋体"/>
          <w:b/>
          <w:color w:val="auto"/>
          <w:szCs w:val="21"/>
          <w:highlight w:val="none"/>
        </w:rPr>
        <w:t>条款号：42.3.2                      修改类型：修改</w:t>
      </w:r>
    </w:p>
    <w:p>
      <w:pPr>
        <w:spacing w:line="360" w:lineRule="auto"/>
        <w:ind w:firstLine="424" w:firstLineChars="201"/>
        <w:rPr>
          <w:rFonts w:cs="宋体"/>
          <w:color w:val="auto"/>
          <w:szCs w:val="21"/>
          <w:highlight w:val="none"/>
        </w:rPr>
      </w:pPr>
      <w:r>
        <w:rPr>
          <w:rFonts w:hint="eastAsia" w:cs="宋体"/>
          <w:b/>
          <w:color w:val="auto"/>
          <w:szCs w:val="21"/>
          <w:highlight w:val="none"/>
        </w:rPr>
        <w:t>原文：</w:t>
      </w:r>
      <w:r>
        <w:rPr>
          <w:rFonts w:hint="eastAsia" w:cs="宋体"/>
          <w:color w:val="auto"/>
          <w:szCs w:val="21"/>
          <w:highlight w:val="none"/>
        </w:rPr>
        <w:t xml:space="preserve">42.3.2 </w:t>
      </w:r>
      <w:r>
        <w:rPr>
          <w:rFonts w:hint="eastAsia"/>
          <w:bCs/>
          <w:color w:val="auto"/>
          <w:szCs w:val="21"/>
          <w:highlight w:val="none"/>
          <w:u w:val="single"/>
        </w:rPr>
        <w:t xml:space="preserve">     </w:t>
      </w:r>
      <w:r>
        <w:rPr>
          <w:rFonts w:hint="eastAsia" w:cs="宋体"/>
          <w:color w:val="auto"/>
          <w:szCs w:val="21"/>
          <w:highlight w:val="none"/>
        </w:rPr>
        <w:t>详细审查评分：评标委员会按照本办法附表</w:t>
      </w:r>
      <w:r>
        <w:rPr>
          <w:rFonts w:hint="eastAsia"/>
          <w:bCs/>
          <w:color w:val="auto"/>
          <w:szCs w:val="21"/>
          <w:highlight w:val="none"/>
          <w:u w:val="single"/>
        </w:rPr>
        <w:t xml:space="preserve">     </w:t>
      </w:r>
      <w:r>
        <w:rPr>
          <w:rFonts w:hint="eastAsia" w:cs="宋体"/>
          <w:color w:val="auto"/>
          <w:szCs w:val="21"/>
          <w:highlight w:val="none"/>
        </w:rPr>
        <w:t>《</w:t>
      </w:r>
      <w:r>
        <w:rPr>
          <w:rFonts w:hint="eastAsia"/>
          <w:bCs/>
          <w:color w:val="auto"/>
          <w:szCs w:val="21"/>
          <w:highlight w:val="none"/>
          <w:u w:val="single"/>
        </w:rPr>
        <w:t xml:space="preserve">     </w:t>
      </w:r>
      <w:r>
        <w:rPr>
          <w:rFonts w:hint="eastAsia" w:cs="宋体"/>
          <w:color w:val="auto"/>
          <w:szCs w:val="21"/>
          <w:highlight w:val="none"/>
        </w:rPr>
        <w:t>详细审查评分表》对通过技术标有效性审查的投标文件进行详细审查，评出</w:t>
      </w:r>
      <w:r>
        <w:rPr>
          <w:rFonts w:hint="eastAsia"/>
          <w:bCs/>
          <w:color w:val="auto"/>
          <w:szCs w:val="21"/>
          <w:highlight w:val="none"/>
          <w:u w:val="single"/>
        </w:rPr>
        <w:t xml:space="preserve">     </w:t>
      </w:r>
      <w:r>
        <w:rPr>
          <w:rFonts w:hint="eastAsia" w:cs="宋体"/>
          <w:color w:val="auto"/>
          <w:szCs w:val="21"/>
          <w:highlight w:val="none"/>
        </w:rPr>
        <w:t>得分。</w:t>
      </w:r>
    </w:p>
    <w:p>
      <w:pPr>
        <w:pBdr>
          <w:bottom w:val="single" w:color="auto" w:sz="6" w:space="1"/>
        </w:pBdr>
        <w:spacing w:line="360" w:lineRule="auto"/>
        <w:ind w:firstLine="424" w:firstLineChars="201"/>
        <w:rPr>
          <w:color w:val="auto"/>
          <w:szCs w:val="21"/>
          <w:highlight w:val="none"/>
        </w:rPr>
      </w:pPr>
      <w:r>
        <w:rPr>
          <w:rFonts w:hint="eastAsia" w:cs="宋体"/>
          <w:b/>
          <w:color w:val="auto"/>
          <w:szCs w:val="21"/>
          <w:highlight w:val="none"/>
        </w:rPr>
        <w:t>现文：</w:t>
      </w:r>
      <w:r>
        <w:rPr>
          <w:rFonts w:hint="eastAsia" w:cs="宋体"/>
          <w:color w:val="auto"/>
          <w:szCs w:val="21"/>
          <w:highlight w:val="none"/>
        </w:rPr>
        <w:t>42.3.2</w:t>
      </w:r>
      <w:r>
        <w:rPr>
          <w:rFonts w:hint="eastAsia" w:cs="宋体"/>
          <w:color w:val="auto"/>
          <w:szCs w:val="21"/>
          <w:highlight w:val="none"/>
          <w:u w:val="single"/>
        </w:rPr>
        <w:t>技术标</w:t>
      </w:r>
      <w:r>
        <w:rPr>
          <w:rFonts w:hint="eastAsia" w:cs="宋体"/>
          <w:color w:val="auto"/>
          <w:szCs w:val="21"/>
          <w:highlight w:val="none"/>
        </w:rPr>
        <w:t>详细审查评分：评标委员会按照本办法附表</w:t>
      </w:r>
      <w:r>
        <w:rPr>
          <w:rFonts w:hint="eastAsia" w:cs="宋体"/>
          <w:color w:val="auto"/>
          <w:szCs w:val="21"/>
          <w:highlight w:val="none"/>
          <w:u w:val="single"/>
        </w:rPr>
        <w:t>四</w:t>
      </w:r>
      <w:r>
        <w:rPr>
          <w:rFonts w:hint="eastAsia" w:cs="宋体"/>
          <w:color w:val="auto"/>
          <w:szCs w:val="21"/>
          <w:highlight w:val="none"/>
        </w:rPr>
        <w:t>《</w:t>
      </w:r>
      <w:r>
        <w:rPr>
          <w:rFonts w:hint="eastAsia" w:cs="宋体"/>
          <w:color w:val="auto"/>
          <w:szCs w:val="21"/>
          <w:highlight w:val="none"/>
          <w:u w:val="single"/>
        </w:rPr>
        <w:t>技术标</w:t>
      </w:r>
      <w:r>
        <w:rPr>
          <w:rFonts w:hint="eastAsia" w:cs="宋体"/>
          <w:color w:val="auto"/>
          <w:szCs w:val="21"/>
          <w:highlight w:val="none"/>
        </w:rPr>
        <w:t>详细审查评分表》对通过技术标有效性审查的投标文件进行详细审查，评出</w:t>
      </w:r>
      <w:r>
        <w:rPr>
          <w:rFonts w:hint="eastAsia" w:cs="宋体"/>
          <w:color w:val="auto"/>
          <w:szCs w:val="21"/>
          <w:highlight w:val="none"/>
          <w:u w:val="single"/>
        </w:rPr>
        <w:t>技术标</w:t>
      </w:r>
      <w:r>
        <w:rPr>
          <w:rFonts w:hint="eastAsia" w:cs="宋体"/>
          <w:color w:val="auto"/>
          <w:szCs w:val="21"/>
          <w:highlight w:val="none"/>
        </w:rPr>
        <w:t>得分</w:t>
      </w:r>
      <w:r>
        <w:rPr>
          <w:rFonts w:hint="eastAsia" w:cs="宋体"/>
          <w:color w:val="auto"/>
          <w:szCs w:val="21"/>
          <w:highlight w:val="none"/>
          <w:u w:val="single"/>
        </w:rPr>
        <w:t>（即技术分），投标人的技术标得分为各评委评分的算术平均值（若分数出现小数点时，保留小数点后二位，第三位小数四舍五入）。</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b/>
          <w:bCs/>
          <w:color w:val="auto"/>
          <w:szCs w:val="21"/>
          <w:highlight w:val="none"/>
        </w:rPr>
        <w:t>4</w:t>
      </w:r>
      <w:r>
        <w:rPr>
          <w:rFonts w:hint="eastAsia" w:cs="宋体"/>
          <w:b/>
          <w:bCs/>
          <w:color w:val="auto"/>
          <w:szCs w:val="21"/>
          <w:highlight w:val="none"/>
        </w:rPr>
        <w:t>2.3.4</w:t>
      </w:r>
      <w:r>
        <w:rPr>
          <w:b/>
          <w:bCs/>
          <w:color w:val="auto"/>
          <w:szCs w:val="21"/>
          <w:highlight w:val="none"/>
        </w:rPr>
        <w:t xml:space="preserve"> </w:t>
      </w:r>
      <w:r>
        <w:rPr>
          <w:b/>
          <w:color w:val="auto"/>
          <w:szCs w:val="21"/>
          <w:highlight w:val="none"/>
        </w:rPr>
        <w:t xml:space="preserve">          </w:t>
      </w:r>
      <w:r>
        <w:rPr>
          <w:rFonts w:hint="eastAsia"/>
          <w:b/>
          <w:color w:val="auto"/>
          <w:szCs w:val="21"/>
          <w:highlight w:val="none"/>
          <w:lang w:val="en-US" w:eastAsia="zh-CN"/>
        </w:rPr>
        <w:t xml:space="preserve"> </w:t>
      </w:r>
      <w:r>
        <w:rPr>
          <w:b/>
          <w:color w:val="auto"/>
          <w:szCs w:val="21"/>
          <w:highlight w:val="none"/>
        </w:rPr>
        <w:t xml:space="preserve">  </w:t>
      </w:r>
      <w:r>
        <w:rPr>
          <w:rFonts w:hint="eastAsia"/>
          <w:b/>
          <w:color w:val="auto"/>
          <w:szCs w:val="21"/>
          <w:highlight w:val="none"/>
        </w:rPr>
        <w:t>修改类型：修改</w:t>
      </w:r>
    </w:p>
    <w:p>
      <w:pPr>
        <w:pBdr>
          <w:bottom w:val="single" w:color="auto" w:sz="6" w:space="1"/>
        </w:pBdr>
        <w:spacing w:line="360" w:lineRule="auto"/>
        <w:ind w:firstLine="422" w:firstLineChars="200"/>
        <w:rPr>
          <w:color w:val="auto"/>
          <w:szCs w:val="21"/>
          <w:highlight w:val="none"/>
        </w:rPr>
      </w:pPr>
      <w:r>
        <w:rPr>
          <w:rFonts w:hint="eastAsia"/>
          <w:b/>
          <w:bCs/>
          <w:color w:val="auto"/>
          <w:szCs w:val="21"/>
          <w:highlight w:val="none"/>
        </w:rPr>
        <w:t>原文：</w:t>
      </w:r>
      <w:r>
        <w:rPr>
          <w:rFonts w:hint="eastAsia"/>
          <w:color w:val="auto"/>
          <w:szCs w:val="21"/>
          <w:highlight w:val="none"/>
        </w:rPr>
        <w:t>4</w:t>
      </w:r>
      <w:r>
        <w:rPr>
          <w:rFonts w:hint="eastAsia" w:cs="宋体"/>
          <w:color w:val="auto"/>
          <w:szCs w:val="21"/>
          <w:highlight w:val="none"/>
        </w:rPr>
        <w:t>2.3.4评标委员会按照“第一阶段得分=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p>
    <w:p>
      <w:pPr>
        <w:pBdr>
          <w:bottom w:val="single" w:color="auto" w:sz="6" w:space="1"/>
        </w:pBdr>
        <w:spacing w:line="360" w:lineRule="auto"/>
        <w:ind w:firstLine="424" w:firstLineChars="201"/>
        <w:rPr>
          <w:rFonts w:cs="宋体"/>
          <w:color w:val="auto"/>
          <w:szCs w:val="21"/>
          <w:highlight w:val="none"/>
          <w:u w:val="single"/>
        </w:rPr>
      </w:pPr>
      <w:r>
        <w:rPr>
          <w:rFonts w:hint="eastAsia"/>
          <w:b/>
          <w:color w:val="auto"/>
          <w:szCs w:val="21"/>
          <w:highlight w:val="none"/>
        </w:rPr>
        <w:t>现文：</w:t>
      </w:r>
      <w:r>
        <w:rPr>
          <w:rFonts w:hint="eastAsia"/>
          <w:color w:val="auto"/>
          <w:szCs w:val="21"/>
          <w:highlight w:val="none"/>
        </w:rPr>
        <w:t>4</w:t>
      </w:r>
      <w:r>
        <w:rPr>
          <w:rFonts w:hint="eastAsia" w:cs="宋体"/>
          <w:color w:val="auto"/>
          <w:szCs w:val="21"/>
          <w:highlight w:val="none"/>
        </w:rPr>
        <w:t>2.3.4评标委员会按照</w:t>
      </w:r>
      <w:r>
        <w:rPr>
          <w:rFonts w:hint="eastAsia" w:cs="宋体"/>
          <w:color w:val="auto"/>
          <w:szCs w:val="21"/>
          <w:highlight w:val="none"/>
          <w:u w:val="single"/>
        </w:rPr>
        <w:t>“第一阶段得分=技术分（满分为100分）×技术分权重（</w:t>
      </w:r>
      <w:r>
        <w:rPr>
          <w:rFonts w:hint="eastAsia" w:cs="宋体"/>
          <w:color w:val="auto"/>
          <w:szCs w:val="21"/>
          <w:highlight w:val="none"/>
          <w:u w:val="single"/>
          <w:lang w:val="en-US" w:eastAsia="zh-CN"/>
        </w:rPr>
        <w:t>100</w:t>
      </w:r>
      <w:r>
        <w:rPr>
          <w:rFonts w:hint="eastAsia" w:cs="宋体"/>
          <w:color w:val="auto"/>
          <w:szCs w:val="21"/>
          <w:highlight w:val="none"/>
          <w:u w:val="single"/>
        </w:rPr>
        <w:t>%）”</w:t>
      </w:r>
      <w:r>
        <w:rPr>
          <w:rFonts w:hint="eastAsia" w:cs="宋体"/>
          <w:color w:val="auto"/>
          <w:szCs w:val="21"/>
          <w:highlight w:val="none"/>
        </w:rPr>
        <w:t>的公式及投标须知前附表第27项的规定，计算各投标人第一阶段得分(按四舍五入的原则保留两位小数)，并按照得分从高到低排列先后次序，若投标人得分相同的，</w:t>
      </w:r>
      <w:r>
        <w:rPr>
          <w:rFonts w:hint="eastAsia" w:cs="宋体"/>
          <w:color w:val="auto"/>
          <w:szCs w:val="21"/>
          <w:highlight w:val="none"/>
          <w:u w:val="single"/>
        </w:rPr>
        <w:t>则以投标总报价较低的排前；投标总报价仍相同的，则对具有相同情况的投标人，由评标委员会采用记名投票方式，确定投标人第一阶段名次的排序。编写第一阶段评审报告。</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b/>
          <w:bCs/>
          <w:color w:val="auto"/>
          <w:szCs w:val="21"/>
          <w:highlight w:val="none"/>
        </w:rPr>
        <w:t>4</w:t>
      </w:r>
      <w:r>
        <w:rPr>
          <w:rFonts w:hint="eastAsia" w:cs="宋体"/>
          <w:b/>
          <w:bCs/>
          <w:color w:val="auto"/>
          <w:szCs w:val="21"/>
          <w:highlight w:val="none"/>
        </w:rPr>
        <w:t>2.4.3.1</w:t>
      </w:r>
      <w:r>
        <w:rPr>
          <w:b/>
          <w:bCs/>
          <w:color w:val="auto"/>
          <w:szCs w:val="21"/>
          <w:highlight w:val="none"/>
        </w:rPr>
        <w:t xml:space="preserve"> </w:t>
      </w:r>
      <w:r>
        <w:rPr>
          <w:b/>
          <w:color w:val="auto"/>
          <w:szCs w:val="21"/>
          <w:highlight w:val="none"/>
        </w:rPr>
        <w:t xml:space="preserve">         </w:t>
      </w:r>
      <w:r>
        <w:rPr>
          <w:rFonts w:hint="eastAsia"/>
          <w:b/>
          <w:color w:val="auto"/>
          <w:szCs w:val="21"/>
          <w:highlight w:val="none"/>
          <w:lang w:val="en-US" w:eastAsia="zh-CN"/>
        </w:rPr>
        <w:t xml:space="preserve"> </w:t>
      </w:r>
      <w:r>
        <w:rPr>
          <w:b/>
          <w:color w:val="auto"/>
          <w:szCs w:val="21"/>
          <w:highlight w:val="none"/>
        </w:rPr>
        <w:t xml:space="preserve">  </w:t>
      </w:r>
      <w:r>
        <w:rPr>
          <w:rFonts w:hint="eastAsia"/>
          <w:b/>
          <w:color w:val="auto"/>
          <w:szCs w:val="21"/>
          <w:highlight w:val="none"/>
        </w:rPr>
        <w:t>修改类型：修改</w:t>
      </w:r>
    </w:p>
    <w:p>
      <w:pPr>
        <w:spacing w:line="360" w:lineRule="auto"/>
        <w:ind w:firstLine="424" w:firstLineChars="201"/>
        <w:rPr>
          <w:rFonts w:cs="宋体"/>
          <w:color w:val="auto"/>
          <w:szCs w:val="21"/>
          <w:highlight w:val="none"/>
        </w:rPr>
      </w:pPr>
      <w:r>
        <w:rPr>
          <w:rFonts w:hint="eastAsia"/>
          <w:b/>
          <w:color w:val="auto"/>
          <w:szCs w:val="21"/>
          <w:highlight w:val="none"/>
        </w:rPr>
        <w:t>原文：</w:t>
      </w:r>
      <w:r>
        <w:rPr>
          <w:rFonts w:hint="eastAsia"/>
          <w:color w:val="auto"/>
          <w:szCs w:val="21"/>
          <w:highlight w:val="none"/>
        </w:rPr>
        <w:t>4</w:t>
      </w:r>
      <w:r>
        <w:rPr>
          <w:rFonts w:hint="eastAsia" w:cs="宋体"/>
          <w:color w:val="auto"/>
          <w:szCs w:val="21"/>
          <w:highlight w:val="none"/>
        </w:rPr>
        <w:t>2.4.3.1按方法</w:t>
      </w:r>
      <w:r>
        <w:rPr>
          <w:rFonts w:hint="eastAsia"/>
          <w:color w:val="auto"/>
          <w:sz w:val="24"/>
          <w:szCs w:val="24"/>
          <w:highlight w:val="none"/>
          <w:u w:val="single"/>
        </w:rPr>
        <w:t xml:space="preserve">    </w:t>
      </w:r>
      <w:r>
        <w:rPr>
          <w:rFonts w:hint="eastAsia" w:cs="宋体"/>
          <w:color w:val="auto"/>
          <w:szCs w:val="21"/>
          <w:highlight w:val="none"/>
        </w:rPr>
        <w:t>计算评标参考价：</w:t>
      </w:r>
    </w:p>
    <w:p>
      <w:pPr>
        <w:widowControl/>
        <w:spacing w:line="360" w:lineRule="auto"/>
        <w:ind w:firstLine="424" w:firstLineChars="201"/>
        <w:rPr>
          <w:rFonts w:cs="宋体"/>
          <w:b/>
          <w:bCs/>
          <w:color w:val="auto"/>
          <w:kern w:val="0"/>
          <w:szCs w:val="21"/>
          <w:highlight w:val="none"/>
        </w:rPr>
      </w:pPr>
      <w:r>
        <w:rPr>
          <w:rFonts w:hint="eastAsia" w:cs="宋体"/>
          <w:b/>
          <w:bCs/>
          <w:color w:val="auto"/>
          <w:kern w:val="0"/>
          <w:szCs w:val="21"/>
          <w:highlight w:val="none"/>
        </w:rPr>
        <w:t xml:space="preserve">    方法一：加权平均法</w:t>
      </w:r>
    </w:p>
    <w:p>
      <w:pPr>
        <w:spacing w:line="360" w:lineRule="auto"/>
        <w:ind w:firstLine="422" w:firstLineChars="201"/>
        <w:rPr>
          <w:rFonts w:cs="宋体"/>
          <w:color w:val="auto"/>
          <w:szCs w:val="21"/>
          <w:highlight w:val="none"/>
        </w:rPr>
      </w:pPr>
      <w:r>
        <w:rPr>
          <w:rFonts w:hint="eastAsia" w:cs="仿宋"/>
          <w:color w:val="auto"/>
          <w:szCs w:val="21"/>
          <w:highlight w:val="none"/>
        </w:rPr>
        <w:t>技术标或技术标加诚信得分或第一阶段入围得分</w:t>
      </w:r>
      <w:r>
        <w:rPr>
          <w:rFonts w:hint="eastAsia" w:cs="宋体"/>
          <w:color w:val="auto"/>
          <w:szCs w:val="21"/>
          <w:highlight w:val="none"/>
        </w:rPr>
        <w:t>（具体由招标人自定）前N名（N≥5，具体由招标人自定）的经济报价加权平均，计算评标参考价。公式如下：</w:t>
      </w:r>
    </w:p>
    <w:p>
      <w:pPr>
        <w:spacing w:line="360" w:lineRule="auto"/>
        <w:ind w:firstLine="422" w:firstLineChars="201"/>
        <w:rPr>
          <w:rFonts w:cs="宋体"/>
          <w:color w:val="auto"/>
          <w:szCs w:val="21"/>
          <w:highlight w:val="none"/>
        </w:rPr>
      </w:pPr>
      <w:r>
        <w:rPr>
          <w:rFonts w:hint="eastAsia" w:cs="宋体"/>
          <w:color w:val="auto"/>
          <w:szCs w:val="21"/>
          <w:highlight w:val="none"/>
        </w:rPr>
        <w:t>评标参考价=Σ（投标人的投标报价*报价权重）。</w:t>
      </w:r>
    </w:p>
    <w:p>
      <w:pPr>
        <w:widowControl/>
        <w:spacing w:line="360" w:lineRule="auto"/>
        <w:ind w:firstLine="422" w:firstLineChars="201"/>
        <w:rPr>
          <w:rFonts w:cs="宋体"/>
          <w:color w:val="auto"/>
          <w:szCs w:val="21"/>
          <w:highlight w:val="none"/>
        </w:rPr>
      </w:pPr>
      <w:r>
        <w:rPr>
          <w:rFonts w:hint="eastAsia" w:cs="宋体"/>
          <w:color w:val="auto"/>
          <w:szCs w:val="21"/>
          <w:highlight w:val="none"/>
        </w:rPr>
        <w:t>其中：报价权重的计算方法为：将N名投标人按技术分由高至低进行排序，第一名投标人的权重为（</w:t>
      </w:r>
      <w:r>
        <w:rPr>
          <w:rFonts w:cs="仿宋"/>
          <w:color w:val="auto"/>
          <w:sz w:val="24"/>
          <w:szCs w:val="24"/>
          <w:highlight w:val="none"/>
        </w:rPr>
        <w:fldChar w:fldCharType="begin"/>
      </w:r>
      <w:r>
        <w:rPr>
          <w:rFonts w:cs="仿宋"/>
          <w:color w:val="auto"/>
          <w:sz w:val="24"/>
          <w:szCs w:val="24"/>
          <w:highlight w:val="none"/>
        </w:rPr>
        <w:instrText xml:space="preserve"> QUOTE </w:instrText>
      </w:r>
      <w:r>
        <w:rPr>
          <w:color w:val="auto"/>
          <w:sz w:val="24"/>
          <w:szCs w:val="24"/>
          <w:highlight w:val="none"/>
        </w:rPr>
        <w:drawing>
          <wp:inline distT="0" distB="0" distL="114300" distR="114300">
            <wp:extent cx="381000" cy="447675"/>
            <wp:effectExtent l="0" t="0" r="0" b="889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20">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color w:val="auto"/>
          <w:sz w:val="24"/>
          <w:szCs w:val="24"/>
          <w:highlight w:val="none"/>
        </w:rPr>
        <w:instrText xml:space="preserve"> \* MERGEFORMAT </w:instrText>
      </w:r>
      <w:r>
        <w:rPr>
          <w:rFonts w:cs="仿宋"/>
          <w:color w:val="auto"/>
          <w:sz w:val="24"/>
          <w:szCs w:val="24"/>
          <w:highlight w:val="none"/>
        </w:rPr>
        <w:fldChar w:fldCharType="separate"/>
      </w:r>
      <w:r>
        <w:rPr>
          <w:color w:val="auto"/>
          <w:szCs w:val="21"/>
          <w:highlight w:val="none"/>
        </w:rPr>
        <w:drawing>
          <wp:inline distT="0" distB="0" distL="114300" distR="114300">
            <wp:extent cx="381000" cy="447675"/>
            <wp:effectExtent l="0" t="0" r="0" b="8890"/>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20">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cs="仿宋"/>
          <w:color w:val="auto"/>
          <w:sz w:val="24"/>
          <w:szCs w:val="24"/>
          <w:highlight w:val="none"/>
        </w:rPr>
        <w:fldChar w:fldCharType="end"/>
      </w:r>
      <w:r>
        <w:rPr>
          <w:rFonts w:hint="eastAsia" w:cs="宋体"/>
          <w:color w:val="auto"/>
          <w:szCs w:val="21"/>
          <w:highlight w:val="none"/>
        </w:rPr>
        <w:t>），第二名投标人的权重为（</w:t>
      </w:r>
      <w:r>
        <w:rPr>
          <w:rFonts w:cs="仿宋"/>
          <w:color w:val="auto"/>
          <w:sz w:val="24"/>
          <w:szCs w:val="24"/>
          <w:highlight w:val="none"/>
        </w:rPr>
        <w:fldChar w:fldCharType="begin"/>
      </w:r>
      <w:r>
        <w:rPr>
          <w:rFonts w:cs="仿宋"/>
          <w:color w:val="auto"/>
          <w:sz w:val="24"/>
          <w:szCs w:val="24"/>
          <w:highlight w:val="none"/>
        </w:rPr>
        <w:instrText xml:space="preserve"> QUOTE </w:instrText>
      </w:r>
      <w:r>
        <w:rPr>
          <w:color w:val="auto"/>
          <w:position w:val="-23"/>
          <w:sz w:val="24"/>
          <w:szCs w:val="24"/>
          <w:highlight w:val="none"/>
        </w:rPr>
        <w:drawing>
          <wp:inline distT="0" distB="0" distL="114300" distR="114300">
            <wp:extent cx="323850" cy="400050"/>
            <wp:effectExtent l="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21">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color w:val="auto"/>
          <w:position w:val="-23"/>
          <w:sz w:val="24"/>
          <w:szCs w:val="24"/>
          <w:highlight w:val="none"/>
        </w:rPr>
        <w:instrText xml:space="preserve"> \* MERGEFORMAT </w:instrText>
      </w:r>
      <w:r>
        <w:rPr>
          <w:rFonts w:cs="仿宋"/>
          <w:color w:val="auto"/>
          <w:sz w:val="24"/>
          <w:szCs w:val="24"/>
          <w:highlight w:val="none"/>
        </w:rPr>
        <w:fldChar w:fldCharType="separate"/>
      </w:r>
      <w:r>
        <w:rPr>
          <w:color w:val="auto"/>
          <w:position w:val="-23"/>
          <w:szCs w:val="21"/>
          <w:highlight w:val="none"/>
        </w:rPr>
        <w:drawing>
          <wp:inline distT="0" distB="0" distL="114300" distR="114300">
            <wp:extent cx="323850" cy="400050"/>
            <wp:effectExtent l="0" t="0" r="0" b="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21">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cs="仿宋"/>
          <w:color w:val="auto"/>
          <w:sz w:val="24"/>
          <w:szCs w:val="24"/>
          <w:highlight w:val="none"/>
        </w:rPr>
        <w:fldChar w:fldCharType="end"/>
      </w:r>
      <w:r>
        <w:rPr>
          <w:rFonts w:hint="eastAsia" w:cs="宋体"/>
          <w:color w:val="auto"/>
          <w:szCs w:val="21"/>
          <w:highlight w:val="none"/>
        </w:rPr>
        <w:t>），以此类推，最后一名投标人的权重为（</w:t>
      </w:r>
      <w:r>
        <w:rPr>
          <w:rFonts w:cs="仿宋"/>
          <w:color w:val="auto"/>
          <w:sz w:val="24"/>
          <w:szCs w:val="24"/>
          <w:highlight w:val="none"/>
        </w:rPr>
        <w:fldChar w:fldCharType="begin"/>
      </w:r>
      <w:r>
        <w:rPr>
          <w:rFonts w:cs="仿宋"/>
          <w:color w:val="auto"/>
          <w:sz w:val="24"/>
          <w:szCs w:val="24"/>
          <w:highlight w:val="none"/>
        </w:rPr>
        <w:instrText xml:space="preserve"> QUOTE </w:instrText>
      </w:r>
      <w:r>
        <w:rPr>
          <w:color w:val="auto"/>
          <w:position w:val="-23"/>
          <w:sz w:val="24"/>
          <w:szCs w:val="24"/>
          <w:highlight w:val="none"/>
        </w:rPr>
        <w:drawing>
          <wp:inline distT="0" distB="0" distL="114300" distR="114300">
            <wp:extent cx="323850" cy="400050"/>
            <wp:effectExtent l="0" t="0" r="0" b="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22">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color w:val="auto"/>
          <w:position w:val="-23"/>
          <w:sz w:val="24"/>
          <w:szCs w:val="24"/>
          <w:highlight w:val="none"/>
        </w:rPr>
        <w:instrText xml:space="preserve"> \* MERGEFORMAT </w:instrText>
      </w:r>
      <w:r>
        <w:rPr>
          <w:rFonts w:cs="仿宋"/>
          <w:color w:val="auto"/>
          <w:sz w:val="24"/>
          <w:szCs w:val="24"/>
          <w:highlight w:val="none"/>
        </w:rPr>
        <w:fldChar w:fldCharType="separate"/>
      </w:r>
      <w:r>
        <w:rPr>
          <w:color w:val="auto"/>
          <w:position w:val="-23"/>
          <w:szCs w:val="21"/>
          <w:highlight w:val="none"/>
        </w:rPr>
        <w:drawing>
          <wp:inline distT="0" distB="0" distL="114300" distR="114300">
            <wp:extent cx="323850" cy="400050"/>
            <wp:effectExtent l="0" t="0" r="0" b="0"/>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22">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cs="仿宋"/>
          <w:color w:val="auto"/>
          <w:sz w:val="24"/>
          <w:szCs w:val="24"/>
          <w:highlight w:val="none"/>
        </w:rPr>
        <w:fldChar w:fldCharType="end"/>
      </w:r>
      <w:r>
        <w:rPr>
          <w:rFonts w:hint="eastAsia" w:cs="宋体"/>
          <w:color w:val="auto"/>
          <w:szCs w:val="21"/>
          <w:highlight w:val="none"/>
        </w:rPr>
        <w:t>）。</w:t>
      </w:r>
    </w:p>
    <w:p>
      <w:pPr>
        <w:widowControl/>
        <w:spacing w:line="360" w:lineRule="auto"/>
        <w:ind w:firstLine="424" w:firstLineChars="201"/>
        <w:rPr>
          <w:rFonts w:cs="宋体"/>
          <w:color w:val="auto"/>
          <w:szCs w:val="21"/>
          <w:highlight w:val="none"/>
        </w:rPr>
      </w:pPr>
      <w:r>
        <w:rPr>
          <w:rFonts w:hint="eastAsia" w:cs="宋体"/>
          <w:b/>
          <w:bCs/>
          <w:color w:val="auto"/>
          <w:kern w:val="0"/>
          <w:szCs w:val="21"/>
          <w:highlight w:val="none"/>
        </w:rPr>
        <w:t>方法二：区间抽取法</w:t>
      </w:r>
    </w:p>
    <w:p>
      <w:pPr>
        <w:widowControl/>
        <w:spacing w:line="360" w:lineRule="auto"/>
        <w:ind w:firstLine="422" w:firstLineChars="201"/>
        <w:rPr>
          <w:rFonts w:cs="宋体"/>
          <w:color w:val="auto"/>
          <w:kern w:val="0"/>
          <w:szCs w:val="21"/>
          <w:highlight w:val="none"/>
        </w:rPr>
      </w:pPr>
      <w:r>
        <w:rPr>
          <w:rFonts w:hint="eastAsia" w:cs="宋体"/>
          <w:color w:val="auto"/>
          <w:szCs w:val="21"/>
          <w:highlight w:val="none"/>
        </w:rPr>
        <w:t>设立入围合格分数线（</w:t>
      </w:r>
      <w:r>
        <w:rPr>
          <w:rFonts w:hint="eastAsia" w:cs="仿宋"/>
          <w:color w:val="auto"/>
          <w:szCs w:val="21"/>
          <w:highlight w:val="none"/>
        </w:rPr>
        <w:t>技术标或技术标加诚信得分或第一阶段入围得分</w:t>
      </w:r>
      <w:r>
        <w:rPr>
          <w:rFonts w:hint="eastAsia" w:cs="宋体"/>
          <w:color w:val="auto"/>
          <w:szCs w:val="21"/>
          <w:highlight w:val="none"/>
        </w:rPr>
        <w:t>，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22" w:firstLineChars="201"/>
        <w:rPr>
          <w:rFonts w:cs="宋体"/>
          <w:color w:val="auto"/>
          <w:kern w:val="0"/>
          <w:szCs w:val="21"/>
          <w:highlight w:val="none"/>
          <w:vertAlign w:val="subscript"/>
        </w:rPr>
      </w:pPr>
      <w:r>
        <w:rPr>
          <w:rFonts w:hint="eastAsia" w:cs="宋体"/>
          <w:color w:val="auto"/>
          <w:kern w:val="0"/>
          <w:szCs w:val="21"/>
          <w:highlight w:val="none"/>
        </w:rPr>
        <w:t>评标参考价=（Q</w:t>
      </w:r>
      <w:r>
        <w:rPr>
          <w:rFonts w:hint="eastAsia" w:cs="宋体"/>
          <w:color w:val="auto"/>
          <w:kern w:val="0"/>
          <w:szCs w:val="21"/>
          <w:highlight w:val="none"/>
          <w:vertAlign w:val="subscript"/>
        </w:rPr>
        <w:t>高</w:t>
      </w:r>
      <w:r>
        <w:rPr>
          <w:rFonts w:hint="eastAsia" w:cs="宋体"/>
          <w:color w:val="auto"/>
          <w:kern w:val="0"/>
          <w:szCs w:val="21"/>
          <w:highlight w:val="none"/>
        </w:rPr>
        <w:t>-Q</w:t>
      </w:r>
      <w:r>
        <w:rPr>
          <w:rFonts w:hint="eastAsia" w:cs="宋体"/>
          <w:color w:val="auto"/>
          <w:kern w:val="0"/>
          <w:szCs w:val="21"/>
          <w:highlight w:val="none"/>
          <w:vertAlign w:val="subscript"/>
        </w:rPr>
        <w:t>低</w:t>
      </w:r>
      <w:r>
        <w:rPr>
          <w:rFonts w:hint="eastAsia" w:cs="宋体"/>
          <w:color w:val="auto"/>
          <w:kern w:val="0"/>
          <w:szCs w:val="21"/>
          <w:highlight w:val="none"/>
        </w:rPr>
        <w:t>）/100*Ｘ+Q</w:t>
      </w:r>
      <w:r>
        <w:rPr>
          <w:rFonts w:hint="eastAsia" w:cs="宋体"/>
          <w:color w:val="auto"/>
          <w:kern w:val="0"/>
          <w:szCs w:val="21"/>
          <w:highlight w:val="none"/>
          <w:vertAlign w:val="subscript"/>
        </w:rPr>
        <w:t>低</w:t>
      </w:r>
    </w:p>
    <w:p>
      <w:pPr>
        <w:widowControl/>
        <w:snapToGrid w:val="0"/>
        <w:spacing w:line="360" w:lineRule="auto"/>
        <w:ind w:firstLine="422" w:firstLineChars="201"/>
        <w:rPr>
          <w:rFonts w:cs="宋体"/>
          <w:color w:val="auto"/>
          <w:szCs w:val="21"/>
          <w:highlight w:val="none"/>
        </w:rPr>
      </w:pPr>
      <w:r>
        <w:rPr>
          <w:rFonts w:hint="eastAsia" w:cs="宋体"/>
          <w:color w:val="auto"/>
          <w:szCs w:val="21"/>
          <w:highlight w:val="none"/>
        </w:rPr>
        <w:t>Q</w:t>
      </w:r>
      <w:r>
        <w:rPr>
          <w:rFonts w:hint="eastAsia" w:cs="宋体"/>
          <w:color w:val="auto"/>
          <w:szCs w:val="21"/>
          <w:highlight w:val="none"/>
          <w:vertAlign w:val="subscript"/>
        </w:rPr>
        <w:t>低</w:t>
      </w:r>
      <w:r>
        <w:rPr>
          <w:rFonts w:hint="eastAsia" w:cs="宋体"/>
          <w:color w:val="auto"/>
          <w:szCs w:val="21"/>
          <w:highlight w:val="none"/>
        </w:rPr>
        <w:t>：为达到或超过技术标及格分数线的投标人最低报价与工程成本警示价两者中的较高值；</w:t>
      </w:r>
    </w:p>
    <w:p>
      <w:pPr>
        <w:spacing w:line="360" w:lineRule="auto"/>
        <w:ind w:firstLine="422" w:firstLineChars="201"/>
        <w:rPr>
          <w:rFonts w:cs="宋体"/>
          <w:color w:val="auto"/>
          <w:szCs w:val="21"/>
          <w:highlight w:val="none"/>
        </w:rPr>
      </w:pPr>
      <w:r>
        <w:rPr>
          <w:rFonts w:hint="eastAsia" w:cs="宋体"/>
          <w:color w:val="auto"/>
          <w:kern w:val="0"/>
          <w:szCs w:val="21"/>
          <w:highlight w:val="none"/>
        </w:rPr>
        <w:t>Q</w:t>
      </w:r>
      <w:r>
        <w:rPr>
          <w:rFonts w:hint="eastAsia" w:cs="宋体"/>
          <w:color w:val="auto"/>
          <w:kern w:val="0"/>
          <w:szCs w:val="21"/>
          <w:highlight w:val="none"/>
          <w:vertAlign w:val="subscript"/>
        </w:rPr>
        <w:t>高</w:t>
      </w:r>
      <w:r>
        <w:rPr>
          <w:rFonts w:hint="eastAsia" w:cs="宋体"/>
          <w:color w:val="auto"/>
          <w:szCs w:val="21"/>
          <w:highlight w:val="none"/>
        </w:rPr>
        <w:t>：为最高投标限价</w:t>
      </w:r>
    </w:p>
    <w:p>
      <w:pPr>
        <w:spacing w:line="360" w:lineRule="auto"/>
        <w:ind w:firstLine="422" w:firstLineChars="201"/>
        <w:rPr>
          <w:rFonts w:cs="宋体"/>
          <w:color w:val="auto"/>
          <w:szCs w:val="21"/>
          <w:highlight w:val="none"/>
        </w:rPr>
      </w:pPr>
      <w:r>
        <w:rPr>
          <w:rFonts w:hint="eastAsia" w:cs="宋体"/>
          <w:color w:val="auto"/>
          <w:szCs w:val="21"/>
          <w:highlight w:val="none"/>
        </w:rPr>
        <w:t>X:为等分点值，在开标前从[0,100]整数中随机抽取。</w:t>
      </w:r>
    </w:p>
    <w:p>
      <w:pPr>
        <w:spacing w:line="360" w:lineRule="auto"/>
        <w:ind w:firstLine="424" w:firstLineChars="201"/>
        <w:rPr>
          <w:rFonts w:cs="宋体"/>
          <w:color w:val="auto"/>
          <w:szCs w:val="21"/>
          <w:highlight w:val="none"/>
        </w:rPr>
      </w:pPr>
      <w:r>
        <w:rPr>
          <w:rFonts w:hint="eastAsia" w:cs="宋体"/>
          <w:b/>
          <w:color w:val="auto"/>
          <w:szCs w:val="21"/>
          <w:highlight w:val="none"/>
        </w:rPr>
        <w:t>现文：</w:t>
      </w:r>
      <w:r>
        <w:rPr>
          <w:rFonts w:hint="eastAsia" w:cs="宋体"/>
          <w:color w:val="auto"/>
          <w:szCs w:val="21"/>
          <w:highlight w:val="none"/>
        </w:rPr>
        <w:t>42.4.3.1按方法</w:t>
      </w:r>
      <w:r>
        <w:rPr>
          <w:rFonts w:hint="eastAsia" w:cs="宋体"/>
          <w:color w:val="auto"/>
          <w:szCs w:val="21"/>
          <w:highlight w:val="none"/>
          <w:u w:val="single"/>
        </w:rPr>
        <w:t xml:space="preserve">  一  </w:t>
      </w:r>
      <w:r>
        <w:rPr>
          <w:rFonts w:hint="eastAsia" w:cs="宋体"/>
          <w:color w:val="auto"/>
          <w:szCs w:val="21"/>
          <w:highlight w:val="none"/>
        </w:rPr>
        <w:t xml:space="preserve">计算评标参考价： </w:t>
      </w:r>
    </w:p>
    <w:p>
      <w:pPr>
        <w:spacing w:line="360" w:lineRule="auto"/>
        <w:ind w:firstLine="424" w:firstLineChars="201"/>
        <w:rPr>
          <w:rFonts w:cs="宋体"/>
          <w:b/>
          <w:bCs/>
          <w:color w:val="auto"/>
          <w:kern w:val="0"/>
          <w:szCs w:val="21"/>
          <w:highlight w:val="none"/>
        </w:rPr>
      </w:pPr>
      <w:r>
        <w:rPr>
          <w:rFonts w:hint="eastAsia" w:cs="宋体"/>
          <w:b/>
          <w:bCs/>
          <w:color w:val="auto"/>
          <w:kern w:val="0"/>
          <w:szCs w:val="21"/>
          <w:highlight w:val="none"/>
        </w:rPr>
        <w:t>方法一：加权平均法</w:t>
      </w:r>
    </w:p>
    <w:p>
      <w:pPr>
        <w:spacing w:line="360" w:lineRule="auto"/>
        <w:ind w:firstLine="422" w:firstLineChars="201"/>
        <w:rPr>
          <w:rFonts w:cs="宋体"/>
          <w:color w:val="auto"/>
          <w:szCs w:val="21"/>
          <w:highlight w:val="none"/>
        </w:rPr>
      </w:pPr>
      <w:r>
        <w:rPr>
          <w:rFonts w:hint="eastAsia"/>
          <w:color w:val="auto"/>
          <w:szCs w:val="21"/>
          <w:highlight w:val="none"/>
          <w:u w:val="single"/>
        </w:rPr>
        <w:t>将第一阶段入围得分前5</w:t>
      </w:r>
      <w:r>
        <w:rPr>
          <w:color w:val="auto"/>
          <w:szCs w:val="21"/>
          <w:highlight w:val="none"/>
          <w:u w:val="single"/>
        </w:rPr>
        <w:t>名（当通过技术标有效性审查的</w:t>
      </w:r>
      <w:r>
        <w:rPr>
          <w:rFonts w:hint="eastAsia"/>
          <w:color w:val="auto"/>
          <w:szCs w:val="21"/>
          <w:highlight w:val="none"/>
          <w:u w:val="single"/>
        </w:rPr>
        <w:t>投标人</w:t>
      </w:r>
      <w:r>
        <w:rPr>
          <w:color w:val="auto"/>
          <w:szCs w:val="21"/>
          <w:highlight w:val="none"/>
          <w:u w:val="single"/>
        </w:rPr>
        <w:t>家数大于等于3家且小于</w:t>
      </w:r>
      <w:r>
        <w:rPr>
          <w:rFonts w:hint="eastAsia"/>
          <w:color w:val="auto"/>
          <w:szCs w:val="21"/>
          <w:highlight w:val="none"/>
          <w:u w:val="single"/>
        </w:rPr>
        <w:t>5</w:t>
      </w:r>
      <w:r>
        <w:rPr>
          <w:color w:val="auto"/>
          <w:szCs w:val="21"/>
          <w:highlight w:val="none"/>
          <w:u w:val="single"/>
        </w:rPr>
        <w:t>家的，N取通过技术标有效性审查的全部家数；当通过技术标有效性审查的</w:t>
      </w:r>
      <w:r>
        <w:rPr>
          <w:rFonts w:hint="eastAsia"/>
          <w:color w:val="auto"/>
          <w:szCs w:val="21"/>
          <w:highlight w:val="none"/>
          <w:u w:val="single"/>
        </w:rPr>
        <w:t>投标人</w:t>
      </w:r>
      <w:r>
        <w:rPr>
          <w:color w:val="auto"/>
          <w:szCs w:val="21"/>
          <w:highlight w:val="none"/>
          <w:u w:val="single"/>
        </w:rPr>
        <w:t>家数大于或等于</w:t>
      </w:r>
      <w:r>
        <w:rPr>
          <w:rFonts w:hint="eastAsia"/>
          <w:color w:val="auto"/>
          <w:szCs w:val="21"/>
          <w:highlight w:val="none"/>
          <w:u w:val="single"/>
        </w:rPr>
        <w:t>5</w:t>
      </w:r>
      <w:r>
        <w:rPr>
          <w:color w:val="auto"/>
          <w:szCs w:val="21"/>
          <w:highlight w:val="none"/>
          <w:u w:val="single"/>
        </w:rPr>
        <w:t>家的，N=</w:t>
      </w:r>
      <w:r>
        <w:rPr>
          <w:rFonts w:hint="eastAsia"/>
          <w:color w:val="auto"/>
          <w:szCs w:val="21"/>
          <w:highlight w:val="none"/>
          <w:u w:val="single"/>
        </w:rPr>
        <w:t>5</w:t>
      </w:r>
      <w:r>
        <w:rPr>
          <w:color w:val="auto"/>
          <w:szCs w:val="21"/>
          <w:highlight w:val="none"/>
          <w:u w:val="single"/>
        </w:rPr>
        <w:t>）</w:t>
      </w:r>
      <w:r>
        <w:rPr>
          <w:rFonts w:hint="eastAsia" w:cs="宋体"/>
          <w:color w:val="auto"/>
          <w:szCs w:val="21"/>
          <w:highlight w:val="none"/>
        </w:rPr>
        <w:t>的经济报价加权平均，计算评标参考价。公式如下：</w:t>
      </w:r>
    </w:p>
    <w:p>
      <w:pPr>
        <w:spacing w:line="360" w:lineRule="auto"/>
        <w:ind w:firstLine="422" w:firstLineChars="201"/>
        <w:rPr>
          <w:rFonts w:cs="宋体"/>
          <w:color w:val="auto"/>
          <w:szCs w:val="21"/>
          <w:highlight w:val="none"/>
        </w:rPr>
      </w:pPr>
      <w:r>
        <w:rPr>
          <w:rFonts w:hint="eastAsia" w:cs="宋体"/>
          <w:color w:val="auto"/>
          <w:szCs w:val="21"/>
          <w:highlight w:val="none"/>
        </w:rPr>
        <w:t>评标参考价=Σ（投标人的投标报价*报价权重）。</w:t>
      </w:r>
    </w:p>
    <w:p>
      <w:pPr>
        <w:widowControl/>
        <w:spacing w:line="360" w:lineRule="auto"/>
        <w:rPr>
          <w:rFonts w:cs="宋体"/>
          <w:color w:val="auto"/>
          <w:szCs w:val="21"/>
          <w:highlight w:val="none"/>
        </w:rPr>
      </w:pPr>
      <w:r>
        <w:rPr>
          <w:rFonts w:hint="eastAsia" w:cs="宋体"/>
          <w:color w:val="auto"/>
          <w:szCs w:val="21"/>
          <w:highlight w:val="none"/>
        </w:rPr>
        <w:t>其中：报价权重的计算方法为：将N名投标人按第一阶段入围得分由高至低进行排序，第一名投标人的权重为（</w:t>
      </w:r>
      <w:r>
        <w:rPr>
          <w:rFonts w:hint="eastAsia" w:cs="宋体"/>
          <w:color w:val="auto"/>
          <w:szCs w:val="21"/>
          <w:highlight w:val="none"/>
        </w:rPr>
        <w:fldChar w:fldCharType="begin"/>
      </w:r>
      <w:r>
        <w:rPr>
          <w:rFonts w:hint="eastAsia" w:cs="宋体"/>
          <w:color w:val="auto"/>
          <w:szCs w:val="21"/>
          <w:highlight w:val="none"/>
        </w:rPr>
        <w:instrText xml:space="preserve"> QUOTE </w:instrText>
      </w:r>
      <w:r>
        <w:rPr>
          <w:rFonts w:cs="宋体"/>
          <w:color w:val="auto"/>
          <w:szCs w:val="21"/>
          <w:highlight w:val="none"/>
        </w:rPr>
        <w:drawing>
          <wp:inline distT="0" distB="0" distL="114300" distR="114300">
            <wp:extent cx="381000" cy="447675"/>
            <wp:effectExtent l="0" t="0" r="0" b="9525"/>
            <wp:docPr id="2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
                    <pic:cNvPicPr>
                      <a:picLocks noChangeAspect="1"/>
                    </pic:cNvPicPr>
                  </pic:nvPicPr>
                  <pic:blipFill>
                    <a:blip r:embed="rId20"/>
                    <a:stretch>
                      <a:fillRect/>
                    </a:stretch>
                  </pic:blipFill>
                  <pic:spPr>
                    <a:xfrm>
                      <a:off x="0" y="0"/>
                      <a:ext cx="381000" cy="447675"/>
                    </a:xfrm>
                    <a:prstGeom prst="rect">
                      <a:avLst/>
                    </a:prstGeom>
                    <a:noFill/>
                    <a:ln>
                      <a:noFill/>
                    </a:ln>
                  </pic:spPr>
                </pic:pic>
              </a:graphicData>
            </a:graphic>
          </wp:inline>
        </w:drawing>
      </w:r>
      <w:r>
        <w:rPr>
          <w:rFonts w:cs="宋体"/>
          <w:color w:val="auto"/>
          <w:szCs w:val="21"/>
          <w:highlight w:val="none"/>
        </w:rPr>
        <w:instrText xml:space="preserve"> \* MERGEFORMAT </w:instrText>
      </w:r>
      <w:r>
        <w:rPr>
          <w:rFonts w:hint="eastAsia" w:cs="宋体"/>
          <w:color w:val="auto"/>
          <w:szCs w:val="21"/>
          <w:highlight w:val="none"/>
        </w:rPr>
        <w:fldChar w:fldCharType="separate"/>
      </w:r>
      <w:r>
        <w:rPr>
          <w:rFonts w:cs="宋体"/>
          <w:color w:val="auto"/>
          <w:szCs w:val="21"/>
          <w:highlight w:val="none"/>
        </w:rPr>
        <w:drawing>
          <wp:inline distT="0" distB="0" distL="114300" distR="114300">
            <wp:extent cx="381000" cy="447675"/>
            <wp:effectExtent l="0" t="0" r="0" b="9525"/>
            <wp:docPr id="2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8"/>
                    <pic:cNvPicPr>
                      <a:picLocks noChangeAspect="1"/>
                    </pic:cNvPicPr>
                  </pic:nvPicPr>
                  <pic:blipFill>
                    <a:blip r:embed="rId20"/>
                    <a:stretch>
                      <a:fillRect/>
                    </a:stretch>
                  </pic:blipFill>
                  <pic:spPr>
                    <a:xfrm>
                      <a:off x="0" y="0"/>
                      <a:ext cx="381000" cy="447675"/>
                    </a:xfrm>
                    <a:prstGeom prst="rect">
                      <a:avLst/>
                    </a:prstGeom>
                    <a:noFill/>
                    <a:ln>
                      <a:noFill/>
                    </a:ln>
                  </pic:spPr>
                </pic:pic>
              </a:graphicData>
            </a:graphic>
          </wp:inline>
        </w:drawing>
      </w:r>
      <w:r>
        <w:rPr>
          <w:rFonts w:hint="eastAsia" w:cs="宋体"/>
          <w:color w:val="auto"/>
          <w:szCs w:val="21"/>
          <w:highlight w:val="none"/>
        </w:rPr>
        <w:fldChar w:fldCharType="end"/>
      </w:r>
      <w:r>
        <w:rPr>
          <w:rFonts w:hint="eastAsia" w:cs="宋体"/>
          <w:color w:val="auto"/>
          <w:szCs w:val="21"/>
          <w:highlight w:val="none"/>
        </w:rPr>
        <w:t>），第二名投标人的权重为（</w:t>
      </w:r>
      <w:r>
        <w:rPr>
          <w:rFonts w:hint="eastAsia" w:cs="宋体"/>
          <w:color w:val="auto"/>
          <w:szCs w:val="21"/>
          <w:highlight w:val="none"/>
        </w:rPr>
        <w:fldChar w:fldCharType="begin"/>
      </w:r>
      <w:r>
        <w:rPr>
          <w:rFonts w:hint="eastAsia" w:cs="宋体"/>
          <w:color w:val="auto"/>
          <w:szCs w:val="21"/>
          <w:highlight w:val="none"/>
        </w:rPr>
        <w:instrText xml:space="preserve"> QUOTE </w:instrText>
      </w:r>
      <w:r>
        <w:rPr>
          <w:rFonts w:cs="宋体"/>
          <w:color w:val="auto"/>
          <w:position w:val="-23"/>
          <w:szCs w:val="21"/>
          <w:highlight w:val="none"/>
        </w:rPr>
        <w:drawing>
          <wp:inline distT="0" distB="0" distL="114300" distR="114300">
            <wp:extent cx="323850" cy="400050"/>
            <wp:effectExtent l="0" t="0" r="0" b="0"/>
            <wp:docPr id="1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pic:cNvPicPr>
                      <a:picLocks noChangeAspect="1"/>
                    </pic:cNvPicPr>
                  </pic:nvPicPr>
                  <pic:blipFill>
                    <a:blip r:embed="rId21"/>
                    <a:stretch>
                      <a:fillRect/>
                    </a:stretch>
                  </pic:blipFill>
                  <pic:spPr>
                    <a:xfrm>
                      <a:off x="0" y="0"/>
                      <a:ext cx="323850" cy="400050"/>
                    </a:xfrm>
                    <a:prstGeom prst="rect">
                      <a:avLst/>
                    </a:prstGeom>
                    <a:noFill/>
                    <a:ln>
                      <a:noFill/>
                    </a:ln>
                  </pic:spPr>
                </pic:pic>
              </a:graphicData>
            </a:graphic>
          </wp:inline>
        </w:drawing>
      </w:r>
      <w:r>
        <w:rPr>
          <w:rFonts w:cs="宋体"/>
          <w:color w:val="auto"/>
          <w:position w:val="-23"/>
          <w:szCs w:val="21"/>
          <w:highlight w:val="none"/>
        </w:rPr>
        <w:instrText xml:space="preserve"> \* MERGEFORMAT </w:instrText>
      </w:r>
      <w:r>
        <w:rPr>
          <w:rFonts w:hint="eastAsia" w:cs="宋体"/>
          <w:color w:val="auto"/>
          <w:szCs w:val="21"/>
          <w:highlight w:val="none"/>
        </w:rPr>
        <w:fldChar w:fldCharType="separate"/>
      </w:r>
      <w:r>
        <w:rPr>
          <w:rFonts w:cs="宋体"/>
          <w:color w:val="auto"/>
          <w:position w:val="-23"/>
          <w:szCs w:val="21"/>
          <w:highlight w:val="none"/>
        </w:rPr>
        <w:drawing>
          <wp:inline distT="0" distB="0" distL="114300" distR="114300">
            <wp:extent cx="323850" cy="400050"/>
            <wp:effectExtent l="0" t="0" r="0" b="0"/>
            <wp:docPr id="2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0"/>
                    <pic:cNvPicPr>
                      <a:picLocks noChangeAspect="1"/>
                    </pic:cNvPicPr>
                  </pic:nvPicPr>
                  <pic:blipFill>
                    <a:blip r:embed="rId21"/>
                    <a:stretch>
                      <a:fillRect/>
                    </a:stretch>
                  </pic:blipFill>
                  <pic:spPr>
                    <a:xfrm>
                      <a:off x="0" y="0"/>
                      <a:ext cx="323850" cy="400050"/>
                    </a:xfrm>
                    <a:prstGeom prst="rect">
                      <a:avLst/>
                    </a:prstGeom>
                    <a:noFill/>
                    <a:ln>
                      <a:noFill/>
                    </a:ln>
                  </pic:spPr>
                </pic:pic>
              </a:graphicData>
            </a:graphic>
          </wp:inline>
        </w:drawing>
      </w:r>
      <w:r>
        <w:rPr>
          <w:rFonts w:hint="eastAsia" w:cs="宋体"/>
          <w:color w:val="auto"/>
          <w:szCs w:val="21"/>
          <w:highlight w:val="none"/>
        </w:rPr>
        <w:fldChar w:fldCharType="end"/>
      </w:r>
      <w:r>
        <w:rPr>
          <w:rFonts w:hint="eastAsia" w:cs="宋体"/>
          <w:color w:val="auto"/>
          <w:szCs w:val="21"/>
          <w:highlight w:val="none"/>
        </w:rPr>
        <w:t>），以此类推，最后一名投标人的权重为（</w:t>
      </w:r>
      <w:r>
        <w:rPr>
          <w:rFonts w:hint="eastAsia" w:cs="宋体"/>
          <w:color w:val="auto"/>
          <w:szCs w:val="21"/>
          <w:highlight w:val="none"/>
        </w:rPr>
        <w:fldChar w:fldCharType="begin"/>
      </w:r>
      <w:r>
        <w:rPr>
          <w:rFonts w:hint="eastAsia" w:cs="宋体"/>
          <w:color w:val="auto"/>
          <w:szCs w:val="21"/>
          <w:highlight w:val="none"/>
        </w:rPr>
        <w:instrText xml:space="preserve"> QUOTE </w:instrText>
      </w:r>
      <w:r>
        <w:rPr>
          <w:rFonts w:cs="宋体"/>
          <w:color w:val="auto"/>
          <w:position w:val="-23"/>
          <w:szCs w:val="21"/>
          <w:highlight w:val="none"/>
        </w:rPr>
        <w:drawing>
          <wp:inline distT="0" distB="0" distL="114300" distR="114300">
            <wp:extent cx="323850" cy="400050"/>
            <wp:effectExtent l="0" t="0" r="0" b="0"/>
            <wp:docPr id="1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1"/>
                    <pic:cNvPicPr>
                      <a:picLocks noChangeAspect="1"/>
                    </pic:cNvPicPr>
                  </pic:nvPicPr>
                  <pic:blipFill>
                    <a:blip r:embed="rId22"/>
                    <a:stretch>
                      <a:fillRect/>
                    </a:stretch>
                  </pic:blipFill>
                  <pic:spPr>
                    <a:xfrm>
                      <a:off x="0" y="0"/>
                      <a:ext cx="323850" cy="400050"/>
                    </a:xfrm>
                    <a:prstGeom prst="rect">
                      <a:avLst/>
                    </a:prstGeom>
                    <a:noFill/>
                    <a:ln>
                      <a:noFill/>
                    </a:ln>
                  </pic:spPr>
                </pic:pic>
              </a:graphicData>
            </a:graphic>
          </wp:inline>
        </w:drawing>
      </w:r>
      <w:r>
        <w:rPr>
          <w:rFonts w:cs="宋体"/>
          <w:color w:val="auto"/>
          <w:position w:val="-23"/>
          <w:szCs w:val="21"/>
          <w:highlight w:val="none"/>
        </w:rPr>
        <w:instrText xml:space="preserve"> \* MERGEFORMAT </w:instrText>
      </w:r>
      <w:r>
        <w:rPr>
          <w:rFonts w:hint="eastAsia" w:cs="宋体"/>
          <w:color w:val="auto"/>
          <w:szCs w:val="21"/>
          <w:highlight w:val="none"/>
        </w:rPr>
        <w:fldChar w:fldCharType="separate"/>
      </w:r>
      <w:r>
        <w:rPr>
          <w:rFonts w:cs="宋体"/>
          <w:color w:val="auto"/>
          <w:position w:val="-23"/>
          <w:szCs w:val="21"/>
          <w:highlight w:val="none"/>
        </w:rPr>
        <w:drawing>
          <wp:inline distT="0" distB="0" distL="114300" distR="114300">
            <wp:extent cx="323850" cy="400050"/>
            <wp:effectExtent l="0" t="0" r="0" b="0"/>
            <wp:docPr id="2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2"/>
                    <pic:cNvPicPr>
                      <a:picLocks noChangeAspect="1"/>
                    </pic:cNvPicPr>
                  </pic:nvPicPr>
                  <pic:blipFill>
                    <a:blip r:embed="rId22"/>
                    <a:stretch>
                      <a:fillRect/>
                    </a:stretch>
                  </pic:blipFill>
                  <pic:spPr>
                    <a:xfrm>
                      <a:off x="0" y="0"/>
                      <a:ext cx="323850" cy="400050"/>
                    </a:xfrm>
                    <a:prstGeom prst="rect">
                      <a:avLst/>
                    </a:prstGeom>
                    <a:noFill/>
                    <a:ln>
                      <a:noFill/>
                    </a:ln>
                  </pic:spPr>
                </pic:pic>
              </a:graphicData>
            </a:graphic>
          </wp:inline>
        </w:drawing>
      </w:r>
      <w:r>
        <w:rPr>
          <w:rFonts w:hint="eastAsia" w:cs="宋体"/>
          <w:color w:val="auto"/>
          <w:szCs w:val="21"/>
          <w:highlight w:val="none"/>
        </w:rPr>
        <w:fldChar w:fldCharType="end"/>
      </w:r>
      <w:r>
        <w:rPr>
          <w:rFonts w:hint="eastAsia" w:cs="宋体"/>
          <w:color w:val="auto"/>
          <w:szCs w:val="21"/>
          <w:highlight w:val="none"/>
        </w:rPr>
        <w:t xml:space="preserve">）。 </w:t>
      </w:r>
    </w:p>
    <w:p>
      <w:pPr>
        <w:pBdr>
          <w:bottom w:val="single" w:color="auto" w:sz="6" w:space="1"/>
        </w:pBdr>
        <w:spacing w:line="360" w:lineRule="auto"/>
        <w:ind w:firstLine="422" w:firstLineChars="201"/>
        <w:rPr>
          <w:rFonts w:cs="仿宋"/>
          <w:color w:val="auto"/>
          <w:szCs w:val="21"/>
          <w:highlight w:val="none"/>
        </w:rPr>
      </w:pPr>
      <w:r>
        <w:rPr>
          <w:rFonts w:hint="eastAsia" w:cs="宋体"/>
          <w:color w:val="auto"/>
          <w:szCs w:val="21"/>
          <w:highlight w:val="none"/>
          <w:u w:val="single"/>
        </w:rPr>
        <w:t>若投标人第一阶段入围得分相同的，则以投标总报价较低的排前；投标总报价仍相同的，则对具有相同情况的投标人，由评标委员会采用记名投票方式，确定投标人第一阶段入围得分名次的排序。</w:t>
      </w:r>
    </w:p>
    <w:p>
      <w:pPr>
        <w:spacing w:line="360" w:lineRule="auto"/>
        <w:ind w:firstLine="424" w:firstLineChars="201"/>
        <w:rPr>
          <w:rFonts w:cs="宋体"/>
          <w:b/>
          <w:color w:val="auto"/>
          <w:szCs w:val="21"/>
          <w:highlight w:val="none"/>
        </w:rPr>
      </w:pPr>
      <w:r>
        <w:rPr>
          <w:rFonts w:hint="eastAsia"/>
          <w:b/>
          <w:color w:val="auto"/>
          <w:szCs w:val="21"/>
          <w:highlight w:val="none"/>
        </w:rPr>
        <w:t>条款号：4</w:t>
      </w:r>
      <w:r>
        <w:rPr>
          <w:rFonts w:hint="eastAsia" w:cs="宋体"/>
          <w:b/>
          <w:color w:val="auto"/>
          <w:kern w:val="0"/>
          <w:szCs w:val="21"/>
          <w:highlight w:val="none"/>
        </w:rPr>
        <w:t>2.4.3.2</w:t>
      </w:r>
      <w:r>
        <w:rPr>
          <w:rFonts w:hint="eastAsia" w:cs="宋体"/>
          <w:b/>
          <w:color w:val="auto"/>
          <w:szCs w:val="21"/>
          <w:highlight w:val="none"/>
        </w:rPr>
        <w:t xml:space="preserve">                    修改类型：修改</w:t>
      </w:r>
    </w:p>
    <w:p>
      <w:pPr>
        <w:spacing w:line="360" w:lineRule="auto"/>
        <w:ind w:firstLine="424" w:firstLineChars="201"/>
        <w:rPr>
          <w:rFonts w:cs="宋体"/>
          <w:color w:val="auto"/>
          <w:szCs w:val="21"/>
          <w:highlight w:val="none"/>
        </w:rPr>
      </w:pPr>
      <w:r>
        <w:rPr>
          <w:rFonts w:hint="eastAsia" w:cs="宋体"/>
          <w:b/>
          <w:color w:val="auto"/>
          <w:szCs w:val="21"/>
          <w:highlight w:val="none"/>
        </w:rPr>
        <w:t>原文：</w:t>
      </w:r>
      <w:r>
        <w:rPr>
          <w:rFonts w:hint="eastAsia" w:cs="宋体"/>
          <w:color w:val="auto"/>
          <w:kern w:val="0"/>
          <w:szCs w:val="21"/>
          <w:highlight w:val="none"/>
        </w:rPr>
        <w:t>42.4.3.2</w:t>
      </w:r>
      <w:r>
        <w:rPr>
          <w:rFonts w:hint="eastAsia" w:cs="宋体"/>
          <w:color w:val="auto"/>
          <w:szCs w:val="21"/>
          <w:highlight w:val="none"/>
        </w:rPr>
        <w:t>当标价等于评标参考价时得100分，标价每高于评标参考价1%，扣1.5分，每低于评标参考价1%，扣1分，扣至0分为止，得出经济分，精确到小数点后两位。</w:t>
      </w:r>
    </w:p>
    <w:p>
      <w:pPr>
        <w:pBdr>
          <w:bottom w:val="single" w:color="auto" w:sz="6" w:space="1"/>
        </w:pBdr>
        <w:spacing w:line="360" w:lineRule="auto"/>
        <w:ind w:firstLine="424" w:firstLineChars="201"/>
        <w:rPr>
          <w:rFonts w:hAnsi="Times New Roman"/>
          <w:color w:val="auto"/>
          <w:szCs w:val="21"/>
          <w:highlight w:val="none"/>
          <w:u w:val="none"/>
        </w:rPr>
      </w:pPr>
      <w:r>
        <w:rPr>
          <w:rFonts w:hint="eastAsia" w:cs="宋体"/>
          <w:b/>
          <w:color w:val="auto"/>
          <w:szCs w:val="21"/>
          <w:highlight w:val="none"/>
        </w:rPr>
        <w:t>现文</w:t>
      </w:r>
      <w:r>
        <w:rPr>
          <w:rFonts w:hint="eastAsia" w:cs="宋体"/>
          <w:color w:val="auto"/>
          <w:szCs w:val="21"/>
          <w:highlight w:val="none"/>
        </w:rPr>
        <w:t>：</w:t>
      </w:r>
      <w:r>
        <w:rPr>
          <w:rFonts w:hint="eastAsia" w:cs="宋体"/>
          <w:color w:val="auto"/>
          <w:kern w:val="0"/>
          <w:szCs w:val="21"/>
          <w:highlight w:val="none"/>
        </w:rPr>
        <w:t>42.4.3.2</w:t>
      </w:r>
      <w:r>
        <w:rPr>
          <w:rFonts w:hint="eastAsia" w:cs="宋体"/>
          <w:color w:val="auto"/>
          <w:szCs w:val="21"/>
          <w:highlight w:val="none"/>
        </w:rPr>
        <w:t>当</w:t>
      </w:r>
      <w:r>
        <w:rPr>
          <w:rFonts w:hint="eastAsia" w:cs="宋体"/>
          <w:color w:val="auto"/>
          <w:szCs w:val="21"/>
          <w:highlight w:val="none"/>
          <w:u w:val="single"/>
        </w:rPr>
        <w:t>投标总报价</w:t>
      </w:r>
      <w:r>
        <w:rPr>
          <w:rFonts w:hint="eastAsia" w:cs="宋体"/>
          <w:color w:val="auto"/>
          <w:szCs w:val="21"/>
          <w:highlight w:val="none"/>
        </w:rPr>
        <w:t>等于评标参考价时得100分，</w:t>
      </w:r>
      <w:r>
        <w:rPr>
          <w:rFonts w:hint="eastAsia" w:cs="宋体"/>
          <w:color w:val="auto"/>
          <w:szCs w:val="21"/>
          <w:highlight w:val="none"/>
          <w:u w:val="single"/>
        </w:rPr>
        <w:t>投标总报价</w:t>
      </w:r>
      <w:r>
        <w:rPr>
          <w:rFonts w:hint="eastAsia" w:cs="宋体"/>
          <w:color w:val="auto"/>
          <w:szCs w:val="21"/>
          <w:highlight w:val="none"/>
        </w:rPr>
        <w:t>每高于</w:t>
      </w:r>
      <w:r>
        <w:rPr>
          <w:rFonts w:hint="eastAsia" w:cs="宋体"/>
          <w:color w:val="auto"/>
          <w:szCs w:val="21"/>
          <w:highlight w:val="none"/>
          <w:u w:val="none"/>
        </w:rPr>
        <w:t>评标参考价1%，扣</w:t>
      </w:r>
      <w:r>
        <w:rPr>
          <w:rFonts w:hint="eastAsia" w:cs="宋体"/>
          <w:color w:val="auto"/>
          <w:szCs w:val="21"/>
          <w:highlight w:val="none"/>
          <w:u w:val="none"/>
          <w:lang w:val="en-US" w:eastAsia="zh-CN"/>
        </w:rPr>
        <w:t>1</w:t>
      </w:r>
      <w:r>
        <w:rPr>
          <w:rFonts w:hint="eastAsia" w:cs="宋体"/>
          <w:color w:val="auto"/>
          <w:szCs w:val="21"/>
          <w:highlight w:val="none"/>
          <w:u w:val="none"/>
        </w:rPr>
        <w:t>.</w:t>
      </w:r>
      <w:r>
        <w:rPr>
          <w:rFonts w:hint="eastAsia" w:cs="宋体"/>
          <w:color w:val="auto"/>
          <w:szCs w:val="21"/>
          <w:highlight w:val="none"/>
          <w:u w:val="none"/>
          <w:lang w:val="en-US" w:eastAsia="zh-CN"/>
        </w:rPr>
        <w:t>5</w:t>
      </w:r>
      <w:r>
        <w:rPr>
          <w:rFonts w:hint="eastAsia" w:cs="宋体"/>
          <w:color w:val="auto"/>
          <w:szCs w:val="21"/>
          <w:highlight w:val="none"/>
          <w:u w:val="none"/>
        </w:rPr>
        <w:t>分，每低于评标参考价1%，扣</w:t>
      </w:r>
      <w:r>
        <w:rPr>
          <w:rFonts w:hint="eastAsia" w:cs="宋体"/>
          <w:color w:val="auto"/>
          <w:szCs w:val="21"/>
          <w:highlight w:val="none"/>
          <w:u w:val="none"/>
          <w:lang w:val="en-US" w:eastAsia="zh-CN"/>
        </w:rPr>
        <w:t>1.0</w:t>
      </w:r>
      <w:r>
        <w:rPr>
          <w:rFonts w:hint="eastAsia" w:cs="宋体"/>
          <w:color w:val="auto"/>
          <w:szCs w:val="21"/>
          <w:highlight w:val="none"/>
          <w:u w:val="none"/>
        </w:rPr>
        <w:t>分，扣至0分为止，得出经济分，精确到小数点后两位。</w:t>
      </w:r>
    </w:p>
    <w:p>
      <w:pPr>
        <w:spacing w:line="360" w:lineRule="auto"/>
        <w:ind w:firstLine="422" w:firstLineChars="200"/>
        <w:rPr>
          <w:rFonts w:cs="宋体"/>
          <w:b/>
          <w:color w:val="auto"/>
          <w:szCs w:val="21"/>
          <w:highlight w:val="none"/>
        </w:rPr>
      </w:pPr>
      <w:r>
        <w:rPr>
          <w:rFonts w:hint="eastAsia" w:cs="宋体"/>
          <w:b/>
          <w:color w:val="auto"/>
          <w:szCs w:val="21"/>
          <w:highlight w:val="none"/>
        </w:rPr>
        <w:t>条款号：附表一《资格审查表》          修改类型：修改</w:t>
      </w:r>
    </w:p>
    <w:p>
      <w:pPr>
        <w:spacing w:line="360" w:lineRule="auto"/>
        <w:ind w:firstLine="422" w:firstLineChars="200"/>
        <w:rPr>
          <w:rFonts w:cs="宋体"/>
          <w:bCs/>
          <w:color w:val="auto"/>
          <w:szCs w:val="21"/>
          <w:highlight w:val="none"/>
        </w:rPr>
      </w:pPr>
      <w:r>
        <w:rPr>
          <w:rFonts w:hint="eastAsia" w:cs="宋体"/>
          <w:b/>
          <w:color w:val="auto"/>
          <w:szCs w:val="21"/>
          <w:highlight w:val="none"/>
        </w:rPr>
        <w:t>原文：</w:t>
      </w:r>
      <w:r>
        <w:rPr>
          <w:rFonts w:hint="eastAsia" w:cs="宋体"/>
          <w:bCs/>
          <w:color w:val="auto"/>
          <w:szCs w:val="21"/>
          <w:highlight w:val="none"/>
        </w:rPr>
        <w:t>详见《广州市建设工程施工公开招标项目招标文件范本GZZB2018-3》</w:t>
      </w:r>
    </w:p>
    <w:p>
      <w:pPr>
        <w:pBdr>
          <w:bottom w:val="single" w:color="auto" w:sz="6" w:space="1"/>
        </w:pBdr>
        <w:spacing w:line="360" w:lineRule="auto"/>
        <w:ind w:firstLine="422" w:firstLineChars="200"/>
        <w:rPr>
          <w:rFonts w:cs="宋体"/>
          <w:color w:val="auto"/>
          <w:szCs w:val="21"/>
          <w:highlight w:val="none"/>
        </w:rPr>
      </w:pPr>
      <w:r>
        <w:rPr>
          <w:rFonts w:hint="eastAsia" w:cs="宋体"/>
          <w:b/>
          <w:color w:val="auto"/>
          <w:szCs w:val="21"/>
          <w:highlight w:val="none"/>
        </w:rPr>
        <w:t>现文：</w:t>
      </w:r>
      <w:r>
        <w:rPr>
          <w:rFonts w:hint="eastAsia" w:cs="宋体"/>
          <w:bCs/>
          <w:color w:val="auto"/>
          <w:szCs w:val="21"/>
          <w:highlight w:val="none"/>
        </w:rPr>
        <w:t>详见附表一《资格审查表》</w:t>
      </w:r>
    </w:p>
    <w:p>
      <w:pPr>
        <w:spacing w:line="360" w:lineRule="auto"/>
        <w:ind w:firstLine="422" w:firstLineChars="200"/>
        <w:rPr>
          <w:rFonts w:cs="宋体"/>
          <w:b/>
          <w:color w:val="auto"/>
          <w:szCs w:val="21"/>
          <w:highlight w:val="none"/>
        </w:rPr>
      </w:pPr>
      <w:r>
        <w:rPr>
          <w:rFonts w:hint="eastAsia" w:cs="宋体"/>
          <w:b/>
          <w:color w:val="auto"/>
          <w:szCs w:val="21"/>
          <w:highlight w:val="none"/>
        </w:rPr>
        <w:t>条款号：附表二《技术标有效性审查表》          修改类型：修改</w:t>
      </w:r>
    </w:p>
    <w:p>
      <w:pPr>
        <w:spacing w:line="360" w:lineRule="auto"/>
        <w:ind w:firstLine="422" w:firstLineChars="200"/>
        <w:rPr>
          <w:rFonts w:cs="宋体"/>
          <w:bCs/>
          <w:color w:val="auto"/>
          <w:szCs w:val="21"/>
          <w:highlight w:val="none"/>
        </w:rPr>
      </w:pPr>
      <w:r>
        <w:rPr>
          <w:rFonts w:hint="eastAsia" w:cs="宋体"/>
          <w:b/>
          <w:color w:val="auto"/>
          <w:szCs w:val="21"/>
          <w:highlight w:val="none"/>
        </w:rPr>
        <w:t>原文：</w:t>
      </w:r>
      <w:r>
        <w:rPr>
          <w:rFonts w:hint="eastAsia" w:cs="宋体"/>
          <w:bCs/>
          <w:color w:val="auto"/>
          <w:szCs w:val="21"/>
          <w:highlight w:val="none"/>
        </w:rPr>
        <w:t>详见《广州市建设工程施工公开招标项目招标文件范本GZZB2018-3》</w:t>
      </w:r>
    </w:p>
    <w:p>
      <w:pPr>
        <w:pBdr>
          <w:bottom w:val="single" w:color="auto" w:sz="6" w:space="1"/>
        </w:pBdr>
        <w:spacing w:line="360" w:lineRule="auto"/>
        <w:ind w:firstLine="422" w:firstLineChars="200"/>
        <w:rPr>
          <w:rFonts w:cs="宋体"/>
          <w:color w:val="auto"/>
          <w:szCs w:val="21"/>
          <w:highlight w:val="none"/>
        </w:rPr>
      </w:pPr>
      <w:r>
        <w:rPr>
          <w:rFonts w:hint="eastAsia" w:cs="宋体"/>
          <w:b/>
          <w:color w:val="auto"/>
          <w:szCs w:val="21"/>
          <w:highlight w:val="none"/>
        </w:rPr>
        <w:t>现文：</w:t>
      </w:r>
      <w:r>
        <w:rPr>
          <w:rFonts w:hint="eastAsia" w:cs="宋体"/>
          <w:bCs/>
          <w:color w:val="auto"/>
          <w:szCs w:val="21"/>
          <w:highlight w:val="none"/>
        </w:rPr>
        <w:t>详见附表二《技术标有效性审查表》</w:t>
      </w:r>
    </w:p>
    <w:p>
      <w:pPr>
        <w:spacing w:line="360" w:lineRule="auto"/>
        <w:ind w:firstLine="422" w:firstLineChars="200"/>
        <w:rPr>
          <w:rFonts w:cs="宋体"/>
          <w:b/>
          <w:color w:val="auto"/>
          <w:szCs w:val="21"/>
          <w:highlight w:val="none"/>
        </w:rPr>
      </w:pPr>
      <w:r>
        <w:rPr>
          <w:rFonts w:hint="eastAsia" w:cs="宋体"/>
          <w:b/>
          <w:color w:val="auto"/>
          <w:szCs w:val="21"/>
          <w:highlight w:val="none"/>
        </w:rPr>
        <w:t>条款号：附表三《经济标有效性审查表》          修改类型：修改</w:t>
      </w:r>
    </w:p>
    <w:p>
      <w:pPr>
        <w:spacing w:line="360" w:lineRule="auto"/>
        <w:ind w:firstLine="422" w:firstLineChars="200"/>
        <w:rPr>
          <w:rFonts w:cs="宋体"/>
          <w:bCs/>
          <w:color w:val="auto"/>
          <w:szCs w:val="21"/>
          <w:highlight w:val="none"/>
        </w:rPr>
      </w:pPr>
      <w:r>
        <w:rPr>
          <w:rFonts w:hint="eastAsia" w:cs="宋体"/>
          <w:b/>
          <w:color w:val="auto"/>
          <w:szCs w:val="21"/>
          <w:highlight w:val="none"/>
        </w:rPr>
        <w:t>原文：</w:t>
      </w:r>
      <w:r>
        <w:rPr>
          <w:rFonts w:hint="eastAsia" w:cs="宋体"/>
          <w:bCs/>
          <w:color w:val="auto"/>
          <w:szCs w:val="21"/>
          <w:highlight w:val="none"/>
        </w:rPr>
        <w:t>详见《广州市建设工程施工公开招标项目招标文件范本GZZB2018-3》</w:t>
      </w:r>
    </w:p>
    <w:p>
      <w:pPr>
        <w:pBdr>
          <w:bottom w:val="single" w:color="auto" w:sz="6" w:space="1"/>
        </w:pBdr>
        <w:spacing w:line="360" w:lineRule="auto"/>
        <w:ind w:firstLine="422" w:firstLineChars="200"/>
        <w:rPr>
          <w:rFonts w:cs="宋体"/>
          <w:color w:val="auto"/>
          <w:szCs w:val="21"/>
          <w:highlight w:val="none"/>
        </w:rPr>
      </w:pPr>
      <w:r>
        <w:rPr>
          <w:rFonts w:hint="eastAsia" w:cs="宋体"/>
          <w:b/>
          <w:color w:val="auto"/>
          <w:szCs w:val="21"/>
          <w:highlight w:val="none"/>
        </w:rPr>
        <w:t>现文：</w:t>
      </w:r>
      <w:r>
        <w:rPr>
          <w:rFonts w:hint="eastAsia" w:cs="宋体"/>
          <w:bCs/>
          <w:color w:val="auto"/>
          <w:szCs w:val="21"/>
          <w:highlight w:val="none"/>
        </w:rPr>
        <w:t>详见附表三《经济标有效性审查表》</w:t>
      </w:r>
    </w:p>
    <w:p>
      <w:pPr>
        <w:spacing w:line="360" w:lineRule="auto"/>
        <w:ind w:firstLine="422" w:firstLineChars="200"/>
        <w:rPr>
          <w:rFonts w:cs="宋体"/>
          <w:b/>
          <w:color w:val="auto"/>
          <w:szCs w:val="21"/>
          <w:highlight w:val="none"/>
        </w:rPr>
      </w:pPr>
      <w:r>
        <w:rPr>
          <w:rFonts w:hint="eastAsia" w:cs="宋体"/>
          <w:b/>
          <w:color w:val="auto"/>
          <w:szCs w:val="21"/>
          <w:highlight w:val="none"/>
        </w:rPr>
        <w:t>条款号：附表四《技术标详细审查评分表》          修改类型：修改</w:t>
      </w:r>
    </w:p>
    <w:p>
      <w:pPr>
        <w:spacing w:line="360" w:lineRule="auto"/>
        <w:ind w:firstLine="422" w:firstLineChars="200"/>
        <w:rPr>
          <w:rFonts w:cs="宋体"/>
          <w:bCs/>
          <w:color w:val="auto"/>
          <w:szCs w:val="21"/>
          <w:highlight w:val="none"/>
        </w:rPr>
      </w:pPr>
      <w:r>
        <w:rPr>
          <w:rFonts w:hint="eastAsia" w:cs="宋体"/>
          <w:b/>
          <w:color w:val="auto"/>
          <w:szCs w:val="21"/>
          <w:highlight w:val="none"/>
        </w:rPr>
        <w:t>原文：</w:t>
      </w:r>
      <w:r>
        <w:rPr>
          <w:rFonts w:hint="eastAsia" w:cs="宋体"/>
          <w:bCs/>
          <w:color w:val="auto"/>
          <w:szCs w:val="21"/>
          <w:highlight w:val="none"/>
        </w:rPr>
        <w:t>详见《广州市建设工程施工公开招标项目招标文件范本GZZB2018-3》</w:t>
      </w:r>
    </w:p>
    <w:p>
      <w:pPr>
        <w:pBdr>
          <w:bottom w:val="single" w:color="auto" w:sz="6" w:space="1"/>
        </w:pBdr>
        <w:spacing w:line="360" w:lineRule="auto"/>
        <w:ind w:firstLine="527" w:firstLineChars="250"/>
        <w:rPr>
          <w:rFonts w:cs="宋体"/>
          <w:color w:val="auto"/>
          <w:szCs w:val="21"/>
          <w:highlight w:val="none"/>
        </w:rPr>
      </w:pPr>
      <w:r>
        <w:rPr>
          <w:rFonts w:hint="eastAsia" w:cs="宋体"/>
          <w:b/>
          <w:color w:val="auto"/>
          <w:szCs w:val="21"/>
          <w:highlight w:val="none"/>
        </w:rPr>
        <w:t>现文：</w:t>
      </w:r>
      <w:r>
        <w:rPr>
          <w:rFonts w:hint="eastAsia" w:cs="宋体"/>
          <w:bCs/>
          <w:color w:val="auto"/>
          <w:szCs w:val="21"/>
          <w:highlight w:val="none"/>
        </w:rPr>
        <w:t>详见附表四《技术标详细审查评分表》</w:t>
      </w:r>
    </w:p>
    <w:p>
      <w:pPr>
        <w:spacing w:line="360" w:lineRule="auto"/>
        <w:ind w:firstLine="472" w:firstLineChars="224"/>
        <w:rPr>
          <w:rFonts w:cs="宋体"/>
          <w:b/>
          <w:color w:val="auto"/>
          <w:szCs w:val="21"/>
          <w:highlight w:val="none"/>
        </w:rPr>
      </w:pPr>
      <w:r>
        <w:rPr>
          <w:rFonts w:hint="eastAsia" w:cs="宋体"/>
          <w:b/>
          <w:color w:val="auto"/>
          <w:szCs w:val="21"/>
          <w:highlight w:val="none"/>
        </w:rPr>
        <w:t>条款号：附表五《经济标评分表》             修改类型：修改</w:t>
      </w:r>
    </w:p>
    <w:p>
      <w:pPr>
        <w:pBdr>
          <w:bottom w:val="single" w:color="auto" w:sz="6" w:space="1"/>
        </w:pBdr>
        <w:spacing w:line="360" w:lineRule="auto"/>
        <w:ind w:firstLine="472" w:firstLineChars="224"/>
        <w:rPr>
          <w:rFonts w:cs="宋体"/>
          <w:bCs/>
          <w:color w:val="auto"/>
          <w:szCs w:val="21"/>
          <w:highlight w:val="none"/>
        </w:rPr>
      </w:pPr>
      <w:r>
        <w:rPr>
          <w:rFonts w:hint="eastAsia" w:cs="宋体"/>
          <w:b/>
          <w:color w:val="auto"/>
          <w:szCs w:val="21"/>
          <w:highlight w:val="none"/>
        </w:rPr>
        <w:t>原文：</w:t>
      </w:r>
      <w:r>
        <w:rPr>
          <w:rFonts w:hint="eastAsia" w:cs="宋体"/>
          <w:bCs/>
          <w:color w:val="auto"/>
          <w:szCs w:val="21"/>
          <w:highlight w:val="none"/>
        </w:rPr>
        <w:t>详见《广州市建设工程施工公开招标项目招标文件范本GZZB2018-3》</w:t>
      </w:r>
    </w:p>
    <w:p>
      <w:pPr>
        <w:pBdr>
          <w:bottom w:val="single" w:color="auto" w:sz="6" w:space="1"/>
        </w:pBdr>
        <w:spacing w:line="380" w:lineRule="exact"/>
        <w:ind w:firstLine="527" w:firstLineChars="250"/>
        <w:rPr>
          <w:rFonts w:cs="宋体"/>
          <w:bCs/>
          <w:color w:val="auto"/>
          <w:szCs w:val="21"/>
          <w:highlight w:val="none"/>
        </w:rPr>
      </w:pPr>
      <w:r>
        <w:rPr>
          <w:rFonts w:hint="eastAsia" w:cs="宋体"/>
          <w:b/>
          <w:color w:val="auto"/>
          <w:szCs w:val="21"/>
          <w:highlight w:val="none"/>
        </w:rPr>
        <w:t>现文：</w:t>
      </w:r>
      <w:r>
        <w:rPr>
          <w:rFonts w:hint="eastAsia" w:cs="宋体"/>
          <w:bCs/>
          <w:color w:val="auto"/>
          <w:szCs w:val="21"/>
          <w:highlight w:val="none"/>
        </w:rPr>
        <w:t>详见附表五《经济标评分表》</w:t>
      </w:r>
    </w:p>
    <w:p>
      <w:pPr>
        <w:spacing w:line="360" w:lineRule="auto"/>
        <w:ind w:firstLine="211" w:firstLineChars="100"/>
        <w:rPr>
          <w:b/>
          <w:color w:val="auto"/>
          <w:szCs w:val="21"/>
          <w:highlight w:val="none"/>
        </w:rPr>
      </w:pPr>
      <w:r>
        <w:rPr>
          <w:rFonts w:hint="eastAsia"/>
          <w:b/>
          <w:color w:val="auto"/>
          <w:szCs w:val="21"/>
          <w:highlight w:val="none"/>
        </w:rPr>
        <w:t>注：以上修改，仅限于本范本中有可供选择条款的情形。</w:t>
      </w:r>
    </w:p>
    <w:p>
      <w:pPr>
        <w:spacing w:line="360" w:lineRule="auto"/>
        <w:rPr>
          <w:color w:val="auto"/>
          <w:highlight w:val="none"/>
        </w:rPr>
      </w:pPr>
      <w:r>
        <w:rPr>
          <w:rFonts w:hint="eastAsia"/>
          <w:b/>
          <w:color w:val="auto"/>
          <w:szCs w:val="21"/>
          <w:highlight w:val="none"/>
        </w:rPr>
        <w:t>（以下无正文）</w:t>
      </w:r>
    </w:p>
    <w:p>
      <w:pPr>
        <w:spacing w:line="360" w:lineRule="auto"/>
        <w:rPr>
          <w:color w:val="auto"/>
          <w:highlight w:val="none"/>
        </w:rPr>
      </w:pPr>
    </w:p>
    <w:p>
      <w:pPr>
        <w:pStyle w:val="5"/>
        <w:spacing w:line="360" w:lineRule="auto"/>
        <w:rPr>
          <w:color w:val="auto"/>
          <w:highlight w:val="none"/>
        </w:rPr>
      </w:pPr>
      <w:r>
        <w:rPr>
          <w:color w:val="auto"/>
          <w:highlight w:val="none"/>
        </w:rPr>
        <w:br w:type="page"/>
      </w:r>
    </w:p>
    <w:p>
      <w:pPr>
        <w:pStyle w:val="3"/>
        <w:ind w:firstLine="525"/>
        <w:rPr>
          <w:color w:val="auto"/>
          <w:sz w:val="21"/>
          <w:szCs w:val="21"/>
          <w:highlight w:val="none"/>
        </w:rPr>
      </w:pPr>
      <w:bookmarkStart w:id="12" w:name="_Toc18664068"/>
      <w:r>
        <w:rPr>
          <w:rFonts w:hint="eastAsia"/>
          <w:color w:val="auto"/>
          <w:sz w:val="21"/>
          <w:szCs w:val="21"/>
          <w:highlight w:val="none"/>
        </w:rPr>
        <w:t>二、开标、评标及定标办法通用条款</w:t>
      </w:r>
      <w:bookmarkEnd w:id="12"/>
    </w:p>
    <w:p>
      <w:pPr>
        <w:pStyle w:val="4"/>
        <w:spacing w:before="156" w:after="156"/>
        <w:ind w:firstLine="420" w:firstLineChars="200"/>
        <w:rPr>
          <w:color w:val="auto"/>
          <w:sz w:val="21"/>
          <w:szCs w:val="21"/>
          <w:highlight w:val="none"/>
        </w:rPr>
      </w:pPr>
      <w:bookmarkStart w:id="13" w:name="_Toc18664069"/>
      <w:r>
        <w:rPr>
          <w:rFonts w:hint="eastAsia"/>
          <w:color w:val="auto"/>
          <w:sz w:val="21"/>
          <w:szCs w:val="21"/>
          <w:highlight w:val="none"/>
        </w:rPr>
        <w:t>（一）总则</w:t>
      </w:r>
      <w:bookmarkEnd w:id="13"/>
    </w:p>
    <w:p>
      <w:pPr>
        <w:spacing w:line="360" w:lineRule="auto"/>
        <w:ind w:firstLine="420" w:firstLineChars="200"/>
        <w:rPr>
          <w:b/>
          <w:color w:val="auto"/>
          <w:sz w:val="21"/>
          <w:szCs w:val="21"/>
          <w:highlight w:val="none"/>
        </w:rPr>
      </w:pPr>
      <w:r>
        <w:rPr>
          <w:color w:val="auto"/>
          <w:sz w:val="21"/>
          <w:szCs w:val="21"/>
          <w:highlight w:val="none"/>
        </w:rPr>
        <w:t xml:space="preserve">35 </w:t>
      </w:r>
      <w:r>
        <w:rPr>
          <w:rFonts w:hint="eastAsia"/>
          <w:color w:val="auto"/>
          <w:sz w:val="21"/>
          <w:szCs w:val="21"/>
          <w:highlight w:val="none"/>
        </w:rPr>
        <w:t>开标、评标及定标所依据的规则</w:t>
      </w:r>
    </w:p>
    <w:p>
      <w:pPr>
        <w:spacing w:line="360" w:lineRule="auto"/>
        <w:ind w:firstLine="420" w:firstLineChars="200"/>
        <w:rPr>
          <w:color w:val="auto"/>
          <w:sz w:val="21"/>
          <w:szCs w:val="21"/>
          <w:highlight w:val="none"/>
        </w:rPr>
      </w:pPr>
      <w:r>
        <w:rPr>
          <w:color w:val="auto"/>
          <w:sz w:val="21"/>
          <w:szCs w:val="21"/>
          <w:highlight w:val="none"/>
        </w:rPr>
        <w:t>35.1</w:t>
      </w:r>
      <w:r>
        <w:rPr>
          <w:rFonts w:hint="eastAsia"/>
          <w:color w:val="auto"/>
          <w:sz w:val="21"/>
          <w:szCs w:val="21"/>
          <w:highlight w:val="none"/>
        </w:rPr>
        <w:t>《中华人民共和国招标投标法》；</w:t>
      </w:r>
    </w:p>
    <w:p>
      <w:pPr>
        <w:spacing w:line="360" w:lineRule="auto"/>
        <w:ind w:firstLine="420" w:firstLineChars="200"/>
        <w:rPr>
          <w:color w:val="auto"/>
          <w:sz w:val="21"/>
          <w:szCs w:val="21"/>
          <w:highlight w:val="none"/>
        </w:rPr>
      </w:pPr>
      <w:r>
        <w:rPr>
          <w:color w:val="auto"/>
          <w:sz w:val="21"/>
          <w:szCs w:val="21"/>
          <w:highlight w:val="none"/>
        </w:rPr>
        <w:t>35.2</w:t>
      </w:r>
      <w:r>
        <w:rPr>
          <w:rFonts w:hint="eastAsia"/>
          <w:color w:val="auto"/>
          <w:sz w:val="21"/>
          <w:szCs w:val="21"/>
          <w:highlight w:val="none"/>
        </w:rPr>
        <w:t>《中华人民共和国招标投标法实施条例》；</w:t>
      </w:r>
    </w:p>
    <w:p>
      <w:pPr>
        <w:spacing w:line="360" w:lineRule="auto"/>
        <w:ind w:firstLine="420" w:firstLineChars="200"/>
        <w:rPr>
          <w:color w:val="auto"/>
          <w:sz w:val="21"/>
          <w:szCs w:val="21"/>
          <w:highlight w:val="none"/>
        </w:rPr>
      </w:pPr>
      <w:r>
        <w:rPr>
          <w:color w:val="auto"/>
          <w:sz w:val="21"/>
          <w:szCs w:val="21"/>
          <w:highlight w:val="none"/>
        </w:rPr>
        <w:t>35.3</w:t>
      </w:r>
      <w:r>
        <w:rPr>
          <w:rFonts w:hint="eastAsia"/>
          <w:color w:val="auto"/>
          <w:sz w:val="21"/>
          <w:szCs w:val="21"/>
          <w:highlight w:val="none"/>
        </w:rPr>
        <w:t>《评标委员会和评标方法暂行规定》（七部委第</w:t>
      </w:r>
      <w:r>
        <w:rPr>
          <w:color w:val="auto"/>
          <w:sz w:val="21"/>
          <w:szCs w:val="21"/>
          <w:highlight w:val="none"/>
        </w:rPr>
        <w:t>12</w:t>
      </w:r>
      <w:r>
        <w:rPr>
          <w:rFonts w:hint="eastAsia"/>
          <w:color w:val="auto"/>
          <w:sz w:val="21"/>
          <w:szCs w:val="21"/>
          <w:highlight w:val="none"/>
        </w:rPr>
        <w:t>号令）</w:t>
      </w:r>
    </w:p>
    <w:p>
      <w:pPr>
        <w:spacing w:line="360" w:lineRule="auto"/>
        <w:ind w:firstLine="420" w:firstLineChars="200"/>
        <w:rPr>
          <w:color w:val="auto"/>
          <w:sz w:val="21"/>
          <w:szCs w:val="21"/>
          <w:highlight w:val="none"/>
        </w:rPr>
      </w:pPr>
      <w:r>
        <w:rPr>
          <w:color w:val="auto"/>
          <w:sz w:val="21"/>
          <w:szCs w:val="21"/>
          <w:highlight w:val="none"/>
        </w:rPr>
        <w:t>35.4</w:t>
      </w:r>
      <w:r>
        <w:rPr>
          <w:rFonts w:hint="eastAsia"/>
          <w:color w:val="auto"/>
          <w:sz w:val="21"/>
          <w:szCs w:val="21"/>
          <w:highlight w:val="none"/>
        </w:rPr>
        <w:t>《工程建设项目施工招标投标办法》（七部委</w:t>
      </w:r>
      <w:r>
        <w:rPr>
          <w:color w:val="auto"/>
          <w:sz w:val="21"/>
          <w:szCs w:val="21"/>
          <w:highlight w:val="none"/>
        </w:rPr>
        <w:t>2003</w:t>
      </w:r>
      <w:r>
        <w:rPr>
          <w:rFonts w:hint="eastAsia"/>
          <w:color w:val="auto"/>
          <w:sz w:val="21"/>
          <w:szCs w:val="21"/>
          <w:highlight w:val="none"/>
        </w:rPr>
        <w:t>年第</w:t>
      </w:r>
      <w:r>
        <w:rPr>
          <w:color w:val="auto"/>
          <w:sz w:val="21"/>
          <w:szCs w:val="21"/>
          <w:highlight w:val="none"/>
        </w:rPr>
        <w:t>30</w:t>
      </w:r>
      <w:r>
        <w:rPr>
          <w:rFonts w:hint="eastAsia"/>
          <w:color w:val="auto"/>
          <w:sz w:val="21"/>
          <w:szCs w:val="21"/>
          <w:highlight w:val="none"/>
        </w:rPr>
        <w:t>号令）</w:t>
      </w:r>
    </w:p>
    <w:p>
      <w:pPr>
        <w:spacing w:line="360" w:lineRule="auto"/>
        <w:ind w:firstLine="420" w:firstLineChars="200"/>
        <w:rPr>
          <w:color w:val="auto"/>
          <w:sz w:val="21"/>
          <w:szCs w:val="21"/>
          <w:highlight w:val="none"/>
        </w:rPr>
      </w:pPr>
      <w:r>
        <w:rPr>
          <w:color w:val="auto"/>
          <w:sz w:val="21"/>
          <w:szCs w:val="21"/>
          <w:highlight w:val="none"/>
        </w:rPr>
        <w:t>35.5</w:t>
      </w:r>
      <w:r>
        <w:rPr>
          <w:rFonts w:hint="eastAsia"/>
          <w:color w:val="auto"/>
          <w:sz w:val="21"/>
          <w:szCs w:val="21"/>
          <w:highlight w:val="none"/>
        </w:rPr>
        <w:t>《广东省实施〈中华人民共和国招标投标法〉办法》；</w:t>
      </w:r>
    </w:p>
    <w:p>
      <w:pPr>
        <w:spacing w:line="360" w:lineRule="auto"/>
        <w:ind w:firstLine="420" w:firstLineChars="200"/>
        <w:rPr>
          <w:color w:val="auto"/>
          <w:sz w:val="21"/>
          <w:szCs w:val="21"/>
          <w:highlight w:val="none"/>
        </w:rPr>
      </w:pPr>
      <w:r>
        <w:rPr>
          <w:color w:val="auto"/>
          <w:sz w:val="21"/>
          <w:szCs w:val="21"/>
          <w:highlight w:val="none"/>
        </w:rPr>
        <w:t>35.6</w:t>
      </w:r>
      <w:r>
        <w:rPr>
          <w:rFonts w:hint="eastAsia"/>
          <w:color w:val="auto"/>
          <w:sz w:val="21"/>
          <w:szCs w:val="21"/>
          <w:highlight w:val="none"/>
        </w:rPr>
        <w:t>《房屋建筑和市政基础设施工程施工招标投标管理办法》（建设部令第</w:t>
      </w:r>
      <w:r>
        <w:rPr>
          <w:color w:val="auto"/>
          <w:sz w:val="21"/>
          <w:szCs w:val="21"/>
          <w:highlight w:val="none"/>
        </w:rPr>
        <w:t>89</w:t>
      </w:r>
      <w:r>
        <w:rPr>
          <w:rFonts w:hint="eastAsia"/>
          <w:color w:val="auto"/>
          <w:sz w:val="21"/>
          <w:szCs w:val="21"/>
          <w:highlight w:val="none"/>
        </w:rPr>
        <w:t>号）</w:t>
      </w:r>
    </w:p>
    <w:p>
      <w:pPr>
        <w:spacing w:line="360" w:lineRule="auto"/>
        <w:ind w:firstLine="420" w:firstLineChars="200"/>
        <w:rPr>
          <w:color w:val="auto"/>
          <w:sz w:val="21"/>
          <w:szCs w:val="21"/>
          <w:highlight w:val="none"/>
        </w:rPr>
      </w:pPr>
      <w:r>
        <w:rPr>
          <w:color w:val="auto"/>
          <w:sz w:val="21"/>
          <w:szCs w:val="21"/>
          <w:highlight w:val="none"/>
        </w:rPr>
        <w:t>35.7</w:t>
      </w:r>
      <w:r>
        <w:rPr>
          <w:rFonts w:hint="eastAsia"/>
          <w:color w:val="auto"/>
          <w:sz w:val="21"/>
          <w:szCs w:val="21"/>
          <w:highlight w:val="none"/>
        </w:rPr>
        <w:t>《广东省加强建设工程招标投标监督管理的若干规定》（粤发[2004]4号）；</w:t>
      </w:r>
    </w:p>
    <w:p>
      <w:pPr>
        <w:spacing w:line="360" w:lineRule="auto"/>
        <w:ind w:firstLine="420" w:firstLineChars="200"/>
        <w:rPr>
          <w:color w:val="auto"/>
          <w:sz w:val="21"/>
          <w:szCs w:val="21"/>
          <w:highlight w:val="none"/>
        </w:rPr>
      </w:pPr>
      <w:r>
        <w:rPr>
          <w:rFonts w:hint="eastAsia"/>
          <w:color w:val="auto"/>
          <w:sz w:val="21"/>
          <w:szCs w:val="21"/>
          <w:highlight w:val="none"/>
        </w:rPr>
        <w:t>35.8《广州市工程建设项目招标投标管理办法》（穗建规字〔2023〕12号）。</w:t>
      </w:r>
    </w:p>
    <w:p>
      <w:pPr>
        <w:spacing w:line="360" w:lineRule="auto"/>
        <w:ind w:firstLine="420" w:firstLineChars="200"/>
        <w:rPr>
          <w:color w:val="auto"/>
          <w:sz w:val="21"/>
          <w:szCs w:val="21"/>
          <w:highlight w:val="none"/>
        </w:rPr>
      </w:pPr>
      <w:r>
        <w:rPr>
          <w:rFonts w:hint="eastAsia"/>
          <w:color w:val="auto"/>
          <w:sz w:val="21"/>
          <w:szCs w:val="21"/>
          <w:highlight w:val="none"/>
        </w:rPr>
        <w:t>35.9本项目招标文件。</w:t>
      </w:r>
    </w:p>
    <w:p>
      <w:pPr>
        <w:spacing w:line="360" w:lineRule="auto"/>
        <w:ind w:firstLine="420" w:firstLineChars="200"/>
        <w:rPr>
          <w:color w:val="auto"/>
          <w:sz w:val="21"/>
          <w:szCs w:val="21"/>
          <w:highlight w:val="none"/>
        </w:rPr>
      </w:pPr>
      <w:r>
        <w:rPr>
          <w:color w:val="auto"/>
          <w:sz w:val="21"/>
          <w:szCs w:val="21"/>
          <w:highlight w:val="none"/>
        </w:rPr>
        <w:t>36</w:t>
      </w:r>
      <w:r>
        <w:rPr>
          <w:rFonts w:hint="eastAsia"/>
          <w:color w:val="auto"/>
          <w:sz w:val="21"/>
          <w:szCs w:val="21"/>
          <w:highlight w:val="none"/>
        </w:rPr>
        <w:t>．开标</w:t>
      </w:r>
    </w:p>
    <w:p>
      <w:pPr>
        <w:spacing w:line="360" w:lineRule="auto"/>
        <w:ind w:firstLine="420" w:firstLineChars="200"/>
        <w:rPr>
          <w:color w:val="auto"/>
          <w:sz w:val="21"/>
          <w:szCs w:val="21"/>
          <w:highlight w:val="none"/>
        </w:rPr>
      </w:pPr>
      <w:r>
        <w:rPr>
          <w:color w:val="auto"/>
          <w:sz w:val="21"/>
          <w:szCs w:val="21"/>
          <w:highlight w:val="none"/>
        </w:rPr>
        <w:t xml:space="preserve">36.1 </w:t>
      </w:r>
      <w:r>
        <w:rPr>
          <w:rFonts w:hint="eastAsia"/>
          <w:color w:val="auto"/>
          <w:sz w:val="21"/>
          <w:szCs w:val="21"/>
          <w:highlight w:val="none"/>
        </w:rPr>
        <w:t>招标人按投标须知前附表第18项所规定的时间和地点公开开标，并邀请所有投标人参加。截标后，开标开始时间因故推迟的，相关评标信息仍以原定的开标开始时间的信息为准。</w:t>
      </w:r>
    </w:p>
    <w:p>
      <w:pPr>
        <w:spacing w:line="360" w:lineRule="auto"/>
        <w:ind w:firstLine="420" w:firstLineChars="200"/>
        <w:rPr>
          <w:color w:val="auto"/>
          <w:sz w:val="21"/>
          <w:szCs w:val="21"/>
          <w:highlight w:val="none"/>
        </w:rPr>
      </w:pPr>
      <w:r>
        <w:rPr>
          <w:color w:val="auto"/>
          <w:sz w:val="21"/>
          <w:szCs w:val="21"/>
          <w:highlight w:val="none"/>
        </w:rPr>
        <w:t>36.2</w:t>
      </w:r>
      <w:r>
        <w:rPr>
          <w:rFonts w:hint="eastAsia"/>
          <w:color w:val="auto"/>
          <w:sz w:val="21"/>
          <w:szCs w:val="21"/>
          <w:highlight w:val="none"/>
        </w:rPr>
        <w:t xml:space="preserve"> 招标人在招标文件要求提交投标文件的截止时间前收到的投标文件，开标时都当众予以解密、公布。</w:t>
      </w:r>
    </w:p>
    <w:p>
      <w:pPr>
        <w:spacing w:line="360" w:lineRule="auto"/>
        <w:ind w:firstLine="420" w:firstLineChars="200"/>
        <w:rPr>
          <w:color w:val="auto"/>
          <w:sz w:val="21"/>
          <w:szCs w:val="21"/>
          <w:highlight w:val="none"/>
        </w:rPr>
      </w:pPr>
      <w:r>
        <w:rPr>
          <w:rFonts w:hint="eastAsia"/>
          <w:color w:val="auto"/>
          <w:sz w:val="21"/>
          <w:szCs w:val="21"/>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420" w:firstLineChars="200"/>
        <w:rPr>
          <w:color w:val="auto"/>
          <w:sz w:val="21"/>
          <w:szCs w:val="21"/>
          <w:highlight w:val="none"/>
        </w:rPr>
      </w:pPr>
      <w:r>
        <w:rPr>
          <w:rFonts w:hint="eastAsia"/>
          <w:color w:val="auto"/>
          <w:sz w:val="21"/>
          <w:szCs w:val="21"/>
          <w:highlight w:val="none"/>
        </w:rPr>
        <w:t>36.4若递交投标文件的投标人不足3家，则重新组织招标。（当</w:t>
      </w:r>
      <w:r>
        <w:rPr>
          <w:color w:val="auto"/>
          <w:sz w:val="21"/>
          <w:szCs w:val="21"/>
          <w:highlight w:val="none"/>
        </w:rPr>
        <w:t>N</w:t>
      </w:r>
      <w:r>
        <w:rPr>
          <w:rFonts w:hint="eastAsia"/>
          <w:color w:val="auto"/>
          <w:sz w:val="21"/>
          <w:szCs w:val="21"/>
          <w:highlight w:val="none"/>
        </w:rPr>
        <w:t>个标段同时招标且不允许兼中时，若有效投标人不足</w:t>
      </w:r>
      <w:r>
        <w:rPr>
          <w:color w:val="auto"/>
          <w:sz w:val="21"/>
          <w:szCs w:val="21"/>
          <w:highlight w:val="none"/>
        </w:rPr>
        <w:t>N+</w:t>
      </w:r>
      <w:r>
        <w:rPr>
          <w:rFonts w:hint="eastAsia"/>
          <w:color w:val="auto"/>
          <w:sz w:val="21"/>
          <w:szCs w:val="21"/>
          <w:highlight w:val="none"/>
        </w:rPr>
        <w:t>2家，则重新组织招标）</w:t>
      </w:r>
    </w:p>
    <w:p>
      <w:pPr>
        <w:spacing w:line="360" w:lineRule="auto"/>
        <w:ind w:firstLine="420" w:firstLineChars="200"/>
        <w:rPr>
          <w:color w:val="auto"/>
          <w:sz w:val="21"/>
          <w:szCs w:val="21"/>
          <w:highlight w:val="none"/>
        </w:rPr>
      </w:pPr>
      <w:r>
        <w:rPr>
          <w:rFonts w:hint="eastAsia"/>
          <w:color w:val="auto"/>
          <w:sz w:val="21"/>
          <w:szCs w:val="21"/>
          <w:highlight w:val="none"/>
        </w:rPr>
        <w:t>36.5按下列程序进行开标：</w:t>
      </w:r>
    </w:p>
    <w:p>
      <w:pPr>
        <w:spacing w:line="360" w:lineRule="auto"/>
        <w:ind w:firstLine="420" w:firstLineChars="200"/>
        <w:rPr>
          <w:color w:val="auto"/>
          <w:sz w:val="21"/>
          <w:szCs w:val="21"/>
          <w:highlight w:val="none"/>
        </w:rPr>
      </w:pPr>
      <w:r>
        <w:rPr>
          <w:rFonts w:hint="eastAsia"/>
          <w:color w:val="auto"/>
          <w:sz w:val="21"/>
          <w:szCs w:val="21"/>
          <w:highlight w:val="none"/>
        </w:rPr>
        <w:t>36.5.1在投标截止时间后半小时内，投标人通过</w:t>
      </w:r>
      <w:r>
        <w:rPr>
          <w:color w:val="auto"/>
          <w:sz w:val="21"/>
          <w:szCs w:val="21"/>
          <w:highlight w:val="none"/>
          <w:u w:val="single"/>
        </w:rPr>
        <w:t xml:space="preserve">        </w:t>
      </w:r>
      <w:r>
        <w:rPr>
          <w:rFonts w:hint="eastAsia"/>
          <w:color w:val="auto"/>
          <w:sz w:val="21"/>
          <w:szCs w:val="21"/>
          <w:highlight w:val="none"/>
        </w:rPr>
        <w:t>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pPr>
        <w:spacing w:line="360" w:lineRule="auto"/>
        <w:ind w:firstLine="420" w:firstLineChars="200"/>
        <w:rPr>
          <w:color w:val="auto"/>
          <w:sz w:val="21"/>
          <w:szCs w:val="21"/>
          <w:highlight w:val="none"/>
        </w:rPr>
      </w:pPr>
      <w:r>
        <w:rPr>
          <w:rFonts w:hint="eastAsia"/>
          <w:color w:val="auto"/>
          <w:sz w:val="21"/>
          <w:szCs w:val="21"/>
          <w:highlight w:val="none"/>
        </w:rPr>
        <w:t>36.5.2备用光盘的读取按投标须知前附表第36项的规定执行；</w:t>
      </w:r>
    </w:p>
    <w:p>
      <w:pPr>
        <w:spacing w:line="360" w:lineRule="auto"/>
        <w:ind w:firstLine="420" w:firstLineChars="200"/>
        <w:rPr>
          <w:color w:val="auto"/>
          <w:sz w:val="21"/>
          <w:szCs w:val="21"/>
          <w:highlight w:val="none"/>
        </w:rPr>
      </w:pPr>
      <w:r>
        <w:rPr>
          <w:rFonts w:hint="eastAsia"/>
          <w:color w:val="auto"/>
          <w:sz w:val="21"/>
          <w:szCs w:val="21"/>
          <w:highlight w:val="none"/>
        </w:rPr>
        <w:t>36.5.3投标人代表、招标人代表、监标人、记录人等有关人员在开标记录上签字确认；若有关人员不签字的，不影响开标程序；</w:t>
      </w:r>
    </w:p>
    <w:p>
      <w:pPr>
        <w:spacing w:line="360" w:lineRule="auto"/>
        <w:ind w:firstLine="420" w:firstLineChars="200"/>
        <w:rPr>
          <w:color w:val="auto"/>
          <w:sz w:val="21"/>
          <w:szCs w:val="21"/>
          <w:highlight w:val="none"/>
        </w:rPr>
      </w:pPr>
      <w:r>
        <w:rPr>
          <w:rFonts w:hint="eastAsia"/>
          <w:color w:val="auto"/>
          <w:sz w:val="21"/>
          <w:szCs w:val="21"/>
          <w:highlight w:val="none"/>
        </w:rPr>
        <w:t>36.5.4开标结束。</w:t>
      </w:r>
    </w:p>
    <w:p>
      <w:pPr>
        <w:spacing w:line="360" w:lineRule="auto"/>
        <w:ind w:firstLine="420" w:firstLineChars="200"/>
        <w:rPr>
          <w:color w:val="auto"/>
          <w:sz w:val="21"/>
          <w:szCs w:val="21"/>
          <w:highlight w:val="none"/>
        </w:rPr>
      </w:pPr>
      <w:r>
        <w:rPr>
          <w:rFonts w:hint="eastAsia"/>
          <w:color w:val="auto"/>
          <w:sz w:val="21"/>
          <w:szCs w:val="21"/>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pacing w:line="360" w:lineRule="auto"/>
        <w:ind w:firstLine="420" w:firstLineChars="200"/>
        <w:rPr>
          <w:color w:val="auto"/>
          <w:sz w:val="21"/>
          <w:szCs w:val="21"/>
          <w:highlight w:val="none"/>
        </w:rPr>
      </w:pPr>
      <w:r>
        <w:rPr>
          <w:rFonts w:hint="eastAsia"/>
          <w:color w:val="auto"/>
          <w:sz w:val="21"/>
          <w:szCs w:val="21"/>
          <w:highlight w:val="none"/>
        </w:rPr>
        <w:t>36.7开标时，两个（含两个）以上的投标人加密打包投标文件电脑机器特征码一致的，不参与下一程序，并由评标委员会否决其投标。</w:t>
      </w:r>
    </w:p>
    <w:p>
      <w:pPr>
        <w:spacing w:line="360" w:lineRule="auto"/>
        <w:ind w:firstLine="420" w:firstLineChars="200"/>
        <w:rPr>
          <w:color w:val="auto"/>
          <w:sz w:val="21"/>
          <w:szCs w:val="21"/>
          <w:highlight w:val="none"/>
        </w:rPr>
      </w:pPr>
      <w:r>
        <w:rPr>
          <w:color w:val="auto"/>
          <w:sz w:val="21"/>
          <w:szCs w:val="21"/>
          <w:highlight w:val="none"/>
        </w:rPr>
        <w:t>37</w:t>
      </w:r>
      <w:r>
        <w:rPr>
          <w:rFonts w:hint="eastAsia"/>
          <w:color w:val="auto"/>
          <w:sz w:val="21"/>
          <w:szCs w:val="21"/>
          <w:highlight w:val="none"/>
        </w:rPr>
        <w:t>．评标</w:t>
      </w:r>
    </w:p>
    <w:p>
      <w:pPr>
        <w:spacing w:line="360" w:lineRule="auto"/>
        <w:ind w:firstLine="420" w:firstLineChars="200"/>
        <w:rPr>
          <w:color w:val="auto"/>
          <w:sz w:val="21"/>
          <w:szCs w:val="21"/>
          <w:highlight w:val="none"/>
        </w:rPr>
      </w:pPr>
      <w:r>
        <w:rPr>
          <w:color w:val="auto"/>
          <w:sz w:val="21"/>
          <w:szCs w:val="21"/>
          <w:highlight w:val="none"/>
        </w:rPr>
        <w:t>37.1</w:t>
      </w:r>
      <w:r>
        <w:rPr>
          <w:rFonts w:hint="eastAsia"/>
          <w:color w:val="auto"/>
          <w:sz w:val="21"/>
          <w:szCs w:val="21"/>
          <w:highlight w:val="none"/>
        </w:rPr>
        <w:t>评标委员会由招标人依法组建。</w:t>
      </w:r>
    </w:p>
    <w:p>
      <w:pPr>
        <w:spacing w:line="360" w:lineRule="auto"/>
        <w:ind w:firstLine="420" w:firstLineChars="200"/>
        <w:rPr>
          <w:color w:val="auto"/>
          <w:sz w:val="21"/>
          <w:szCs w:val="21"/>
          <w:highlight w:val="none"/>
        </w:rPr>
      </w:pPr>
      <w:r>
        <w:rPr>
          <w:color w:val="auto"/>
          <w:sz w:val="21"/>
          <w:szCs w:val="21"/>
          <w:highlight w:val="none"/>
        </w:rPr>
        <w:t>37.2</w:t>
      </w:r>
      <w:r>
        <w:rPr>
          <w:rFonts w:hint="eastAsia"/>
          <w:color w:val="auto"/>
          <w:sz w:val="21"/>
          <w:szCs w:val="21"/>
          <w:highlight w:val="none"/>
        </w:rPr>
        <w:t>评标委员会的职责及守则：</w:t>
      </w:r>
    </w:p>
    <w:p>
      <w:pPr>
        <w:spacing w:line="360" w:lineRule="auto"/>
        <w:ind w:firstLine="420" w:firstLineChars="200"/>
        <w:rPr>
          <w:color w:val="auto"/>
          <w:sz w:val="21"/>
          <w:szCs w:val="21"/>
          <w:highlight w:val="none"/>
        </w:rPr>
      </w:pPr>
      <w:r>
        <w:rPr>
          <w:color w:val="auto"/>
          <w:sz w:val="21"/>
          <w:szCs w:val="21"/>
          <w:highlight w:val="none"/>
        </w:rPr>
        <w:t>37.2.1</w:t>
      </w:r>
      <w:r>
        <w:rPr>
          <w:rFonts w:hint="eastAsia"/>
          <w:color w:val="auto"/>
          <w:sz w:val="21"/>
          <w:szCs w:val="21"/>
          <w:highlight w:val="none"/>
        </w:rPr>
        <w:t>根据评标细则，对投标文件进行认真评审，完成评审报告；</w:t>
      </w:r>
    </w:p>
    <w:p>
      <w:pPr>
        <w:spacing w:line="360" w:lineRule="auto"/>
        <w:ind w:firstLine="420" w:firstLineChars="200"/>
        <w:rPr>
          <w:color w:val="auto"/>
          <w:sz w:val="21"/>
          <w:szCs w:val="21"/>
          <w:highlight w:val="none"/>
        </w:rPr>
      </w:pPr>
      <w:r>
        <w:rPr>
          <w:color w:val="auto"/>
          <w:sz w:val="21"/>
          <w:szCs w:val="21"/>
          <w:highlight w:val="none"/>
        </w:rPr>
        <w:t>37.2.2</w:t>
      </w:r>
      <w:r>
        <w:rPr>
          <w:rFonts w:hint="eastAsia"/>
          <w:color w:val="auto"/>
          <w:sz w:val="21"/>
          <w:szCs w:val="21"/>
          <w:highlight w:val="none"/>
        </w:rPr>
        <w:t>向招标人报告评审意见，推荐合格的中标候选人。</w:t>
      </w:r>
    </w:p>
    <w:p>
      <w:pPr>
        <w:spacing w:line="360" w:lineRule="auto"/>
        <w:ind w:firstLine="420" w:firstLineChars="200"/>
        <w:rPr>
          <w:color w:val="auto"/>
          <w:sz w:val="21"/>
          <w:szCs w:val="21"/>
          <w:highlight w:val="none"/>
        </w:rPr>
      </w:pPr>
      <w:r>
        <w:rPr>
          <w:bCs/>
          <w:color w:val="auto"/>
          <w:sz w:val="21"/>
          <w:szCs w:val="21"/>
          <w:highlight w:val="none"/>
        </w:rPr>
        <w:t>37.2.3</w:t>
      </w:r>
      <w:r>
        <w:rPr>
          <w:b/>
          <w:bCs/>
          <w:color w:val="auto"/>
          <w:sz w:val="21"/>
          <w:szCs w:val="21"/>
          <w:highlight w:val="none"/>
        </w:rPr>
        <w:t xml:space="preserve"> </w:t>
      </w:r>
      <w:r>
        <w:rPr>
          <w:rFonts w:hint="eastAsia"/>
          <w:color w:val="auto"/>
          <w:sz w:val="21"/>
          <w:szCs w:val="21"/>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20" w:firstLineChars="200"/>
        <w:rPr>
          <w:color w:val="auto"/>
          <w:sz w:val="21"/>
          <w:szCs w:val="21"/>
          <w:highlight w:val="none"/>
        </w:rPr>
      </w:pPr>
      <w:r>
        <w:rPr>
          <w:color w:val="auto"/>
          <w:sz w:val="21"/>
          <w:szCs w:val="21"/>
          <w:highlight w:val="none"/>
        </w:rPr>
        <w:t>37.2.4</w:t>
      </w:r>
      <w:r>
        <w:rPr>
          <w:rFonts w:hint="eastAsia"/>
          <w:color w:val="auto"/>
          <w:sz w:val="21"/>
          <w:szCs w:val="21"/>
          <w:highlight w:val="none"/>
        </w:rPr>
        <w:t>全体参与评标人员：</w:t>
      </w:r>
    </w:p>
    <w:p>
      <w:pPr>
        <w:spacing w:line="360" w:lineRule="auto"/>
        <w:ind w:firstLine="420" w:firstLineChars="200"/>
        <w:rPr>
          <w:color w:val="auto"/>
          <w:sz w:val="21"/>
          <w:szCs w:val="21"/>
          <w:highlight w:val="none"/>
        </w:rPr>
      </w:pPr>
      <w:r>
        <w:rPr>
          <w:color w:val="auto"/>
          <w:sz w:val="21"/>
          <w:szCs w:val="21"/>
          <w:highlight w:val="none"/>
        </w:rPr>
        <w:t xml:space="preserve">37.2.4.1 </w:t>
      </w:r>
      <w:r>
        <w:rPr>
          <w:rFonts w:hint="eastAsia"/>
          <w:color w:val="auto"/>
          <w:sz w:val="21"/>
          <w:szCs w:val="21"/>
          <w:highlight w:val="none"/>
        </w:rPr>
        <w:t>必须遵守评标纪律、不得泄密；</w:t>
      </w:r>
    </w:p>
    <w:p>
      <w:pPr>
        <w:spacing w:line="360" w:lineRule="auto"/>
        <w:ind w:firstLine="420" w:firstLineChars="200"/>
        <w:rPr>
          <w:color w:val="auto"/>
          <w:sz w:val="21"/>
          <w:szCs w:val="21"/>
          <w:highlight w:val="none"/>
        </w:rPr>
      </w:pPr>
      <w:r>
        <w:rPr>
          <w:color w:val="auto"/>
          <w:sz w:val="21"/>
          <w:szCs w:val="21"/>
          <w:highlight w:val="none"/>
        </w:rPr>
        <w:t xml:space="preserve">37.2.4.2 </w:t>
      </w:r>
      <w:r>
        <w:rPr>
          <w:rFonts w:hint="eastAsia"/>
          <w:color w:val="auto"/>
          <w:sz w:val="21"/>
          <w:szCs w:val="21"/>
          <w:highlight w:val="none"/>
        </w:rPr>
        <w:t>必须公正、不得循私；</w:t>
      </w:r>
    </w:p>
    <w:p>
      <w:pPr>
        <w:spacing w:line="360" w:lineRule="auto"/>
        <w:ind w:firstLine="420" w:firstLineChars="200"/>
        <w:rPr>
          <w:color w:val="auto"/>
          <w:sz w:val="21"/>
          <w:szCs w:val="21"/>
          <w:highlight w:val="none"/>
        </w:rPr>
      </w:pPr>
      <w:r>
        <w:rPr>
          <w:color w:val="auto"/>
          <w:sz w:val="21"/>
          <w:szCs w:val="21"/>
          <w:highlight w:val="none"/>
        </w:rPr>
        <w:t xml:space="preserve">37.2.4.3 </w:t>
      </w:r>
      <w:r>
        <w:rPr>
          <w:rFonts w:hint="eastAsia"/>
          <w:color w:val="auto"/>
          <w:sz w:val="21"/>
          <w:szCs w:val="21"/>
          <w:highlight w:val="none"/>
        </w:rPr>
        <w:t>必须科学、不得草率；</w:t>
      </w:r>
    </w:p>
    <w:p>
      <w:pPr>
        <w:spacing w:line="360" w:lineRule="auto"/>
        <w:ind w:firstLine="420" w:firstLineChars="200"/>
        <w:rPr>
          <w:color w:val="auto"/>
          <w:sz w:val="21"/>
          <w:szCs w:val="21"/>
          <w:highlight w:val="none"/>
        </w:rPr>
      </w:pPr>
      <w:r>
        <w:rPr>
          <w:color w:val="auto"/>
          <w:sz w:val="21"/>
          <w:szCs w:val="21"/>
          <w:highlight w:val="none"/>
        </w:rPr>
        <w:t xml:space="preserve">37.2.4.4 </w:t>
      </w:r>
      <w:r>
        <w:rPr>
          <w:rFonts w:hint="eastAsia"/>
          <w:color w:val="auto"/>
          <w:sz w:val="21"/>
          <w:szCs w:val="21"/>
          <w:highlight w:val="none"/>
        </w:rPr>
        <w:t>必须客观、不得带有成见；</w:t>
      </w:r>
    </w:p>
    <w:p>
      <w:pPr>
        <w:spacing w:line="360" w:lineRule="auto"/>
        <w:ind w:firstLine="420" w:firstLineChars="200"/>
        <w:rPr>
          <w:color w:val="auto"/>
          <w:sz w:val="21"/>
          <w:szCs w:val="21"/>
          <w:highlight w:val="none"/>
        </w:rPr>
      </w:pPr>
      <w:r>
        <w:rPr>
          <w:color w:val="auto"/>
          <w:sz w:val="21"/>
          <w:szCs w:val="21"/>
          <w:highlight w:val="none"/>
        </w:rPr>
        <w:t xml:space="preserve">37.2.4.5 </w:t>
      </w:r>
      <w:r>
        <w:rPr>
          <w:rFonts w:hint="eastAsia"/>
          <w:color w:val="auto"/>
          <w:sz w:val="21"/>
          <w:szCs w:val="21"/>
          <w:highlight w:val="none"/>
        </w:rPr>
        <w:t>必须平等、不得强加于人；</w:t>
      </w:r>
    </w:p>
    <w:p>
      <w:pPr>
        <w:spacing w:line="360" w:lineRule="auto"/>
        <w:ind w:firstLine="420" w:firstLineChars="200"/>
        <w:rPr>
          <w:color w:val="auto"/>
          <w:sz w:val="21"/>
          <w:szCs w:val="21"/>
          <w:highlight w:val="none"/>
        </w:rPr>
      </w:pPr>
      <w:r>
        <w:rPr>
          <w:color w:val="auto"/>
          <w:sz w:val="21"/>
          <w:szCs w:val="21"/>
          <w:highlight w:val="none"/>
        </w:rPr>
        <w:t xml:space="preserve">37.2.4.6 </w:t>
      </w:r>
      <w:r>
        <w:rPr>
          <w:rFonts w:hint="eastAsia"/>
          <w:color w:val="auto"/>
          <w:sz w:val="21"/>
          <w:szCs w:val="21"/>
          <w:highlight w:val="none"/>
        </w:rPr>
        <w:t>必须严谨、不得随意马虎。</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37.3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37.3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pPr>
        <w:spacing w:line="360" w:lineRule="auto"/>
        <w:ind w:firstLine="420" w:firstLineChars="200"/>
        <w:rPr>
          <w:color w:val="auto"/>
          <w:sz w:val="21"/>
          <w:szCs w:val="21"/>
          <w:highlight w:val="none"/>
        </w:rPr>
      </w:pPr>
      <w:r>
        <w:rPr>
          <w:rFonts w:hint="eastAsia"/>
          <w:color w:val="auto"/>
          <w:sz w:val="21"/>
          <w:szCs w:val="21"/>
          <w:highlight w:val="none"/>
        </w:rPr>
        <w:t>37.4评标结束后，评标委员会递交评标报告并依法推荐中标候选人。</w:t>
      </w:r>
      <w:r>
        <w:rPr>
          <w:color w:val="auto"/>
          <w:sz w:val="21"/>
          <w:szCs w:val="21"/>
          <w:highlight w:val="none"/>
        </w:rPr>
        <w:t xml:space="preserve"> </w:t>
      </w:r>
    </w:p>
    <w:p>
      <w:pPr>
        <w:spacing w:line="360" w:lineRule="auto"/>
        <w:ind w:firstLine="420" w:firstLineChars="200"/>
        <w:rPr>
          <w:color w:val="auto"/>
          <w:sz w:val="21"/>
          <w:szCs w:val="21"/>
          <w:highlight w:val="none"/>
        </w:rPr>
      </w:pPr>
      <w:r>
        <w:rPr>
          <w:color w:val="auto"/>
          <w:sz w:val="21"/>
          <w:szCs w:val="21"/>
          <w:highlight w:val="none"/>
        </w:rPr>
        <w:t>38</w:t>
      </w:r>
      <w:r>
        <w:rPr>
          <w:rFonts w:hint="eastAsia"/>
          <w:color w:val="auto"/>
          <w:sz w:val="21"/>
          <w:szCs w:val="21"/>
          <w:highlight w:val="none"/>
        </w:rPr>
        <w:t>．投标文件的澄清</w:t>
      </w:r>
    </w:p>
    <w:p>
      <w:pPr>
        <w:spacing w:line="360" w:lineRule="auto"/>
        <w:ind w:firstLine="420" w:firstLineChars="200"/>
        <w:rPr>
          <w:color w:val="auto"/>
          <w:sz w:val="21"/>
          <w:szCs w:val="21"/>
          <w:highlight w:val="none"/>
        </w:rPr>
      </w:pPr>
      <w:r>
        <w:rPr>
          <w:color w:val="auto"/>
          <w:sz w:val="21"/>
          <w:szCs w:val="21"/>
          <w:highlight w:val="none"/>
        </w:rPr>
        <w:t>38.1</w:t>
      </w:r>
      <w:r>
        <w:rPr>
          <w:rFonts w:hint="eastAsia"/>
          <w:color w:val="auto"/>
          <w:sz w:val="21"/>
          <w:szCs w:val="21"/>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spacing w:line="360" w:lineRule="auto"/>
        <w:ind w:firstLine="420" w:firstLineChars="200"/>
        <w:rPr>
          <w:color w:val="auto"/>
          <w:sz w:val="21"/>
          <w:szCs w:val="21"/>
          <w:highlight w:val="none"/>
        </w:rPr>
      </w:pPr>
      <w:r>
        <w:rPr>
          <w:color w:val="auto"/>
          <w:sz w:val="21"/>
          <w:szCs w:val="21"/>
          <w:highlight w:val="none"/>
        </w:rPr>
        <w:t xml:space="preserve">38.2 </w:t>
      </w:r>
      <w:r>
        <w:rPr>
          <w:rFonts w:hint="eastAsia"/>
          <w:color w:val="auto"/>
          <w:sz w:val="21"/>
          <w:szCs w:val="21"/>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20" w:firstLineChars="200"/>
        <w:rPr>
          <w:color w:val="auto"/>
          <w:sz w:val="21"/>
          <w:szCs w:val="21"/>
          <w:highlight w:val="none"/>
        </w:rPr>
      </w:pPr>
      <w:r>
        <w:rPr>
          <w:color w:val="auto"/>
          <w:sz w:val="21"/>
          <w:szCs w:val="21"/>
          <w:highlight w:val="none"/>
        </w:rPr>
        <w:t xml:space="preserve">38.3 </w:t>
      </w:r>
      <w:r>
        <w:rPr>
          <w:rFonts w:hint="eastAsia"/>
          <w:color w:val="auto"/>
          <w:sz w:val="21"/>
          <w:szCs w:val="21"/>
          <w:highlight w:val="none"/>
        </w:rPr>
        <w:t>评标委员会或评标委员会专业评审组成员均应当阅读投标人的澄清，但应独立参考澄清对投标文件进行评审。</w:t>
      </w:r>
    </w:p>
    <w:p>
      <w:pPr>
        <w:spacing w:line="360" w:lineRule="auto"/>
        <w:ind w:firstLine="420" w:firstLineChars="200"/>
        <w:rPr>
          <w:color w:val="auto"/>
          <w:sz w:val="21"/>
          <w:szCs w:val="21"/>
          <w:highlight w:val="none"/>
        </w:rPr>
      </w:pPr>
      <w:r>
        <w:rPr>
          <w:color w:val="auto"/>
          <w:sz w:val="21"/>
          <w:szCs w:val="21"/>
          <w:highlight w:val="none"/>
        </w:rPr>
        <w:t>38.4</w:t>
      </w:r>
      <w:r>
        <w:rPr>
          <w:rFonts w:hint="eastAsia"/>
          <w:color w:val="auto"/>
          <w:sz w:val="21"/>
          <w:szCs w:val="21"/>
          <w:highlight w:val="none"/>
        </w:rPr>
        <w:t>如果投标文件实质上不响应招标文件的各项要求，评标委员会将按照符合性审查标准予以拒绝，不接受投标人通过修改或撤销其不符合要求的差异或保留，使之成为具有响应性的投标。</w:t>
      </w:r>
    </w:p>
    <w:p>
      <w:pPr>
        <w:spacing w:line="360" w:lineRule="auto"/>
        <w:ind w:firstLine="420" w:firstLineChars="200"/>
        <w:rPr>
          <w:color w:val="auto"/>
          <w:sz w:val="21"/>
          <w:szCs w:val="21"/>
          <w:highlight w:val="none"/>
        </w:rPr>
      </w:pPr>
      <w:r>
        <w:rPr>
          <w:rFonts w:hint="eastAsia"/>
          <w:color w:val="auto"/>
          <w:sz w:val="21"/>
          <w:szCs w:val="21"/>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spacing w:line="360" w:lineRule="auto"/>
        <w:ind w:firstLine="420" w:firstLineChars="200"/>
        <w:rPr>
          <w:color w:val="auto"/>
          <w:sz w:val="21"/>
          <w:szCs w:val="21"/>
          <w:highlight w:val="none"/>
        </w:rPr>
      </w:pPr>
      <w:r>
        <w:rPr>
          <w:color w:val="auto"/>
          <w:sz w:val="21"/>
          <w:szCs w:val="21"/>
          <w:highlight w:val="none"/>
        </w:rPr>
        <w:t>39</w:t>
      </w:r>
      <w:r>
        <w:rPr>
          <w:rFonts w:hint="eastAsia"/>
          <w:color w:val="auto"/>
          <w:sz w:val="21"/>
          <w:szCs w:val="21"/>
          <w:highlight w:val="none"/>
        </w:rPr>
        <w:t>．定标</w:t>
      </w:r>
    </w:p>
    <w:p>
      <w:pPr>
        <w:spacing w:line="360" w:lineRule="auto"/>
        <w:ind w:firstLine="420" w:firstLineChars="200"/>
        <w:rPr>
          <w:color w:val="auto"/>
          <w:sz w:val="21"/>
          <w:szCs w:val="21"/>
          <w:highlight w:val="none"/>
        </w:rPr>
      </w:pPr>
      <w:r>
        <w:rPr>
          <w:color w:val="auto"/>
          <w:sz w:val="21"/>
          <w:szCs w:val="21"/>
          <w:highlight w:val="none"/>
        </w:rPr>
        <w:t xml:space="preserve">39.1 </w:t>
      </w:r>
      <w:r>
        <w:rPr>
          <w:rFonts w:hint="eastAsia"/>
          <w:color w:val="auto"/>
          <w:sz w:val="21"/>
          <w:szCs w:val="21"/>
          <w:highlight w:val="none"/>
        </w:rPr>
        <w:t>招标人根据评标委员会递交的评标报告，最终审定中标人。</w:t>
      </w:r>
    </w:p>
    <w:p>
      <w:pPr>
        <w:spacing w:line="360" w:lineRule="auto"/>
        <w:ind w:firstLine="420" w:firstLineChars="200"/>
        <w:rPr>
          <w:color w:val="auto"/>
          <w:sz w:val="21"/>
          <w:szCs w:val="21"/>
          <w:highlight w:val="none"/>
        </w:rPr>
      </w:pPr>
      <w:r>
        <w:rPr>
          <w:color w:val="auto"/>
          <w:sz w:val="21"/>
          <w:szCs w:val="21"/>
          <w:highlight w:val="none"/>
        </w:rPr>
        <w:t xml:space="preserve">39.2 </w:t>
      </w:r>
      <w:r>
        <w:rPr>
          <w:rFonts w:hint="eastAsia"/>
          <w:color w:val="auto"/>
          <w:sz w:val="21"/>
          <w:szCs w:val="21"/>
          <w:highlight w:val="none"/>
        </w:rPr>
        <w:t>依法必须进行公开招标的项目，招标人应当确定排名第一的中标候选人为中标人。</w:t>
      </w:r>
    </w:p>
    <w:p>
      <w:pPr>
        <w:spacing w:line="360" w:lineRule="auto"/>
        <w:ind w:firstLine="420" w:firstLineChars="200"/>
        <w:rPr>
          <w:color w:val="auto"/>
          <w:sz w:val="21"/>
          <w:szCs w:val="21"/>
          <w:highlight w:val="none"/>
        </w:rPr>
      </w:pPr>
      <w:r>
        <w:rPr>
          <w:color w:val="auto"/>
          <w:sz w:val="21"/>
          <w:szCs w:val="21"/>
          <w:highlight w:val="none"/>
        </w:rPr>
        <w:t>39.3</w:t>
      </w:r>
      <w:r>
        <w:rPr>
          <w:rFonts w:hint="eastAsia"/>
          <w:color w:val="auto"/>
          <w:sz w:val="21"/>
          <w:szCs w:val="21"/>
          <w:highlight w:val="none"/>
        </w:rPr>
        <w:t>排名第一的中标候选人放弃中标、或因不可抗力提出不能履行合同，或者招标文件规定应当提交履约担保而在规定的期限内未能提交的，招标人可以确定排名第二的中标候选人为中标人。</w:t>
      </w:r>
    </w:p>
    <w:p>
      <w:pPr>
        <w:spacing w:line="360" w:lineRule="auto"/>
        <w:ind w:firstLine="420" w:firstLineChars="200"/>
        <w:rPr>
          <w:color w:val="auto"/>
          <w:sz w:val="21"/>
          <w:szCs w:val="21"/>
          <w:highlight w:val="none"/>
        </w:rPr>
      </w:pPr>
      <w:r>
        <w:rPr>
          <w:color w:val="auto"/>
          <w:sz w:val="21"/>
          <w:szCs w:val="21"/>
          <w:highlight w:val="none"/>
        </w:rPr>
        <w:t>39.4</w:t>
      </w:r>
      <w:r>
        <w:rPr>
          <w:rFonts w:hint="eastAsia"/>
          <w:color w:val="auto"/>
          <w:sz w:val="21"/>
          <w:szCs w:val="21"/>
          <w:highlight w:val="none"/>
        </w:rPr>
        <w:t>排名第二的中标候选人出现前款所列的情形的，招标人可以确定排名第三的中标候选人为中标人。以此类推，如所有中标候选人均出现前款所列的情形，为招标失败，招标人依法重新招标。</w:t>
      </w:r>
    </w:p>
    <w:p>
      <w:pPr>
        <w:spacing w:line="360" w:lineRule="auto"/>
        <w:ind w:firstLine="420" w:firstLineChars="200"/>
        <w:rPr>
          <w:color w:val="auto"/>
          <w:sz w:val="21"/>
          <w:szCs w:val="21"/>
          <w:highlight w:val="none"/>
        </w:rPr>
      </w:pPr>
      <w:r>
        <w:rPr>
          <w:rFonts w:hint="eastAsia"/>
          <w:color w:val="auto"/>
          <w:sz w:val="21"/>
          <w:szCs w:val="21"/>
          <w:highlight w:val="none"/>
        </w:rPr>
        <w:t>39.5 重新评标的，评标信息（含业绩、奖项等）仍以投标截止时投标人的信息为准。因特殊原因需要延长投标有效期，投标人拒绝延长投标有效期的，仍参与评标，但不被推荐为中标候选人。</w:t>
      </w:r>
    </w:p>
    <w:p>
      <w:pPr>
        <w:pStyle w:val="4"/>
        <w:spacing w:before="156" w:after="156"/>
        <w:ind w:firstLine="420" w:firstLineChars="200"/>
        <w:rPr>
          <w:color w:val="auto"/>
          <w:sz w:val="21"/>
          <w:szCs w:val="21"/>
          <w:highlight w:val="none"/>
        </w:rPr>
      </w:pPr>
      <w:bookmarkStart w:id="14" w:name="_Toc18664070"/>
      <w:r>
        <w:rPr>
          <w:rFonts w:hint="eastAsia"/>
          <w:color w:val="auto"/>
          <w:sz w:val="21"/>
          <w:szCs w:val="21"/>
          <w:highlight w:val="none"/>
        </w:rPr>
        <w:t>（二）开标评标办法程序和细则</w:t>
      </w:r>
      <w:bookmarkEnd w:id="14"/>
    </w:p>
    <w:p>
      <w:pPr>
        <w:spacing w:line="360" w:lineRule="auto"/>
        <w:ind w:firstLine="420" w:firstLineChars="200"/>
        <w:rPr>
          <w:color w:val="auto"/>
          <w:sz w:val="21"/>
          <w:szCs w:val="21"/>
          <w:highlight w:val="none"/>
        </w:rPr>
      </w:pPr>
      <w:r>
        <w:rPr>
          <w:rFonts w:hint="eastAsia"/>
          <w:color w:val="auto"/>
          <w:sz w:val="21"/>
          <w:szCs w:val="21"/>
          <w:highlight w:val="none"/>
        </w:rPr>
        <w:t>注：以下八种评标办法所述企业综合诚信评价分数即投标截止当日广州市工程招标代理行业协会网站上公布的企业综合诚信评价</w:t>
      </w:r>
      <w:r>
        <w:rPr>
          <w:color w:val="auto"/>
          <w:sz w:val="21"/>
          <w:szCs w:val="21"/>
          <w:highlight w:val="none"/>
        </w:rPr>
        <w:t>60</w:t>
      </w:r>
      <w:r>
        <w:rPr>
          <w:rFonts w:hint="eastAsia"/>
          <w:color w:val="auto"/>
          <w:sz w:val="21"/>
          <w:szCs w:val="21"/>
          <w:highlight w:val="none"/>
        </w:rPr>
        <w:t>日诚信分。</w:t>
      </w:r>
    </w:p>
    <w:p>
      <w:pPr>
        <w:pStyle w:val="4"/>
        <w:spacing w:before="156" w:after="156"/>
        <w:ind w:firstLine="420" w:firstLineChars="200"/>
        <w:rPr>
          <w:color w:val="auto"/>
          <w:sz w:val="21"/>
          <w:szCs w:val="21"/>
          <w:highlight w:val="none"/>
        </w:rPr>
      </w:pPr>
      <w:bookmarkStart w:id="15" w:name="_Toc2272563"/>
      <w:bookmarkStart w:id="16" w:name="_Toc21525508"/>
      <w:r>
        <w:rPr>
          <w:rFonts w:hint="eastAsia"/>
          <w:color w:val="auto"/>
          <w:sz w:val="21"/>
          <w:szCs w:val="21"/>
          <w:highlight w:val="none"/>
        </w:rPr>
        <w:t>可选办法六（适合综合评分法三，技术标与经济标同时开启）</w:t>
      </w:r>
      <w:bookmarkEnd w:id="15"/>
      <w:bookmarkEnd w:id="16"/>
    </w:p>
    <w:p>
      <w:pPr>
        <w:pStyle w:val="23"/>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40．开标和评标程序：</w:t>
      </w:r>
    </w:p>
    <w:p>
      <w:pPr>
        <w:spacing w:line="360" w:lineRule="auto"/>
        <w:ind w:firstLine="420" w:firstLineChars="200"/>
        <w:rPr>
          <w:color w:val="auto"/>
          <w:sz w:val="21"/>
          <w:szCs w:val="21"/>
          <w:highlight w:val="none"/>
        </w:rPr>
      </w:pPr>
      <w:r>
        <w:rPr>
          <w:rFonts w:hint="eastAsia"/>
          <w:color w:val="auto"/>
          <w:sz w:val="21"/>
          <w:szCs w:val="21"/>
          <w:highlight w:val="none"/>
        </w:rPr>
        <w:t>40.1投标人递交技术标、经济标投标文件；</w:t>
      </w:r>
    </w:p>
    <w:p>
      <w:pPr>
        <w:spacing w:line="360" w:lineRule="auto"/>
        <w:ind w:firstLine="420" w:firstLineChars="200"/>
        <w:rPr>
          <w:color w:val="auto"/>
          <w:sz w:val="21"/>
          <w:szCs w:val="21"/>
          <w:highlight w:val="none"/>
        </w:rPr>
      </w:pPr>
      <w:r>
        <w:rPr>
          <w:rFonts w:hint="eastAsia"/>
          <w:color w:val="auto"/>
          <w:sz w:val="21"/>
          <w:szCs w:val="21"/>
          <w:highlight w:val="none"/>
        </w:rPr>
        <w:t>40.2技术标与经济标投标文件同时公开开标；</w:t>
      </w:r>
    </w:p>
    <w:p>
      <w:pPr>
        <w:spacing w:line="360" w:lineRule="auto"/>
        <w:ind w:firstLine="420" w:firstLineChars="200"/>
        <w:rPr>
          <w:color w:val="auto"/>
          <w:sz w:val="21"/>
          <w:szCs w:val="21"/>
          <w:highlight w:val="none"/>
        </w:rPr>
      </w:pPr>
      <w:r>
        <w:rPr>
          <w:rFonts w:hint="eastAsia"/>
          <w:color w:val="auto"/>
          <w:sz w:val="21"/>
          <w:szCs w:val="21"/>
          <w:highlight w:val="none"/>
        </w:rPr>
        <w:t>40.3由评标委员会对所有已公开开标的投标人进行资格审查；</w:t>
      </w:r>
    </w:p>
    <w:p>
      <w:pPr>
        <w:spacing w:line="360" w:lineRule="auto"/>
        <w:ind w:firstLine="420" w:firstLineChars="200"/>
        <w:rPr>
          <w:color w:val="auto"/>
          <w:sz w:val="21"/>
          <w:szCs w:val="21"/>
          <w:highlight w:val="none"/>
        </w:rPr>
      </w:pPr>
      <w:r>
        <w:rPr>
          <w:rFonts w:hint="eastAsia"/>
          <w:color w:val="auto"/>
          <w:sz w:val="21"/>
          <w:szCs w:val="21"/>
          <w:highlight w:val="none"/>
        </w:rPr>
        <w:t>40.4技术标投标文件有效性审查；</w:t>
      </w:r>
    </w:p>
    <w:p>
      <w:pPr>
        <w:spacing w:line="360" w:lineRule="auto"/>
        <w:ind w:firstLine="420" w:firstLineChars="200"/>
        <w:rPr>
          <w:color w:val="auto"/>
          <w:sz w:val="21"/>
          <w:szCs w:val="21"/>
          <w:highlight w:val="none"/>
        </w:rPr>
      </w:pPr>
      <w:r>
        <w:rPr>
          <w:rFonts w:hint="eastAsia"/>
          <w:color w:val="auto"/>
          <w:sz w:val="21"/>
          <w:szCs w:val="21"/>
          <w:highlight w:val="none"/>
        </w:rPr>
        <w:t>40.5技术标详细审查评分；</w:t>
      </w:r>
    </w:p>
    <w:p>
      <w:pPr>
        <w:spacing w:line="360" w:lineRule="auto"/>
        <w:ind w:firstLine="420" w:firstLineChars="200"/>
        <w:rPr>
          <w:color w:val="auto"/>
          <w:sz w:val="21"/>
          <w:szCs w:val="21"/>
          <w:highlight w:val="none"/>
        </w:rPr>
      </w:pPr>
      <w:r>
        <w:rPr>
          <w:rFonts w:hint="eastAsia"/>
          <w:color w:val="auto"/>
          <w:sz w:val="21"/>
          <w:szCs w:val="21"/>
          <w:highlight w:val="none"/>
        </w:rPr>
        <w:t xml:space="preserve">40.6计算第一阶段得分，并按照总分从高到低排列先后次序，编写第一阶段评审报告； </w:t>
      </w:r>
    </w:p>
    <w:p>
      <w:pPr>
        <w:spacing w:line="360" w:lineRule="auto"/>
        <w:ind w:firstLine="420" w:firstLineChars="200"/>
        <w:rPr>
          <w:color w:val="auto"/>
          <w:sz w:val="21"/>
          <w:szCs w:val="21"/>
          <w:highlight w:val="none"/>
        </w:rPr>
      </w:pPr>
      <w:r>
        <w:rPr>
          <w:rFonts w:hint="eastAsia"/>
          <w:color w:val="auto"/>
          <w:sz w:val="21"/>
          <w:szCs w:val="21"/>
          <w:highlight w:val="none"/>
        </w:rPr>
        <w:t>40.7按投标须知前附表第25项规定，确定进入第二阶段评审的投标人；</w:t>
      </w:r>
    </w:p>
    <w:p>
      <w:pPr>
        <w:spacing w:line="360" w:lineRule="auto"/>
        <w:ind w:firstLine="420" w:firstLineChars="200"/>
        <w:rPr>
          <w:color w:val="auto"/>
          <w:sz w:val="21"/>
          <w:szCs w:val="21"/>
          <w:highlight w:val="none"/>
        </w:rPr>
      </w:pPr>
      <w:r>
        <w:rPr>
          <w:rFonts w:hint="eastAsia"/>
          <w:color w:val="auto"/>
          <w:sz w:val="21"/>
          <w:szCs w:val="21"/>
          <w:highlight w:val="none"/>
        </w:rPr>
        <w:t>40.8将进入第二阶段评审的投标人进行排序；</w:t>
      </w:r>
    </w:p>
    <w:p>
      <w:pPr>
        <w:spacing w:line="360" w:lineRule="auto"/>
        <w:ind w:firstLine="420" w:firstLineChars="200"/>
        <w:rPr>
          <w:color w:val="auto"/>
          <w:sz w:val="21"/>
          <w:szCs w:val="21"/>
          <w:highlight w:val="none"/>
        </w:rPr>
      </w:pPr>
      <w:r>
        <w:rPr>
          <w:rFonts w:hint="eastAsia"/>
          <w:color w:val="auto"/>
          <w:sz w:val="21"/>
          <w:szCs w:val="21"/>
          <w:highlight w:val="none"/>
        </w:rPr>
        <w:t>40.9按排序对经济标投标文件进行有效性审查（含投标报价算术校核），直至评出所有中标候选人；</w:t>
      </w:r>
    </w:p>
    <w:p>
      <w:pPr>
        <w:spacing w:line="360" w:lineRule="auto"/>
        <w:ind w:firstLine="420" w:firstLineChars="200"/>
        <w:rPr>
          <w:color w:val="auto"/>
          <w:sz w:val="21"/>
          <w:szCs w:val="21"/>
          <w:highlight w:val="none"/>
        </w:rPr>
      </w:pPr>
      <w:r>
        <w:rPr>
          <w:rFonts w:hint="eastAsia"/>
          <w:color w:val="auto"/>
          <w:sz w:val="21"/>
          <w:szCs w:val="21"/>
          <w:highlight w:val="none"/>
        </w:rPr>
        <w:t>40.10评标委员会编写评标报告，向招标人推荐中标候选人名单。</w:t>
      </w:r>
    </w:p>
    <w:p>
      <w:pPr>
        <w:spacing w:line="360" w:lineRule="auto"/>
        <w:ind w:firstLine="420" w:firstLineChars="200"/>
        <w:rPr>
          <w:color w:val="auto"/>
          <w:sz w:val="21"/>
          <w:szCs w:val="21"/>
          <w:highlight w:val="none"/>
        </w:rPr>
      </w:pPr>
      <w:r>
        <w:rPr>
          <w:rFonts w:hint="eastAsia"/>
          <w:color w:val="auto"/>
          <w:sz w:val="21"/>
          <w:szCs w:val="21"/>
          <w:highlight w:val="none"/>
        </w:rPr>
        <w:t>41. 开标细则</w:t>
      </w:r>
    </w:p>
    <w:p>
      <w:pPr>
        <w:spacing w:line="360" w:lineRule="auto"/>
        <w:ind w:firstLine="420" w:firstLineChars="200"/>
        <w:rPr>
          <w:color w:val="auto"/>
          <w:sz w:val="21"/>
          <w:szCs w:val="21"/>
          <w:highlight w:val="none"/>
        </w:rPr>
      </w:pPr>
      <w:r>
        <w:rPr>
          <w:rFonts w:hint="eastAsia"/>
          <w:color w:val="auto"/>
          <w:sz w:val="21"/>
          <w:szCs w:val="21"/>
          <w:highlight w:val="none"/>
        </w:rPr>
        <w:t>41.1开标由招标人主持；</w:t>
      </w:r>
    </w:p>
    <w:p>
      <w:pPr>
        <w:spacing w:line="360" w:lineRule="auto"/>
        <w:ind w:firstLine="420" w:firstLineChars="200"/>
        <w:rPr>
          <w:color w:val="auto"/>
          <w:sz w:val="21"/>
          <w:szCs w:val="21"/>
          <w:highlight w:val="none"/>
        </w:rPr>
      </w:pPr>
      <w:r>
        <w:rPr>
          <w:rFonts w:hint="eastAsia"/>
          <w:color w:val="auto"/>
          <w:sz w:val="21"/>
          <w:szCs w:val="21"/>
          <w:highlight w:val="none"/>
        </w:rPr>
        <w:t>41.2细则</w:t>
      </w:r>
    </w:p>
    <w:p>
      <w:pPr>
        <w:spacing w:line="360" w:lineRule="auto"/>
        <w:ind w:firstLine="420" w:firstLineChars="200"/>
        <w:rPr>
          <w:color w:val="auto"/>
          <w:sz w:val="21"/>
          <w:szCs w:val="21"/>
          <w:highlight w:val="none"/>
        </w:rPr>
      </w:pPr>
      <w:r>
        <w:rPr>
          <w:rFonts w:hint="eastAsia"/>
          <w:color w:val="auto"/>
          <w:sz w:val="21"/>
          <w:szCs w:val="21"/>
          <w:highlight w:val="none"/>
        </w:rPr>
        <w:t>41.2.1投标截止期前，各投标人递交投标文件（包括技术标投标文件、经济标投标文件）至</w:t>
      </w:r>
      <w:r>
        <w:rPr>
          <w:color w:val="auto"/>
          <w:sz w:val="21"/>
          <w:szCs w:val="21"/>
          <w:highlight w:val="none"/>
          <w:u w:val="single"/>
        </w:rPr>
        <w:t xml:space="preserve">        </w:t>
      </w:r>
      <w:r>
        <w:rPr>
          <w:rFonts w:hint="eastAsia"/>
          <w:color w:val="auto"/>
          <w:sz w:val="21"/>
          <w:szCs w:val="21"/>
          <w:highlight w:val="none"/>
        </w:rPr>
        <w:t xml:space="preserve">交易平台。有关投标文件提交的事项详见第一章投标须知。 </w:t>
      </w:r>
    </w:p>
    <w:p>
      <w:pPr>
        <w:spacing w:line="360" w:lineRule="auto"/>
        <w:ind w:firstLine="420" w:firstLineChars="200"/>
        <w:rPr>
          <w:color w:val="auto"/>
          <w:sz w:val="21"/>
          <w:szCs w:val="21"/>
          <w:highlight w:val="none"/>
        </w:rPr>
      </w:pPr>
      <w:r>
        <w:rPr>
          <w:rFonts w:hint="eastAsia"/>
          <w:color w:val="auto"/>
          <w:sz w:val="21"/>
          <w:szCs w:val="21"/>
          <w:highlight w:val="none"/>
        </w:rPr>
        <w:t>41.2.2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spacing w:line="360" w:lineRule="auto"/>
        <w:ind w:firstLine="420" w:firstLineChars="200"/>
        <w:rPr>
          <w:color w:val="auto"/>
          <w:sz w:val="21"/>
          <w:szCs w:val="21"/>
          <w:highlight w:val="none"/>
        </w:rPr>
      </w:pPr>
      <w:r>
        <w:rPr>
          <w:rFonts w:hint="eastAsia"/>
          <w:color w:val="auto"/>
          <w:sz w:val="21"/>
          <w:szCs w:val="21"/>
          <w:highlight w:val="none"/>
        </w:rPr>
        <w:t xml:space="preserve">41.3按36.5.1的规定完成解密后，公布下列内容，并予以记录，记录提交评标委员会评审： </w:t>
      </w:r>
    </w:p>
    <w:p>
      <w:pPr>
        <w:spacing w:line="360" w:lineRule="auto"/>
        <w:ind w:firstLine="420" w:firstLineChars="200"/>
        <w:rPr>
          <w:color w:val="auto"/>
          <w:sz w:val="21"/>
          <w:szCs w:val="21"/>
          <w:highlight w:val="none"/>
        </w:rPr>
      </w:pPr>
      <w:r>
        <w:rPr>
          <w:rFonts w:hint="eastAsia"/>
          <w:color w:val="auto"/>
          <w:sz w:val="21"/>
          <w:szCs w:val="21"/>
          <w:highlight w:val="none"/>
        </w:rPr>
        <w:t>41.3.1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pPr>
        <w:spacing w:line="360" w:lineRule="auto"/>
        <w:ind w:firstLine="420" w:firstLineChars="200"/>
        <w:rPr>
          <w:color w:val="auto"/>
          <w:sz w:val="21"/>
          <w:szCs w:val="21"/>
          <w:highlight w:val="none"/>
        </w:rPr>
      </w:pPr>
      <w:r>
        <w:rPr>
          <w:rFonts w:hint="eastAsia"/>
          <w:color w:val="auto"/>
          <w:sz w:val="21"/>
          <w:szCs w:val="21"/>
          <w:highlight w:val="none"/>
        </w:rPr>
        <w:t>41.4招标人对开标过程进行记录，并存档备查，投标人在开标记录上签字。</w:t>
      </w:r>
    </w:p>
    <w:p>
      <w:pPr>
        <w:spacing w:line="360" w:lineRule="auto"/>
        <w:ind w:firstLine="420" w:firstLineChars="200"/>
        <w:rPr>
          <w:color w:val="auto"/>
          <w:sz w:val="21"/>
          <w:szCs w:val="21"/>
          <w:highlight w:val="none"/>
        </w:rPr>
      </w:pPr>
      <w:r>
        <w:rPr>
          <w:rFonts w:hint="eastAsia"/>
          <w:color w:val="auto"/>
          <w:sz w:val="21"/>
          <w:szCs w:val="21"/>
          <w:highlight w:val="none"/>
        </w:rPr>
        <w:t>41.5 招标人将上述符合要求的投标文件，送至评标委员会进行评审。</w:t>
      </w:r>
    </w:p>
    <w:p>
      <w:pPr>
        <w:spacing w:line="360" w:lineRule="auto"/>
        <w:ind w:firstLine="420" w:firstLineChars="200"/>
        <w:rPr>
          <w:color w:val="auto"/>
          <w:sz w:val="21"/>
          <w:szCs w:val="21"/>
          <w:highlight w:val="none"/>
        </w:rPr>
      </w:pPr>
      <w:r>
        <w:rPr>
          <w:color w:val="auto"/>
          <w:sz w:val="21"/>
          <w:szCs w:val="21"/>
          <w:highlight w:val="none"/>
        </w:rPr>
        <w:t xml:space="preserve">42. </w:t>
      </w:r>
      <w:r>
        <w:rPr>
          <w:rFonts w:hint="eastAsia"/>
          <w:color w:val="auto"/>
          <w:sz w:val="21"/>
          <w:szCs w:val="21"/>
          <w:highlight w:val="none"/>
        </w:rPr>
        <w:t>评标细则</w:t>
      </w:r>
    </w:p>
    <w:p>
      <w:pPr>
        <w:spacing w:line="360" w:lineRule="auto"/>
        <w:ind w:firstLine="420" w:firstLineChars="200"/>
        <w:rPr>
          <w:color w:val="auto"/>
          <w:sz w:val="21"/>
          <w:szCs w:val="21"/>
          <w:highlight w:val="none"/>
        </w:rPr>
      </w:pPr>
      <w:r>
        <w:rPr>
          <w:rFonts w:hint="eastAsia"/>
          <w:color w:val="auto"/>
          <w:sz w:val="21"/>
          <w:szCs w:val="21"/>
          <w:highlight w:val="none"/>
        </w:rPr>
        <w:t>42.1评标委员会的组成：方式</w:t>
      </w:r>
      <w:r>
        <w:rPr>
          <w:rFonts w:hint="eastAsia"/>
          <w:color w:val="auto"/>
          <w:sz w:val="21"/>
          <w:szCs w:val="21"/>
          <w:highlight w:val="none"/>
          <w:u w:val="single"/>
        </w:rPr>
        <w:t xml:space="preserve">      </w:t>
      </w:r>
      <w:r>
        <w:rPr>
          <w:rFonts w:hint="eastAsia"/>
          <w:color w:val="auto"/>
          <w:sz w:val="21"/>
          <w:szCs w:val="21"/>
          <w:highlight w:val="none"/>
        </w:rPr>
        <w:t>。</w:t>
      </w:r>
    </w:p>
    <w:p>
      <w:pPr>
        <w:spacing w:line="360" w:lineRule="auto"/>
        <w:ind w:firstLine="420" w:firstLineChars="200"/>
        <w:rPr>
          <w:color w:val="auto"/>
          <w:sz w:val="21"/>
          <w:szCs w:val="21"/>
          <w:highlight w:val="none"/>
        </w:rPr>
      </w:pPr>
      <w:r>
        <w:rPr>
          <w:rFonts w:hint="eastAsia"/>
          <w:color w:val="auto"/>
          <w:sz w:val="21"/>
          <w:szCs w:val="21"/>
          <w:highlight w:val="none"/>
        </w:rPr>
        <w:t>方式一：评标委员会为综合评标委员会，负责评标工作。</w:t>
      </w:r>
    </w:p>
    <w:p>
      <w:pPr>
        <w:widowControl/>
        <w:spacing w:line="360" w:lineRule="auto"/>
        <w:ind w:firstLine="420" w:firstLineChars="200"/>
        <w:jc w:val="left"/>
        <w:rPr>
          <w:rFonts w:cs="宋体"/>
          <w:color w:val="auto"/>
          <w:kern w:val="0"/>
          <w:sz w:val="21"/>
          <w:szCs w:val="21"/>
          <w:highlight w:val="none"/>
        </w:rPr>
      </w:pPr>
      <w:r>
        <w:rPr>
          <w:rFonts w:hint="eastAsia"/>
          <w:color w:val="auto"/>
          <w:sz w:val="21"/>
          <w:szCs w:val="21"/>
          <w:highlight w:val="none"/>
        </w:rPr>
        <w:t>方式二：评标委员会由技术评审组和经济评审组组成。其中：资格审查、技术评审由技术评标组负责，经济评审由经济评审组负责。</w:t>
      </w:r>
      <w:r>
        <w:rPr>
          <w:rFonts w:hint="eastAsia" w:cs="宋体"/>
          <w:color w:val="auto"/>
          <w:kern w:val="0"/>
          <w:sz w:val="21"/>
          <w:szCs w:val="21"/>
          <w:highlight w:val="none"/>
        </w:rPr>
        <w:t xml:space="preserve"> </w:t>
      </w:r>
    </w:p>
    <w:p>
      <w:pPr>
        <w:pStyle w:val="23"/>
        <w:tabs>
          <w:tab w:val="left" w:pos="7380"/>
        </w:tabs>
        <w:snapToGrid w:val="0"/>
        <w:spacing w:after="0" w:line="360" w:lineRule="auto"/>
        <w:ind w:firstLine="420" w:firstLineChars="200"/>
        <w:rPr>
          <w:rFonts w:ascii="宋体"/>
          <w:color w:val="auto"/>
          <w:sz w:val="21"/>
          <w:szCs w:val="21"/>
          <w:highlight w:val="none"/>
        </w:rPr>
      </w:pPr>
      <w:r>
        <w:rPr>
          <w:rFonts w:hint="eastAsia" w:ascii="宋体"/>
          <w:color w:val="auto"/>
          <w:sz w:val="21"/>
          <w:szCs w:val="21"/>
          <w:highlight w:val="none"/>
        </w:rPr>
        <w:t>42.2投标人资格审查</w:t>
      </w:r>
    </w:p>
    <w:p>
      <w:pPr>
        <w:pStyle w:val="23"/>
        <w:tabs>
          <w:tab w:val="left" w:pos="7380"/>
        </w:tabs>
        <w:snapToGrid w:val="0"/>
        <w:spacing w:after="0" w:line="360" w:lineRule="auto"/>
        <w:ind w:firstLine="420" w:firstLineChars="200"/>
        <w:rPr>
          <w:rFonts w:ascii="宋体"/>
          <w:color w:val="auto"/>
          <w:sz w:val="21"/>
          <w:szCs w:val="21"/>
          <w:highlight w:val="none"/>
        </w:rPr>
      </w:pPr>
      <w:r>
        <w:rPr>
          <w:rFonts w:hint="eastAsia" w:ascii="宋体"/>
          <w:color w:val="auto"/>
          <w:sz w:val="21"/>
          <w:szCs w:val="21"/>
          <w:highlight w:val="none"/>
        </w:rPr>
        <w:t>42.2.1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pPr>
        <w:pStyle w:val="23"/>
        <w:tabs>
          <w:tab w:val="left" w:pos="7380"/>
        </w:tabs>
        <w:snapToGrid w:val="0"/>
        <w:spacing w:after="0" w:line="360" w:lineRule="auto"/>
        <w:ind w:firstLine="420" w:firstLineChars="200"/>
        <w:rPr>
          <w:rFonts w:ascii="宋体"/>
          <w:color w:val="auto"/>
          <w:sz w:val="21"/>
          <w:szCs w:val="21"/>
          <w:highlight w:val="none"/>
        </w:rPr>
      </w:pPr>
      <w:r>
        <w:rPr>
          <w:rFonts w:hint="eastAsia" w:ascii="宋体"/>
          <w:color w:val="auto"/>
          <w:sz w:val="21"/>
          <w:szCs w:val="21"/>
          <w:highlight w:val="none"/>
        </w:rPr>
        <w:t>42.2.2汇总资格审查情况，编写资格审查报告。</w:t>
      </w:r>
    </w:p>
    <w:p>
      <w:pPr>
        <w:pStyle w:val="23"/>
        <w:tabs>
          <w:tab w:val="left" w:pos="7380"/>
        </w:tabs>
        <w:snapToGrid w:val="0"/>
        <w:spacing w:after="0" w:line="360" w:lineRule="auto"/>
        <w:ind w:firstLine="420" w:firstLineChars="200"/>
        <w:rPr>
          <w:rFonts w:ascii="宋体"/>
          <w:color w:val="auto"/>
          <w:sz w:val="21"/>
          <w:szCs w:val="21"/>
          <w:highlight w:val="none"/>
        </w:rPr>
      </w:pPr>
      <w:r>
        <w:rPr>
          <w:rFonts w:hint="eastAsia" w:ascii="宋体"/>
          <w:color w:val="auto"/>
          <w:sz w:val="21"/>
          <w:szCs w:val="21"/>
          <w:highlight w:val="none"/>
        </w:rPr>
        <w:t>42.2.3资格审查不合格的投标文件不参加下一阶段的评标，不参与评标参考价的计算。</w:t>
      </w:r>
    </w:p>
    <w:p>
      <w:pPr>
        <w:pStyle w:val="23"/>
        <w:tabs>
          <w:tab w:val="left" w:pos="7380"/>
        </w:tabs>
        <w:snapToGrid w:val="0"/>
        <w:spacing w:after="0" w:line="360" w:lineRule="auto"/>
        <w:ind w:firstLine="420" w:firstLineChars="200"/>
        <w:rPr>
          <w:rFonts w:ascii="宋体"/>
          <w:color w:val="auto"/>
          <w:sz w:val="21"/>
          <w:szCs w:val="21"/>
          <w:highlight w:val="none"/>
        </w:rPr>
      </w:pPr>
      <w:r>
        <w:rPr>
          <w:rFonts w:hint="eastAsia" w:ascii="宋体"/>
          <w:color w:val="auto"/>
          <w:sz w:val="21"/>
          <w:szCs w:val="21"/>
          <w:highlight w:val="none"/>
        </w:rPr>
        <w:t>42.2.4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23"/>
        <w:tabs>
          <w:tab w:val="left" w:pos="7380"/>
        </w:tabs>
        <w:snapToGrid w:val="0"/>
        <w:spacing w:after="0" w:line="360" w:lineRule="auto"/>
        <w:ind w:firstLine="420" w:firstLineChars="200"/>
        <w:rPr>
          <w:rFonts w:ascii="宋体"/>
          <w:color w:val="auto"/>
          <w:sz w:val="21"/>
          <w:szCs w:val="21"/>
          <w:highlight w:val="none"/>
        </w:rPr>
      </w:pPr>
      <w:r>
        <w:rPr>
          <w:rFonts w:hint="eastAsia" w:ascii="宋体"/>
          <w:color w:val="auto"/>
          <w:sz w:val="21"/>
          <w:szCs w:val="21"/>
          <w:highlight w:val="none"/>
        </w:rPr>
        <w:t>42.2.5资审合格后，投标人的资格发生变化而不满足投标人合格条件，在发出中标通知书前，资格问题仍未解决的，招标人将取消其中标资格。</w:t>
      </w:r>
    </w:p>
    <w:p>
      <w:pPr>
        <w:widowControl/>
        <w:spacing w:line="360" w:lineRule="auto"/>
        <w:ind w:firstLine="420" w:firstLineChars="200"/>
        <w:jc w:val="left"/>
        <w:rPr>
          <w:rFonts w:cs="宋体"/>
          <w:color w:val="auto"/>
          <w:kern w:val="0"/>
          <w:sz w:val="21"/>
          <w:szCs w:val="21"/>
          <w:highlight w:val="none"/>
        </w:rPr>
      </w:pPr>
      <w:r>
        <w:rPr>
          <w:rFonts w:hint="eastAsia"/>
          <w:color w:val="auto"/>
          <w:sz w:val="21"/>
          <w:szCs w:val="21"/>
          <w:highlight w:val="none"/>
        </w:rPr>
        <w:t>42.2.6资格审查合格的投标人少于3名的（当N个标段同时招标且不允许兼中时，资格审查合格的投标人少于N+2名），则本项目招标失败。</w:t>
      </w:r>
    </w:p>
    <w:p>
      <w:pPr>
        <w:spacing w:line="360" w:lineRule="auto"/>
        <w:ind w:firstLine="420" w:firstLineChars="200"/>
        <w:rPr>
          <w:color w:val="auto"/>
          <w:sz w:val="21"/>
          <w:szCs w:val="21"/>
          <w:highlight w:val="none"/>
        </w:rPr>
      </w:pPr>
      <w:r>
        <w:rPr>
          <w:rFonts w:hint="eastAsia"/>
          <w:color w:val="auto"/>
          <w:sz w:val="21"/>
          <w:szCs w:val="21"/>
          <w:highlight w:val="none"/>
        </w:rPr>
        <w:t>42.3 第一阶段评审</w:t>
      </w:r>
    </w:p>
    <w:p>
      <w:pPr>
        <w:spacing w:line="360" w:lineRule="auto"/>
        <w:ind w:firstLine="420" w:firstLineChars="200"/>
        <w:rPr>
          <w:color w:val="auto"/>
          <w:sz w:val="21"/>
          <w:szCs w:val="21"/>
          <w:highlight w:val="none"/>
        </w:rPr>
      </w:pPr>
      <w:r>
        <w:rPr>
          <w:color w:val="auto"/>
          <w:sz w:val="21"/>
          <w:szCs w:val="21"/>
          <w:highlight w:val="none"/>
        </w:rPr>
        <w:t>42.3</w:t>
      </w:r>
      <w:r>
        <w:rPr>
          <w:rFonts w:hint="eastAsia"/>
          <w:color w:val="auto"/>
          <w:sz w:val="21"/>
          <w:szCs w:val="21"/>
          <w:highlight w:val="none"/>
        </w:rPr>
        <w:t>.1技术标的有效性审查：投标文件中没有任一种列于本办法附表二《技术标有效性审查表》中情形的，为有效投标文件。否则其投标文件将被否决。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spacing w:line="360" w:lineRule="auto"/>
        <w:ind w:firstLine="420" w:firstLineChars="200"/>
        <w:rPr>
          <w:color w:val="auto"/>
          <w:sz w:val="21"/>
          <w:szCs w:val="21"/>
          <w:highlight w:val="none"/>
        </w:rPr>
      </w:pPr>
      <w:r>
        <w:rPr>
          <w:rFonts w:hint="eastAsia"/>
          <w:color w:val="auto"/>
          <w:sz w:val="21"/>
          <w:szCs w:val="21"/>
          <w:highlight w:val="none"/>
        </w:rPr>
        <w:t>42.3.2</w:t>
      </w:r>
      <w:r>
        <w:rPr>
          <w:rFonts w:hint="eastAsia"/>
          <w:color w:val="auto"/>
          <w:sz w:val="21"/>
          <w:szCs w:val="21"/>
          <w:highlight w:val="none"/>
          <w:u w:val="single"/>
        </w:rPr>
        <w:t xml:space="preserve">     </w:t>
      </w:r>
      <w:r>
        <w:rPr>
          <w:rFonts w:hint="eastAsia"/>
          <w:color w:val="auto"/>
          <w:sz w:val="21"/>
          <w:szCs w:val="21"/>
          <w:highlight w:val="none"/>
        </w:rPr>
        <w:t>详细审查评分：评标委员会按照本办法附表</w:t>
      </w:r>
      <w:r>
        <w:rPr>
          <w:rFonts w:hint="eastAsia"/>
          <w:color w:val="auto"/>
          <w:sz w:val="21"/>
          <w:szCs w:val="21"/>
          <w:highlight w:val="none"/>
          <w:u w:val="single"/>
        </w:rPr>
        <w:t xml:space="preserve">    </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rPr>
        <w:t>详细审查评分表》对通过技术标有效性审查的投标文件进行详细审查，评出</w:t>
      </w:r>
      <w:r>
        <w:rPr>
          <w:rFonts w:hint="eastAsia"/>
          <w:color w:val="auto"/>
          <w:sz w:val="21"/>
          <w:szCs w:val="21"/>
          <w:highlight w:val="none"/>
          <w:u w:val="single"/>
        </w:rPr>
        <w:t xml:space="preserve">     </w:t>
      </w:r>
      <w:r>
        <w:rPr>
          <w:rFonts w:hint="eastAsia"/>
          <w:color w:val="auto"/>
          <w:sz w:val="21"/>
          <w:szCs w:val="21"/>
          <w:highlight w:val="none"/>
        </w:rPr>
        <w:t>得分。</w:t>
      </w:r>
    </w:p>
    <w:p>
      <w:pPr>
        <w:spacing w:line="360" w:lineRule="auto"/>
        <w:ind w:firstLine="420" w:firstLineChars="200"/>
        <w:rPr>
          <w:color w:val="auto"/>
          <w:sz w:val="21"/>
          <w:szCs w:val="21"/>
          <w:highlight w:val="none"/>
        </w:rPr>
      </w:pPr>
      <w:r>
        <w:rPr>
          <w:rFonts w:hint="eastAsia"/>
          <w:color w:val="auto"/>
          <w:sz w:val="21"/>
          <w:szCs w:val="21"/>
          <w:highlight w:val="none"/>
        </w:rPr>
        <w:t>42.3.4评标委员会按照“第一阶段得分=</w:t>
      </w:r>
      <w:r>
        <w:rPr>
          <w:rFonts w:hint="eastAsia"/>
          <w:color w:val="auto"/>
          <w:sz w:val="21"/>
          <w:szCs w:val="21"/>
          <w:highlight w:val="none"/>
          <w:u w:val="single"/>
        </w:rPr>
        <w:t xml:space="preserve">               </w:t>
      </w:r>
      <w:r>
        <w:rPr>
          <w:rFonts w:hint="eastAsia"/>
          <w:color w:val="auto"/>
          <w:sz w:val="21"/>
          <w:szCs w:val="21"/>
          <w:highlight w:val="none"/>
        </w:rPr>
        <w:t>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p>
    <w:p>
      <w:pPr>
        <w:spacing w:line="360" w:lineRule="auto"/>
        <w:ind w:firstLine="420" w:firstLineChars="200"/>
        <w:rPr>
          <w:color w:val="auto"/>
          <w:sz w:val="21"/>
          <w:szCs w:val="21"/>
          <w:highlight w:val="none"/>
        </w:rPr>
      </w:pPr>
      <w:r>
        <w:rPr>
          <w:rFonts w:hint="eastAsia"/>
          <w:color w:val="auto"/>
          <w:sz w:val="21"/>
          <w:szCs w:val="21"/>
          <w:highlight w:val="none"/>
        </w:rPr>
        <w:t>42.3.5招标人应在《投标须知前附表》中明确选择使用施工企业总排名或相应的施工专业承包排名计分。</w:t>
      </w:r>
    </w:p>
    <w:p>
      <w:pPr>
        <w:spacing w:line="360" w:lineRule="auto"/>
        <w:ind w:firstLine="420" w:firstLineChars="200"/>
        <w:rPr>
          <w:color w:val="auto"/>
          <w:sz w:val="21"/>
          <w:szCs w:val="21"/>
          <w:highlight w:val="none"/>
        </w:rPr>
      </w:pPr>
      <w:r>
        <w:rPr>
          <w:color w:val="auto"/>
          <w:sz w:val="21"/>
          <w:szCs w:val="21"/>
          <w:highlight w:val="none"/>
        </w:rPr>
        <w:t>42.4</w:t>
      </w:r>
      <w:r>
        <w:rPr>
          <w:rFonts w:hint="eastAsia"/>
          <w:color w:val="auto"/>
          <w:sz w:val="21"/>
          <w:szCs w:val="21"/>
          <w:highlight w:val="none"/>
        </w:rPr>
        <w:t xml:space="preserve"> 第二阶段评审</w:t>
      </w:r>
    </w:p>
    <w:p>
      <w:pPr>
        <w:spacing w:line="360" w:lineRule="auto"/>
        <w:ind w:firstLine="420" w:firstLineChars="200"/>
        <w:rPr>
          <w:color w:val="auto"/>
          <w:sz w:val="21"/>
          <w:szCs w:val="21"/>
          <w:highlight w:val="none"/>
        </w:rPr>
      </w:pPr>
      <w:r>
        <w:rPr>
          <w:color w:val="auto"/>
          <w:sz w:val="21"/>
          <w:szCs w:val="21"/>
          <w:highlight w:val="none"/>
        </w:rPr>
        <w:t>42.4.1</w:t>
      </w:r>
      <w:r>
        <w:rPr>
          <w:rFonts w:hint="eastAsia"/>
          <w:color w:val="auto"/>
          <w:sz w:val="21"/>
          <w:szCs w:val="21"/>
          <w:highlight w:val="none"/>
        </w:rPr>
        <w:t>按照投标须知前附表第25项规定，确定进入第二阶段评审的投标人。若在进入第二阶段的最后名次发生并列的，则所有并列的投标人均进入第二阶段。</w:t>
      </w:r>
    </w:p>
    <w:p>
      <w:pPr>
        <w:spacing w:line="360" w:lineRule="auto"/>
        <w:ind w:firstLine="420" w:firstLineChars="200"/>
        <w:rPr>
          <w:color w:val="auto"/>
          <w:sz w:val="21"/>
          <w:szCs w:val="21"/>
          <w:highlight w:val="none"/>
        </w:rPr>
      </w:pPr>
      <w:r>
        <w:rPr>
          <w:rFonts w:hint="eastAsia"/>
          <w:color w:val="auto"/>
          <w:sz w:val="21"/>
          <w:szCs w:val="21"/>
          <w:highlight w:val="none"/>
        </w:rPr>
        <w:t>42.4.2若进入第二阶段投标人中所有投标报价均大于等于最高投标限价，则本项目招标失败，由招标人依法重新招标。</w:t>
      </w:r>
    </w:p>
    <w:p>
      <w:pPr>
        <w:spacing w:line="360" w:lineRule="auto"/>
        <w:ind w:firstLine="420" w:firstLineChars="200"/>
        <w:rPr>
          <w:color w:val="auto"/>
          <w:sz w:val="21"/>
          <w:szCs w:val="21"/>
          <w:highlight w:val="none"/>
        </w:rPr>
      </w:pPr>
      <w:r>
        <w:rPr>
          <w:rFonts w:hint="eastAsia"/>
          <w:color w:val="auto"/>
          <w:sz w:val="21"/>
          <w:szCs w:val="21"/>
          <w:highlight w:val="none"/>
        </w:rPr>
        <w:t>42.4.3投标文件经济标的评分</w:t>
      </w:r>
    </w:p>
    <w:p>
      <w:pPr>
        <w:spacing w:line="360" w:lineRule="auto"/>
        <w:ind w:firstLine="420" w:firstLineChars="200"/>
        <w:rPr>
          <w:color w:val="auto"/>
          <w:sz w:val="21"/>
          <w:szCs w:val="21"/>
          <w:highlight w:val="none"/>
        </w:rPr>
      </w:pPr>
      <w:r>
        <w:rPr>
          <w:rFonts w:hint="eastAsia"/>
          <w:color w:val="auto"/>
          <w:sz w:val="21"/>
          <w:szCs w:val="21"/>
          <w:highlight w:val="none"/>
        </w:rPr>
        <w:t>42.4.3.1按方法</w:t>
      </w:r>
      <w:r>
        <w:rPr>
          <w:rFonts w:hint="eastAsia"/>
          <w:color w:val="auto"/>
          <w:sz w:val="21"/>
          <w:szCs w:val="21"/>
          <w:highlight w:val="none"/>
          <w:u w:val="single"/>
        </w:rPr>
        <w:t xml:space="preserve">    </w:t>
      </w:r>
      <w:r>
        <w:rPr>
          <w:rFonts w:hint="eastAsia"/>
          <w:color w:val="auto"/>
          <w:sz w:val="21"/>
          <w:szCs w:val="21"/>
          <w:highlight w:val="none"/>
        </w:rPr>
        <w:t>计算评标参考价：</w:t>
      </w:r>
    </w:p>
    <w:p>
      <w:pPr>
        <w:widowControl/>
        <w:spacing w:line="360" w:lineRule="auto"/>
        <w:ind w:firstLine="422" w:firstLineChars="200"/>
        <w:rPr>
          <w:b/>
          <w:bCs/>
          <w:color w:val="auto"/>
          <w:kern w:val="0"/>
          <w:sz w:val="21"/>
          <w:szCs w:val="21"/>
          <w:highlight w:val="none"/>
        </w:rPr>
      </w:pPr>
      <w:r>
        <w:rPr>
          <w:rFonts w:hint="eastAsia" w:cs="仿宋"/>
          <w:b/>
          <w:bCs/>
          <w:color w:val="auto"/>
          <w:kern w:val="0"/>
          <w:sz w:val="21"/>
          <w:szCs w:val="21"/>
          <w:highlight w:val="none"/>
        </w:rPr>
        <w:t>方法一：加权平均法</w:t>
      </w:r>
    </w:p>
    <w:p>
      <w:pPr>
        <w:spacing w:line="360" w:lineRule="auto"/>
        <w:ind w:firstLine="420" w:firstLineChars="200"/>
        <w:rPr>
          <w:rFonts w:cs="仿宋"/>
          <w:color w:val="auto"/>
          <w:sz w:val="21"/>
          <w:szCs w:val="21"/>
          <w:highlight w:val="none"/>
        </w:rPr>
      </w:pPr>
      <w:r>
        <w:rPr>
          <w:rFonts w:hint="eastAsia" w:cs="仿宋"/>
          <w:color w:val="auto"/>
          <w:sz w:val="21"/>
          <w:szCs w:val="21"/>
          <w:highlight w:val="none"/>
        </w:rPr>
        <w:t>技术标或技术标加诚信得分或第一阶段入围得分（具体由招标人自定）前</w:t>
      </w:r>
      <w:r>
        <w:rPr>
          <w:rFonts w:cs="仿宋"/>
          <w:color w:val="auto"/>
          <w:sz w:val="21"/>
          <w:szCs w:val="21"/>
          <w:highlight w:val="none"/>
        </w:rPr>
        <w:t>N</w:t>
      </w:r>
      <w:r>
        <w:rPr>
          <w:rFonts w:hint="eastAsia" w:cs="仿宋"/>
          <w:color w:val="auto"/>
          <w:sz w:val="21"/>
          <w:szCs w:val="21"/>
          <w:highlight w:val="none"/>
        </w:rPr>
        <w:t>名（N≥5，具体由招标人自定）的经济报价加权平均，计算评标参考价。公式如下：</w:t>
      </w:r>
    </w:p>
    <w:p>
      <w:pPr>
        <w:spacing w:line="360" w:lineRule="auto"/>
        <w:ind w:firstLine="420" w:firstLineChars="200"/>
        <w:rPr>
          <w:rFonts w:cs="仿宋"/>
          <w:color w:val="auto"/>
          <w:sz w:val="21"/>
          <w:szCs w:val="21"/>
          <w:highlight w:val="none"/>
        </w:rPr>
      </w:pPr>
      <w:r>
        <w:rPr>
          <w:rFonts w:hint="eastAsia" w:cs="仿宋"/>
          <w:color w:val="auto"/>
          <w:sz w:val="21"/>
          <w:szCs w:val="21"/>
          <w:highlight w:val="none"/>
        </w:rPr>
        <w:t>评标参考价</w:t>
      </w:r>
      <w:r>
        <w:rPr>
          <w:rFonts w:cs="仿宋"/>
          <w:color w:val="auto"/>
          <w:sz w:val="21"/>
          <w:szCs w:val="21"/>
          <w:highlight w:val="none"/>
        </w:rPr>
        <w:t>=</w:t>
      </w:r>
      <w:r>
        <w:rPr>
          <w:rFonts w:hint="eastAsia" w:cs="仿宋"/>
          <w:color w:val="auto"/>
          <w:sz w:val="21"/>
          <w:szCs w:val="21"/>
          <w:highlight w:val="none"/>
        </w:rPr>
        <w:t>Σ（投标人的投标报价</w:t>
      </w:r>
      <w:r>
        <w:rPr>
          <w:rFonts w:cs="仿宋"/>
          <w:color w:val="auto"/>
          <w:sz w:val="21"/>
          <w:szCs w:val="21"/>
          <w:highlight w:val="none"/>
        </w:rPr>
        <w:t>*</w:t>
      </w:r>
      <w:r>
        <w:rPr>
          <w:rFonts w:hint="eastAsia" w:cs="仿宋"/>
          <w:color w:val="auto"/>
          <w:sz w:val="21"/>
          <w:szCs w:val="21"/>
          <w:highlight w:val="none"/>
        </w:rPr>
        <w:t>报价权重）。</w:t>
      </w:r>
    </w:p>
    <w:p>
      <w:pPr>
        <w:spacing w:line="360" w:lineRule="auto"/>
        <w:ind w:firstLine="420" w:firstLineChars="200"/>
        <w:rPr>
          <w:rFonts w:cs="仿宋"/>
          <w:color w:val="auto"/>
          <w:sz w:val="21"/>
          <w:szCs w:val="21"/>
          <w:highlight w:val="none"/>
        </w:rPr>
      </w:pPr>
      <w:r>
        <w:rPr>
          <w:rFonts w:hint="eastAsia" w:cs="仿宋"/>
          <w:color w:val="auto"/>
          <w:sz w:val="21"/>
          <w:szCs w:val="21"/>
          <w:highlight w:val="none"/>
        </w:rPr>
        <w:t>其中：报价权重的计算方法为：将</w:t>
      </w:r>
      <w:r>
        <w:rPr>
          <w:rFonts w:cs="仿宋"/>
          <w:color w:val="auto"/>
          <w:sz w:val="21"/>
          <w:szCs w:val="21"/>
          <w:highlight w:val="none"/>
        </w:rPr>
        <w:t>N</w:t>
      </w:r>
      <w:r>
        <w:rPr>
          <w:rFonts w:hint="eastAsia" w:cs="仿宋"/>
          <w:color w:val="auto"/>
          <w:sz w:val="21"/>
          <w:szCs w:val="21"/>
          <w:highlight w:val="none"/>
        </w:rPr>
        <w:t>名投标人按技术分由高至低进行排序，第一名投标人的权重为（</w:t>
      </w:r>
      <w:r>
        <w:rPr>
          <w:rFonts w:cs="仿宋"/>
          <w:color w:val="auto"/>
          <w:sz w:val="21"/>
          <w:szCs w:val="21"/>
          <w:highlight w:val="none"/>
        </w:rPr>
        <w:fldChar w:fldCharType="begin"/>
      </w:r>
      <w:r>
        <w:rPr>
          <w:rFonts w:cs="仿宋"/>
          <w:color w:val="auto"/>
          <w:sz w:val="21"/>
          <w:szCs w:val="21"/>
          <w:highlight w:val="none"/>
        </w:rPr>
        <w:instrText xml:space="preserve"> QUOTE </w:instrText>
      </w:r>
      <w:r>
        <w:rPr>
          <w:color w:val="auto"/>
          <w:sz w:val="21"/>
          <w:szCs w:val="21"/>
          <w:highlight w:val="none"/>
        </w:rPr>
        <w:drawing>
          <wp:inline distT="0" distB="0" distL="0" distR="0">
            <wp:extent cx="381000" cy="447675"/>
            <wp:effectExtent l="0" t="0" r="0" b="8890"/>
            <wp:docPr id="1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cs="仿宋"/>
          <w:color w:val="auto"/>
          <w:sz w:val="21"/>
          <w:szCs w:val="21"/>
          <w:highlight w:val="none"/>
        </w:rPr>
        <w:fldChar w:fldCharType="separate"/>
      </w:r>
      <w:r>
        <w:rPr>
          <w:color w:val="auto"/>
          <w:sz w:val="21"/>
          <w:szCs w:val="21"/>
          <w:highlight w:val="none"/>
        </w:rPr>
        <w:drawing>
          <wp:inline distT="0" distB="0" distL="0" distR="0">
            <wp:extent cx="381000" cy="447675"/>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cs="仿宋"/>
          <w:color w:val="auto"/>
          <w:sz w:val="21"/>
          <w:szCs w:val="21"/>
          <w:highlight w:val="none"/>
        </w:rPr>
        <w:fldChar w:fldCharType="end"/>
      </w:r>
      <w:r>
        <w:rPr>
          <w:rFonts w:hint="eastAsia" w:cs="仿宋"/>
          <w:color w:val="auto"/>
          <w:sz w:val="21"/>
          <w:szCs w:val="21"/>
          <w:highlight w:val="none"/>
        </w:rPr>
        <w:t>），第二名投标人的权重为（</w:t>
      </w:r>
      <w:r>
        <w:rPr>
          <w:rFonts w:cs="仿宋"/>
          <w:color w:val="auto"/>
          <w:sz w:val="21"/>
          <w:szCs w:val="21"/>
          <w:highlight w:val="none"/>
        </w:rPr>
        <w:fldChar w:fldCharType="begin"/>
      </w:r>
      <w:r>
        <w:rPr>
          <w:rFonts w:cs="仿宋"/>
          <w:color w:val="auto"/>
          <w:sz w:val="21"/>
          <w:szCs w:val="21"/>
          <w:highlight w:val="none"/>
        </w:rPr>
        <w:instrText xml:space="preserve"> QUOTE </w:instrText>
      </w:r>
      <w:r>
        <w:rPr>
          <w:color w:val="auto"/>
          <w:position w:val="-23"/>
          <w:sz w:val="21"/>
          <w:szCs w:val="21"/>
          <w:highlight w:val="none"/>
        </w:rPr>
        <w:drawing>
          <wp:inline distT="0" distB="0" distL="0" distR="0">
            <wp:extent cx="323850" cy="400050"/>
            <wp:effectExtent l="0" t="0" r="0" b="0"/>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cs="仿宋"/>
          <w:color w:val="auto"/>
          <w:sz w:val="21"/>
          <w:szCs w:val="21"/>
          <w:highlight w:val="none"/>
        </w:rPr>
        <w:fldChar w:fldCharType="separate"/>
      </w:r>
      <w:r>
        <w:rPr>
          <w:color w:val="auto"/>
          <w:position w:val="-23"/>
          <w:sz w:val="21"/>
          <w:szCs w:val="21"/>
          <w:highlight w:val="none"/>
        </w:rPr>
        <w:drawing>
          <wp:inline distT="0" distB="0" distL="0" distR="0">
            <wp:extent cx="323850" cy="400050"/>
            <wp:effectExtent l="0" t="0" r="0" b="0"/>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cs="仿宋"/>
          <w:color w:val="auto"/>
          <w:sz w:val="21"/>
          <w:szCs w:val="21"/>
          <w:highlight w:val="none"/>
        </w:rPr>
        <w:fldChar w:fldCharType="end"/>
      </w:r>
      <w:r>
        <w:rPr>
          <w:rFonts w:hint="eastAsia" w:cs="仿宋"/>
          <w:color w:val="auto"/>
          <w:sz w:val="21"/>
          <w:szCs w:val="21"/>
          <w:highlight w:val="none"/>
        </w:rPr>
        <w:t>），以此类推，最后一名投标人的权重为（</w:t>
      </w:r>
      <w:r>
        <w:rPr>
          <w:rFonts w:cs="仿宋"/>
          <w:color w:val="auto"/>
          <w:sz w:val="21"/>
          <w:szCs w:val="21"/>
          <w:highlight w:val="none"/>
        </w:rPr>
        <w:fldChar w:fldCharType="begin"/>
      </w:r>
      <w:r>
        <w:rPr>
          <w:rFonts w:cs="仿宋"/>
          <w:color w:val="auto"/>
          <w:sz w:val="21"/>
          <w:szCs w:val="21"/>
          <w:highlight w:val="none"/>
        </w:rPr>
        <w:instrText xml:space="preserve"> QUOTE </w:instrText>
      </w:r>
      <w:r>
        <w:rPr>
          <w:color w:val="auto"/>
          <w:position w:val="-23"/>
          <w:sz w:val="21"/>
          <w:szCs w:val="21"/>
          <w:highlight w:val="none"/>
        </w:rPr>
        <w:drawing>
          <wp:inline distT="0" distB="0" distL="0" distR="0">
            <wp:extent cx="323850" cy="400050"/>
            <wp:effectExtent l="0" t="0" r="0" b="0"/>
            <wp:docPr id="2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8"/>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cs="仿宋"/>
          <w:color w:val="auto"/>
          <w:sz w:val="21"/>
          <w:szCs w:val="21"/>
          <w:highlight w:val="none"/>
        </w:rPr>
        <w:fldChar w:fldCharType="separate"/>
      </w:r>
      <w:r>
        <w:rPr>
          <w:color w:val="auto"/>
          <w:position w:val="-23"/>
          <w:sz w:val="21"/>
          <w:szCs w:val="21"/>
          <w:highlight w:val="none"/>
        </w:rPr>
        <w:drawing>
          <wp:inline distT="0" distB="0" distL="0" distR="0">
            <wp:extent cx="323850" cy="400050"/>
            <wp:effectExtent l="0" t="0" r="0" b="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cs="仿宋"/>
          <w:color w:val="auto"/>
          <w:sz w:val="21"/>
          <w:szCs w:val="21"/>
          <w:highlight w:val="none"/>
        </w:rPr>
        <w:fldChar w:fldCharType="end"/>
      </w:r>
      <w:r>
        <w:rPr>
          <w:rFonts w:hint="eastAsia" w:cs="仿宋"/>
          <w:color w:val="auto"/>
          <w:sz w:val="21"/>
          <w:szCs w:val="21"/>
          <w:highlight w:val="none"/>
        </w:rPr>
        <w:t>）。</w:t>
      </w:r>
    </w:p>
    <w:p>
      <w:pPr>
        <w:widowControl/>
        <w:spacing w:line="360" w:lineRule="auto"/>
        <w:ind w:firstLine="422" w:firstLineChars="200"/>
        <w:rPr>
          <w:b/>
          <w:bCs/>
          <w:color w:val="auto"/>
          <w:kern w:val="0"/>
          <w:sz w:val="21"/>
          <w:szCs w:val="21"/>
          <w:highlight w:val="none"/>
        </w:rPr>
      </w:pPr>
      <w:r>
        <w:rPr>
          <w:rFonts w:hint="eastAsia" w:cs="仿宋"/>
          <w:b/>
          <w:bCs/>
          <w:color w:val="auto"/>
          <w:kern w:val="0"/>
          <w:sz w:val="21"/>
          <w:szCs w:val="21"/>
          <w:highlight w:val="none"/>
        </w:rPr>
        <w:t>方法二：区间抽取法</w:t>
      </w:r>
    </w:p>
    <w:p>
      <w:pPr>
        <w:widowControl/>
        <w:snapToGrid w:val="0"/>
        <w:spacing w:line="360" w:lineRule="auto"/>
        <w:ind w:firstLine="420" w:firstLineChars="200"/>
        <w:rPr>
          <w:color w:val="auto"/>
          <w:kern w:val="0"/>
          <w:sz w:val="21"/>
          <w:szCs w:val="21"/>
          <w:highlight w:val="none"/>
        </w:rPr>
      </w:pPr>
      <w:r>
        <w:rPr>
          <w:rFonts w:hint="eastAsia" w:cs="仿宋"/>
          <w:color w:val="auto"/>
          <w:sz w:val="21"/>
          <w:szCs w:val="21"/>
          <w:highlight w:val="none"/>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20" w:firstLineChars="200"/>
        <w:rPr>
          <w:color w:val="auto"/>
          <w:kern w:val="0"/>
          <w:sz w:val="21"/>
          <w:szCs w:val="21"/>
          <w:highlight w:val="none"/>
          <w:vertAlign w:val="subscript"/>
        </w:rPr>
      </w:pPr>
      <w:r>
        <w:rPr>
          <w:rFonts w:hint="eastAsia" w:cs="仿宋"/>
          <w:color w:val="auto"/>
          <w:kern w:val="0"/>
          <w:sz w:val="21"/>
          <w:szCs w:val="21"/>
          <w:highlight w:val="none"/>
        </w:rPr>
        <w:t>评标参考价</w:t>
      </w:r>
      <w:r>
        <w:rPr>
          <w:rFonts w:cs="仿宋"/>
          <w:color w:val="auto"/>
          <w:kern w:val="0"/>
          <w:sz w:val="21"/>
          <w:szCs w:val="21"/>
          <w:highlight w:val="none"/>
        </w:rPr>
        <w:t>=</w:t>
      </w:r>
      <w:r>
        <w:rPr>
          <w:rFonts w:hint="eastAsia" w:cs="仿宋"/>
          <w:color w:val="auto"/>
          <w:kern w:val="0"/>
          <w:sz w:val="21"/>
          <w:szCs w:val="21"/>
          <w:highlight w:val="none"/>
        </w:rPr>
        <w:t>（</w:t>
      </w:r>
      <w:r>
        <w:rPr>
          <w:rFonts w:cs="仿宋"/>
          <w:color w:val="auto"/>
          <w:kern w:val="0"/>
          <w:sz w:val="21"/>
          <w:szCs w:val="21"/>
          <w:highlight w:val="none"/>
        </w:rPr>
        <w:t>Q</w:t>
      </w:r>
      <w:r>
        <w:rPr>
          <w:rFonts w:hint="eastAsia" w:cs="仿宋"/>
          <w:color w:val="auto"/>
          <w:kern w:val="0"/>
          <w:sz w:val="21"/>
          <w:szCs w:val="21"/>
          <w:highlight w:val="none"/>
          <w:vertAlign w:val="subscript"/>
        </w:rPr>
        <w:t>高</w:t>
      </w:r>
      <w:r>
        <w:rPr>
          <w:rFonts w:cs="仿宋"/>
          <w:color w:val="auto"/>
          <w:kern w:val="0"/>
          <w:sz w:val="21"/>
          <w:szCs w:val="21"/>
          <w:highlight w:val="none"/>
        </w:rPr>
        <w:t>-Q</w:t>
      </w:r>
      <w:r>
        <w:rPr>
          <w:rFonts w:hint="eastAsia" w:cs="仿宋"/>
          <w:color w:val="auto"/>
          <w:kern w:val="0"/>
          <w:sz w:val="21"/>
          <w:szCs w:val="21"/>
          <w:highlight w:val="none"/>
          <w:vertAlign w:val="subscript"/>
        </w:rPr>
        <w:t>低</w:t>
      </w:r>
      <w:r>
        <w:rPr>
          <w:rFonts w:hint="eastAsia" w:cs="仿宋"/>
          <w:color w:val="auto"/>
          <w:kern w:val="0"/>
          <w:sz w:val="21"/>
          <w:szCs w:val="21"/>
          <w:highlight w:val="none"/>
        </w:rPr>
        <w:t>）</w:t>
      </w:r>
      <w:r>
        <w:rPr>
          <w:rFonts w:cs="仿宋"/>
          <w:color w:val="auto"/>
          <w:kern w:val="0"/>
          <w:sz w:val="21"/>
          <w:szCs w:val="21"/>
          <w:highlight w:val="none"/>
        </w:rPr>
        <w:t>/100*</w:t>
      </w:r>
      <w:r>
        <w:rPr>
          <w:rFonts w:hint="eastAsia" w:cs="仿宋"/>
          <w:color w:val="auto"/>
          <w:kern w:val="0"/>
          <w:sz w:val="21"/>
          <w:szCs w:val="21"/>
          <w:highlight w:val="none"/>
        </w:rPr>
        <w:t>Ｘ</w:t>
      </w:r>
      <w:r>
        <w:rPr>
          <w:rFonts w:cs="仿宋"/>
          <w:color w:val="auto"/>
          <w:kern w:val="0"/>
          <w:sz w:val="21"/>
          <w:szCs w:val="21"/>
          <w:highlight w:val="none"/>
        </w:rPr>
        <w:t>+Q</w:t>
      </w:r>
      <w:r>
        <w:rPr>
          <w:rFonts w:hint="eastAsia" w:cs="仿宋"/>
          <w:color w:val="auto"/>
          <w:kern w:val="0"/>
          <w:sz w:val="21"/>
          <w:szCs w:val="21"/>
          <w:highlight w:val="none"/>
          <w:vertAlign w:val="subscript"/>
        </w:rPr>
        <w:t>低</w:t>
      </w:r>
    </w:p>
    <w:p>
      <w:pPr>
        <w:widowControl/>
        <w:snapToGrid w:val="0"/>
        <w:spacing w:line="360" w:lineRule="auto"/>
        <w:ind w:firstLine="420" w:firstLineChars="200"/>
        <w:rPr>
          <w:color w:val="auto"/>
          <w:sz w:val="21"/>
          <w:szCs w:val="21"/>
          <w:highlight w:val="none"/>
        </w:rPr>
      </w:pPr>
      <w:r>
        <w:rPr>
          <w:rFonts w:cs="仿宋"/>
          <w:color w:val="auto"/>
          <w:sz w:val="21"/>
          <w:szCs w:val="21"/>
          <w:highlight w:val="none"/>
        </w:rPr>
        <w:t>Q</w:t>
      </w:r>
      <w:r>
        <w:rPr>
          <w:rFonts w:hint="eastAsia" w:cs="仿宋"/>
          <w:color w:val="auto"/>
          <w:sz w:val="21"/>
          <w:szCs w:val="21"/>
          <w:highlight w:val="none"/>
          <w:vertAlign w:val="subscript"/>
        </w:rPr>
        <w:t>低</w:t>
      </w:r>
      <w:r>
        <w:rPr>
          <w:rFonts w:hint="eastAsia" w:cs="仿宋"/>
          <w:color w:val="auto"/>
          <w:sz w:val="21"/>
          <w:szCs w:val="21"/>
          <w:highlight w:val="none"/>
        </w:rPr>
        <w:t>：为达到或超过技术标及格分数线的投标人最低报价与工程成本警示价两者中的较高值；</w:t>
      </w:r>
    </w:p>
    <w:p>
      <w:pPr>
        <w:spacing w:line="360" w:lineRule="auto"/>
        <w:ind w:firstLine="420" w:firstLineChars="200"/>
        <w:rPr>
          <w:rFonts w:cs="仿宋"/>
          <w:color w:val="auto"/>
          <w:sz w:val="21"/>
          <w:szCs w:val="21"/>
          <w:highlight w:val="none"/>
        </w:rPr>
      </w:pPr>
      <w:r>
        <w:rPr>
          <w:rFonts w:cs="仿宋"/>
          <w:color w:val="auto"/>
          <w:kern w:val="0"/>
          <w:sz w:val="21"/>
          <w:szCs w:val="21"/>
          <w:highlight w:val="none"/>
        </w:rPr>
        <w:t>Q</w:t>
      </w:r>
      <w:r>
        <w:rPr>
          <w:rFonts w:hint="eastAsia" w:cs="仿宋"/>
          <w:color w:val="auto"/>
          <w:kern w:val="0"/>
          <w:sz w:val="21"/>
          <w:szCs w:val="21"/>
          <w:highlight w:val="none"/>
          <w:vertAlign w:val="subscript"/>
        </w:rPr>
        <w:t>高</w:t>
      </w:r>
      <w:r>
        <w:rPr>
          <w:rFonts w:hint="eastAsia" w:cs="仿宋"/>
          <w:color w:val="auto"/>
          <w:sz w:val="21"/>
          <w:szCs w:val="21"/>
          <w:highlight w:val="none"/>
        </w:rPr>
        <w:t>：为最高投标限价</w:t>
      </w:r>
    </w:p>
    <w:p>
      <w:pPr>
        <w:spacing w:line="360" w:lineRule="auto"/>
        <w:ind w:firstLine="420" w:firstLineChars="200"/>
        <w:rPr>
          <w:color w:val="auto"/>
          <w:sz w:val="21"/>
          <w:szCs w:val="21"/>
          <w:highlight w:val="none"/>
        </w:rPr>
      </w:pPr>
      <w:r>
        <w:rPr>
          <w:rFonts w:hint="eastAsia" w:cs="仿宋"/>
          <w:color w:val="auto"/>
          <w:sz w:val="21"/>
          <w:szCs w:val="21"/>
          <w:highlight w:val="none"/>
        </w:rPr>
        <w:t xml:space="preserve">    </w:t>
      </w:r>
      <w:r>
        <w:rPr>
          <w:rFonts w:cs="仿宋"/>
          <w:color w:val="auto"/>
          <w:sz w:val="21"/>
          <w:szCs w:val="21"/>
          <w:highlight w:val="none"/>
        </w:rPr>
        <w:t>X:</w:t>
      </w:r>
      <w:r>
        <w:rPr>
          <w:rFonts w:hint="eastAsia" w:cs="仿宋"/>
          <w:color w:val="auto"/>
          <w:sz w:val="21"/>
          <w:szCs w:val="21"/>
          <w:highlight w:val="none"/>
        </w:rPr>
        <w:t>为等分点值，在开标前从</w:t>
      </w:r>
      <w:r>
        <w:rPr>
          <w:rFonts w:cs="仿宋"/>
          <w:color w:val="auto"/>
          <w:sz w:val="21"/>
          <w:szCs w:val="21"/>
          <w:highlight w:val="none"/>
        </w:rPr>
        <w:t>[0,100]</w:t>
      </w:r>
      <w:r>
        <w:rPr>
          <w:rFonts w:hint="eastAsia" w:cs="仿宋"/>
          <w:color w:val="auto"/>
          <w:sz w:val="21"/>
          <w:szCs w:val="21"/>
          <w:highlight w:val="none"/>
        </w:rPr>
        <w:t>整数中随机抽取</w:t>
      </w:r>
    </w:p>
    <w:p>
      <w:pPr>
        <w:spacing w:line="360" w:lineRule="auto"/>
        <w:ind w:firstLine="420" w:firstLineChars="200"/>
        <w:rPr>
          <w:color w:val="auto"/>
          <w:sz w:val="21"/>
          <w:szCs w:val="21"/>
          <w:highlight w:val="none"/>
        </w:rPr>
      </w:pPr>
      <w:r>
        <w:rPr>
          <w:rFonts w:hint="eastAsia" w:cs="宋体"/>
          <w:color w:val="auto"/>
          <w:kern w:val="0"/>
          <w:sz w:val="21"/>
          <w:szCs w:val="21"/>
          <w:highlight w:val="none"/>
        </w:rPr>
        <w:t>42.4.3.2</w:t>
      </w:r>
      <w:r>
        <w:rPr>
          <w:rFonts w:hint="eastAsia"/>
          <w:color w:val="auto"/>
          <w:sz w:val="21"/>
          <w:szCs w:val="21"/>
          <w:highlight w:val="none"/>
        </w:rPr>
        <w:t>当标价等于评标参考价时得</w:t>
      </w:r>
      <w:r>
        <w:rPr>
          <w:color w:val="auto"/>
          <w:sz w:val="21"/>
          <w:szCs w:val="21"/>
          <w:highlight w:val="none"/>
        </w:rPr>
        <w:t>100</w:t>
      </w:r>
      <w:r>
        <w:rPr>
          <w:rFonts w:hint="eastAsia"/>
          <w:color w:val="auto"/>
          <w:sz w:val="21"/>
          <w:szCs w:val="21"/>
          <w:highlight w:val="none"/>
        </w:rPr>
        <w:t>分，标价每高于评标参考价</w:t>
      </w:r>
      <w:r>
        <w:rPr>
          <w:color w:val="auto"/>
          <w:sz w:val="21"/>
          <w:szCs w:val="21"/>
          <w:highlight w:val="none"/>
        </w:rPr>
        <w:t>1%</w:t>
      </w:r>
      <w:r>
        <w:rPr>
          <w:rFonts w:hint="eastAsia"/>
          <w:color w:val="auto"/>
          <w:sz w:val="21"/>
          <w:szCs w:val="21"/>
          <w:highlight w:val="none"/>
        </w:rPr>
        <w:t>，扣</w:t>
      </w:r>
      <w:r>
        <w:rPr>
          <w:color w:val="auto"/>
          <w:sz w:val="21"/>
          <w:szCs w:val="21"/>
          <w:highlight w:val="none"/>
        </w:rPr>
        <w:t>1.5</w:t>
      </w:r>
      <w:r>
        <w:rPr>
          <w:rFonts w:hint="eastAsia"/>
          <w:color w:val="auto"/>
          <w:sz w:val="21"/>
          <w:szCs w:val="21"/>
          <w:highlight w:val="none"/>
        </w:rPr>
        <w:t>分，每低于评标参考价</w:t>
      </w:r>
      <w:r>
        <w:rPr>
          <w:color w:val="auto"/>
          <w:sz w:val="21"/>
          <w:szCs w:val="21"/>
          <w:highlight w:val="none"/>
        </w:rPr>
        <w:t>1%</w:t>
      </w:r>
      <w:r>
        <w:rPr>
          <w:rFonts w:hint="eastAsia"/>
          <w:color w:val="auto"/>
          <w:sz w:val="21"/>
          <w:szCs w:val="21"/>
          <w:highlight w:val="none"/>
        </w:rPr>
        <w:t>，扣</w:t>
      </w:r>
      <w:r>
        <w:rPr>
          <w:color w:val="auto"/>
          <w:sz w:val="21"/>
          <w:szCs w:val="21"/>
          <w:highlight w:val="none"/>
        </w:rPr>
        <w:t>1</w:t>
      </w:r>
      <w:r>
        <w:rPr>
          <w:rFonts w:hint="eastAsia"/>
          <w:color w:val="auto"/>
          <w:sz w:val="21"/>
          <w:szCs w:val="21"/>
          <w:highlight w:val="none"/>
        </w:rPr>
        <w:t>分，扣至</w:t>
      </w:r>
      <w:r>
        <w:rPr>
          <w:color w:val="auto"/>
          <w:sz w:val="21"/>
          <w:szCs w:val="21"/>
          <w:highlight w:val="none"/>
        </w:rPr>
        <w:t>0</w:t>
      </w:r>
      <w:r>
        <w:rPr>
          <w:rFonts w:hint="eastAsia"/>
          <w:color w:val="auto"/>
          <w:sz w:val="21"/>
          <w:szCs w:val="21"/>
          <w:highlight w:val="none"/>
        </w:rPr>
        <w:t>分为止，得出经济分，精确到小数点后两位。</w:t>
      </w:r>
    </w:p>
    <w:p>
      <w:pPr>
        <w:spacing w:line="360" w:lineRule="auto"/>
        <w:ind w:firstLine="420" w:firstLineChars="200"/>
        <w:rPr>
          <w:color w:val="auto"/>
          <w:sz w:val="21"/>
          <w:szCs w:val="21"/>
          <w:highlight w:val="none"/>
        </w:rPr>
      </w:pPr>
      <w:r>
        <w:rPr>
          <w:rFonts w:hint="eastAsia"/>
          <w:color w:val="auto"/>
          <w:sz w:val="21"/>
          <w:szCs w:val="21"/>
          <w:highlight w:val="none"/>
        </w:rPr>
        <w:t>42.4.3.3评标委员会按投标须知前附表第32项的规定确定排序。</w:t>
      </w:r>
    </w:p>
    <w:p>
      <w:pPr>
        <w:spacing w:line="360" w:lineRule="auto"/>
        <w:ind w:firstLine="420" w:firstLineChars="200"/>
        <w:rPr>
          <w:color w:val="auto"/>
          <w:sz w:val="21"/>
          <w:szCs w:val="21"/>
          <w:highlight w:val="none"/>
        </w:rPr>
      </w:pPr>
      <w:r>
        <w:rPr>
          <w:rFonts w:hint="eastAsia"/>
          <w:color w:val="auto"/>
          <w:sz w:val="21"/>
          <w:szCs w:val="21"/>
          <w:highlight w:val="none"/>
        </w:rPr>
        <w:t>42.4.4经济标的有效性审查：按照投标人第二阶段排序，依次对进入第二阶段评审的投标文件进行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360" w:lineRule="auto"/>
        <w:ind w:firstLine="420" w:firstLineChars="200"/>
        <w:rPr>
          <w:color w:val="auto"/>
          <w:sz w:val="21"/>
          <w:szCs w:val="21"/>
          <w:highlight w:val="none"/>
        </w:rPr>
      </w:pPr>
      <w:r>
        <w:rPr>
          <w:color w:val="auto"/>
          <w:sz w:val="21"/>
          <w:szCs w:val="21"/>
          <w:highlight w:val="none"/>
        </w:rPr>
        <w:t>42.</w:t>
      </w:r>
      <w:r>
        <w:rPr>
          <w:rFonts w:hint="eastAsia"/>
          <w:color w:val="auto"/>
          <w:sz w:val="21"/>
          <w:szCs w:val="21"/>
          <w:highlight w:val="none"/>
        </w:rPr>
        <w:t>4.5经济标的算术校核。评标委员会对进行经济标有效性审查的投标文件投标报价按照就低不就高的原则进行算术校核，具体标准如下：</w:t>
      </w:r>
    </w:p>
    <w:p>
      <w:pPr>
        <w:spacing w:line="360" w:lineRule="auto"/>
        <w:ind w:firstLine="420" w:firstLineChars="200"/>
        <w:rPr>
          <w:color w:val="auto"/>
          <w:sz w:val="21"/>
          <w:szCs w:val="21"/>
          <w:highlight w:val="none"/>
        </w:rPr>
      </w:pPr>
      <w:r>
        <w:rPr>
          <w:color w:val="auto"/>
          <w:sz w:val="21"/>
          <w:szCs w:val="21"/>
          <w:highlight w:val="none"/>
        </w:rPr>
        <w:t>42.</w:t>
      </w:r>
      <w:r>
        <w:rPr>
          <w:rFonts w:hint="eastAsia"/>
          <w:color w:val="auto"/>
          <w:sz w:val="21"/>
          <w:szCs w:val="21"/>
          <w:highlight w:val="none"/>
        </w:rPr>
        <w:t>4.5.1如果数字表示的金额和用文字表示的金额不一致时，应以文字表示的金额为准；</w:t>
      </w:r>
    </w:p>
    <w:p>
      <w:pPr>
        <w:spacing w:line="360" w:lineRule="auto"/>
        <w:ind w:firstLine="420" w:firstLineChars="200"/>
        <w:rPr>
          <w:color w:val="auto"/>
          <w:sz w:val="21"/>
          <w:szCs w:val="21"/>
          <w:highlight w:val="none"/>
        </w:rPr>
      </w:pPr>
      <w:r>
        <w:rPr>
          <w:color w:val="auto"/>
          <w:sz w:val="21"/>
          <w:szCs w:val="21"/>
          <w:highlight w:val="none"/>
        </w:rPr>
        <w:t>42.</w:t>
      </w:r>
      <w:r>
        <w:rPr>
          <w:rFonts w:hint="eastAsia"/>
          <w:color w:val="auto"/>
          <w:sz w:val="21"/>
          <w:szCs w:val="21"/>
          <w:highlight w:val="none"/>
        </w:rPr>
        <w:t>4.5.2经算术复核的投标人报价与其投标报价不一致时，按就低不就高原则确定其最终报价；</w:t>
      </w:r>
    </w:p>
    <w:p>
      <w:pPr>
        <w:spacing w:line="360" w:lineRule="auto"/>
        <w:ind w:firstLine="420" w:firstLineChars="200"/>
        <w:rPr>
          <w:color w:val="auto"/>
          <w:sz w:val="21"/>
          <w:szCs w:val="21"/>
          <w:highlight w:val="none"/>
        </w:rPr>
      </w:pPr>
      <w:r>
        <w:rPr>
          <w:color w:val="auto"/>
          <w:sz w:val="21"/>
          <w:szCs w:val="21"/>
          <w:highlight w:val="none"/>
        </w:rPr>
        <w:t>42.</w:t>
      </w:r>
      <w:r>
        <w:rPr>
          <w:rFonts w:hint="eastAsia"/>
          <w:color w:val="auto"/>
          <w:sz w:val="21"/>
          <w:szCs w:val="21"/>
          <w:highlight w:val="none"/>
        </w:rPr>
        <w:t>4.5.3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20" w:firstLineChars="200"/>
        <w:rPr>
          <w:color w:val="auto"/>
          <w:sz w:val="21"/>
          <w:szCs w:val="21"/>
          <w:highlight w:val="none"/>
        </w:rPr>
      </w:pPr>
      <w:r>
        <w:rPr>
          <w:color w:val="auto"/>
          <w:sz w:val="21"/>
          <w:szCs w:val="21"/>
          <w:highlight w:val="none"/>
        </w:rPr>
        <w:t>42.</w:t>
      </w:r>
      <w:r>
        <w:rPr>
          <w:rFonts w:hint="eastAsia"/>
          <w:color w:val="auto"/>
          <w:sz w:val="21"/>
          <w:szCs w:val="21"/>
          <w:highlight w:val="none"/>
        </w:rPr>
        <w:t>4.5.</w:t>
      </w:r>
      <w:r>
        <w:rPr>
          <w:color w:val="auto"/>
          <w:sz w:val="21"/>
          <w:szCs w:val="21"/>
          <w:highlight w:val="none"/>
        </w:rPr>
        <w:t>4</w:t>
      </w:r>
      <w:r>
        <w:rPr>
          <w:rFonts w:hint="eastAsia"/>
          <w:color w:val="auto"/>
          <w:sz w:val="21"/>
          <w:szCs w:val="21"/>
          <w:highlight w:val="none"/>
        </w:rPr>
        <w:t>当合价、金额累加错误时，按就低不就高原则，如果累加修正值小于原累加值，则按累加修正值；如果累加修正值大于原累加值，则按原累加值；</w:t>
      </w:r>
    </w:p>
    <w:p>
      <w:pPr>
        <w:spacing w:line="360" w:lineRule="auto"/>
        <w:ind w:firstLine="420" w:firstLineChars="200"/>
        <w:rPr>
          <w:color w:val="auto"/>
          <w:sz w:val="21"/>
          <w:szCs w:val="21"/>
          <w:highlight w:val="none"/>
        </w:rPr>
      </w:pPr>
      <w:r>
        <w:rPr>
          <w:color w:val="auto"/>
          <w:sz w:val="21"/>
          <w:szCs w:val="21"/>
          <w:highlight w:val="none"/>
        </w:rPr>
        <w:t>42.</w:t>
      </w:r>
      <w:r>
        <w:rPr>
          <w:rFonts w:hint="eastAsia"/>
          <w:color w:val="auto"/>
          <w:sz w:val="21"/>
          <w:szCs w:val="21"/>
          <w:highlight w:val="none"/>
        </w:rPr>
        <w:t>4.5.</w:t>
      </w:r>
      <w:r>
        <w:rPr>
          <w:color w:val="auto"/>
          <w:sz w:val="21"/>
          <w:szCs w:val="21"/>
          <w:highlight w:val="none"/>
        </w:rPr>
        <w:t>5</w:t>
      </w:r>
      <w:r>
        <w:rPr>
          <w:rFonts w:hint="eastAsia"/>
          <w:color w:val="auto"/>
          <w:sz w:val="21"/>
          <w:szCs w:val="21"/>
          <w:highlight w:val="none"/>
        </w:rPr>
        <w:t>如果投标人的有关规费、暂列金额、暂估价、绿色施工安全防护措施费等未按招标文件规定的金额填写的，由评标委员会按照招标文件规定的金额进行修正；</w:t>
      </w:r>
    </w:p>
    <w:p>
      <w:pPr>
        <w:spacing w:line="360" w:lineRule="auto"/>
        <w:ind w:firstLine="420" w:firstLineChars="200"/>
        <w:rPr>
          <w:color w:val="auto"/>
          <w:sz w:val="21"/>
          <w:szCs w:val="21"/>
          <w:highlight w:val="none"/>
        </w:rPr>
      </w:pPr>
      <w:r>
        <w:rPr>
          <w:color w:val="auto"/>
          <w:sz w:val="21"/>
          <w:szCs w:val="21"/>
          <w:highlight w:val="none"/>
        </w:rPr>
        <w:t>42.</w:t>
      </w:r>
      <w:r>
        <w:rPr>
          <w:rFonts w:hint="eastAsia"/>
          <w:color w:val="auto"/>
          <w:sz w:val="21"/>
          <w:szCs w:val="21"/>
          <w:highlight w:val="none"/>
        </w:rPr>
        <w:t>4.5.</w:t>
      </w:r>
      <w:r>
        <w:rPr>
          <w:color w:val="auto"/>
          <w:sz w:val="21"/>
          <w:szCs w:val="21"/>
          <w:highlight w:val="none"/>
        </w:rPr>
        <w:t>6</w:t>
      </w:r>
      <w:r>
        <w:rPr>
          <w:rFonts w:hint="eastAsia"/>
          <w:color w:val="auto"/>
          <w:sz w:val="21"/>
          <w:szCs w:val="21"/>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20" w:firstLineChars="200"/>
        <w:rPr>
          <w:color w:val="auto"/>
          <w:sz w:val="21"/>
          <w:szCs w:val="21"/>
          <w:highlight w:val="none"/>
        </w:rPr>
      </w:pPr>
      <w:r>
        <w:rPr>
          <w:color w:val="auto"/>
          <w:sz w:val="21"/>
          <w:szCs w:val="21"/>
          <w:highlight w:val="none"/>
        </w:rPr>
        <w:t>42.</w:t>
      </w:r>
      <w:r>
        <w:rPr>
          <w:rFonts w:hint="eastAsia"/>
          <w:color w:val="auto"/>
          <w:sz w:val="21"/>
          <w:szCs w:val="21"/>
          <w:highlight w:val="none"/>
        </w:rPr>
        <w:t>4.5.</w:t>
      </w:r>
      <w:r>
        <w:rPr>
          <w:color w:val="auto"/>
          <w:sz w:val="21"/>
          <w:szCs w:val="21"/>
          <w:highlight w:val="none"/>
        </w:rPr>
        <w:t>7</w:t>
      </w:r>
      <w:r>
        <w:rPr>
          <w:rFonts w:hint="eastAsia"/>
          <w:color w:val="auto"/>
          <w:sz w:val="21"/>
          <w:szCs w:val="21"/>
          <w:highlight w:val="none"/>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20" w:firstLineChars="200"/>
        <w:rPr>
          <w:color w:val="auto"/>
          <w:sz w:val="21"/>
          <w:szCs w:val="21"/>
          <w:highlight w:val="none"/>
        </w:rPr>
      </w:pPr>
      <w:r>
        <w:rPr>
          <w:color w:val="auto"/>
          <w:sz w:val="21"/>
          <w:szCs w:val="21"/>
          <w:highlight w:val="none"/>
        </w:rPr>
        <w:t>42.</w:t>
      </w:r>
      <w:r>
        <w:rPr>
          <w:rFonts w:hint="eastAsia"/>
          <w:color w:val="auto"/>
          <w:sz w:val="21"/>
          <w:szCs w:val="21"/>
          <w:highlight w:val="none"/>
        </w:rPr>
        <w:t>4.5.</w:t>
      </w:r>
      <w:r>
        <w:rPr>
          <w:color w:val="auto"/>
          <w:sz w:val="21"/>
          <w:szCs w:val="21"/>
          <w:highlight w:val="none"/>
        </w:rPr>
        <w:t>8</w:t>
      </w:r>
      <w:r>
        <w:rPr>
          <w:rFonts w:hint="eastAsia"/>
          <w:color w:val="auto"/>
          <w:sz w:val="21"/>
          <w:szCs w:val="21"/>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20" w:firstLineChars="200"/>
        <w:rPr>
          <w:color w:val="auto"/>
          <w:sz w:val="21"/>
          <w:szCs w:val="21"/>
          <w:highlight w:val="none"/>
        </w:rPr>
      </w:pPr>
      <w:r>
        <w:rPr>
          <w:color w:val="auto"/>
          <w:sz w:val="21"/>
          <w:szCs w:val="21"/>
          <w:highlight w:val="none"/>
        </w:rPr>
        <w:t>42.</w:t>
      </w:r>
      <w:r>
        <w:rPr>
          <w:rFonts w:hint="eastAsia"/>
          <w:color w:val="auto"/>
          <w:sz w:val="21"/>
          <w:szCs w:val="21"/>
          <w:highlight w:val="none"/>
        </w:rPr>
        <w:t>5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20" w:firstLineChars="200"/>
        <w:rPr>
          <w:color w:val="auto"/>
          <w:sz w:val="21"/>
          <w:szCs w:val="21"/>
          <w:highlight w:val="none"/>
        </w:rPr>
      </w:pPr>
      <w:r>
        <w:rPr>
          <w:color w:val="auto"/>
          <w:sz w:val="21"/>
          <w:szCs w:val="21"/>
          <w:highlight w:val="none"/>
        </w:rPr>
        <w:t>42.</w:t>
      </w:r>
      <w:r>
        <w:rPr>
          <w:rFonts w:hint="eastAsia"/>
          <w:color w:val="auto"/>
          <w:sz w:val="21"/>
          <w:szCs w:val="21"/>
          <w:highlight w:val="none"/>
        </w:rPr>
        <w:t>6评标委员会应在通过投标文件经济标有效性审查的投标人中，按步骤42.4确定的投标人第二阶段排序，推荐前</w:t>
      </w:r>
      <w:r>
        <w:rPr>
          <w:color w:val="auto"/>
          <w:sz w:val="21"/>
          <w:szCs w:val="21"/>
          <w:highlight w:val="none"/>
        </w:rPr>
        <w:t>3</w:t>
      </w:r>
      <w:r>
        <w:rPr>
          <w:rFonts w:hint="eastAsia"/>
          <w:color w:val="auto"/>
          <w:sz w:val="21"/>
          <w:szCs w:val="21"/>
          <w:highlight w:val="none"/>
        </w:rPr>
        <w:t>名依次为第一中标候选人至第三中标候选人</w:t>
      </w:r>
      <w:r>
        <w:rPr>
          <w:color w:val="auto"/>
          <w:sz w:val="21"/>
          <w:szCs w:val="21"/>
          <w:highlight w:val="none"/>
        </w:rPr>
        <w:t>,</w:t>
      </w:r>
      <w:r>
        <w:rPr>
          <w:rFonts w:hint="eastAsia"/>
          <w:color w:val="auto"/>
          <w:sz w:val="21"/>
          <w:szCs w:val="21"/>
          <w:highlight w:val="none"/>
        </w:rPr>
        <w:t>并编制评标报告。</w:t>
      </w:r>
    </w:p>
    <w:p>
      <w:pPr>
        <w:spacing w:line="360" w:lineRule="auto"/>
        <w:ind w:firstLine="420" w:firstLineChars="200"/>
        <w:rPr>
          <w:color w:val="auto"/>
          <w:sz w:val="21"/>
          <w:szCs w:val="21"/>
          <w:highlight w:val="none"/>
        </w:rPr>
      </w:pPr>
      <w:r>
        <w:rPr>
          <w:color w:val="auto"/>
          <w:sz w:val="21"/>
          <w:szCs w:val="21"/>
          <w:highlight w:val="none"/>
        </w:rPr>
        <w:t>42.</w:t>
      </w:r>
      <w:r>
        <w:rPr>
          <w:rFonts w:hint="eastAsia"/>
          <w:color w:val="auto"/>
          <w:sz w:val="21"/>
          <w:szCs w:val="21"/>
          <w:highlight w:val="none"/>
        </w:rPr>
        <w:t>7若通过经济标有效性审查的投标人不足三家，应当依法重新招标。</w:t>
      </w:r>
      <w:r>
        <w:rPr>
          <w:rFonts w:hint="eastAsia"/>
          <w:strike w:val="0"/>
          <w:dstrike w:val="0"/>
          <w:color w:val="auto"/>
          <w:sz w:val="21"/>
          <w:szCs w:val="21"/>
          <w:highlight w:val="none"/>
        </w:rPr>
        <w:t>（当</w:t>
      </w:r>
      <w:r>
        <w:rPr>
          <w:strike w:val="0"/>
          <w:dstrike w:val="0"/>
          <w:color w:val="auto"/>
          <w:sz w:val="21"/>
          <w:szCs w:val="21"/>
          <w:highlight w:val="none"/>
        </w:rPr>
        <w:t>N</w:t>
      </w:r>
      <w:r>
        <w:rPr>
          <w:rFonts w:hint="eastAsia"/>
          <w:strike w:val="0"/>
          <w:dstrike w:val="0"/>
          <w:color w:val="auto"/>
          <w:sz w:val="21"/>
          <w:szCs w:val="21"/>
          <w:highlight w:val="none"/>
        </w:rPr>
        <w:t>个标段同时招标且不允许兼中时，若有效投标人不足</w:t>
      </w:r>
      <w:r>
        <w:rPr>
          <w:strike w:val="0"/>
          <w:dstrike w:val="0"/>
          <w:color w:val="auto"/>
          <w:sz w:val="21"/>
          <w:szCs w:val="21"/>
          <w:highlight w:val="none"/>
        </w:rPr>
        <w:t>N+2</w:t>
      </w:r>
      <w:r>
        <w:rPr>
          <w:rFonts w:hint="eastAsia"/>
          <w:strike w:val="0"/>
          <w:dstrike w:val="0"/>
          <w:color w:val="auto"/>
          <w:sz w:val="21"/>
          <w:szCs w:val="21"/>
          <w:highlight w:val="none"/>
        </w:rPr>
        <w:t>家，应当依法重新招标）</w:t>
      </w:r>
    </w:p>
    <w:p>
      <w:pPr>
        <w:widowControl/>
        <w:snapToGrid w:val="0"/>
        <w:spacing w:line="360" w:lineRule="auto"/>
        <w:ind w:right="102"/>
        <w:jc w:val="left"/>
        <w:rPr>
          <w:color w:val="auto"/>
          <w:sz w:val="24"/>
          <w:szCs w:val="24"/>
          <w:highlight w:val="none"/>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1304" w:right="1361" w:bottom="1304" w:left="1361" w:header="851" w:footer="907" w:gutter="0"/>
          <w:cols w:space="720" w:num="1"/>
          <w:titlePg/>
          <w:docGrid w:type="lines" w:linePitch="312" w:charSpace="0"/>
        </w:sectPr>
      </w:pPr>
      <w:r>
        <w:rPr>
          <w:color w:val="auto"/>
          <w:sz w:val="24"/>
          <w:szCs w:val="24"/>
          <w:highlight w:val="none"/>
        </w:rPr>
        <w:br w:type="page"/>
      </w:r>
    </w:p>
    <w:p>
      <w:pPr>
        <w:widowControl/>
        <w:snapToGrid w:val="0"/>
        <w:spacing w:line="360" w:lineRule="auto"/>
        <w:ind w:right="102"/>
        <w:jc w:val="left"/>
        <w:rPr>
          <w:color w:val="auto"/>
          <w:szCs w:val="21"/>
          <w:highlight w:val="none"/>
        </w:rPr>
      </w:pPr>
      <w:r>
        <w:rPr>
          <w:rFonts w:hint="eastAsia"/>
          <w:color w:val="auto"/>
          <w:szCs w:val="21"/>
          <w:highlight w:val="none"/>
        </w:rPr>
        <w:t>附表一：</w:t>
      </w:r>
    </w:p>
    <w:p>
      <w:pPr>
        <w:jc w:val="center"/>
        <w:rPr>
          <w:b/>
          <w:color w:val="auto"/>
          <w:sz w:val="32"/>
          <w:szCs w:val="32"/>
          <w:highlight w:val="none"/>
        </w:rPr>
      </w:pPr>
      <w:r>
        <w:rPr>
          <w:rFonts w:hint="eastAsia"/>
          <w:b/>
          <w:color w:val="auto"/>
          <w:sz w:val="32"/>
          <w:szCs w:val="32"/>
          <w:highlight w:val="none"/>
        </w:rPr>
        <w:t>资格审查表</w:t>
      </w:r>
    </w:p>
    <w:p>
      <w:pPr>
        <w:rPr>
          <w:color w:val="auto"/>
          <w:sz w:val="24"/>
          <w:szCs w:val="24"/>
          <w:highlight w:val="none"/>
        </w:rPr>
      </w:pPr>
      <w:r>
        <w:rPr>
          <w:rFonts w:hint="eastAsia"/>
          <w:color w:val="auto"/>
          <w:sz w:val="24"/>
          <w:szCs w:val="24"/>
          <w:highlight w:val="none"/>
        </w:rPr>
        <w:t>工程名称：</w:t>
      </w:r>
    </w:p>
    <w:tbl>
      <w:tblPr>
        <w:tblStyle w:val="25"/>
        <w:tblW w:w="14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6615"/>
        <w:gridCol w:w="635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cs="宋体"/>
                <w:b/>
                <w:color w:val="auto"/>
                <w:szCs w:val="21"/>
                <w:highlight w:val="none"/>
              </w:rPr>
            </w:pPr>
            <w:r>
              <w:rPr>
                <w:rFonts w:hint="eastAsia" w:cs="宋体"/>
                <w:b/>
                <w:color w:val="auto"/>
                <w:szCs w:val="21"/>
                <w:highlight w:val="none"/>
              </w:rPr>
              <w:t>序号</w:t>
            </w:r>
          </w:p>
        </w:tc>
        <w:tc>
          <w:tcPr>
            <w:tcW w:w="661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cs="宋体"/>
                <w:b/>
                <w:color w:val="auto"/>
                <w:szCs w:val="21"/>
                <w:highlight w:val="none"/>
              </w:rPr>
            </w:pPr>
            <w:r>
              <w:rPr>
                <w:rFonts w:hint="eastAsia" w:cs="宋体"/>
                <w:b/>
                <w:color w:val="auto"/>
                <w:szCs w:val="21"/>
                <w:highlight w:val="none"/>
              </w:rPr>
              <w:t>审查项目</w:t>
            </w:r>
          </w:p>
        </w:tc>
        <w:tc>
          <w:tcPr>
            <w:tcW w:w="635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cs="宋体"/>
                <w:b/>
                <w:color w:val="auto"/>
                <w:szCs w:val="21"/>
                <w:highlight w:val="none"/>
              </w:rPr>
            </w:pPr>
            <w:r>
              <w:rPr>
                <w:rFonts w:hint="eastAsia" w:cs="宋体"/>
                <w:b/>
                <w:color w:val="auto"/>
                <w:szCs w:val="21"/>
                <w:highlight w:val="none"/>
              </w:rPr>
              <w:t>须审查的资料</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cs="宋体"/>
                <w:b/>
                <w:color w:val="auto"/>
                <w:szCs w:val="21"/>
                <w:highlight w:val="none"/>
              </w:rPr>
            </w:pPr>
            <w:r>
              <w:rPr>
                <w:rFonts w:hint="eastAsia" w:cs="宋体"/>
                <w:b/>
                <w:color w:val="auto"/>
                <w:szCs w:val="21"/>
                <w:highlight w:val="none"/>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cs="宋体"/>
                <w:color w:val="auto"/>
                <w:szCs w:val="21"/>
                <w:highlight w:val="none"/>
              </w:rPr>
            </w:pPr>
            <w:r>
              <w:rPr>
                <w:rFonts w:hint="eastAsia" w:cs="宋体"/>
                <w:color w:val="auto"/>
                <w:szCs w:val="21"/>
                <w:highlight w:val="none"/>
              </w:rPr>
              <w:t>1</w:t>
            </w:r>
          </w:p>
        </w:tc>
        <w:tc>
          <w:tcPr>
            <w:tcW w:w="6615" w:type="dxa"/>
            <w:tcBorders>
              <w:top w:val="single" w:color="auto" w:sz="4" w:space="0"/>
              <w:left w:val="single" w:color="auto" w:sz="4" w:space="0"/>
              <w:bottom w:val="single" w:color="auto" w:sz="4" w:space="0"/>
              <w:right w:val="single" w:color="auto" w:sz="4" w:space="0"/>
            </w:tcBorders>
            <w:vAlign w:val="center"/>
          </w:tcPr>
          <w:p>
            <w:pPr>
              <w:spacing w:before="120" w:after="60"/>
              <w:rPr>
                <w:rFonts w:cs="宋体"/>
                <w:color w:val="auto"/>
                <w:szCs w:val="21"/>
                <w:highlight w:val="none"/>
              </w:rPr>
            </w:pPr>
            <w:r>
              <w:rPr>
                <w:rFonts w:hint="eastAsia" w:cs="宋体"/>
                <w:color w:val="auto"/>
                <w:szCs w:val="21"/>
                <w:highlight w:val="none"/>
              </w:rPr>
              <w:t>投标人参加投标的意思表达清楚，投标人代表被授权有效</w:t>
            </w:r>
          </w:p>
        </w:tc>
        <w:tc>
          <w:tcPr>
            <w:tcW w:w="6350" w:type="dxa"/>
            <w:tcBorders>
              <w:top w:val="single" w:color="auto" w:sz="4" w:space="0"/>
              <w:left w:val="single" w:color="auto" w:sz="4" w:space="0"/>
              <w:bottom w:val="single" w:color="auto" w:sz="4" w:space="0"/>
              <w:right w:val="single" w:color="auto" w:sz="4" w:space="0"/>
            </w:tcBorders>
            <w:vAlign w:val="center"/>
          </w:tcPr>
          <w:p>
            <w:pPr>
              <w:spacing w:before="120" w:after="60"/>
              <w:rPr>
                <w:rFonts w:cs="宋体"/>
                <w:color w:val="auto"/>
                <w:szCs w:val="21"/>
                <w:highlight w:val="none"/>
              </w:rPr>
            </w:pPr>
            <w:r>
              <w:rPr>
                <w:rFonts w:hint="eastAsia" w:cs="宋体"/>
                <w:color w:val="auto"/>
                <w:szCs w:val="21"/>
                <w:highlight w:val="none"/>
              </w:rPr>
              <w:t>投标人声明、法定代表人证明书；委托投标的还应提供法人授权委托证明书</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cs="宋体"/>
                <w:color w:val="auto"/>
                <w:szCs w:val="21"/>
                <w:highlight w:val="none"/>
              </w:rPr>
            </w:pPr>
            <w:r>
              <w:rPr>
                <w:rFonts w:hint="eastAsia" w:cs="宋体"/>
                <w:color w:val="auto"/>
                <w:szCs w:val="21"/>
                <w:highlight w:val="none"/>
              </w:rPr>
              <w:t>2</w:t>
            </w:r>
          </w:p>
        </w:tc>
        <w:tc>
          <w:tcPr>
            <w:tcW w:w="6615" w:type="dxa"/>
            <w:tcBorders>
              <w:top w:val="single" w:color="auto" w:sz="4" w:space="0"/>
              <w:left w:val="single" w:color="auto" w:sz="4" w:space="0"/>
              <w:bottom w:val="single" w:color="auto" w:sz="4" w:space="0"/>
              <w:right w:val="single" w:color="auto" w:sz="4" w:space="0"/>
            </w:tcBorders>
            <w:vAlign w:val="center"/>
          </w:tcPr>
          <w:p>
            <w:pPr>
              <w:spacing w:before="120" w:after="60"/>
              <w:rPr>
                <w:rFonts w:cs="宋体"/>
                <w:color w:val="auto"/>
                <w:szCs w:val="21"/>
                <w:highlight w:val="none"/>
              </w:rPr>
            </w:pPr>
            <w:r>
              <w:rPr>
                <w:rFonts w:hint="eastAsia" w:cs="宋体"/>
                <w:color w:val="auto"/>
                <w:szCs w:val="21"/>
                <w:highlight w:val="none"/>
              </w:rPr>
              <w:t>投标人均具有独立法人资格，按国家法律经营</w:t>
            </w:r>
          </w:p>
        </w:tc>
        <w:tc>
          <w:tcPr>
            <w:tcW w:w="6350" w:type="dxa"/>
            <w:tcBorders>
              <w:top w:val="single" w:color="auto" w:sz="4" w:space="0"/>
              <w:left w:val="single" w:color="auto" w:sz="4" w:space="0"/>
              <w:bottom w:val="single" w:color="auto" w:sz="4" w:space="0"/>
              <w:right w:val="single" w:color="auto" w:sz="4" w:space="0"/>
            </w:tcBorders>
            <w:vAlign w:val="center"/>
          </w:tcPr>
          <w:p>
            <w:pPr>
              <w:spacing w:before="120" w:after="60"/>
              <w:rPr>
                <w:rFonts w:hint="default" w:eastAsia="宋体" w:cs="宋体"/>
                <w:color w:val="auto"/>
                <w:szCs w:val="21"/>
                <w:highlight w:val="none"/>
                <w:lang w:val="en-US" w:eastAsia="zh-CN"/>
              </w:rPr>
            </w:pPr>
            <w:r>
              <w:rPr>
                <w:rFonts w:hint="eastAsia" w:cs="宋体"/>
                <w:color w:val="auto"/>
                <w:szCs w:val="21"/>
                <w:highlight w:val="none"/>
                <w:u w:val="none"/>
              </w:rPr>
              <w:t>营业执照在</w:t>
            </w:r>
            <w:r>
              <w:rPr>
                <w:rFonts w:hint="eastAsia" w:cs="宋体"/>
                <w:color w:val="auto"/>
                <w:highlight w:val="none"/>
                <w:u w:val="none"/>
              </w:rPr>
              <w:t>广州市住建行业信用管理平台内上传件</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cs="宋体"/>
                <w:color w:val="auto"/>
                <w:szCs w:val="21"/>
                <w:highlight w:val="none"/>
              </w:rPr>
            </w:pPr>
            <w:r>
              <w:rPr>
                <w:rFonts w:hint="eastAsia" w:cs="宋体"/>
                <w:color w:val="auto"/>
                <w:szCs w:val="21"/>
                <w:highlight w:val="none"/>
              </w:rPr>
              <w:t>3</w:t>
            </w:r>
          </w:p>
        </w:tc>
        <w:tc>
          <w:tcPr>
            <w:tcW w:w="6615" w:type="dxa"/>
            <w:tcBorders>
              <w:top w:val="single" w:color="auto" w:sz="4" w:space="0"/>
              <w:left w:val="single" w:color="auto" w:sz="4" w:space="0"/>
              <w:bottom w:val="single" w:color="auto" w:sz="4" w:space="0"/>
              <w:right w:val="single" w:color="auto" w:sz="4" w:space="0"/>
            </w:tcBorders>
            <w:vAlign w:val="center"/>
          </w:tcPr>
          <w:p>
            <w:pPr>
              <w:spacing w:before="120" w:after="60"/>
              <w:rPr>
                <w:rFonts w:cs="宋体"/>
                <w:color w:val="auto"/>
                <w:szCs w:val="21"/>
                <w:highlight w:val="none"/>
              </w:rPr>
            </w:pPr>
            <w:r>
              <w:rPr>
                <w:rFonts w:hint="eastAsia" w:cs="宋体"/>
                <w:color w:val="auto"/>
                <w:szCs w:val="21"/>
                <w:highlight w:val="none"/>
              </w:rPr>
              <w:t>投标人均持有建设行政主管部门颁发的企业资质证书及安全生产许可证；投标人资质符合公告要求</w:t>
            </w:r>
          </w:p>
        </w:tc>
        <w:tc>
          <w:tcPr>
            <w:tcW w:w="6350" w:type="dxa"/>
            <w:tcBorders>
              <w:top w:val="single" w:color="auto" w:sz="4" w:space="0"/>
              <w:left w:val="single" w:color="auto" w:sz="4" w:space="0"/>
              <w:bottom w:val="single" w:color="auto" w:sz="4" w:space="0"/>
              <w:right w:val="single" w:color="auto" w:sz="4" w:space="0"/>
            </w:tcBorders>
            <w:vAlign w:val="center"/>
          </w:tcPr>
          <w:p>
            <w:pPr>
              <w:spacing w:before="120" w:after="60"/>
              <w:rPr>
                <w:rFonts w:cs="宋体"/>
                <w:color w:val="auto"/>
                <w:szCs w:val="21"/>
                <w:highlight w:val="none"/>
                <w:u w:val="single"/>
              </w:rPr>
            </w:pPr>
            <w:r>
              <w:rPr>
                <w:rFonts w:hint="eastAsia" w:cs="宋体"/>
                <w:color w:val="auto"/>
                <w:szCs w:val="21"/>
                <w:highlight w:val="none"/>
                <w:u w:val="none"/>
              </w:rPr>
              <w:t>资质证书及安全生产许可证在广州市住建行业信用管理平台内上传件</w:t>
            </w:r>
            <w:r>
              <w:rPr>
                <w:rFonts w:hint="eastAsia" w:cs="宋体"/>
                <w:color w:val="auto"/>
                <w:szCs w:val="21"/>
                <w:highlight w:val="none"/>
                <w:u w:val="none"/>
                <w:lang w:val="en-US" w:eastAsia="zh-CN"/>
              </w:rPr>
              <w:t xml:space="preserve"> </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cs="宋体"/>
                <w:color w:val="auto"/>
                <w:szCs w:val="21"/>
                <w:highlight w:val="none"/>
              </w:rPr>
            </w:pPr>
            <w:r>
              <w:rPr>
                <w:rFonts w:hint="eastAsia" w:cs="宋体"/>
                <w:color w:val="auto"/>
                <w:szCs w:val="21"/>
                <w:highlight w:val="none"/>
              </w:rPr>
              <w:t>4</w:t>
            </w:r>
          </w:p>
        </w:tc>
        <w:tc>
          <w:tcPr>
            <w:tcW w:w="6615" w:type="dxa"/>
            <w:tcBorders>
              <w:top w:val="single" w:color="auto" w:sz="4" w:space="0"/>
              <w:left w:val="single" w:color="auto" w:sz="4" w:space="0"/>
              <w:bottom w:val="single" w:color="auto" w:sz="4" w:space="0"/>
              <w:right w:val="single" w:color="auto" w:sz="4" w:space="0"/>
            </w:tcBorders>
            <w:vAlign w:val="center"/>
          </w:tcPr>
          <w:p>
            <w:pPr>
              <w:spacing w:before="120" w:after="60"/>
              <w:rPr>
                <w:rFonts w:cs="宋体"/>
                <w:color w:val="auto"/>
                <w:szCs w:val="21"/>
                <w:highlight w:val="none"/>
              </w:rPr>
            </w:pPr>
            <w:r>
              <w:rPr>
                <w:rFonts w:hint="eastAsia" w:cs="宋体"/>
                <w:color w:val="auto"/>
                <w:szCs w:val="21"/>
                <w:highlight w:val="none"/>
              </w:rPr>
              <w:t>投标人拟担任本工程项目负责人符合公告要求</w:t>
            </w:r>
          </w:p>
        </w:tc>
        <w:tc>
          <w:tcPr>
            <w:tcW w:w="6350" w:type="dxa"/>
            <w:tcBorders>
              <w:top w:val="single" w:color="auto" w:sz="4" w:space="0"/>
              <w:left w:val="single" w:color="auto" w:sz="4" w:space="0"/>
              <w:bottom w:val="single" w:color="auto" w:sz="4" w:space="0"/>
              <w:right w:val="single" w:color="auto" w:sz="4" w:space="0"/>
            </w:tcBorders>
            <w:vAlign w:val="center"/>
          </w:tcPr>
          <w:p>
            <w:pPr>
              <w:spacing w:before="120" w:after="60"/>
              <w:rPr>
                <w:rFonts w:cs="宋体"/>
                <w:color w:val="auto"/>
                <w:szCs w:val="21"/>
                <w:highlight w:val="none"/>
                <w:u w:val="none"/>
              </w:rPr>
            </w:pPr>
            <w:r>
              <w:rPr>
                <w:rFonts w:hint="eastAsia" w:cs="宋体"/>
                <w:color w:val="auto"/>
                <w:szCs w:val="21"/>
                <w:highlight w:val="none"/>
                <w:u w:val="none"/>
              </w:rPr>
              <w:t>使用有效期内的注册建造师注册证书在广州市住建行业信用平台内上传件</w:t>
            </w:r>
          </w:p>
          <w:p>
            <w:pPr>
              <w:spacing w:before="120" w:after="60"/>
              <w:rPr>
                <w:rFonts w:cs="宋体"/>
                <w:color w:val="auto"/>
                <w:szCs w:val="21"/>
                <w:highlight w:val="none"/>
                <w:u w:val="single"/>
              </w:rPr>
            </w:pPr>
            <w:r>
              <w:rPr>
                <w:rFonts w:hint="eastAsia" w:cs="宋体"/>
                <w:color w:val="auto"/>
                <w:szCs w:val="21"/>
                <w:highlight w:val="none"/>
                <w:u w:val="none"/>
              </w:rPr>
              <w:t>（注：打印建造师电子证书后，应在个人签名处手写本人签名再上传广州市住建行业信用平台）</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cs="宋体"/>
                <w:color w:val="auto"/>
                <w:szCs w:val="21"/>
                <w:highlight w:val="none"/>
              </w:rPr>
            </w:pPr>
            <w:r>
              <w:rPr>
                <w:rFonts w:hint="eastAsia" w:cs="宋体"/>
                <w:color w:val="auto"/>
                <w:szCs w:val="21"/>
                <w:highlight w:val="none"/>
              </w:rPr>
              <w:t>5</w:t>
            </w:r>
          </w:p>
        </w:tc>
        <w:tc>
          <w:tcPr>
            <w:tcW w:w="6615" w:type="dxa"/>
            <w:tcBorders>
              <w:top w:val="single" w:color="auto" w:sz="4" w:space="0"/>
              <w:left w:val="single" w:color="auto" w:sz="4" w:space="0"/>
              <w:bottom w:val="single" w:color="auto" w:sz="4" w:space="0"/>
              <w:right w:val="single" w:color="auto" w:sz="4" w:space="0"/>
            </w:tcBorders>
            <w:vAlign w:val="center"/>
          </w:tcPr>
          <w:p>
            <w:pPr>
              <w:spacing w:before="120" w:after="60"/>
              <w:rPr>
                <w:rFonts w:cs="宋体"/>
                <w:color w:val="auto"/>
                <w:szCs w:val="21"/>
                <w:highlight w:val="none"/>
              </w:rPr>
            </w:pPr>
            <w:r>
              <w:rPr>
                <w:rFonts w:hint="eastAsia" w:ascii="宋体" w:hAnsi="宋体"/>
                <w:color w:val="auto"/>
                <w:szCs w:val="21"/>
                <w:highlight w:val="none"/>
              </w:rPr>
              <w:t>持有项目负责人安全生产考核合格证（B类）或建筑施工企业项目负责人安全生产考核合格证</w:t>
            </w:r>
          </w:p>
        </w:tc>
        <w:tc>
          <w:tcPr>
            <w:tcW w:w="6350" w:type="dxa"/>
            <w:tcBorders>
              <w:top w:val="single" w:color="auto" w:sz="4" w:space="0"/>
              <w:left w:val="single" w:color="auto" w:sz="4" w:space="0"/>
              <w:bottom w:val="single" w:color="auto" w:sz="4" w:space="0"/>
              <w:right w:val="single" w:color="auto" w:sz="4" w:space="0"/>
            </w:tcBorders>
            <w:vAlign w:val="center"/>
          </w:tcPr>
          <w:p>
            <w:pPr>
              <w:spacing w:before="120" w:after="60"/>
              <w:rPr>
                <w:rFonts w:cs="宋体"/>
                <w:color w:val="auto"/>
                <w:szCs w:val="21"/>
                <w:highlight w:val="none"/>
              </w:rPr>
            </w:pPr>
            <w:r>
              <w:rPr>
                <w:rFonts w:hint="eastAsia" w:cs="宋体"/>
                <w:color w:val="auto"/>
                <w:szCs w:val="21"/>
                <w:highlight w:val="none"/>
              </w:rPr>
              <w:t>项目负责人</w:t>
            </w:r>
            <w:r>
              <w:rPr>
                <w:rFonts w:hint="eastAsia" w:ascii="宋体" w:hAnsi="宋体"/>
                <w:color w:val="auto"/>
                <w:szCs w:val="21"/>
                <w:highlight w:val="none"/>
              </w:rPr>
              <w:t>安全生产考核合格证</w:t>
            </w:r>
            <w:r>
              <w:rPr>
                <w:rFonts w:hint="eastAsia" w:cs="宋体"/>
                <w:color w:val="auto"/>
                <w:szCs w:val="21"/>
                <w:highlight w:val="none"/>
              </w:rPr>
              <w:t>（</w:t>
            </w:r>
            <w:r>
              <w:rPr>
                <w:rFonts w:hint="eastAsia" w:ascii="宋体" w:hAnsi="宋体"/>
                <w:color w:val="auto"/>
                <w:szCs w:val="21"/>
                <w:highlight w:val="none"/>
              </w:rPr>
              <w:t>B类</w:t>
            </w:r>
            <w:r>
              <w:rPr>
                <w:rFonts w:hint="eastAsia" w:cs="宋体"/>
                <w:color w:val="auto"/>
                <w:szCs w:val="21"/>
                <w:highlight w:val="none"/>
              </w:rPr>
              <w:t>）或建筑施工企业项目负责人安全生产考核合格证在广州市住建行业信用管理平台内上传件</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cs="宋体"/>
                <w:color w:val="auto"/>
                <w:szCs w:val="21"/>
                <w:highlight w:val="none"/>
              </w:rPr>
            </w:pPr>
            <w:r>
              <w:rPr>
                <w:rFonts w:hint="eastAsia" w:cs="宋体"/>
                <w:color w:val="auto"/>
                <w:szCs w:val="21"/>
                <w:highlight w:val="none"/>
              </w:rPr>
              <w:t>6</w:t>
            </w:r>
          </w:p>
        </w:tc>
        <w:tc>
          <w:tcPr>
            <w:tcW w:w="6615" w:type="dxa"/>
            <w:tcBorders>
              <w:top w:val="single" w:color="auto" w:sz="4" w:space="0"/>
              <w:left w:val="single" w:color="auto" w:sz="4" w:space="0"/>
              <w:bottom w:val="single" w:color="auto" w:sz="4" w:space="0"/>
              <w:right w:val="single" w:color="auto" w:sz="4" w:space="0"/>
            </w:tcBorders>
            <w:vAlign w:val="center"/>
          </w:tcPr>
          <w:p>
            <w:pPr>
              <w:spacing w:before="120" w:after="60"/>
              <w:rPr>
                <w:rFonts w:cs="宋体"/>
                <w:color w:val="auto"/>
                <w:szCs w:val="21"/>
                <w:highlight w:val="none"/>
              </w:rPr>
            </w:pPr>
            <w:r>
              <w:rPr>
                <w:rFonts w:hint="eastAsia" w:cs="宋体"/>
                <w:color w:val="auto"/>
                <w:szCs w:val="21"/>
                <w:highlight w:val="none"/>
              </w:rPr>
              <w:t>投标人拟担任本工程技术负责人符合公告要求</w:t>
            </w:r>
          </w:p>
        </w:tc>
        <w:tc>
          <w:tcPr>
            <w:tcW w:w="6350" w:type="dxa"/>
            <w:tcBorders>
              <w:top w:val="single" w:color="auto" w:sz="4" w:space="0"/>
              <w:left w:val="single" w:color="auto" w:sz="4" w:space="0"/>
              <w:bottom w:val="single" w:color="auto" w:sz="4" w:space="0"/>
              <w:right w:val="single" w:color="auto" w:sz="4" w:space="0"/>
            </w:tcBorders>
            <w:vAlign w:val="center"/>
          </w:tcPr>
          <w:p>
            <w:pPr>
              <w:spacing w:before="120" w:after="60"/>
              <w:rPr>
                <w:rFonts w:cs="宋体"/>
                <w:color w:val="auto"/>
                <w:szCs w:val="21"/>
                <w:highlight w:val="none"/>
              </w:rPr>
            </w:pPr>
            <w:r>
              <w:rPr>
                <w:rFonts w:hint="eastAsia" w:cs="宋体"/>
                <w:bCs/>
                <w:color w:val="auto"/>
                <w:szCs w:val="21"/>
                <w:highlight w:val="none"/>
                <w:u w:val="single"/>
              </w:rPr>
              <w:t>拟委派技术负责人的职称证书清晰扫描件或在广州市住建行业信用管理平台内上传件</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cs="宋体"/>
                <w:color w:val="auto"/>
                <w:szCs w:val="21"/>
                <w:highlight w:val="none"/>
              </w:rPr>
            </w:pPr>
            <w:r>
              <w:rPr>
                <w:rFonts w:hint="eastAsia" w:cs="宋体"/>
                <w:color w:val="auto"/>
                <w:szCs w:val="21"/>
                <w:highlight w:val="none"/>
              </w:rPr>
              <w:t>7</w:t>
            </w:r>
          </w:p>
        </w:tc>
        <w:tc>
          <w:tcPr>
            <w:tcW w:w="6615" w:type="dxa"/>
            <w:tcBorders>
              <w:top w:val="single" w:color="auto" w:sz="4" w:space="0"/>
              <w:left w:val="single" w:color="auto" w:sz="4" w:space="0"/>
              <w:bottom w:val="single" w:color="auto" w:sz="4" w:space="0"/>
              <w:right w:val="single" w:color="auto" w:sz="4" w:space="0"/>
            </w:tcBorders>
            <w:vAlign w:val="center"/>
          </w:tcPr>
          <w:p>
            <w:pPr>
              <w:spacing w:before="120" w:after="60"/>
              <w:rPr>
                <w:rFonts w:cs="宋体"/>
                <w:color w:val="auto"/>
                <w:szCs w:val="21"/>
                <w:highlight w:val="none"/>
              </w:rPr>
            </w:pPr>
            <w:r>
              <w:rPr>
                <w:rFonts w:hint="eastAsia" w:cs="宋体"/>
                <w:color w:val="auto"/>
                <w:szCs w:val="21"/>
                <w:highlight w:val="none"/>
              </w:rPr>
              <w:t>专职安全员须具有在有效期内的安全生产考核合格证（C类）或建筑施工企业专职安全生产管理人员安全生产考核合格证（C3）</w:t>
            </w:r>
          </w:p>
        </w:tc>
        <w:tc>
          <w:tcPr>
            <w:tcW w:w="6350" w:type="dxa"/>
            <w:tcBorders>
              <w:top w:val="single" w:color="auto" w:sz="4" w:space="0"/>
              <w:left w:val="single" w:color="auto" w:sz="4" w:space="0"/>
              <w:bottom w:val="single" w:color="auto" w:sz="4" w:space="0"/>
              <w:right w:val="single" w:color="auto" w:sz="4" w:space="0"/>
            </w:tcBorders>
            <w:vAlign w:val="center"/>
          </w:tcPr>
          <w:p>
            <w:pPr>
              <w:spacing w:before="120" w:after="60"/>
              <w:rPr>
                <w:rFonts w:cs="宋体"/>
                <w:color w:val="auto"/>
                <w:szCs w:val="21"/>
                <w:highlight w:val="none"/>
              </w:rPr>
            </w:pPr>
            <w:r>
              <w:rPr>
                <w:rFonts w:hint="eastAsia" w:cs="宋体"/>
                <w:bCs/>
                <w:color w:val="auto"/>
                <w:szCs w:val="21"/>
                <w:highlight w:val="none"/>
              </w:rPr>
              <w:t>专职安全员的安全生产考核合格证（C类）或建筑施工企业专职安全生产管理人员安全生产考核合格证（C3）</w:t>
            </w:r>
            <w:r>
              <w:rPr>
                <w:rFonts w:hint="eastAsia" w:cs="宋体"/>
                <w:bCs/>
                <w:color w:val="auto"/>
                <w:szCs w:val="21"/>
                <w:highlight w:val="none"/>
                <w:lang w:val="en-US" w:eastAsia="zh-CN"/>
              </w:rPr>
              <w:t>在</w:t>
            </w:r>
            <w:r>
              <w:rPr>
                <w:rFonts w:hint="eastAsia" w:cs="宋体"/>
                <w:bCs/>
                <w:color w:val="auto"/>
                <w:szCs w:val="21"/>
                <w:highlight w:val="none"/>
                <w:u w:val="none"/>
              </w:rPr>
              <w:t>广州市住建行业信用管理平台内上传件</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rPr>
              <w:t>8</w:t>
            </w:r>
          </w:p>
        </w:tc>
        <w:tc>
          <w:tcPr>
            <w:tcW w:w="6615"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投标人完成过的类似工程业绩符合公告要求</w:t>
            </w:r>
          </w:p>
        </w:tc>
        <w:tc>
          <w:tcPr>
            <w:tcW w:w="6350"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bCs/>
                <w:color w:val="auto"/>
                <w:kern w:val="2"/>
                <w:sz w:val="21"/>
                <w:szCs w:val="21"/>
                <w:highlight w:val="none"/>
                <w:lang w:val="en-US" w:eastAsia="zh-CN" w:bidi="ar-SA"/>
              </w:rPr>
            </w:pPr>
            <w:r>
              <w:rPr>
                <w:rFonts w:hint="eastAsia" w:ascii="宋体" w:hAnsi="宋体" w:cs="宋体"/>
                <w:color w:val="auto"/>
                <w:sz w:val="21"/>
                <w:szCs w:val="21"/>
                <w:highlight w:val="none"/>
                <w:lang w:eastAsia="zh-CN"/>
              </w:rPr>
              <w:t>业绩在广州市住建行业信用管理平台内的相关上传件</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eastAsia="宋体" w:cs="宋体"/>
                <w:color w:val="auto"/>
                <w:szCs w:val="21"/>
                <w:highlight w:val="none"/>
                <w:lang w:eastAsia="zh-CN"/>
              </w:rPr>
            </w:pPr>
            <w:r>
              <w:rPr>
                <w:rFonts w:hint="eastAsia" w:cs="宋体"/>
                <w:color w:val="auto"/>
                <w:szCs w:val="21"/>
                <w:highlight w:val="none"/>
                <w:lang w:val="en-US" w:eastAsia="zh-CN"/>
              </w:rPr>
              <w:t>9</w:t>
            </w:r>
          </w:p>
        </w:tc>
        <w:tc>
          <w:tcPr>
            <w:tcW w:w="6615" w:type="dxa"/>
            <w:tcBorders>
              <w:top w:val="single" w:color="auto" w:sz="4" w:space="0"/>
              <w:left w:val="single" w:color="auto" w:sz="4" w:space="0"/>
              <w:bottom w:val="single" w:color="auto" w:sz="4" w:space="0"/>
              <w:right w:val="single" w:color="auto" w:sz="4" w:space="0"/>
            </w:tcBorders>
            <w:vAlign w:val="center"/>
          </w:tcPr>
          <w:p>
            <w:pPr>
              <w:spacing w:before="120" w:after="60"/>
              <w:rPr>
                <w:rFonts w:cs="宋体"/>
                <w:color w:val="auto"/>
                <w:szCs w:val="21"/>
                <w:highlight w:val="none"/>
              </w:rPr>
            </w:pPr>
            <w:r>
              <w:rPr>
                <w:rFonts w:hint="eastAsia" w:cs="宋体"/>
                <w:color w:val="auto"/>
                <w:szCs w:val="21"/>
                <w:highlight w:val="none"/>
              </w:rPr>
              <w:t>投标人提供的投标人声明符合公告要求</w:t>
            </w:r>
          </w:p>
        </w:tc>
        <w:tc>
          <w:tcPr>
            <w:tcW w:w="635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cs="宋体"/>
                <w:color w:val="auto"/>
                <w:szCs w:val="21"/>
                <w:highlight w:val="none"/>
              </w:rPr>
            </w:pPr>
            <w:r>
              <w:rPr>
                <w:rFonts w:hint="eastAsia" w:cs="宋体"/>
                <w:color w:val="auto"/>
                <w:szCs w:val="21"/>
                <w:highlight w:val="none"/>
              </w:rPr>
              <w:t>投标人声明</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default" w:eastAsia="宋体" w:cs="宋体"/>
                <w:color w:val="auto"/>
                <w:szCs w:val="21"/>
                <w:highlight w:val="none"/>
                <w:lang w:val="en-US" w:eastAsia="zh-CN"/>
              </w:rPr>
            </w:pPr>
            <w:r>
              <w:rPr>
                <w:rFonts w:hint="eastAsia" w:cs="宋体"/>
                <w:color w:val="auto"/>
                <w:szCs w:val="21"/>
                <w:highlight w:val="none"/>
                <w:lang w:val="en-US" w:eastAsia="zh-CN"/>
              </w:rPr>
              <w:t>10</w:t>
            </w:r>
          </w:p>
        </w:tc>
        <w:tc>
          <w:tcPr>
            <w:tcW w:w="6615" w:type="dxa"/>
            <w:tcBorders>
              <w:top w:val="single" w:color="auto" w:sz="4" w:space="0"/>
              <w:left w:val="single" w:color="auto" w:sz="4" w:space="0"/>
              <w:bottom w:val="single" w:color="auto" w:sz="4" w:space="0"/>
              <w:right w:val="single" w:color="auto" w:sz="4" w:space="0"/>
            </w:tcBorders>
            <w:vAlign w:val="center"/>
          </w:tcPr>
          <w:p>
            <w:pPr>
              <w:spacing w:before="120" w:after="60"/>
              <w:rPr>
                <w:rFonts w:cs="宋体"/>
                <w:color w:val="auto"/>
                <w:szCs w:val="21"/>
                <w:highlight w:val="none"/>
              </w:rPr>
            </w:pPr>
            <w:r>
              <w:rPr>
                <w:rFonts w:hint="eastAsia" w:cs="宋体"/>
                <w:color w:val="auto"/>
                <w:szCs w:val="21"/>
                <w:highlight w:val="none"/>
              </w:rPr>
              <w:t>投标人声明中签字的项目负责人和技术负责人与本项目拟派的项目负责人和技术负责人一致</w:t>
            </w:r>
          </w:p>
        </w:tc>
        <w:tc>
          <w:tcPr>
            <w:tcW w:w="6350" w:type="dxa"/>
            <w:tcBorders>
              <w:top w:val="single" w:color="auto" w:sz="4" w:space="0"/>
              <w:left w:val="single" w:color="auto" w:sz="4" w:space="0"/>
              <w:bottom w:val="single" w:color="auto" w:sz="4" w:space="0"/>
              <w:right w:val="single" w:color="auto" w:sz="4" w:space="0"/>
            </w:tcBorders>
            <w:vAlign w:val="center"/>
          </w:tcPr>
          <w:p>
            <w:pPr>
              <w:spacing w:before="120" w:after="60"/>
              <w:rPr>
                <w:rFonts w:cs="宋体"/>
                <w:color w:val="auto"/>
                <w:szCs w:val="21"/>
                <w:highlight w:val="none"/>
              </w:rPr>
            </w:pPr>
            <w:r>
              <w:rPr>
                <w:rFonts w:hint="eastAsia" w:cs="宋体"/>
                <w:color w:val="auto"/>
                <w:szCs w:val="21"/>
                <w:highlight w:val="none"/>
              </w:rPr>
              <w:t>网上投标时选择拟投标的项目负责人、资格审查文件中拟委派的技术负责人及投标人声明</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default" w:eastAsia="宋体" w:cs="宋体"/>
                <w:color w:val="auto"/>
                <w:szCs w:val="21"/>
                <w:highlight w:val="none"/>
                <w:lang w:val="en-US" w:eastAsia="zh-CN"/>
              </w:rPr>
            </w:pPr>
            <w:r>
              <w:rPr>
                <w:rFonts w:hint="eastAsia" w:cs="宋体"/>
                <w:color w:val="auto"/>
                <w:szCs w:val="21"/>
                <w:highlight w:val="none"/>
                <w:lang w:val="en-US" w:eastAsia="zh-CN"/>
              </w:rPr>
              <w:t>11</w:t>
            </w:r>
          </w:p>
        </w:tc>
        <w:tc>
          <w:tcPr>
            <w:tcW w:w="6615" w:type="dxa"/>
            <w:tcBorders>
              <w:top w:val="single" w:color="auto" w:sz="4" w:space="0"/>
              <w:left w:val="single" w:color="auto" w:sz="4" w:space="0"/>
              <w:bottom w:val="single" w:color="auto" w:sz="4" w:space="0"/>
              <w:right w:val="single" w:color="auto" w:sz="4" w:space="0"/>
            </w:tcBorders>
            <w:vAlign w:val="center"/>
          </w:tcPr>
          <w:p>
            <w:pPr>
              <w:spacing w:before="120" w:after="60"/>
              <w:rPr>
                <w:rFonts w:cs="宋体"/>
                <w:color w:val="auto"/>
                <w:szCs w:val="21"/>
                <w:highlight w:val="none"/>
              </w:rPr>
            </w:pPr>
            <w:r>
              <w:rPr>
                <w:rFonts w:cs="宋体"/>
                <w:color w:val="auto"/>
                <w:szCs w:val="21"/>
                <w:highlight w:val="none"/>
              </w:rPr>
              <w:t>关于联合体投标：本项目</w:t>
            </w:r>
            <w:r>
              <w:rPr>
                <w:rFonts w:hint="eastAsia" w:cs="宋体"/>
                <w:color w:val="auto"/>
                <w:szCs w:val="21"/>
                <w:highlight w:val="none"/>
              </w:rPr>
              <w:t>不</w:t>
            </w:r>
            <w:r>
              <w:rPr>
                <w:rFonts w:cs="宋体"/>
                <w:color w:val="auto"/>
                <w:szCs w:val="21"/>
                <w:highlight w:val="none"/>
              </w:rPr>
              <w:t>接受联合体投标。</w:t>
            </w:r>
          </w:p>
        </w:tc>
        <w:tc>
          <w:tcPr>
            <w:tcW w:w="6350" w:type="dxa"/>
            <w:tcBorders>
              <w:top w:val="single" w:color="auto" w:sz="4" w:space="0"/>
              <w:left w:val="single" w:color="auto" w:sz="4" w:space="0"/>
              <w:bottom w:val="single" w:color="auto" w:sz="4" w:space="0"/>
              <w:right w:val="single" w:color="auto" w:sz="4" w:space="0"/>
            </w:tcBorders>
            <w:vAlign w:val="center"/>
          </w:tcPr>
          <w:p>
            <w:pPr>
              <w:jc w:val="left"/>
              <w:rPr>
                <w:rFonts w:cs="宋体"/>
                <w:strike/>
                <w:color w:val="auto"/>
                <w:szCs w:val="21"/>
                <w:highlight w:val="none"/>
                <w:u w:val="single"/>
              </w:rPr>
            </w:pPr>
            <w:r>
              <w:rPr>
                <w:rFonts w:hint="eastAsia" w:ascii="宋体" w:hAnsi="宋体" w:cs="宋体"/>
                <w:color w:val="auto"/>
                <w:szCs w:val="21"/>
                <w:highlight w:val="none"/>
                <w:u w:val="none"/>
              </w:rPr>
              <w:t>未以联合体进行投标</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default" w:eastAsia="宋体" w:cs="宋体"/>
                <w:color w:val="auto"/>
                <w:szCs w:val="21"/>
                <w:highlight w:val="none"/>
                <w:lang w:val="en-US" w:eastAsia="zh-CN"/>
              </w:rPr>
            </w:pPr>
            <w:r>
              <w:rPr>
                <w:rFonts w:hint="eastAsia" w:cs="宋体"/>
                <w:color w:val="auto"/>
                <w:szCs w:val="21"/>
                <w:highlight w:val="none"/>
                <w:lang w:val="en-US" w:eastAsia="zh-CN"/>
              </w:rPr>
              <w:t>12</w:t>
            </w:r>
          </w:p>
        </w:tc>
        <w:tc>
          <w:tcPr>
            <w:tcW w:w="6615" w:type="dxa"/>
            <w:tcBorders>
              <w:top w:val="single" w:color="auto" w:sz="4" w:space="0"/>
              <w:left w:val="single" w:color="auto" w:sz="4" w:space="0"/>
              <w:bottom w:val="single" w:color="auto" w:sz="4" w:space="0"/>
              <w:right w:val="single" w:color="auto" w:sz="4" w:space="0"/>
            </w:tcBorders>
            <w:vAlign w:val="center"/>
          </w:tcPr>
          <w:p>
            <w:pPr>
              <w:spacing w:before="120" w:after="60"/>
              <w:rPr>
                <w:rFonts w:cs="宋体"/>
                <w:color w:val="auto"/>
                <w:szCs w:val="21"/>
                <w:highlight w:val="none"/>
              </w:rPr>
            </w:pPr>
            <w:r>
              <w:rPr>
                <w:rFonts w:hint="eastAsia" w:cs="宋体"/>
                <w:color w:val="auto"/>
                <w:szCs w:val="21"/>
                <w:highlight w:val="none"/>
              </w:rPr>
              <w:t>资格审查前，投标人须在广州市住房和城乡建设局建立企业信用档案及拟担任本工程项目负责人、专职安全员须是本企业中的在册人员</w:t>
            </w:r>
          </w:p>
        </w:tc>
        <w:tc>
          <w:tcPr>
            <w:tcW w:w="6350" w:type="dxa"/>
            <w:tcBorders>
              <w:top w:val="single" w:color="auto" w:sz="4" w:space="0"/>
              <w:left w:val="single" w:color="auto" w:sz="4" w:space="0"/>
              <w:bottom w:val="single" w:color="auto" w:sz="4" w:space="0"/>
              <w:right w:val="single" w:color="auto" w:sz="4" w:space="0"/>
            </w:tcBorders>
            <w:vAlign w:val="center"/>
          </w:tcPr>
          <w:p>
            <w:pPr>
              <w:spacing w:before="120" w:after="60"/>
              <w:rPr>
                <w:rFonts w:cs="宋体"/>
                <w:color w:val="auto"/>
                <w:szCs w:val="21"/>
                <w:highlight w:val="none"/>
              </w:rPr>
            </w:pPr>
            <w:r>
              <w:rPr>
                <w:rFonts w:hint="eastAsia" w:cs="宋体"/>
                <w:color w:val="auto"/>
                <w:szCs w:val="21"/>
                <w:highlight w:val="none"/>
              </w:rPr>
              <w:t>投标人在广州市住建行业信用管理平台内企业信用档案的企业和人员信息</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default" w:eastAsia="宋体" w:cs="宋体"/>
                <w:color w:val="auto"/>
                <w:szCs w:val="21"/>
                <w:highlight w:val="none"/>
                <w:lang w:val="en-US" w:eastAsia="zh-CN"/>
              </w:rPr>
            </w:pPr>
            <w:r>
              <w:rPr>
                <w:rFonts w:hint="eastAsia" w:cs="宋体"/>
                <w:color w:val="auto"/>
                <w:szCs w:val="21"/>
                <w:highlight w:val="none"/>
                <w:lang w:val="en-US" w:eastAsia="zh-CN"/>
              </w:rPr>
              <w:t>13</w:t>
            </w:r>
          </w:p>
        </w:tc>
        <w:tc>
          <w:tcPr>
            <w:tcW w:w="6615" w:type="dxa"/>
            <w:tcBorders>
              <w:top w:val="single" w:color="auto" w:sz="4" w:space="0"/>
              <w:left w:val="single" w:color="auto" w:sz="4" w:space="0"/>
              <w:bottom w:val="single" w:color="auto" w:sz="4" w:space="0"/>
              <w:right w:val="single" w:color="auto" w:sz="4" w:space="0"/>
            </w:tcBorders>
            <w:vAlign w:val="center"/>
          </w:tcPr>
          <w:p>
            <w:pPr>
              <w:spacing w:before="120" w:after="60"/>
              <w:rPr>
                <w:rFonts w:cs="宋体"/>
                <w:color w:val="auto"/>
                <w:szCs w:val="21"/>
                <w:highlight w:val="none"/>
              </w:rPr>
            </w:pPr>
            <w:r>
              <w:rPr>
                <w:rFonts w:hint="eastAsia" w:cs="宋体"/>
                <w:color w:val="auto"/>
                <w:szCs w:val="21"/>
                <w:highlight w:val="none"/>
              </w:rPr>
              <w:t>投标人未出现以下情形：与其它投标人的单位负责人为同一人或者存在控股、管理关系的（按投标人提供的《投标人声明》第八条内容进行评审）。</w:t>
            </w:r>
          </w:p>
        </w:tc>
        <w:tc>
          <w:tcPr>
            <w:tcW w:w="635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cs="宋体"/>
                <w:color w:val="auto"/>
                <w:szCs w:val="21"/>
                <w:highlight w:val="none"/>
              </w:rPr>
            </w:pPr>
            <w:r>
              <w:rPr>
                <w:rFonts w:hint="eastAsia" w:cs="宋体"/>
                <w:color w:val="auto"/>
                <w:szCs w:val="21"/>
                <w:highlight w:val="none"/>
              </w:rPr>
              <w:t>投标人声明</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default" w:eastAsia="宋体" w:cs="宋体"/>
                <w:color w:val="auto"/>
                <w:szCs w:val="21"/>
                <w:highlight w:val="none"/>
                <w:lang w:val="en-US" w:eastAsia="zh-CN"/>
              </w:rPr>
            </w:pPr>
            <w:r>
              <w:rPr>
                <w:rFonts w:hint="eastAsia" w:cs="宋体"/>
                <w:color w:val="auto"/>
                <w:szCs w:val="21"/>
                <w:highlight w:val="none"/>
                <w:lang w:val="en-US" w:eastAsia="zh-CN"/>
              </w:rPr>
              <w:t>14</w:t>
            </w:r>
          </w:p>
        </w:tc>
        <w:tc>
          <w:tcPr>
            <w:tcW w:w="6615"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zCs w:val="21"/>
                <w:highlight w:val="none"/>
              </w:rPr>
              <w:t>未被列入拖欠农民工工资失信联合惩戒对象名单。</w:t>
            </w:r>
          </w:p>
        </w:tc>
        <w:tc>
          <w:tcPr>
            <w:tcW w:w="635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hint="eastAsia" w:ascii="宋体" w:hAnsi="宋体" w:eastAsia="宋体" w:cs="Times New Roman"/>
                <w:color w:val="auto"/>
                <w:kern w:val="2"/>
                <w:sz w:val="21"/>
                <w:szCs w:val="22"/>
                <w:highlight w:val="none"/>
                <w:lang w:val="en-US" w:eastAsia="zh-CN" w:bidi="ar-SA"/>
              </w:rPr>
            </w:pPr>
            <w:r>
              <w:rPr>
                <w:rFonts w:hint="eastAsia"/>
                <w:color w:val="auto"/>
                <w:szCs w:val="21"/>
                <w:highlight w:val="none"/>
              </w:rPr>
              <w:t>投标人无需提供资料，按交易系统比对的结果进行评审</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cs="宋体"/>
                <w:color w:val="auto"/>
                <w:szCs w:val="21"/>
                <w:highlight w:val="none"/>
              </w:rPr>
            </w:pPr>
          </w:p>
        </w:tc>
      </w:tr>
    </w:tbl>
    <w:p>
      <w:pPr>
        <w:spacing w:line="240" w:lineRule="auto"/>
        <w:ind w:firstLine="470" w:firstLineChars="224"/>
        <w:rPr>
          <w:color w:val="auto"/>
          <w:szCs w:val="21"/>
          <w:highlight w:val="none"/>
        </w:rPr>
      </w:pPr>
      <w:r>
        <w:rPr>
          <w:rFonts w:hint="eastAsia"/>
          <w:color w:val="auto"/>
          <w:szCs w:val="21"/>
          <w:highlight w:val="none"/>
        </w:rPr>
        <w:t>备注：</w:t>
      </w:r>
      <w:r>
        <w:rPr>
          <w:color w:val="auto"/>
          <w:szCs w:val="21"/>
          <w:highlight w:val="none"/>
        </w:rPr>
        <w:t>1</w:t>
      </w:r>
      <w:r>
        <w:rPr>
          <w:rFonts w:hint="eastAsia"/>
          <w:color w:val="auto"/>
          <w:szCs w:val="21"/>
          <w:highlight w:val="none"/>
        </w:rPr>
        <w:t>、每一项目符合的打“○”，不符合的打“×”；</w:t>
      </w:r>
      <w:r>
        <w:rPr>
          <w:color w:val="auto"/>
          <w:szCs w:val="21"/>
          <w:highlight w:val="none"/>
        </w:rPr>
        <w:t xml:space="preserve"> </w:t>
      </w:r>
    </w:p>
    <w:p>
      <w:pPr>
        <w:spacing w:line="240" w:lineRule="auto"/>
        <w:ind w:firstLine="470" w:firstLineChars="224"/>
        <w:rPr>
          <w:rFonts w:hint="eastAsia"/>
          <w:color w:val="auto"/>
          <w:szCs w:val="21"/>
          <w:highlight w:val="none"/>
        </w:rPr>
      </w:pPr>
      <w:r>
        <w:rPr>
          <w:color w:val="auto"/>
          <w:szCs w:val="21"/>
          <w:highlight w:val="none"/>
        </w:rPr>
        <w:t>2</w:t>
      </w:r>
      <w:r>
        <w:rPr>
          <w:rFonts w:hint="eastAsia"/>
          <w:color w:val="auto"/>
          <w:szCs w:val="21"/>
          <w:highlight w:val="none"/>
        </w:rPr>
        <w:t>、若评委意见不一致时，则按少数服从多数的原则，作出评审结论。汇总后，出现一个“×”的结论为“不通过”。</w:t>
      </w:r>
    </w:p>
    <w:p>
      <w:pPr>
        <w:spacing w:line="240" w:lineRule="auto"/>
        <w:ind w:firstLine="470" w:firstLineChars="224"/>
        <w:rPr>
          <w:rFonts w:hint="eastAsia"/>
          <w:color w:val="auto"/>
          <w:szCs w:val="21"/>
          <w:highlight w:val="none"/>
        </w:rPr>
      </w:pPr>
      <w:r>
        <w:rPr>
          <w:rFonts w:hint="eastAsia"/>
          <w:color w:val="auto"/>
          <w:szCs w:val="21"/>
          <w:highlight w:val="none"/>
          <w:lang w:val="en-US" w:eastAsia="zh-CN"/>
        </w:rPr>
        <w:t>3</w:t>
      </w:r>
      <w:r>
        <w:rPr>
          <w:rFonts w:hint="eastAsia"/>
          <w:color w:val="auto"/>
          <w:szCs w:val="21"/>
          <w:highlight w:val="none"/>
        </w:rPr>
        <w:t>、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pPr>
        <w:ind w:firstLine="420" w:firstLineChars="200"/>
        <w:rPr>
          <w:color w:val="auto"/>
          <w:szCs w:val="21"/>
          <w:highlight w:val="none"/>
        </w:rPr>
      </w:pPr>
      <w:r>
        <w:rPr>
          <w:rFonts w:hint="eastAsia"/>
          <w:color w:val="auto"/>
          <w:szCs w:val="21"/>
          <w:highlight w:val="none"/>
        </w:rPr>
        <w:t>评委签名：</w:t>
      </w:r>
    </w:p>
    <w:p>
      <w:pPr>
        <w:pStyle w:val="3"/>
        <w:rPr>
          <w:rFonts w:hint="eastAsia"/>
          <w:color w:val="auto"/>
          <w:highlight w:val="none"/>
        </w:rPr>
        <w:sectPr>
          <w:endnotePr>
            <w:numFmt w:val="decimal"/>
          </w:endnotePr>
          <w:pgSz w:w="16838" w:h="11905" w:orient="landscape"/>
          <w:pgMar w:top="1247" w:right="1440" w:bottom="1247" w:left="1440" w:header="850" w:footer="907" w:gutter="0"/>
          <w:cols w:space="0" w:num="1"/>
          <w:titlePg/>
          <w:docGrid w:type="lines" w:linePitch="319" w:charSpace="0"/>
        </w:sectPr>
      </w:pPr>
    </w:p>
    <w:p>
      <w:pPr>
        <w:rPr>
          <w:b/>
          <w:color w:val="auto"/>
          <w:sz w:val="36"/>
          <w:szCs w:val="36"/>
          <w:highlight w:val="none"/>
        </w:rPr>
      </w:pPr>
      <w:r>
        <w:rPr>
          <w:rFonts w:hint="eastAsia"/>
          <w:color w:val="auto"/>
          <w:szCs w:val="21"/>
          <w:highlight w:val="none"/>
        </w:rPr>
        <w:t>附表二</w:t>
      </w:r>
      <w:r>
        <w:rPr>
          <w:rFonts w:hint="eastAsia"/>
          <w:color w:val="auto"/>
          <w:szCs w:val="21"/>
          <w:highlight w:val="none"/>
          <w:lang w:val="en-US" w:eastAsia="zh-CN"/>
        </w:rPr>
        <w:t xml:space="preserve">                                                  </w:t>
      </w:r>
      <w:r>
        <w:rPr>
          <w:rFonts w:hint="eastAsia"/>
          <w:b/>
          <w:color w:val="auto"/>
          <w:sz w:val="36"/>
          <w:szCs w:val="36"/>
          <w:highlight w:val="none"/>
        </w:rPr>
        <w:t>技术标有效性审查表</w:t>
      </w:r>
    </w:p>
    <w:p>
      <w:pPr>
        <w:rPr>
          <w:color w:val="auto"/>
          <w:szCs w:val="21"/>
          <w:highlight w:val="none"/>
        </w:rPr>
      </w:pPr>
      <w:r>
        <w:rPr>
          <w:rFonts w:hint="eastAsia"/>
          <w:color w:val="auto"/>
          <w:szCs w:val="21"/>
          <w:highlight w:val="none"/>
        </w:rPr>
        <w:t>工程名称：</w:t>
      </w:r>
    </w:p>
    <w:tbl>
      <w:tblPr>
        <w:tblStyle w:val="25"/>
        <w:tblW w:w="1428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8957"/>
        <w:gridCol w:w="1604"/>
        <w:gridCol w:w="1604"/>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20" w:type="dxa"/>
            <w:tcBorders>
              <w:top w:val="single" w:color="auto" w:sz="4" w:space="0"/>
              <w:left w:val="single" w:color="auto" w:sz="4" w:space="0"/>
              <w:bottom w:val="single" w:color="auto" w:sz="4" w:space="0"/>
              <w:right w:val="single" w:color="auto" w:sz="4" w:space="0"/>
            </w:tcBorders>
            <w:vAlign w:val="center"/>
          </w:tcPr>
          <w:p>
            <w:pPr>
              <w:adjustRightInd w:val="0"/>
              <w:rPr>
                <w:color w:val="auto"/>
                <w:szCs w:val="21"/>
                <w:highlight w:val="none"/>
              </w:rPr>
            </w:pPr>
            <w:r>
              <w:rPr>
                <w:rFonts w:hint="eastAsia"/>
                <w:color w:val="auto"/>
                <w:szCs w:val="21"/>
                <w:highlight w:val="none"/>
              </w:rPr>
              <w:t>序号</w:t>
            </w:r>
          </w:p>
        </w:tc>
        <w:tc>
          <w:tcPr>
            <w:tcW w:w="8957" w:type="dxa"/>
            <w:tcBorders>
              <w:top w:val="single" w:color="auto" w:sz="4" w:space="0"/>
              <w:left w:val="single" w:color="auto" w:sz="4" w:space="0"/>
              <w:bottom w:val="single" w:color="auto" w:sz="4" w:space="0"/>
              <w:right w:val="single" w:color="auto" w:sz="4" w:space="0"/>
              <w:tl2br w:val="single" w:color="auto" w:sz="4" w:space="0"/>
            </w:tcBorders>
          </w:tcPr>
          <w:p>
            <w:pPr>
              <w:adjustRightInd w:val="0"/>
              <w:rPr>
                <w:color w:val="auto"/>
                <w:szCs w:val="21"/>
                <w:highlight w:val="none"/>
              </w:rPr>
            </w:pP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lang w:val="en-US" w:eastAsia="zh-CN"/>
              </w:rPr>
              <w:t xml:space="preserve">         </w:t>
            </w:r>
            <w:r>
              <w:rPr>
                <w:color w:val="auto"/>
                <w:szCs w:val="21"/>
                <w:highlight w:val="none"/>
              </w:rPr>
              <w:t xml:space="preserve"> </w:t>
            </w:r>
            <w:r>
              <w:rPr>
                <w:rFonts w:hint="eastAsia"/>
                <w:color w:val="auto"/>
                <w:szCs w:val="21"/>
                <w:highlight w:val="none"/>
              </w:rPr>
              <w:t>投标人</w:t>
            </w:r>
          </w:p>
          <w:p>
            <w:pPr>
              <w:adjustRightInd w:val="0"/>
              <w:rPr>
                <w:color w:val="auto"/>
                <w:szCs w:val="21"/>
                <w:highlight w:val="none"/>
              </w:rPr>
            </w:pPr>
            <w:r>
              <w:rPr>
                <w:rFonts w:hint="eastAsia"/>
                <w:color w:val="auto"/>
                <w:szCs w:val="21"/>
                <w:highlight w:val="none"/>
              </w:rPr>
              <w:t>评审内容</w:t>
            </w:r>
          </w:p>
        </w:tc>
        <w:tc>
          <w:tcPr>
            <w:tcW w:w="1604" w:type="dxa"/>
            <w:tcBorders>
              <w:top w:val="single" w:color="auto" w:sz="4" w:space="0"/>
              <w:left w:val="single" w:color="auto" w:sz="4" w:space="0"/>
              <w:bottom w:val="single" w:color="auto" w:sz="4" w:space="0"/>
              <w:right w:val="single" w:color="auto" w:sz="4" w:space="0"/>
            </w:tcBorders>
          </w:tcPr>
          <w:p>
            <w:pPr>
              <w:adjustRightInd w:val="0"/>
              <w:rPr>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tcPr>
          <w:p>
            <w:pPr>
              <w:adjustRightInd w:val="0"/>
              <w:rPr>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tcPr>
          <w:p>
            <w:pPr>
              <w:adjustRightInd w:val="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pPr>
              <w:adjustRightInd w:val="0"/>
              <w:rPr>
                <w:color w:val="auto"/>
                <w:szCs w:val="21"/>
                <w:highlight w:val="none"/>
              </w:rPr>
            </w:pPr>
            <w:r>
              <w:rPr>
                <w:rFonts w:hint="eastAsia"/>
                <w:color w:val="auto"/>
                <w:szCs w:val="21"/>
                <w:highlight w:val="none"/>
              </w:rPr>
              <w:t>1</w:t>
            </w:r>
          </w:p>
        </w:tc>
        <w:tc>
          <w:tcPr>
            <w:tcW w:w="8957" w:type="dxa"/>
            <w:tcBorders>
              <w:top w:val="single" w:color="auto" w:sz="4" w:space="0"/>
              <w:left w:val="single" w:color="auto" w:sz="4" w:space="0"/>
              <w:bottom w:val="single" w:color="auto" w:sz="4" w:space="0"/>
              <w:right w:val="single" w:color="auto" w:sz="4" w:space="0"/>
            </w:tcBorders>
            <w:vAlign w:val="center"/>
          </w:tcPr>
          <w:p>
            <w:pPr>
              <w:adjustRightInd w:val="0"/>
              <w:rPr>
                <w:color w:val="auto"/>
                <w:szCs w:val="21"/>
                <w:highlight w:val="none"/>
              </w:rPr>
            </w:pPr>
            <w:r>
              <w:rPr>
                <w:rFonts w:hint="eastAsia" w:cs="宋体"/>
                <w:color w:val="auto"/>
                <w:szCs w:val="21"/>
                <w:highlight w:val="none"/>
                <w:u w:val="single"/>
              </w:rPr>
              <w:t>《广州建设工程施工招标投标书》中的投标总工期</w:t>
            </w:r>
            <w:r>
              <w:rPr>
                <w:rFonts w:hint="eastAsia"/>
                <w:color w:val="auto"/>
                <w:szCs w:val="21"/>
                <w:highlight w:val="none"/>
              </w:rPr>
              <w:t>不能满足完成投标项目工期的；</w:t>
            </w:r>
          </w:p>
        </w:tc>
        <w:tc>
          <w:tcPr>
            <w:tcW w:w="1604" w:type="dxa"/>
            <w:tcBorders>
              <w:top w:val="single" w:color="auto" w:sz="4" w:space="0"/>
              <w:left w:val="single" w:color="auto" w:sz="4" w:space="0"/>
              <w:bottom w:val="single" w:color="auto" w:sz="4" w:space="0"/>
              <w:right w:val="single" w:color="auto" w:sz="4" w:space="0"/>
            </w:tcBorders>
          </w:tcPr>
          <w:p>
            <w:pPr>
              <w:adjustRightInd w:val="0"/>
              <w:rPr>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tcPr>
          <w:p>
            <w:pPr>
              <w:adjustRightInd w:val="0"/>
              <w:rPr>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tcPr>
          <w:p>
            <w:pPr>
              <w:adjustRightInd w:val="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pPr>
              <w:adjustRightInd w:val="0"/>
              <w:rPr>
                <w:color w:val="auto"/>
                <w:szCs w:val="21"/>
                <w:highlight w:val="none"/>
              </w:rPr>
            </w:pPr>
            <w:r>
              <w:rPr>
                <w:rFonts w:hint="eastAsia"/>
                <w:color w:val="auto"/>
                <w:szCs w:val="21"/>
                <w:highlight w:val="none"/>
              </w:rPr>
              <w:t>2</w:t>
            </w:r>
          </w:p>
        </w:tc>
        <w:tc>
          <w:tcPr>
            <w:tcW w:w="8957" w:type="dxa"/>
            <w:tcBorders>
              <w:top w:val="single" w:color="auto" w:sz="4" w:space="0"/>
              <w:left w:val="single" w:color="auto" w:sz="4" w:space="0"/>
              <w:bottom w:val="single" w:color="auto" w:sz="4" w:space="0"/>
              <w:right w:val="single" w:color="auto" w:sz="4" w:space="0"/>
            </w:tcBorders>
            <w:vAlign w:val="center"/>
          </w:tcPr>
          <w:p>
            <w:pPr>
              <w:adjustRightInd w:val="0"/>
              <w:rPr>
                <w:rFonts w:cs="宋体"/>
                <w:color w:val="auto"/>
                <w:szCs w:val="21"/>
                <w:highlight w:val="none"/>
                <w:u w:val="single"/>
              </w:rPr>
            </w:pPr>
            <w:r>
              <w:rPr>
                <w:rFonts w:hint="eastAsia" w:cs="宋体"/>
                <w:color w:val="auto"/>
                <w:szCs w:val="21"/>
                <w:highlight w:val="none"/>
                <w:u w:val="single"/>
              </w:rPr>
              <w:t>《广州建设工程施工招标投标书》中的工程质量标准不符合招标文件要求的；</w:t>
            </w:r>
          </w:p>
        </w:tc>
        <w:tc>
          <w:tcPr>
            <w:tcW w:w="1604" w:type="dxa"/>
            <w:tcBorders>
              <w:top w:val="single" w:color="auto" w:sz="4" w:space="0"/>
              <w:left w:val="single" w:color="auto" w:sz="4" w:space="0"/>
              <w:bottom w:val="single" w:color="auto" w:sz="4" w:space="0"/>
              <w:right w:val="single" w:color="auto" w:sz="4" w:space="0"/>
            </w:tcBorders>
          </w:tcPr>
          <w:p>
            <w:pPr>
              <w:adjustRightInd w:val="0"/>
              <w:rPr>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tcPr>
          <w:p>
            <w:pPr>
              <w:adjustRightInd w:val="0"/>
              <w:rPr>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tcPr>
          <w:p>
            <w:pPr>
              <w:adjustRightInd w:val="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20" w:type="dxa"/>
            <w:tcBorders>
              <w:top w:val="single" w:color="auto" w:sz="4" w:space="0"/>
              <w:left w:val="single" w:color="auto" w:sz="4" w:space="0"/>
              <w:bottom w:val="single" w:color="auto" w:sz="4" w:space="0"/>
              <w:right w:val="single" w:color="auto" w:sz="4" w:space="0"/>
            </w:tcBorders>
            <w:vAlign w:val="center"/>
          </w:tcPr>
          <w:p>
            <w:pPr>
              <w:adjustRightInd w:val="0"/>
              <w:rPr>
                <w:color w:val="auto"/>
                <w:szCs w:val="21"/>
                <w:highlight w:val="none"/>
              </w:rPr>
            </w:pPr>
            <w:r>
              <w:rPr>
                <w:rFonts w:hint="eastAsia"/>
                <w:color w:val="auto"/>
                <w:szCs w:val="21"/>
                <w:highlight w:val="none"/>
              </w:rPr>
              <w:t>3</w:t>
            </w:r>
          </w:p>
        </w:tc>
        <w:tc>
          <w:tcPr>
            <w:tcW w:w="8957" w:type="dxa"/>
            <w:tcBorders>
              <w:top w:val="single" w:color="auto" w:sz="4" w:space="0"/>
              <w:left w:val="single" w:color="auto" w:sz="4" w:space="0"/>
              <w:bottom w:val="single" w:color="auto" w:sz="4" w:space="0"/>
              <w:right w:val="single" w:color="auto" w:sz="4" w:space="0"/>
            </w:tcBorders>
            <w:vAlign w:val="center"/>
          </w:tcPr>
          <w:p>
            <w:pPr>
              <w:adjustRightInd w:val="0"/>
              <w:rPr>
                <w:color w:val="auto"/>
                <w:szCs w:val="21"/>
                <w:highlight w:val="none"/>
              </w:rPr>
            </w:pPr>
            <w:r>
              <w:rPr>
                <w:rFonts w:hint="eastAsia"/>
                <w:color w:val="auto"/>
                <w:szCs w:val="21"/>
                <w:highlight w:val="none"/>
              </w:rPr>
              <w:t>投标文件中没有有效的法定代表人证明书，或由委托代理人</w:t>
            </w:r>
            <w:r>
              <w:rPr>
                <w:rFonts w:hint="eastAsia"/>
                <w:color w:val="auto"/>
                <w:szCs w:val="21"/>
                <w:highlight w:val="none"/>
                <w:u w:val="single"/>
              </w:rPr>
              <w:t>签署或盖章</w:t>
            </w:r>
            <w:r>
              <w:rPr>
                <w:rFonts w:hint="eastAsia"/>
                <w:color w:val="auto"/>
                <w:szCs w:val="21"/>
                <w:highlight w:val="none"/>
              </w:rPr>
              <w:t>的投标文件中没有法定代表人授权书；</w:t>
            </w:r>
          </w:p>
        </w:tc>
        <w:tc>
          <w:tcPr>
            <w:tcW w:w="1604" w:type="dxa"/>
            <w:tcBorders>
              <w:top w:val="single" w:color="auto" w:sz="4" w:space="0"/>
              <w:left w:val="single" w:color="auto" w:sz="4" w:space="0"/>
              <w:bottom w:val="single" w:color="auto" w:sz="4" w:space="0"/>
              <w:right w:val="single" w:color="auto" w:sz="4" w:space="0"/>
            </w:tcBorders>
          </w:tcPr>
          <w:p>
            <w:pPr>
              <w:adjustRightInd w:val="0"/>
              <w:rPr>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tcPr>
          <w:p>
            <w:pPr>
              <w:adjustRightInd w:val="0"/>
              <w:rPr>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tcPr>
          <w:p>
            <w:pPr>
              <w:adjustRightInd w:val="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520" w:type="dxa"/>
            <w:tcBorders>
              <w:top w:val="single" w:color="auto" w:sz="4" w:space="0"/>
              <w:left w:val="single" w:color="auto" w:sz="4" w:space="0"/>
              <w:bottom w:val="single" w:color="auto" w:sz="4" w:space="0"/>
              <w:right w:val="single" w:color="auto" w:sz="4" w:space="0"/>
            </w:tcBorders>
            <w:vAlign w:val="center"/>
          </w:tcPr>
          <w:p>
            <w:pPr>
              <w:adjustRightInd w:val="0"/>
              <w:rPr>
                <w:color w:val="auto"/>
                <w:szCs w:val="21"/>
                <w:highlight w:val="none"/>
              </w:rPr>
            </w:pPr>
            <w:r>
              <w:rPr>
                <w:rFonts w:hint="eastAsia"/>
                <w:color w:val="auto"/>
                <w:szCs w:val="21"/>
                <w:highlight w:val="none"/>
              </w:rPr>
              <w:t>4</w:t>
            </w:r>
          </w:p>
        </w:tc>
        <w:tc>
          <w:tcPr>
            <w:tcW w:w="895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exact"/>
              <w:rPr>
                <w:color w:val="auto"/>
                <w:szCs w:val="21"/>
                <w:highlight w:val="none"/>
              </w:rPr>
            </w:pPr>
            <w:r>
              <w:rPr>
                <w:rFonts w:hint="eastAsia" w:cs="宋体"/>
                <w:color w:val="auto"/>
                <w:szCs w:val="21"/>
                <w:highlight w:val="none"/>
              </w:rPr>
              <w:t>投标文件未按规定的格式填写</w:t>
            </w:r>
            <w:r>
              <w:rPr>
                <w:rFonts w:hint="eastAsia" w:cs="宋体"/>
                <w:color w:val="auto"/>
                <w:szCs w:val="21"/>
                <w:highlight w:val="none"/>
                <w:u w:val="single"/>
              </w:rPr>
              <w:t>（指招标文件第四章提供格式的《广州建设工程施工招标投标书（技术标）》、《投标函》、《标函承诺书》、《项目负责人驻场承诺书》）</w:t>
            </w:r>
            <w:r>
              <w:rPr>
                <w:rFonts w:hint="eastAsia" w:cs="宋体"/>
                <w:color w:val="auto"/>
                <w:szCs w:val="21"/>
                <w:highlight w:val="none"/>
              </w:rPr>
              <w:t>，或主要内容（指投标文件组成内容）不全，或关键字迹模糊、无法辨认的；</w:t>
            </w:r>
          </w:p>
        </w:tc>
        <w:tc>
          <w:tcPr>
            <w:tcW w:w="1604" w:type="dxa"/>
            <w:tcBorders>
              <w:top w:val="single" w:color="auto" w:sz="4" w:space="0"/>
              <w:left w:val="single" w:color="auto" w:sz="4" w:space="0"/>
              <w:bottom w:val="single" w:color="auto" w:sz="4" w:space="0"/>
              <w:right w:val="single" w:color="auto" w:sz="4" w:space="0"/>
            </w:tcBorders>
          </w:tcPr>
          <w:p>
            <w:pPr>
              <w:adjustRightInd w:val="0"/>
              <w:rPr>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tcPr>
          <w:p>
            <w:pPr>
              <w:adjustRightInd w:val="0"/>
              <w:rPr>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tcPr>
          <w:p>
            <w:pPr>
              <w:adjustRightInd w:val="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pPr>
              <w:adjustRightInd w:val="0"/>
              <w:rPr>
                <w:color w:val="auto"/>
                <w:szCs w:val="21"/>
                <w:highlight w:val="none"/>
              </w:rPr>
            </w:pPr>
            <w:r>
              <w:rPr>
                <w:rFonts w:hint="eastAsia"/>
                <w:color w:val="auto"/>
                <w:szCs w:val="21"/>
                <w:highlight w:val="none"/>
              </w:rPr>
              <w:t>5</w:t>
            </w:r>
          </w:p>
        </w:tc>
        <w:tc>
          <w:tcPr>
            <w:tcW w:w="8957" w:type="dxa"/>
            <w:tcBorders>
              <w:top w:val="single" w:color="auto" w:sz="4" w:space="0"/>
              <w:left w:val="single" w:color="auto" w:sz="4" w:space="0"/>
              <w:bottom w:val="single" w:color="auto" w:sz="4" w:space="0"/>
              <w:right w:val="single" w:color="auto" w:sz="4" w:space="0"/>
            </w:tcBorders>
            <w:vAlign w:val="center"/>
          </w:tcPr>
          <w:p>
            <w:pPr>
              <w:adjustRightInd w:val="0"/>
              <w:rPr>
                <w:color w:val="auto"/>
                <w:szCs w:val="21"/>
                <w:highlight w:val="none"/>
              </w:rPr>
            </w:pPr>
            <w:r>
              <w:rPr>
                <w:rFonts w:hint="eastAsia"/>
                <w:color w:val="auto"/>
                <w:szCs w:val="21"/>
                <w:highlight w:val="none"/>
              </w:rPr>
              <w:t>投标人之间存在《广东省实施&lt;中华人民共和国招标投标法&gt;》第十六条所禁止的情形的；</w:t>
            </w:r>
          </w:p>
        </w:tc>
        <w:tc>
          <w:tcPr>
            <w:tcW w:w="1604" w:type="dxa"/>
            <w:tcBorders>
              <w:top w:val="single" w:color="auto" w:sz="4" w:space="0"/>
              <w:left w:val="single" w:color="auto" w:sz="4" w:space="0"/>
              <w:bottom w:val="single" w:color="auto" w:sz="4" w:space="0"/>
              <w:right w:val="single" w:color="auto" w:sz="4" w:space="0"/>
            </w:tcBorders>
          </w:tcPr>
          <w:p>
            <w:pPr>
              <w:adjustRightInd w:val="0"/>
              <w:rPr>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tcPr>
          <w:p>
            <w:pPr>
              <w:adjustRightInd w:val="0"/>
              <w:rPr>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tcPr>
          <w:p>
            <w:pPr>
              <w:adjustRightInd w:val="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pPr>
              <w:adjustRightInd w:val="0"/>
              <w:rPr>
                <w:color w:val="auto"/>
                <w:szCs w:val="21"/>
                <w:highlight w:val="none"/>
              </w:rPr>
            </w:pPr>
            <w:r>
              <w:rPr>
                <w:rFonts w:hint="eastAsia"/>
                <w:color w:val="auto"/>
                <w:szCs w:val="21"/>
                <w:highlight w:val="none"/>
              </w:rPr>
              <w:t>6</w:t>
            </w:r>
          </w:p>
        </w:tc>
        <w:tc>
          <w:tcPr>
            <w:tcW w:w="8957" w:type="dxa"/>
            <w:tcBorders>
              <w:top w:val="single" w:color="auto" w:sz="4" w:space="0"/>
              <w:left w:val="single" w:color="auto" w:sz="4" w:space="0"/>
              <w:bottom w:val="single" w:color="auto" w:sz="4" w:space="0"/>
              <w:right w:val="single" w:color="auto" w:sz="4" w:space="0"/>
            </w:tcBorders>
            <w:vAlign w:val="center"/>
          </w:tcPr>
          <w:p>
            <w:pPr>
              <w:adjustRightInd w:val="0"/>
              <w:rPr>
                <w:color w:val="auto"/>
                <w:szCs w:val="21"/>
                <w:highlight w:val="none"/>
              </w:rPr>
            </w:pPr>
            <w:r>
              <w:rPr>
                <w:rFonts w:hint="eastAsia"/>
                <w:color w:val="auto"/>
                <w:szCs w:val="21"/>
                <w:highlight w:val="none"/>
              </w:rPr>
              <w:t>无《参与编制技术标投标文件人员名单》的</w:t>
            </w:r>
          </w:p>
        </w:tc>
        <w:tc>
          <w:tcPr>
            <w:tcW w:w="1604" w:type="dxa"/>
            <w:tcBorders>
              <w:top w:val="single" w:color="auto" w:sz="4" w:space="0"/>
              <w:left w:val="single" w:color="auto" w:sz="4" w:space="0"/>
              <w:bottom w:val="single" w:color="auto" w:sz="4" w:space="0"/>
              <w:right w:val="single" w:color="auto" w:sz="4" w:space="0"/>
            </w:tcBorders>
          </w:tcPr>
          <w:p>
            <w:pPr>
              <w:adjustRightInd w:val="0"/>
              <w:rPr>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tcPr>
          <w:p>
            <w:pPr>
              <w:adjustRightInd w:val="0"/>
              <w:rPr>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tcPr>
          <w:p>
            <w:pPr>
              <w:adjustRightInd w:val="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pPr>
              <w:adjustRightInd w:val="0"/>
              <w:rPr>
                <w:color w:val="auto"/>
                <w:szCs w:val="21"/>
                <w:highlight w:val="none"/>
              </w:rPr>
            </w:pPr>
            <w:r>
              <w:rPr>
                <w:rFonts w:hint="eastAsia"/>
                <w:color w:val="auto"/>
                <w:szCs w:val="21"/>
                <w:highlight w:val="none"/>
              </w:rPr>
              <w:t>7</w:t>
            </w:r>
          </w:p>
        </w:tc>
        <w:tc>
          <w:tcPr>
            <w:tcW w:w="8957" w:type="dxa"/>
            <w:tcBorders>
              <w:top w:val="single" w:color="auto" w:sz="4" w:space="0"/>
              <w:left w:val="single" w:color="auto" w:sz="4" w:space="0"/>
              <w:bottom w:val="single" w:color="auto" w:sz="4" w:space="0"/>
              <w:right w:val="single" w:color="auto" w:sz="4" w:space="0"/>
            </w:tcBorders>
            <w:vAlign w:val="center"/>
          </w:tcPr>
          <w:p>
            <w:pPr>
              <w:adjustRightInd w:val="0"/>
              <w:rPr>
                <w:color w:val="auto"/>
                <w:szCs w:val="21"/>
                <w:highlight w:val="none"/>
              </w:rPr>
            </w:pPr>
            <w:r>
              <w:rPr>
                <w:rFonts w:hint="eastAsia"/>
                <w:color w:val="auto"/>
                <w:szCs w:val="21"/>
                <w:highlight w:val="none"/>
              </w:rPr>
              <w:t>投标人未按要求提交投标保证金的</w:t>
            </w:r>
          </w:p>
        </w:tc>
        <w:tc>
          <w:tcPr>
            <w:tcW w:w="1604" w:type="dxa"/>
            <w:tcBorders>
              <w:top w:val="single" w:color="auto" w:sz="4" w:space="0"/>
              <w:left w:val="single" w:color="auto" w:sz="4" w:space="0"/>
              <w:bottom w:val="single" w:color="auto" w:sz="4" w:space="0"/>
              <w:right w:val="single" w:color="auto" w:sz="4" w:space="0"/>
            </w:tcBorders>
          </w:tcPr>
          <w:p>
            <w:pPr>
              <w:adjustRightInd w:val="0"/>
              <w:rPr>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tcPr>
          <w:p>
            <w:pPr>
              <w:adjustRightInd w:val="0"/>
              <w:rPr>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tcPr>
          <w:p>
            <w:pPr>
              <w:adjustRightInd w:val="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0" w:type="dxa"/>
            <w:tcBorders>
              <w:top w:val="single" w:color="auto" w:sz="4" w:space="0"/>
              <w:left w:val="single" w:color="auto" w:sz="4" w:space="0"/>
              <w:bottom w:val="single" w:color="auto" w:sz="4" w:space="0"/>
              <w:right w:val="single" w:color="auto" w:sz="4" w:space="0"/>
            </w:tcBorders>
            <w:vAlign w:val="center"/>
          </w:tcPr>
          <w:p>
            <w:pPr>
              <w:adjustRightInd w:val="0"/>
              <w:rPr>
                <w:color w:val="auto"/>
                <w:szCs w:val="21"/>
                <w:highlight w:val="none"/>
              </w:rPr>
            </w:pPr>
            <w:r>
              <w:rPr>
                <w:rFonts w:hint="eastAsia"/>
                <w:color w:val="auto"/>
                <w:szCs w:val="21"/>
                <w:highlight w:val="none"/>
              </w:rPr>
              <w:t>8</w:t>
            </w:r>
          </w:p>
        </w:tc>
        <w:tc>
          <w:tcPr>
            <w:tcW w:w="8957" w:type="dxa"/>
            <w:tcBorders>
              <w:top w:val="single" w:color="auto" w:sz="4" w:space="0"/>
              <w:left w:val="single" w:color="auto" w:sz="4" w:space="0"/>
              <w:bottom w:val="single" w:color="auto" w:sz="4" w:space="0"/>
              <w:right w:val="single" w:color="auto" w:sz="4" w:space="0"/>
            </w:tcBorders>
            <w:vAlign w:val="center"/>
          </w:tcPr>
          <w:p>
            <w:pPr>
              <w:adjustRightInd w:val="0"/>
              <w:rPr>
                <w:color w:val="auto"/>
                <w:szCs w:val="21"/>
                <w:highlight w:val="none"/>
              </w:rPr>
            </w:pPr>
            <w:r>
              <w:rPr>
                <w:rFonts w:hint="eastAsia"/>
                <w:color w:val="auto"/>
                <w:szCs w:val="21"/>
                <w:highlight w:val="none"/>
              </w:rPr>
              <w:t>投标人与本项目其他投标人加密打包投标文件电脑机器特征码一致的(以交易平台评标系统的检索信息为准)</w:t>
            </w:r>
          </w:p>
        </w:tc>
        <w:tc>
          <w:tcPr>
            <w:tcW w:w="1604" w:type="dxa"/>
            <w:tcBorders>
              <w:top w:val="single" w:color="auto" w:sz="4" w:space="0"/>
              <w:left w:val="single" w:color="auto" w:sz="4" w:space="0"/>
              <w:bottom w:val="single" w:color="auto" w:sz="4" w:space="0"/>
              <w:right w:val="single" w:color="auto" w:sz="4" w:space="0"/>
            </w:tcBorders>
          </w:tcPr>
          <w:p>
            <w:pPr>
              <w:adjustRightInd w:val="0"/>
              <w:rPr>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tcPr>
          <w:p>
            <w:pPr>
              <w:adjustRightInd w:val="0"/>
              <w:rPr>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tcPr>
          <w:p>
            <w:pPr>
              <w:adjustRightInd w:val="0"/>
              <w:rPr>
                <w:color w:val="auto"/>
                <w:szCs w:val="21"/>
                <w:highlight w:val="none"/>
              </w:rPr>
            </w:pPr>
          </w:p>
        </w:tc>
      </w:tr>
    </w:tbl>
    <w:p>
      <w:pPr>
        <w:rPr>
          <w:color w:val="auto"/>
          <w:szCs w:val="21"/>
          <w:highlight w:val="none"/>
        </w:rPr>
      </w:pPr>
      <w:r>
        <w:rPr>
          <w:rFonts w:hint="eastAsia"/>
          <w:color w:val="auto"/>
          <w:szCs w:val="21"/>
          <w:highlight w:val="none"/>
        </w:rPr>
        <w:t>注：</w:t>
      </w:r>
      <w:r>
        <w:rPr>
          <w:color w:val="auto"/>
          <w:szCs w:val="21"/>
          <w:highlight w:val="none"/>
        </w:rPr>
        <w:t>1.</w:t>
      </w:r>
      <w:r>
        <w:rPr>
          <w:rFonts w:hint="eastAsia"/>
          <w:color w:val="auto"/>
          <w:szCs w:val="21"/>
          <w:highlight w:val="none"/>
        </w:rPr>
        <w:t>本表使用GZZB2018-3招标文件范本，与范本内容不同之处均以下划线标明。技术标评审中，响应性、承诺性内容不应作为评分因素，可在该表中对上述内容进行符合性审查。审查标准须具备可操作性。</w:t>
      </w:r>
    </w:p>
    <w:p>
      <w:pPr>
        <w:rPr>
          <w:color w:val="auto"/>
          <w:szCs w:val="21"/>
          <w:highlight w:val="none"/>
        </w:rPr>
      </w:pPr>
      <w:r>
        <w:rPr>
          <w:rFonts w:hint="eastAsia"/>
          <w:color w:val="auto"/>
          <w:szCs w:val="21"/>
          <w:highlight w:val="none"/>
        </w:rPr>
        <w:t xml:space="preserve">    2</w:t>
      </w:r>
      <w:r>
        <w:rPr>
          <w:color w:val="auto"/>
          <w:szCs w:val="21"/>
          <w:highlight w:val="none"/>
        </w:rPr>
        <w:t>.不得将</w:t>
      </w:r>
      <w:r>
        <w:rPr>
          <w:rFonts w:hint="eastAsia"/>
          <w:color w:val="auto"/>
          <w:szCs w:val="21"/>
          <w:highlight w:val="none"/>
        </w:rPr>
        <w:t>文件顺序、</w:t>
      </w:r>
      <w:r>
        <w:rPr>
          <w:color w:val="auto"/>
          <w:szCs w:val="21"/>
          <w:highlight w:val="none"/>
        </w:rPr>
        <w:t>明显的文字错误等列为否</w:t>
      </w:r>
      <w:r>
        <w:rPr>
          <w:rFonts w:hint="eastAsia"/>
          <w:color w:val="auto"/>
          <w:szCs w:val="21"/>
          <w:highlight w:val="none"/>
        </w:rPr>
        <w:t>决</w:t>
      </w:r>
      <w:r>
        <w:rPr>
          <w:color w:val="auto"/>
          <w:szCs w:val="21"/>
          <w:highlight w:val="none"/>
        </w:rPr>
        <w:t>投标的</w:t>
      </w:r>
      <w:r>
        <w:rPr>
          <w:rFonts w:hint="eastAsia"/>
          <w:color w:val="auto"/>
          <w:szCs w:val="21"/>
          <w:highlight w:val="none"/>
        </w:rPr>
        <w:t>情形。评委</w:t>
      </w:r>
      <w:r>
        <w:rPr>
          <w:color w:val="auto"/>
          <w:szCs w:val="21"/>
          <w:highlight w:val="none"/>
        </w:rPr>
        <w:t>发现投标</w:t>
      </w:r>
      <w:r>
        <w:rPr>
          <w:rFonts w:hint="eastAsia"/>
          <w:color w:val="auto"/>
          <w:szCs w:val="21"/>
          <w:highlight w:val="none"/>
        </w:rPr>
        <w:t>文件</w:t>
      </w:r>
      <w:r>
        <w:rPr>
          <w:color w:val="auto"/>
          <w:szCs w:val="21"/>
          <w:highlight w:val="none"/>
        </w:rPr>
        <w:t>中</w:t>
      </w:r>
      <w:r>
        <w:rPr>
          <w:rFonts w:hint="eastAsia"/>
          <w:color w:val="auto"/>
          <w:szCs w:val="21"/>
          <w:highlight w:val="none"/>
        </w:rPr>
        <w:t>含义不明确</w:t>
      </w:r>
      <w:r>
        <w:rPr>
          <w:color w:val="auto"/>
          <w:szCs w:val="21"/>
          <w:highlight w:val="none"/>
        </w:rPr>
        <w:t>、对同类问题表述不一致、有明显</w:t>
      </w:r>
      <w:r>
        <w:rPr>
          <w:rFonts w:hint="eastAsia"/>
          <w:color w:val="auto"/>
          <w:szCs w:val="21"/>
          <w:highlight w:val="none"/>
        </w:rPr>
        <w:t>文字</w:t>
      </w:r>
      <w:r>
        <w:rPr>
          <w:color w:val="auto"/>
          <w:szCs w:val="21"/>
          <w:highlight w:val="none"/>
        </w:rPr>
        <w:t>和计算错误</w:t>
      </w:r>
      <w:r>
        <w:rPr>
          <w:rFonts w:hint="eastAsia"/>
          <w:color w:val="auto"/>
          <w:szCs w:val="21"/>
          <w:highlight w:val="none"/>
        </w:rPr>
        <w:t>的，</w:t>
      </w:r>
      <w:r>
        <w:rPr>
          <w:color w:val="auto"/>
          <w:szCs w:val="21"/>
          <w:highlight w:val="none"/>
        </w:rPr>
        <w:t>应当</w:t>
      </w:r>
      <w:r>
        <w:rPr>
          <w:rFonts w:hint="eastAsia"/>
          <w:color w:val="auto"/>
          <w:szCs w:val="21"/>
          <w:highlight w:val="none"/>
        </w:rPr>
        <w:t>要求</w:t>
      </w:r>
      <w:r>
        <w:rPr>
          <w:color w:val="auto"/>
          <w:szCs w:val="21"/>
          <w:highlight w:val="none"/>
        </w:rPr>
        <w:t>投标人作必要的澄清、说明</w:t>
      </w:r>
      <w:r>
        <w:rPr>
          <w:rFonts w:hint="eastAsia"/>
          <w:color w:val="auto"/>
          <w:szCs w:val="21"/>
          <w:highlight w:val="none"/>
        </w:rPr>
        <w:t>后再判定投标人是否通过有效性审查</w:t>
      </w:r>
      <w:r>
        <w:rPr>
          <w:color w:val="auto"/>
          <w:szCs w:val="21"/>
          <w:highlight w:val="none"/>
        </w:rPr>
        <w:t>，不得直接否决投标</w:t>
      </w:r>
      <w:r>
        <w:rPr>
          <w:rFonts w:hint="eastAsia"/>
          <w:color w:val="auto"/>
          <w:szCs w:val="21"/>
          <w:highlight w:val="none"/>
        </w:rPr>
        <w:t>，若出现评标委员会否决投标的，应在评标报告中载明否决投标的具体情形、原因。</w:t>
      </w:r>
    </w:p>
    <w:p>
      <w:pPr>
        <w:rPr>
          <w:color w:val="auto"/>
          <w:szCs w:val="21"/>
          <w:highlight w:val="none"/>
        </w:rPr>
      </w:pPr>
      <w:r>
        <w:rPr>
          <w:rFonts w:hint="eastAsia"/>
          <w:color w:val="auto"/>
          <w:szCs w:val="21"/>
          <w:highlight w:val="none"/>
        </w:rPr>
        <w:t xml:space="preserve">    3</w:t>
      </w:r>
      <w:r>
        <w:rPr>
          <w:color w:val="auto"/>
          <w:szCs w:val="21"/>
          <w:highlight w:val="none"/>
        </w:rPr>
        <w:t>.</w:t>
      </w:r>
      <w:r>
        <w:rPr>
          <w:rFonts w:hint="eastAsia"/>
          <w:color w:val="auto"/>
          <w:szCs w:val="21"/>
          <w:highlight w:val="none"/>
        </w:rPr>
        <w:t>凡出现以上任何一项情形，结论均为无效，否则就为有效。</w:t>
      </w:r>
    </w:p>
    <w:p>
      <w:pPr>
        <w:ind w:firstLine="420" w:firstLineChars="200"/>
        <w:rPr>
          <w:color w:val="auto"/>
          <w:szCs w:val="21"/>
          <w:highlight w:val="none"/>
        </w:rPr>
      </w:pPr>
      <w:r>
        <w:rPr>
          <w:rFonts w:hint="eastAsia"/>
          <w:color w:val="auto"/>
          <w:szCs w:val="21"/>
          <w:highlight w:val="none"/>
        </w:rPr>
        <w:t>4</w:t>
      </w:r>
      <w:r>
        <w:rPr>
          <w:color w:val="auto"/>
          <w:szCs w:val="21"/>
          <w:highlight w:val="none"/>
        </w:rPr>
        <w:t>.</w:t>
      </w:r>
      <w:r>
        <w:rPr>
          <w:rFonts w:hint="eastAsia"/>
          <w:color w:val="auto"/>
          <w:szCs w:val="21"/>
          <w:highlight w:val="none"/>
        </w:rPr>
        <w:t>如对本表中某种情形的评审意见不一致时，以评标委员会过半数成员的意见作为评标委员会对该情形的认定结论。</w:t>
      </w:r>
    </w:p>
    <w:p>
      <w:pPr>
        <w:ind w:firstLine="420" w:firstLineChars="200"/>
        <w:rPr>
          <w:color w:val="auto"/>
          <w:szCs w:val="21"/>
          <w:highlight w:val="none"/>
        </w:rPr>
      </w:pPr>
      <w:r>
        <w:rPr>
          <w:rFonts w:hint="eastAsia"/>
          <w:color w:val="auto"/>
          <w:szCs w:val="21"/>
          <w:highlight w:val="none"/>
        </w:rPr>
        <w:t>评委签名：</w:t>
      </w:r>
    </w:p>
    <w:p>
      <w:pPr>
        <w:rPr>
          <w:b/>
          <w:color w:val="auto"/>
          <w:sz w:val="36"/>
          <w:szCs w:val="36"/>
          <w:highlight w:val="none"/>
        </w:rPr>
      </w:pPr>
      <w:r>
        <w:rPr>
          <w:color w:val="auto"/>
          <w:highlight w:val="none"/>
        </w:rPr>
        <w:br w:type="page"/>
      </w:r>
      <w:r>
        <w:rPr>
          <w:rFonts w:hint="eastAsia"/>
          <w:color w:val="auto"/>
          <w:szCs w:val="21"/>
          <w:highlight w:val="none"/>
        </w:rPr>
        <w:t xml:space="preserve">附表三                                                     </w:t>
      </w:r>
      <w:r>
        <w:rPr>
          <w:rFonts w:hint="eastAsia"/>
          <w:b/>
          <w:color w:val="auto"/>
          <w:sz w:val="36"/>
          <w:szCs w:val="36"/>
          <w:highlight w:val="none"/>
        </w:rPr>
        <w:t>经济标有效性审查表</w:t>
      </w:r>
    </w:p>
    <w:p>
      <w:pPr>
        <w:rPr>
          <w:color w:val="auto"/>
          <w:szCs w:val="21"/>
          <w:highlight w:val="none"/>
        </w:rPr>
      </w:pPr>
      <w:r>
        <w:rPr>
          <w:rFonts w:hint="eastAsia"/>
          <w:color w:val="auto"/>
          <w:szCs w:val="21"/>
          <w:highlight w:val="none"/>
        </w:rPr>
        <w:t>工程名称：</w:t>
      </w:r>
    </w:p>
    <w:tbl>
      <w:tblPr>
        <w:tblStyle w:val="25"/>
        <w:tblW w:w="1439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9539"/>
        <w:gridCol w:w="1397"/>
        <w:gridCol w:w="1397"/>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68"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序号</w:t>
            </w:r>
          </w:p>
        </w:tc>
        <w:tc>
          <w:tcPr>
            <w:tcW w:w="9539" w:type="dxa"/>
            <w:tcBorders>
              <w:top w:val="single" w:color="auto" w:sz="4" w:space="0"/>
              <w:left w:val="single" w:color="auto" w:sz="4" w:space="0"/>
              <w:bottom w:val="single" w:color="auto" w:sz="4" w:space="0"/>
              <w:right w:val="single" w:color="auto" w:sz="4" w:space="0"/>
              <w:tl2br w:val="single" w:color="auto" w:sz="4" w:space="0"/>
            </w:tcBorders>
          </w:tcPr>
          <w:p>
            <w:pPr>
              <w:rPr>
                <w:color w:val="auto"/>
                <w:szCs w:val="21"/>
                <w:highlight w:val="none"/>
              </w:rPr>
            </w:pP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rPr>
              <w:t xml:space="preserve">                                                      投标人</w:t>
            </w:r>
          </w:p>
          <w:p>
            <w:pPr>
              <w:rPr>
                <w:color w:val="auto"/>
                <w:szCs w:val="21"/>
                <w:highlight w:val="none"/>
              </w:rPr>
            </w:pPr>
            <w:r>
              <w:rPr>
                <w:rFonts w:hint="eastAsia"/>
                <w:color w:val="auto"/>
                <w:szCs w:val="21"/>
                <w:highlight w:val="none"/>
              </w:rPr>
              <w:t>评审内容</w:t>
            </w:r>
          </w:p>
        </w:tc>
        <w:tc>
          <w:tcPr>
            <w:tcW w:w="1397" w:type="dxa"/>
            <w:tcBorders>
              <w:top w:val="single" w:color="auto" w:sz="4" w:space="0"/>
              <w:left w:val="single" w:color="auto" w:sz="4" w:space="0"/>
              <w:bottom w:val="single" w:color="auto" w:sz="4" w:space="0"/>
              <w:right w:val="single" w:color="auto" w:sz="4" w:space="0"/>
            </w:tcBorders>
          </w:tcPr>
          <w:p>
            <w:pPr>
              <w:rPr>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1</w:t>
            </w:r>
          </w:p>
        </w:tc>
        <w:tc>
          <w:tcPr>
            <w:tcW w:w="9539" w:type="dxa"/>
            <w:tcBorders>
              <w:top w:val="single" w:color="auto" w:sz="4" w:space="0"/>
              <w:left w:val="single" w:color="auto" w:sz="4" w:space="0"/>
              <w:bottom w:val="single" w:color="auto" w:sz="4" w:space="0"/>
              <w:right w:val="single" w:color="auto" w:sz="4" w:space="0"/>
            </w:tcBorders>
            <w:vAlign w:val="center"/>
          </w:tcPr>
          <w:p>
            <w:pPr>
              <w:rPr>
                <w:rFonts w:hint="eastAsia" w:eastAsia="宋体"/>
                <w:color w:val="auto"/>
                <w:szCs w:val="21"/>
                <w:highlight w:val="none"/>
                <w:lang w:eastAsia="zh-CN"/>
              </w:rPr>
            </w:pPr>
            <w:r>
              <w:rPr>
                <w:rFonts w:hint="eastAsia"/>
                <w:color w:val="auto"/>
                <w:szCs w:val="21"/>
                <w:highlight w:val="none"/>
              </w:rPr>
              <w:t>对同一招标项目出现两个或以上的投标报价，且没有申明哪个有效</w:t>
            </w:r>
          </w:p>
        </w:tc>
        <w:tc>
          <w:tcPr>
            <w:tcW w:w="1397" w:type="dxa"/>
            <w:tcBorders>
              <w:top w:val="single" w:color="auto" w:sz="4" w:space="0"/>
              <w:left w:val="single" w:color="auto" w:sz="4" w:space="0"/>
              <w:bottom w:val="single" w:color="auto" w:sz="4" w:space="0"/>
              <w:right w:val="single" w:color="auto" w:sz="4" w:space="0"/>
            </w:tcBorders>
          </w:tcPr>
          <w:p>
            <w:pPr>
              <w:rPr>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2</w:t>
            </w:r>
          </w:p>
        </w:tc>
        <w:tc>
          <w:tcPr>
            <w:tcW w:w="9539" w:type="dxa"/>
            <w:tcBorders>
              <w:top w:val="single" w:color="auto" w:sz="4" w:space="0"/>
              <w:left w:val="single" w:color="auto" w:sz="4" w:space="0"/>
              <w:bottom w:val="single" w:color="auto" w:sz="4" w:space="0"/>
              <w:right w:val="single" w:color="auto" w:sz="4" w:space="0"/>
            </w:tcBorders>
            <w:vAlign w:val="center"/>
          </w:tcPr>
          <w:p>
            <w:pPr>
              <w:rPr>
                <w:rFonts w:hint="eastAsia" w:eastAsia="宋体"/>
                <w:color w:val="auto"/>
                <w:szCs w:val="21"/>
                <w:highlight w:val="none"/>
                <w:lang w:eastAsia="zh-CN"/>
              </w:rPr>
            </w:pPr>
            <w:r>
              <w:rPr>
                <w:rFonts w:hint="eastAsia"/>
                <w:color w:val="auto"/>
                <w:szCs w:val="21"/>
                <w:highlight w:val="none"/>
              </w:rPr>
              <w:t>投标报价高于最高投标限价或综合单价限价的</w:t>
            </w:r>
            <w:r>
              <w:rPr>
                <w:rFonts w:hint="eastAsia" w:cs="宋体"/>
                <w:color w:val="auto"/>
                <w:szCs w:val="21"/>
                <w:highlight w:val="none"/>
                <w:u w:val="single"/>
              </w:rPr>
              <w:t>（以最高投标限价公布函公布的各项控制数据和工程量清单列明的综合单价限价为准）</w:t>
            </w:r>
          </w:p>
        </w:tc>
        <w:tc>
          <w:tcPr>
            <w:tcW w:w="1397" w:type="dxa"/>
            <w:tcBorders>
              <w:top w:val="single" w:color="auto" w:sz="4" w:space="0"/>
              <w:left w:val="single" w:color="auto" w:sz="4" w:space="0"/>
              <w:bottom w:val="single" w:color="auto" w:sz="4" w:space="0"/>
              <w:right w:val="single" w:color="auto" w:sz="4" w:space="0"/>
            </w:tcBorders>
          </w:tcPr>
          <w:p>
            <w:pPr>
              <w:rPr>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8"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3</w:t>
            </w:r>
          </w:p>
        </w:tc>
        <w:tc>
          <w:tcPr>
            <w:tcW w:w="95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 w:leftChars="-1"/>
              <w:jc w:val="left"/>
              <w:rPr>
                <w:rFonts w:hint="eastAsia" w:eastAsia="宋体"/>
                <w:color w:val="auto"/>
                <w:szCs w:val="21"/>
                <w:highlight w:val="none"/>
                <w:lang w:eastAsia="zh-CN"/>
              </w:rPr>
            </w:pPr>
            <w:r>
              <w:rPr>
                <w:rFonts w:hint="eastAsia" w:cs="宋体"/>
                <w:color w:val="auto"/>
                <w:highlight w:val="none"/>
                <w:u w:val="single"/>
              </w:rPr>
              <w:t>投标报价低于成本警戒价的（投标人的报价明显低于其他投标报价或者在设有标底时明显低于标底，使得其投标报价可能低于其个别成本，又不能合理说明或者不能提供相关证明材料的，由评标委员会认定该投标人以低于成本报价竞标的）</w:t>
            </w:r>
          </w:p>
        </w:tc>
        <w:tc>
          <w:tcPr>
            <w:tcW w:w="1397" w:type="dxa"/>
            <w:tcBorders>
              <w:top w:val="single" w:color="auto" w:sz="4" w:space="0"/>
              <w:left w:val="single" w:color="auto" w:sz="4" w:space="0"/>
              <w:bottom w:val="single" w:color="auto" w:sz="4" w:space="0"/>
              <w:right w:val="single" w:color="auto" w:sz="4" w:space="0"/>
            </w:tcBorders>
          </w:tcPr>
          <w:p>
            <w:pPr>
              <w:rPr>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4</w:t>
            </w:r>
          </w:p>
        </w:tc>
        <w:tc>
          <w:tcPr>
            <w:tcW w:w="9539" w:type="dxa"/>
            <w:tcBorders>
              <w:top w:val="single" w:color="auto" w:sz="4" w:space="0"/>
              <w:left w:val="single" w:color="auto" w:sz="4" w:space="0"/>
              <w:bottom w:val="single" w:color="auto" w:sz="4" w:space="0"/>
              <w:right w:val="single" w:color="auto" w:sz="4" w:space="0"/>
            </w:tcBorders>
            <w:vAlign w:val="center"/>
          </w:tcPr>
          <w:p>
            <w:pPr>
              <w:rPr>
                <w:rFonts w:hint="eastAsia" w:eastAsia="宋体"/>
                <w:color w:val="auto"/>
                <w:szCs w:val="21"/>
                <w:highlight w:val="none"/>
                <w:lang w:eastAsia="zh-CN"/>
              </w:rPr>
            </w:pPr>
            <w:r>
              <w:rPr>
                <w:rFonts w:hint="eastAsia"/>
                <w:color w:val="auto"/>
                <w:szCs w:val="21"/>
                <w:highlight w:val="none"/>
              </w:rPr>
              <w:t>算术复核后的投标报价与原投标报价相比存在1%或以上误差的</w:t>
            </w:r>
          </w:p>
        </w:tc>
        <w:tc>
          <w:tcPr>
            <w:tcW w:w="1397" w:type="dxa"/>
            <w:tcBorders>
              <w:top w:val="single" w:color="auto" w:sz="4" w:space="0"/>
              <w:left w:val="single" w:color="auto" w:sz="4" w:space="0"/>
              <w:bottom w:val="single" w:color="auto" w:sz="4" w:space="0"/>
              <w:right w:val="single" w:color="auto" w:sz="4" w:space="0"/>
            </w:tcBorders>
          </w:tcPr>
          <w:p>
            <w:pPr>
              <w:rPr>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5</w:t>
            </w:r>
          </w:p>
        </w:tc>
        <w:tc>
          <w:tcPr>
            <w:tcW w:w="9539" w:type="dxa"/>
            <w:tcBorders>
              <w:top w:val="single" w:color="auto" w:sz="4" w:space="0"/>
              <w:left w:val="single" w:color="auto" w:sz="4" w:space="0"/>
              <w:bottom w:val="single" w:color="auto" w:sz="4" w:space="0"/>
              <w:right w:val="single" w:color="auto" w:sz="4" w:space="0"/>
            </w:tcBorders>
            <w:vAlign w:val="center"/>
          </w:tcPr>
          <w:p>
            <w:pPr>
              <w:rPr>
                <w:rFonts w:hint="eastAsia" w:eastAsia="宋体"/>
                <w:color w:val="auto"/>
                <w:szCs w:val="21"/>
                <w:highlight w:val="none"/>
                <w:lang w:eastAsia="zh-CN"/>
              </w:rPr>
            </w:pPr>
            <w:r>
              <w:rPr>
                <w:rFonts w:hint="eastAsia" w:cs="宋体"/>
                <w:color w:val="auto"/>
                <w:szCs w:val="21"/>
                <w:highlight w:val="none"/>
              </w:rPr>
              <w:t>投标文件未按规定的格式填写</w:t>
            </w:r>
            <w:r>
              <w:rPr>
                <w:rFonts w:hint="eastAsia" w:cs="宋体"/>
                <w:color w:val="auto"/>
                <w:szCs w:val="21"/>
                <w:highlight w:val="none"/>
                <w:u w:val="single"/>
              </w:rPr>
              <w:t>（指招标文件第四章提供格式的《广州建设工程施工招标投标书（经济标）》《对投标文件编制的承诺》等）</w:t>
            </w:r>
            <w:r>
              <w:rPr>
                <w:rFonts w:hint="eastAsia" w:cs="宋体"/>
                <w:color w:val="auto"/>
                <w:szCs w:val="21"/>
                <w:highlight w:val="none"/>
              </w:rPr>
              <w:t>，或主要内容不全，或关键字迹模糊、无法辨认的</w:t>
            </w:r>
          </w:p>
        </w:tc>
        <w:tc>
          <w:tcPr>
            <w:tcW w:w="1397" w:type="dxa"/>
            <w:tcBorders>
              <w:top w:val="single" w:color="auto" w:sz="4" w:space="0"/>
              <w:left w:val="single" w:color="auto" w:sz="4" w:space="0"/>
              <w:bottom w:val="single" w:color="auto" w:sz="4" w:space="0"/>
              <w:right w:val="single" w:color="auto" w:sz="4" w:space="0"/>
            </w:tcBorders>
          </w:tcPr>
          <w:p>
            <w:pPr>
              <w:rPr>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6</w:t>
            </w:r>
          </w:p>
        </w:tc>
        <w:tc>
          <w:tcPr>
            <w:tcW w:w="9539" w:type="dxa"/>
            <w:tcBorders>
              <w:top w:val="single" w:color="auto" w:sz="4" w:space="0"/>
              <w:left w:val="single" w:color="auto" w:sz="4" w:space="0"/>
              <w:bottom w:val="single" w:color="auto" w:sz="4" w:space="0"/>
              <w:right w:val="single" w:color="auto" w:sz="4" w:space="0"/>
            </w:tcBorders>
            <w:vAlign w:val="center"/>
          </w:tcPr>
          <w:p>
            <w:pPr>
              <w:rPr>
                <w:rFonts w:hint="eastAsia" w:eastAsia="宋体"/>
                <w:color w:val="auto"/>
                <w:szCs w:val="21"/>
                <w:highlight w:val="none"/>
                <w:lang w:eastAsia="zh-CN"/>
              </w:rPr>
            </w:pPr>
            <w:r>
              <w:rPr>
                <w:rFonts w:hint="eastAsia"/>
                <w:color w:val="auto"/>
                <w:szCs w:val="21"/>
                <w:highlight w:val="none"/>
              </w:rPr>
              <w:t>不同投标人的投标报价中分部分项工程量清单综合单价相似度达到80%及以上的(以</w:t>
            </w:r>
            <w:r>
              <w:rPr>
                <w:rFonts w:hint="eastAsia"/>
                <w:color w:val="auto"/>
                <w:szCs w:val="21"/>
                <w:highlight w:val="none"/>
                <w:u w:val="single"/>
              </w:rPr>
              <w:t>广州公共资源交易中心</w:t>
            </w:r>
            <w:r>
              <w:rPr>
                <w:rFonts w:hint="eastAsia"/>
                <w:color w:val="auto"/>
                <w:szCs w:val="21"/>
                <w:highlight w:val="none"/>
              </w:rPr>
              <w:t>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pPr>
              <w:rPr>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7</w:t>
            </w:r>
          </w:p>
        </w:tc>
        <w:tc>
          <w:tcPr>
            <w:tcW w:w="9539" w:type="dxa"/>
            <w:tcBorders>
              <w:top w:val="single" w:color="auto" w:sz="4" w:space="0"/>
              <w:left w:val="single" w:color="auto" w:sz="4" w:space="0"/>
              <w:bottom w:val="single" w:color="auto" w:sz="4" w:space="0"/>
              <w:right w:val="single" w:color="auto" w:sz="4" w:space="0"/>
            </w:tcBorders>
            <w:vAlign w:val="center"/>
          </w:tcPr>
          <w:p>
            <w:pPr>
              <w:rPr>
                <w:rFonts w:hint="eastAsia" w:eastAsia="宋体"/>
                <w:color w:val="auto"/>
                <w:szCs w:val="21"/>
                <w:highlight w:val="none"/>
                <w:lang w:eastAsia="zh-CN"/>
              </w:rPr>
            </w:pPr>
            <w:r>
              <w:rPr>
                <w:rFonts w:hint="eastAsia"/>
                <w:color w:val="auto"/>
                <w:szCs w:val="21"/>
                <w:highlight w:val="none"/>
              </w:rPr>
              <w:t>投标人之间存在《广东省实施&lt;中华人民共和国招标投标法&gt;》第十六条所禁止的情形的</w:t>
            </w:r>
          </w:p>
        </w:tc>
        <w:tc>
          <w:tcPr>
            <w:tcW w:w="1397" w:type="dxa"/>
            <w:tcBorders>
              <w:top w:val="single" w:color="auto" w:sz="4" w:space="0"/>
              <w:left w:val="single" w:color="auto" w:sz="4" w:space="0"/>
              <w:bottom w:val="single" w:color="auto" w:sz="4" w:space="0"/>
              <w:right w:val="single" w:color="auto" w:sz="4" w:space="0"/>
            </w:tcBorders>
          </w:tcPr>
          <w:p>
            <w:pPr>
              <w:rPr>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8</w:t>
            </w:r>
          </w:p>
        </w:tc>
        <w:tc>
          <w:tcPr>
            <w:tcW w:w="9539" w:type="dxa"/>
            <w:tcBorders>
              <w:top w:val="single" w:color="auto" w:sz="4" w:space="0"/>
              <w:left w:val="single" w:color="auto" w:sz="4" w:space="0"/>
              <w:bottom w:val="single" w:color="auto" w:sz="4" w:space="0"/>
              <w:right w:val="single" w:color="auto" w:sz="4" w:space="0"/>
            </w:tcBorders>
            <w:vAlign w:val="center"/>
          </w:tcPr>
          <w:p>
            <w:pPr>
              <w:rPr>
                <w:rFonts w:hint="eastAsia" w:eastAsia="宋体"/>
                <w:color w:val="auto"/>
                <w:szCs w:val="21"/>
                <w:highlight w:val="none"/>
                <w:lang w:eastAsia="zh-CN"/>
              </w:rPr>
            </w:pPr>
            <w:r>
              <w:rPr>
                <w:rFonts w:hint="eastAsia"/>
                <w:color w:val="auto"/>
                <w:szCs w:val="21"/>
                <w:highlight w:val="none"/>
              </w:rPr>
              <w:t>无《参与编制经济标投标文件人员名单》的</w:t>
            </w:r>
          </w:p>
        </w:tc>
        <w:tc>
          <w:tcPr>
            <w:tcW w:w="1397" w:type="dxa"/>
            <w:tcBorders>
              <w:top w:val="single" w:color="auto" w:sz="4" w:space="0"/>
              <w:left w:val="single" w:color="auto" w:sz="4" w:space="0"/>
              <w:bottom w:val="single" w:color="auto" w:sz="4" w:space="0"/>
              <w:right w:val="single" w:color="auto" w:sz="4" w:space="0"/>
            </w:tcBorders>
          </w:tcPr>
          <w:p>
            <w:pPr>
              <w:rPr>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9</w:t>
            </w:r>
          </w:p>
        </w:tc>
        <w:tc>
          <w:tcPr>
            <w:tcW w:w="9539" w:type="dxa"/>
            <w:tcBorders>
              <w:top w:val="single" w:color="auto" w:sz="4" w:space="0"/>
              <w:left w:val="single" w:color="auto" w:sz="4" w:space="0"/>
              <w:bottom w:val="single" w:color="auto" w:sz="4" w:space="0"/>
              <w:right w:val="single" w:color="auto" w:sz="4" w:space="0"/>
            </w:tcBorders>
            <w:vAlign w:val="center"/>
          </w:tcPr>
          <w:p>
            <w:pPr>
              <w:rPr>
                <w:rFonts w:hint="eastAsia" w:eastAsia="宋体"/>
                <w:color w:val="auto"/>
                <w:szCs w:val="21"/>
                <w:highlight w:val="none"/>
                <w:lang w:eastAsia="zh-CN"/>
              </w:rPr>
            </w:pPr>
            <w:r>
              <w:rPr>
                <w:rFonts w:hint="eastAsia"/>
                <w:color w:val="auto"/>
                <w:szCs w:val="21"/>
                <w:highlight w:val="none"/>
              </w:rPr>
              <w:t>无《对投标文件编制的承诺》</w:t>
            </w:r>
          </w:p>
        </w:tc>
        <w:tc>
          <w:tcPr>
            <w:tcW w:w="1397" w:type="dxa"/>
            <w:tcBorders>
              <w:top w:val="single" w:color="auto" w:sz="4" w:space="0"/>
              <w:left w:val="single" w:color="auto" w:sz="4" w:space="0"/>
              <w:bottom w:val="single" w:color="auto" w:sz="4" w:space="0"/>
              <w:right w:val="single" w:color="auto" w:sz="4" w:space="0"/>
            </w:tcBorders>
          </w:tcPr>
          <w:p>
            <w:pPr>
              <w:rPr>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68"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10</w:t>
            </w:r>
          </w:p>
        </w:tc>
        <w:tc>
          <w:tcPr>
            <w:tcW w:w="9539" w:type="dxa"/>
            <w:tcBorders>
              <w:top w:val="single" w:color="auto" w:sz="4" w:space="0"/>
              <w:left w:val="single" w:color="auto" w:sz="4" w:space="0"/>
              <w:bottom w:val="single" w:color="auto" w:sz="4" w:space="0"/>
              <w:right w:val="single" w:color="auto" w:sz="4" w:space="0"/>
            </w:tcBorders>
            <w:vAlign w:val="center"/>
          </w:tcPr>
          <w:p>
            <w:pPr>
              <w:snapToGrid w:val="0"/>
              <w:rPr>
                <w:rFonts w:hint="eastAsia" w:eastAsia="宋体"/>
                <w:color w:val="auto"/>
                <w:szCs w:val="21"/>
                <w:highlight w:val="none"/>
                <w:lang w:eastAsia="zh-CN"/>
              </w:rPr>
            </w:pPr>
            <w:r>
              <w:rPr>
                <w:rFonts w:hint="eastAsia"/>
                <w:color w:val="auto"/>
                <w:szCs w:val="21"/>
                <w:highlight w:val="none"/>
              </w:rPr>
              <w:t>投标人与本项目其他投标人的投标文件工程量清单编制机器硬件信息一致的（以交易平台评标系统的检索信息为准）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pPr>
              <w:rPr>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color w:val="auto"/>
                <w:szCs w:val="21"/>
                <w:highlight w:val="none"/>
              </w:rPr>
            </w:pPr>
          </w:p>
        </w:tc>
      </w:tr>
    </w:tbl>
    <w:p>
      <w:pPr>
        <w:ind w:firstLine="458"/>
        <w:rPr>
          <w:color w:val="auto"/>
          <w:szCs w:val="21"/>
          <w:highlight w:val="none"/>
        </w:rPr>
      </w:pPr>
      <w:r>
        <w:rPr>
          <w:rFonts w:hint="eastAsia"/>
          <w:color w:val="auto"/>
          <w:szCs w:val="21"/>
          <w:highlight w:val="none"/>
        </w:rPr>
        <w:t>注：</w:t>
      </w:r>
      <w:r>
        <w:rPr>
          <w:color w:val="auto"/>
          <w:szCs w:val="21"/>
          <w:highlight w:val="none"/>
        </w:rPr>
        <w:t>1.</w:t>
      </w:r>
      <w:r>
        <w:rPr>
          <w:rFonts w:hint="eastAsia"/>
          <w:color w:val="auto"/>
          <w:szCs w:val="21"/>
          <w:highlight w:val="none"/>
        </w:rPr>
        <w:t>本表使用GZZB2018-3招标文件范本，与范本内容不同之处均以下划线标明。</w:t>
      </w:r>
    </w:p>
    <w:p>
      <w:pPr>
        <w:ind w:firstLine="458"/>
        <w:rPr>
          <w:color w:val="auto"/>
          <w:szCs w:val="21"/>
          <w:highlight w:val="none"/>
        </w:rPr>
      </w:pPr>
      <w:r>
        <w:rPr>
          <w:color w:val="auto"/>
          <w:szCs w:val="21"/>
          <w:highlight w:val="none"/>
        </w:rPr>
        <w:t>2.</w:t>
      </w:r>
      <w:r>
        <w:rPr>
          <w:rFonts w:hint="eastAsia"/>
          <w:color w:val="auto"/>
          <w:szCs w:val="21"/>
          <w:highlight w:val="none"/>
        </w:rPr>
        <w:t>凡出现以上任何一项情形，结论均为无效，否则就为有效。</w:t>
      </w:r>
    </w:p>
    <w:p>
      <w:pPr>
        <w:ind w:firstLine="458"/>
        <w:rPr>
          <w:rFonts w:hint="eastAsia"/>
          <w:color w:val="auto"/>
          <w:szCs w:val="21"/>
          <w:highlight w:val="none"/>
        </w:rPr>
      </w:pPr>
      <w:r>
        <w:rPr>
          <w:rFonts w:hint="eastAsia"/>
          <w:color w:val="auto"/>
          <w:szCs w:val="21"/>
          <w:highlight w:val="none"/>
        </w:rPr>
        <w:t>3</w:t>
      </w:r>
      <w:r>
        <w:rPr>
          <w:color w:val="auto"/>
          <w:szCs w:val="21"/>
          <w:highlight w:val="none"/>
        </w:rPr>
        <w:t>.</w:t>
      </w:r>
      <w:r>
        <w:rPr>
          <w:rFonts w:hint="eastAsia"/>
          <w:color w:val="auto"/>
          <w:szCs w:val="21"/>
          <w:highlight w:val="none"/>
        </w:rPr>
        <w:t>如对本表中某种情形的评审意见不一致时，以评标委员会过半数成员的意见作为评标委员会对该情形的认定结论。</w:t>
      </w:r>
    </w:p>
    <w:p>
      <w:pPr>
        <w:pStyle w:val="11"/>
        <w:ind w:firstLine="420" w:firstLineChars="200"/>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pStyle w:val="23"/>
        <w:ind w:firstLine="458"/>
        <w:rPr>
          <w:rFonts w:ascii="宋体" w:hAnsi="宋体"/>
          <w:color w:val="auto"/>
          <w:szCs w:val="21"/>
          <w:highlight w:val="none"/>
        </w:rPr>
        <w:sectPr>
          <w:endnotePr>
            <w:numFmt w:val="decimal"/>
          </w:endnotePr>
          <w:pgSz w:w="16838" w:h="11905" w:orient="landscape"/>
          <w:pgMar w:top="1474" w:right="1440" w:bottom="1474" w:left="1440" w:header="850" w:footer="907" w:gutter="0"/>
          <w:cols w:space="0" w:num="1"/>
          <w:titlePg/>
          <w:docGrid w:type="lines" w:linePitch="319" w:charSpace="0"/>
        </w:sectPr>
      </w:pPr>
      <w:r>
        <w:rPr>
          <w:rFonts w:hint="eastAsia" w:ascii="宋体" w:hAnsi="宋体"/>
          <w:color w:val="auto"/>
          <w:szCs w:val="21"/>
          <w:highlight w:val="none"/>
        </w:rPr>
        <w:t>评委签名：</w:t>
      </w:r>
    </w:p>
    <w:p>
      <w:pPr>
        <w:rPr>
          <w:color w:val="auto"/>
          <w:szCs w:val="21"/>
          <w:highlight w:val="none"/>
        </w:rPr>
      </w:pPr>
      <w:r>
        <w:rPr>
          <w:rFonts w:hint="eastAsia"/>
          <w:color w:val="auto"/>
          <w:szCs w:val="21"/>
          <w:highlight w:val="none"/>
        </w:rPr>
        <w:t>附表四</w:t>
      </w:r>
    </w:p>
    <w:p>
      <w:pPr>
        <w:widowControl w:val="0"/>
        <w:tabs>
          <w:tab w:val="left" w:pos="3570"/>
        </w:tabs>
        <w:spacing w:line="276" w:lineRule="auto"/>
        <w:jc w:val="center"/>
        <w:textAlignment w:val="auto"/>
        <w:rPr>
          <w:color w:val="auto"/>
          <w:szCs w:val="21"/>
          <w:highlight w:val="none"/>
        </w:rPr>
      </w:pPr>
      <w:r>
        <w:rPr>
          <w:rFonts w:hint="eastAsia" w:ascii="宋体" w:hAnsi="宋体"/>
          <w:b/>
          <w:color w:val="auto"/>
          <w:sz w:val="36"/>
          <w:szCs w:val="36"/>
          <w:highlight w:val="none"/>
        </w:rPr>
        <w:t>技术标详细审查评分表</w:t>
      </w:r>
    </w:p>
    <w:tbl>
      <w:tblPr>
        <w:tblStyle w:val="25"/>
        <w:tblW w:w="14584" w:type="dxa"/>
        <w:tblInd w:w="0" w:type="dxa"/>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04"/>
        <w:gridCol w:w="674"/>
        <w:gridCol w:w="9"/>
        <w:gridCol w:w="1301"/>
        <w:gridCol w:w="819"/>
        <w:gridCol w:w="10977"/>
      </w:tblGrid>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9" w:hRule="atLeast"/>
        </w:trPr>
        <w:tc>
          <w:tcPr>
            <w:tcW w:w="804" w:type="dxa"/>
            <w:shd w:val="clear" w:color="auto" w:fill="FFFFFF"/>
            <w:noWrap w:val="0"/>
            <w:vAlign w:val="center"/>
          </w:tcPr>
          <w:p>
            <w:pPr>
              <w:tabs>
                <w:tab w:val="left" w:pos="3570"/>
              </w:tabs>
              <w:jc w:val="center"/>
              <w:rPr>
                <w:rFonts w:hAnsi="宋体"/>
                <w:color w:val="auto"/>
                <w:sz w:val="20"/>
                <w:szCs w:val="20"/>
                <w:highlight w:val="none"/>
              </w:rPr>
            </w:pPr>
            <w:r>
              <w:rPr>
                <w:rFonts w:hint="eastAsia"/>
                <w:color w:val="auto"/>
                <w:sz w:val="20"/>
                <w:szCs w:val="20"/>
                <w:highlight w:val="none"/>
              </w:rPr>
              <w:br w:type="page"/>
            </w:r>
            <w:r>
              <w:rPr>
                <w:rFonts w:hAnsi="宋体"/>
                <w:color w:val="auto"/>
                <w:sz w:val="20"/>
                <w:szCs w:val="20"/>
                <w:highlight w:val="none"/>
              </w:rPr>
              <w:t>序号</w:t>
            </w:r>
          </w:p>
        </w:tc>
        <w:tc>
          <w:tcPr>
            <w:tcW w:w="1984" w:type="dxa"/>
            <w:gridSpan w:val="3"/>
            <w:shd w:val="clear" w:color="auto" w:fill="FFFFFF"/>
            <w:noWrap w:val="0"/>
            <w:vAlign w:val="center"/>
          </w:tcPr>
          <w:p>
            <w:pPr>
              <w:pStyle w:val="11"/>
              <w:keepNext w:val="0"/>
              <w:keepLines w:val="0"/>
              <w:pageBreakBefore w:val="0"/>
              <w:tabs>
                <w:tab w:val="left" w:pos="3570"/>
              </w:tabs>
              <w:kinsoku/>
              <w:wordWrap/>
              <w:overflowPunct/>
              <w:topLinePunct w:val="0"/>
              <w:bidi w:val="0"/>
              <w:spacing w:line="240" w:lineRule="auto"/>
              <w:jc w:val="left"/>
              <w:textAlignment w:val="auto"/>
              <w:rPr>
                <w:rFonts w:hAnsi="宋体"/>
                <w:color w:val="auto"/>
                <w:sz w:val="20"/>
                <w:szCs w:val="20"/>
                <w:highlight w:val="none"/>
              </w:rPr>
            </w:pPr>
            <w:r>
              <w:rPr>
                <w:rFonts w:hint="eastAsia" w:hAnsi="宋体"/>
                <w:color w:val="auto"/>
                <w:sz w:val="20"/>
                <w:szCs w:val="20"/>
                <w:highlight w:val="none"/>
              </w:rPr>
              <w:t>评分内容</w:t>
            </w:r>
          </w:p>
        </w:tc>
        <w:tc>
          <w:tcPr>
            <w:tcW w:w="819" w:type="dxa"/>
            <w:shd w:val="clear" w:color="auto" w:fill="FFFFFF"/>
            <w:noWrap w:val="0"/>
            <w:vAlign w:val="center"/>
          </w:tcPr>
          <w:p>
            <w:pPr>
              <w:pStyle w:val="11"/>
              <w:keepNext w:val="0"/>
              <w:keepLines w:val="0"/>
              <w:pageBreakBefore w:val="0"/>
              <w:tabs>
                <w:tab w:val="left" w:pos="3570"/>
              </w:tabs>
              <w:kinsoku/>
              <w:wordWrap/>
              <w:overflowPunct/>
              <w:topLinePunct w:val="0"/>
              <w:bidi w:val="0"/>
              <w:spacing w:line="240" w:lineRule="auto"/>
              <w:jc w:val="left"/>
              <w:textAlignment w:val="auto"/>
              <w:rPr>
                <w:rFonts w:hAnsi="宋体"/>
                <w:color w:val="auto"/>
                <w:sz w:val="20"/>
                <w:szCs w:val="20"/>
                <w:highlight w:val="none"/>
              </w:rPr>
            </w:pPr>
            <w:r>
              <w:rPr>
                <w:rFonts w:hint="eastAsia" w:hAnsi="宋体"/>
                <w:color w:val="auto"/>
                <w:sz w:val="20"/>
                <w:szCs w:val="20"/>
                <w:highlight w:val="none"/>
              </w:rPr>
              <w:t>分值</w:t>
            </w:r>
          </w:p>
        </w:tc>
        <w:tc>
          <w:tcPr>
            <w:tcW w:w="10977" w:type="dxa"/>
            <w:shd w:val="clear" w:color="auto" w:fill="FFFFFF"/>
            <w:noWrap w:val="0"/>
            <w:vAlign w:val="center"/>
          </w:tcPr>
          <w:p>
            <w:pPr>
              <w:pStyle w:val="11"/>
              <w:keepNext w:val="0"/>
              <w:keepLines w:val="0"/>
              <w:pageBreakBefore w:val="0"/>
              <w:tabs>
                <w:tab w:val="left" w:pos="3570"/>
              </w:tabs>
              <w:kinsoku/>
              <w:wordWrap/>
              <w:overflowPunct/>
              <w:topLinePunct w:val="0"/>
              <w:bidi w:val="0"/>
              <w:spacing w:line="240" w:lineRule="auto"/>
              <w:jc w:val="center"/>
              <w:textAlignment w:val="auto"/>
              <w:rPr>
                <w:rFonts w:hAnsi="宋体"/>
                <w:color w:val="auto"/>
                <w:sz w:val="20"/>
                <w:szCs w:val="20"/>
                <w:highlight w:val="none"/>
              </w:rPr>
            </w:pPr>
            <w:r>
              <w:rPr>
                <w:rFonts w:hint="eastAsia" w:hAnsi="宋体"/>
                <w:color w:val="auto"/>
                <w:sz w:val="20"/>
                <w:szCs w:val="20"/>
                <w:highlight w:val="none"/>
              </w:rPr>
              <w:t>评审标准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FFFFFF"/>
          <w:tblCellMar>
            <w:top w:w="57" w:type="dxa"/>
            <w:left w:w="108" w:type="dxa"/>
            <w:bottom w:w="57" w:type="dxa"/>
            <w:right w:w="108" w:type="dxa"/>
          </w:tblCellMar>
        </w:tblPrEx>
        <w:trPr>
          <w:trHeight w:val="1183" w:hRule="atLeast"/>
        </w:trPr>
        <w:tc>
          <w:tcPr>
            <w:tcW w:w="804" w:type="dxa"/>
            <w:vMerge w:val="restart"/>
            <w:shd w:val="clear" w:color="auto" w:fill="FFFFFF"/>
            <w:noWrap w:val="0"/>
            <w:vAlign w:val="center"/>
          </w:tcPr>
          <w:p>
            <w:pPr>
              <w:pStyle w:val="11"/>
              <w:keepNext w:val="0"/>
              <w:keepLines w:val="0"/>
              <w:pageBreakBefore w:val="0"/>
              <w:tabs>
                <w:tab w:val="left" w:pos="3570"/>
              </w:tabs>
              <w:kinsoku/>
              <w:wordWrap/>
              <w:overflowPunct/>
              <w:topLinePunct w:val="0"/>
              <w:bidi w:val="0"/>
              <w:spacing w:line="240" w:lineRule="auto"/>
              <w:jc w:val="center"/>
              <w:textAlignment w:val="auto"/>
              <w:rPr>
                <w:rFonts w:hint="eastAsia" w:hAnsi="宋体"/>
                <w:color w:val="auto"/>
                <w:sz w:val="20"/>
                <w:szCs w:val="20"/>
                <w:highlight w:val="none"/>
              </w:rPr>
            </w:pPr>
            <w:r>
              <w:rPr>
                <w:rFonts w:hint="eastAsia" w:hAnsi="宋体"/>
                <w:color w:val="auto"/>
                <w:sz w:val="20"/>
                <w:szCs w:val="20"/>
                <w:highlight w:val="none"/>
              </w:rPr>
              <w:t>一</w:t>
            </w:r>
          </w:p>
        </w:tc>
        <w:tc>
          <w:tcPr>
            <w:tcW w:w="683" w:type="dxa"/>
            <w:gridSpan w:val="2"/>
            <w:vMerge w:val="restart"/>
            <w:shd w:val="clear" w:color="auto" w:fill="FFFFFF"/>
            <w:noWrap w:val="0"/>
            <w:vAlign w:val="center"/>
          </w:tcPr>
          <w:p>
            <w:pPr>
              <w:pStyle w:val="11"/>
              <w:keepNext w:val="0"/>
              <w:keepLines w:val="0"/>
              <w:pageBreakBefore w:val="0"/>
              <w:tabs>
                <w:tab w:val="left" w:pos="3570"/>
              </w:tabs>
              <w:kinsoku/>
              <w:wordWrap/>
              <w:overflowPunct/>
              <w:topLinePunct w:val="0"/>
              <w:bidi w:val="0"/>
              <w:spacing w:line="240" w:lineRule="auto"/>
              <w:jc w:val="left"/>
              <w:textAlignment w:val="auto"/>
              <w:rPr>
                <w:rFonts w:hint="eastAsia" w:hAnsi="宋体"/>
                <w:color w:val="auto"/>
                <w:sz w:val="20"/>
                <w:szCs w:val="20"/>
                <w:highlight w:val="none"/>
              </w:rPr>
            </w:pPr>
            <w:r>
              <w:rPr>
                <w:rFonts w:hint="eastAsia" w:hAnsi="宋体"/>
                <w:color w:val="auto"/>
                <w:sz w:val="20"/>
                <w:szCs w:val="20"/>
                <w:highlight w:val="none"/>
              </w:rPr>
              <w:t>施工组织设计（</w:t>
            </w:r>
            <w:r>
              <w:rPr>
                <w:rFonts w:hint="eastAsia" w:hAnsi="宋体"/>
                <w:color w:val="auto"/>
                <w:sz w:val="20"/>
                <w:szCs w:val="20"/>
                <w:highlight w:val="none"/>
                <w:lang w:val="en-US" w:eastAsia="zh-CN"/>
              </w:rPr>
              <w:t>3</w:t>
            </w:r>
            <w:r>
              <w:rPr>
                <w:rFonts w:hint="eastAsia" w:hAnsi="宋体"/>
                <w:color w:val="auto"/>
                <w:sz w:val="20"/>
                <w:szCs w:val="20"/>
                <w:highlight w:val="none"/>
              </w:rPr>
              <w:t>0分）</w:t>
            </w:r>
          </w:p>
        </w:tc>
        <w:tc>
          <w:tcPr>
            <w:tcW w:w="1301" w:type="dxa"/>
            <w:shd w:val="clear" w:color="auto" w:fill="FFFFFF"/>
            <w:noWrap w:val="0"/>
            <w:vAlign w:val="center"/>
          </w:tcPr>
          <w:p>
            <w:pPr>
              <w:pStyle w:val="11"/>
              <w:keepNext w:val="0"/>
              <w:keepLines w:val="0"/>
              <w:pageBreakBefore w:val="0"/>
              <w:widowControl w:val="0"/>
              <w:tabs>
                <w:tab w:val="left" w:pos="3570"/>
              </w:tabs>
              <w:kinsoku/>
              <w:wordWrap/>
              <w:overflowPunct/>
              <w:topLinePunct w:val="0"/>
              <w:autoSpaceDE/>
              <w:autoSpaceDN/>
              <w:bidi w:val="0"/>
              <w:adjustRightInd/>
              <w:spacing w:line="240" w:lineRule="auto"/>
              <w:jc w:val="center"/>
              <w:textAlignment w:val="auto"/>
              <w:rPr>
                <w:rFonts w:hint="eastAsia" w:hAnsi="宋体"/>
                <w:color w:val="auto"/>
                <w:sz w:val="20"/>
                <w:szCs w:val="20"/>
                <w:highlight w:val="none"/>
              </w:rPr>
            </w:pPr>
            <w:r>
              <w:rPr>
                <w:rFonts w:hint="eastAsia" w:ascii="宋体" w:hAnsi="宋体" w:cs="宋体"/>
                <w:color w:val="auto"/>
                <w:sz w:val="20"/>
                <w:szCs w:val="20"/>
                <w:highlight w:val="none"/>
              </w:rPr>
              <w:t>针对项目重点难点的措施</w:t>
            </w:r>
          </w:p>
        </w:tc>
        <w:tc>
          <w:tcPr>
            <w:tcW w:w="819" w:type="dxa"/>
            <w:shd w:val="clear" w:color="auto" w:fill="FFFFFF"/>
            <w:noWrap w:val="0"/>
            <w:vAlign w:val="center"/>
          </w:tcPr>
          <w:p>
            <w:pPr>
              <w:pStyle w:val="11"/>
              <w:keepNext w:val="0"/>
              <w:keepLines w:val="0"/>
              <w:pageBreakBefore w:val="0"/>
              <w:widowControl w:val="0"/>
              <w:tabs>
                <w:tab w:val="left" w:pos="3570"/>
              </w:tabs>
              <w:kinsoku/>
              <w:wordWrap/>
              <w:overflowPunct/>
              <w:topLinePunct w:val="0"/>
              <w:autoSpaceDE/>
              <w:autoSpaceDN/>
              <w:bidi w:val="0"/>
              <w:adjustRightInd/>
              <w:spacing w:line="240" w:lineRule="auto"/>
              <w:jc w:val="center"/>
              <w:textAlignment w:val="auto"/>
              <w:rPr>
                <w:rFonts w:hint="eastAsia" w:hAnsi="宋体" w:eastAsia="宋体"/>
                <w:color w:val="auto"/>
                <w:sz w:val="20"/>
                <w:szCs w:val="20"/>
                <w:highlight w:val="none"/>
                <w:lang w:eastAsia="zh-CN"/>
              </w:rPr>
            </w:pPr>
            <w:r>
              <w:rPr>
                <w:rFonts w:hint="eastAsia" w:hAnsi="宋体"/>
                <w:color w:val="auto"/>
                <w:sz w:val="20"/>
                <w:szCs w:val="20"/>
                <w:highlight w:val="none"/>
                <w:lang w:val="en-US" w:eastAsia="zh-CN"/>
              </w:rPr>
              <w:t>5</w:t>
            </w:r>
          </w:p>
        </w:tc>
        <w:tc>
          <w:tcPr>
            <w:tcW w:w="10977" w:type="dxa"/>
            <w:shd w:val="clear" w:color="auto" w:fill="FFFFFF"/>
            <w:noWrap w:val="0"/>
            <w:vAlign w:val="center"/>
          </w:tcPr>
          <w:p>
            <w:pPr>
              <w:keepNext w:val="0"/>
              <w:keepLines w:val="0"/>
              <w:pageBreakBefore w:val="0"/>
              <w:widowControl w:val="0"/>
              <w:numPr>
                <w:ilvl w:val="0"/>
                <w:numId w:val="1"/>
              </w:numPr>
              <w:tabs>
                <w:tab w:val="left" w:pos="360"/>
                <w:tab w:val="left" w:pos="3570"/>
              </w:tabs>
              <w:kinsoku/>
              <w:wordWrap/>
              <w:overflowPunct/>
              <w:topLinePunct w:val="0"/>
              <w:autoSpaceDE/>
              <w:autoSpaceDN/>
              <w:bidi w:val="0"/>
              <w:adjustRightInd/>
              <w:snapToGrid w:val="0"/>
              <w:spacing w:line="264" w:lineRule="auto"/>
              <w:jc w:val="left"/>
              <w:textAlignment w:val="auto"/>
              <w:rPr>
                <w:rFonts w:hint="eastAsia" w:ascii="宋体" w:hAnsi="宋体" w:cs="宋体"/>
                <w:color w:val="auto"/>
                <w:sz w:val="20"/>
                <w:szCs w:val="20"/>
                <w:highlight w:val="none"/>
              </w:rPr>
            </w:pPr>
            <w:r>
              <w:rPr>
                <w:rFonts w:hint="eastAsia" w:cs="宋体"/>
                <w:color w:val="auto"/>
                <w:sz w:val="20"/>
                <w:szCs w:val="20"/>
                <w:highlight w:val="none"/>
                <w:lang w:val="en-US" w:eastAsia="zh-CN"/>
              </w:rPr>
              <w:t>根据本项目特点，</w:t>
            </w:r>
            <w:r>
              <w:rPr>
                <w:rFonts w:hint="eastAsia" w:ascii="宋体" w:hAnsi="宋体" w:cs="宋体"/>
                <w:color w:val="auto"/>
                <w:sz w:val="20"/>
                <w:szCs w:val="20"/>
                <w:highlight w:val="none"/>
              </w:rPr>
              <w:t>编制项目重点难点的措施，</w:t>
            </w:r>
            <w:r>
              <w:rPr>
                <w:rFonts w:hint="eastAsia" w:cs="宋体"/>
                <w:b w:val="0"/>
                <w:bCs/>
                <w:color w:val="auto"/>
                <w:sz w:val="20"/>
                <w:szCs w:val="20"/>
                <w:highlight w:val="none"/>
                <w:lang w:val="en-US" w:eastAsia="zh-CN"/>
              </w:rPr>
              <w:t>内容包含</w:t>
            </w:r>
            <w:r>
              <w:rPr>
                <w:rFonts w:hint="eastAsia" w:ascii="宋体" w:hAnsi="宋体" w:cs="宋体"/>
                <w:color w:val="auto"/>
                <w:sz w:val="20"/>
                <w:szCs w:val="20"/>
                <w:highlight w:val="none"/>
              </w:rPr>
              <w:t>项目重点难点分析、投资控制保障措施</w:t>
            </w:r>
            <w:r>
              <w:rPr>
                <w:rFonts w:hint="eastAsia" w:cs="宋体"/>
                <w:color w:val="auto"/>
                <w:sz w:val="20"/>
                <w:szCs w:val="20"/>
                <w:highlight w:val="none"/>
                <w:lang w:val="en-US" w:eastAsia="zh-CN"/>
              </w:rPr>
              <w:t>的，得1.5分</w:t>
            </w:r>
            <w:r>
              <w:rPr>
                <w:rFonts w:hint="eastAsia" w:ascii="宋体" w:hAnsi="宋体" w:cs="宋体"/>
                <w:color w:val="auto"/>
                <w:sz w:val="20"/>
                <w:szCs w:val="20"/>
                <w:highlight w:val="none"/>
              </w:rPr>
              <w:t>：</w:t>
            </w:r>
          </w:p>
          <w:p>
            <w:pPr>
              <w:keepNext w:val="0"/>
              <w:keepLines w:val="0"/>
              <w:pageBreakBefore w:val="0"/>
              <w:widowControl w:val="0"/>
              <w:numPr>
                <w:ilvl w:val="0"/>
                <w:numId w:val="1"/>
              </w:numPr>
              <w:tabs>
                <w:tab w:val="left" w:pos="360"/>
                <w:tab w:val="left" w:pos="3570"/>
              </w:tabs>
              <w:kinsoku/>
              <w:wordWrap/>
              <w:overflowPunct/>
              <w:topLinePunct w:val="0"/>
              <w:autoSpaceDE/>
              <w:autoSpaceDN/>
              <w:bidi w:val="0"/>
              <w:adjustRightInd/>
              <w:snapToGrid w:val="0"/>
              <w:spacing w:line="264" w:lineRule="auto"/>
              <w:jc w:val="left"/>
              <w:textAlignment w:val="auto"/>
              <w:rPr>
                <w:rFonts w:hint="eastAsia" w:ascii="宋体" w:hAnsi="宋体" w:cs="宋体"/>
                <w:b/>
                <w:color w:val="auto"/>
                <w:sz w:val="20"/>
                <w:szCs w:val="20"/>
                <w:highlight w:val="none"/>
              </w:rPr>
            </w:pPr>
            <w:r>
              <w:rPr>
                <w:rFonts w:hint="eastAsia"/>
                <w:color w:val="auto"/>
                <w:sz w:val="20"/>
                <w:szCs w:val="20"/>
                <w:highlight w:val="none"/>
                <w:lang w:val="zh-TW"/>
              </w:rPr>
              <w:t>各</w:t>
            </w:r>
            <w:r>
              <w:rPr>
                <w:rFonts w:hint="eastAsia"/>
                <w:color w:val="auto"/>
                <w:sz w:val="20"/>
                <w:szCs w:val="20"/>
                <w:highlight w:val="none"/>
                <w:lang w:val="en-US" w:eastAsia="zh-CN"/>
              </w:rPr>
              <w:t>方案</w:t>
            </w:r>
            <w:r>
              <w:rPr>
                <w:rFonts w:hint="eastAsia"/>
                <w:color w:val="auto"/>
                <w:sz w:val="20"/>
                <w:szCs w:val="20"/>
                <w:highlight w:val="none"/>
                <w:lang w:val="zh-TW"/>
              </w:rPr>
              <w:t>横向对比：</w:t>
            </w:r>
          </w:p>
          <w:p>
            <w:pPr>
              <w:keepNext w:val="0"/>
              <w:keepLines w:val="0"/>
              <w:pageBreakBefore w:val="0"/>
              <w:widowControl w:val="0"/>
              <w:tabs>
                <w:tab w:val="left" w:pos="360"/>
                <w:tab w:val="left" w:pos="3570"/>
              </w:tabs>
              <w:kinsoku/>
              <w:wordWrap/>
              <w:overflowPunct/>
              <w:topLinePunct w:val="0"/>
              <w:autoSpaceDE/>
              <w:autoSpaceDN/>
              <w:bidi w:val="0"/>
              <w:adjustRightInd/>
              <w:snapToGrid w:val="0"/>
              <w:spacing w:line="264" w:lineRule="auto"/>
              <w:jc w:val="left"/>
              <w:textAlignment w:val="auto"/>
              <w:rPr>
                <w:rFonts w:hint="eastAsia" w:ascii="宋体" w:hAnsi="宋体" w:cs="宋体"/>
                <w:color w:val="auto"/>
                <w:sz w:val="20"/>
                <w:szCs w:val="20"/>
                <w:highlight w:val="none"/>
              </w:rPr>
            </w:pPr>
            <w:r>
              <w:rPr>
                <w:rFonts w:hint="eastAsia" w:ascii="宋体" w:hAnsi="宋体" w:cs="宋体"/>
                <w:b/>
                <w:color w:val="auto"/>
                <w:sz w:val="20"/>
                <w:szCs w:val="20"/>
                <w:highlight w:val="none"/>
              </w:rPr>
              <w:t>优：</w:t>
            </w:r>
            <w:r>
              <w:rPr>
                <w:rFonts w:hint="eastAsia" w:ascii="宋体" w:hAnsi="宋体" w:cs="宋体"/>
                <w:color w:val="auto"/>
                <w:sz w:val="20"/>
                <w:szCs w:val="20"/>
                <w:highlight w:val="none"/>
              </w:rPr>
              <w:t>对</w:t>
            </w:r>
            <w:r>
              <w:rPr>
                <w:rFonts w:hint="eastAsia" w:cs="宋体"/>
                <w:color w:val="auto"/>
                <w:sz w:val="20"/>
                <w:szCs w:val="20"/>
                <w:highlight w:val="none"/>
                <w:lang w:val="en-US" w:eastAsia="zh-CN"/>
              </w:rPr>
              <w:t>项目实施</w:t>
            </w:r>
            <w:r>
              <w:rPr>
                <w:rFonts w:hint="eastAsia" w:ascii="宋体" w:hAnsi="宋体" w:cs="宋体"/>
                <w:color w:val="auto"/>
                <w:sz w:val="20"/>
                <w:szCs w:val="20"/>
                <w:highlight w:val="none"/>
              </w:rPr>
              <w:t>重点难点的分析及表述</w:t>
            </w:r>
            <w:r>
              <w:rPr>
                <w:color w:val="auto"/>
                <w:sz w:val="20"/>
                <w:szCs w:val="20"/>
                <w:highlight w:val="none"/>
              </w:rPr>
              <w:t>清晰、完整、严谨、</w:t>
            </w:r>
            <w:r>
              <w:rPr>
                <w:rFonts w:hint="eastAsia" w:ascii="宋体" w:hAnsi="宋体" w:cs="宋体"/>
                <w:color w:val="auto"/>
                <w:sz w:val="20"/>
                <w:szCs w:val="20"/>
                <w:highlight w:val="none"/>
              </w:rPr>
              <w:t>可靠、合理，投资控制保障措施</w:t>
            </w:r>
            <w:r>
              <w:rPr>
                <w:rFonts w:hint="eastAsia" w:cs="宋体"/>
                <w:color w:val="auto"/>
                <w:sz w:val="20"/>
                <w:szCs w:val="20"/>
                <w:highlight w:val="none"/>
                <w:lang w:val="en-US" w:eastAsia="zh-CN"/>
              </w:rPr>
              <w:t>合理</w:t>
            </w:r>
            <w:r>
              <w:rPr>
                <w:rFonts w:hint="eastAsia" w:ascii="宋体" w:hAnsi="宋体" w:cs="宋体"/>
                <w:color w:val="auto"/>
                <w:sz w:val="20"/>
                <w:szCs w:val="20"/>
                <w:highlight w:val="none"/>
              </w:rPr>
              <w:t>、针对性优，</w:t>
            </w:r>
            <w:r>
              <w:rPr>
                <w:rFonts w:hint="eastAsia" w:cs="宋体"/>
                <w:color w:val="auto"/>
                <w:sz w:val="20"/>
                <w:szCs w:val="20"/>
                <w:highlight w:val="none"/>
                <w:lang w:val="en-US" w:eastAsia="zh-CN"/>
              </w:rPr>
              <w:t>加3.5</w:t>
            </w:r>
            <w:r>
              <w:rPr>
                <w:rFonts w:hint="eastAsia" w:ascii="宋体" w:hAnsi="宋体" w:cs="宋体"/>
                <w:color w:val="auto"/>
                <w:sz w:val="20"/>
                <w:szCs w:val="20"/>
                <w:highlight w:val="none"/>
              </w:rPr>
              <w:t>分；</w:t>
            </w:r>
          </w:p>
          <w:p>
            <w:pPr>
              <w:keepNext w:val="0"/>
              <w:keepLines w:val="0"/>
              <w:pageBreakBefore w:val="0"/>
              <w:widowControl w:val="0"/>
              <w:tabs>
                <w:tab w:val="left" w:pos="3570"/>
              </w:tabs>
              <w:kinsoku/>
              <w:wordWrap/>
              <w:overflowPunct/>
              <w:topLinePunct w:val="0"/>
              <w:autoSpaceDE/>
              <w:autoSpaceDN/>
              <w:bidi w:val="0"/>
              <w:adjustRightInd/>
              <w:snapToGrid w:val="0"/>
              <w:spacing w:line="264" w:lineRule="auto"/>
              <w:textAlignment w:val="auto"/>
              <w:rPr>
                <w:rFonts w:hint="eastAsia" w:ascii="宋体" w:hAnsi="宋体" w:cs="宋体"/>
                <w:color w:val="auto"/>
                <w:sz w:val="20"/>
                <w:szCs w:val="20"/>
                <w:highlight w:val="none"/>
              </w:rPr>
            </w:pPr>
            <w:r>
              <w:rPr>
                <w:rFonts w:hint="eastAsia" w:ascii="宋体" w:hAnsi="宋体" w:cs="宋体"/>
                <w:b/>
                <w:color w:val="auto"/>
                <w:sz w:val="20"/>
                <w:szCs w:val="20"/>
                <w:highlight w:val="none"/>
              </w:rPr>
              <w:t>良：</w:t>
            </w:r>
            <w:r>
              <w:rPr>
                <w:rFonts w:hint="eastAsia" w:ascii="宋体" w:hAnsi="宋体" w:cs="宋体"/>
                <w:color w:val="auto"/>
                <w:sz w:val="20"/>
                <w:szCs w:val="20"/>
                <w:highlight w:val="none"/>
              </w:rPr>
              <w:t>对</w:t>
            </w:r>
            <w:r>
              <w:rPr>
                <w:rFonts w:hint="eastAsia" w:cs="宋体"/>
                <w:color w:val="auto"/>
                <w:sz w:val="20"/>
                <w:szCs w:val="20"/>
                <w:highlight w:val="none"/>
                <w:lang w:val="en-US" w:eastAsia="zh-CN"/>
              </w:rPr>
              <w:t>项目实施</w:t>
            </w:r>
            <w:r>
              <w:rPr>
                <w:rFonts w:hint="eastAsia" w:ascii="宋体" w:hAnsi="宋体" w:cs="宋体"/>
                <w:color w:val="auto"/>
                <w:sz w:val="20"/>
                <w:szCs w:val="20"/>
                <w:highlight w:val="none"/>
              </w:rPr>
              <w:t>重点难点的分析及表述</w:t>
            </w:r>
            <w:r>
              <w:rPr>
                <w:color w:val="auto"/>
                <w:sz w:val="20"/>
                <w:szCs w:val="20"/>
                <w:highlight w:val="none"/>
              </w:rPr>
              <w:t>清晰</w:t>
            </w:r>
            <w:r>
              <w:rPr>
                <w:rFonts w:hint="eastAsia"/>
                <w:color w:val="auto"/>
                <w:sz w:val="20"/>
                <w:szCs w:val="20"/>
                <w:highlight w:val="none"/>
                <w:lang w:val="en-US" w:eastAsia="zh-CN"/>
              </w:rPr>
              <w:t>、</w:t>
            </w:r>
            <w:r>
              <w:rPr>
                <w:color w:val="auto"/>
                <w:sz w:val="20"/>
                <w:szCs w:val="20"/>
                <w:highlight w:val="none"/>
              </w:rPr>
              <w:t>完整</w:t>
            </w:r>
            <w:r>
              <w:rPr>
                <w:rFonts w:hint="eastAsia" w:ascii="宋体" w:hAnsi="宋体" w:cs="宋体"/>
                <w:color w:val="auto"/>
                <w:sz w:val="20"/>
                <w:szCs w:val="20"/>
                <w:highlight w:val="none"/>
              </w:rPr>
              <w:t>、合理，投资控制保障措施</w:t>
            </w:r>
            <w:r>
              <w:rPr>
                <w:rFonts w:hint="eastAsia" w:cs="宋体"/>
                <w:color w:val="auto"/>
                <w:sz w:val="20"/>
                <w:szCs w:val="20"/>
                <w:highlight w:val="none"/>
                <w:lang w:val="en-US" w:eastAsia="zh-CN"/>
              </w:rPr>
              <w:t>一般</w:t>
            </w:r>
            <w:r>
              <w:rPr>
                <w:rFonts w:hint="eastAsia" w:ascii="宋体" w:hAnsi="宋体" w:cs="宋体"/>
                <w:color w:val="auto"/>
                <w:sz w:val="20"/>
                <w:szCs w:val="20"/>
                <w:highlight w:val="none"/>
              </w:rPr>
              <w:t>，</w:t>
            </w:r>
            <w:r>
              <w:rPr>
                <w:rFonts w:hint="eastAsia" w:cs="宋体"/>
                <w:color w:val="auto"/>
                <w:sz w:val="20"/>
                <w:szCs w:val="20"/>
                <w:highlight w:val="none"/>
                <w:lang w:val="en-US" w:eastAsia="zh-CN"/>
              </w:rPr>
              <w:t>针对性一般</w:t>
            </w:r>
            <w:r>
              <w:rPr>
                <w:rFonts w:hint="eastAsia" w:ascii="宋体" w:hAnsi="宋体" w:cs="宋体"/>
                <w:color w:val="auto"/>
                <w:sz w:val="20"/>
                <w:szCs w:val="20"/>
                <w:highlight w:val="none"/>
              </w:rPr>
              <w:t>，</w:t>
            </w:r>
            <w:r>
              <w:rPr>
                <w:rFonts w:hint="eastAsia" w:cs="宋体"/>
                <w:color w:val="auto"/>
                <w:sz w:val="20"/>
                <w:szCs w:val="20"/>
                <w:highlight w:val="none"/>
                <w:lang w:val="en-US" w:eastAsia="zh-CN"/>
              </w:rPr>
              <w:t>加2.5</w:t>
            </w:r>
            <w:r>
              <w:rPr>
                <w:rFonts w:hint="eastAsia" w:ascii="宋体" w:hAnsi="宋体" w:cs="宋体"/>
                <w:color w:val="auto"/>
                <w:sz w:val="20"/>
                <w:szCs w:val="20"/>
                <w:highlight w:val="none"/>
              </w:rPr>
              <w:t>分；</w:t>
            </w:r>
          </w:p>
          <w:p>
            <w:pPr>
              <w:keepNext w:val="0"/>
              <w:keepLines w:val="0"/>
              <w:pageBreakBefore w:val="0"/>
              <w:widowControl w:val="0"/>
              <w:tabs>
                <w:tab w:val="left" w:pos="360"/>
                <w:tab w:val="left" w:pos="3570"/>
              </w:tabs>
              <w:kinsoku/>
              <w:wordWrap/>
              <w:overflowPunct/>
              <w:topLinePunct w:val="0"/>
              <w:autoSpaceDE/>
              <w:autoSpaceDN/>
              <w:bidi w:val="0"/>
              <w:adjustRightInd/>
              <w:snapToGrid w:val="0"/>
              <w:spacing w:line="264" w:lineRule="auto"/>
              <w:jc w:val="left"/>
              <w:textAlignment w:val="auto"/>
              <w:rPr>
                <w:rFonts w:hint="eastAsia" w:ascii="宋体" w:hAnsi="宋体" w:cs="宋体"/>
                <w:color w:val="auto"/>
                <w:sz w:val="20"/>
                <w:szCs w:val="20"/>
                <w:highlight w:val="none"/>
              </w:rPr>
            </w:pPr>
            <w:r>
              <w:rPr>
                <w:rFonts w:hint="eastAsia" w:ascii="宋体" w:hAnsi="宋体" w:cs="宋体"/>
                <w:b/>
                <w:color w:val="auto"/>
                <w:sz w:val="20"/>
                <w:szCs w:val="20"/>
                <w:highlight w:val="none"/>
              </w:rPr>
              <w:t>中：</w:t>
            </w:r>
            <w:r>
              <w:rPr>
                <w:rFonts w:hint="eastAsia" w:ascii="宋体" w:hAnsi="宋体" w:cs="宋体"/>
                <w:color w:val="auto"/>
                <w:sz w:val="20"/>
                <w:szCs w:val="20"/>
                <w:highlight w:val="none"/>
              </w:rPr>
              <w:t>对</w:t>
            </w:r>
            <w:r>
              <w:rPr>
                <w:rFonts w:hint="eastAsia" w:cs="宋体"/>
                <w:color w:val="auto"/>
                <w:sz w:val="20"/>
                <w:szCs w:val="20"/>
                <w:highlight w:val="none"/>
                <w:lang w:val="en-US" w:eastAsia="zh-CN"/>
              </w:rPr>
              <w:t>项目实施</w:t>
            </w:r>
            <w:r>
              <w:rPr>
                <w:rFonts w:hint="eastAsia" w:ascii="宋体" w:hAnsi="宋体" w:cs="宋体"/>
                <w:color w:val="auto"/>
                <w:sz w:val="20"/>
                <w:szCs w:val="20"/>
                <w:highlight w:val="none"/>
              </w:rPr>
              <w:t>重点难点的分析及表述</w:t>
            </w:r>
            <w:r>
              <w:rPr>
                <w:rFonts w:hint="eastAsia" w:cs="宋体"/>
                <w:color w:val="auto"/>
                <w:sz w:val="20"/>
                <w:szCs w:val="20"/>
                <w:highlight w:val="none"/>
                <w:lang w:val="en-US" w:eastAsia="zh-CN"/>
              </w:rPr>
              <w:t>较差</w:t>
            </w:r>
            <w:r>
              <w:rPr>
                <w:rFonts w:hint="eastAsia" w:ascii="宋体" w:hAnsi="宋体" w:cs="宋体"/>
                <w:color w:val="auto"/>
                <w:sz w:val="20"/>
                <w:szCs w:val="20"/>
                <w:highlight w:val="none"/>
              </w:rPr>
              <w:t>，投资控制保障措施</w:t>
            </w:r>
            <w:r>
              <w:rPr>
                <w:rFonts w:hint="eastAsia" w:cs="宋体"/>
                <w:color w:val="auto"/>
                <w:sz w:val="20"/>
                <w:szCs w:val="20"/>
                <w:highlight w:val="none"/>
                <w:lang w:val="en-US" w:eastAsia="zh-CN"/>
              </w:rPr>
              <w:t>较差</w:t>
            </w:r>
            <w:r>
              <w:rPr>
                <w:rFonts w:hint="eastAsia" w:cs="宋体"/>
                <w:color w:val="auto"/>
                <w:sz w:val="20"/>
                <w:szCs w:val="20"/>
                <w:highlight w:val="none"/>
                <w:lang w:eastAsia="zh-CN"/>
              </w:rPr>
              <w:t>，</w:t>
            </w:r>
            <w:r>
              <w:rPr>
                <w:rFonts w:hint="eastAsia" w:cs="宋体"/>
                <w:color w:val="auto"/>
                <w:sz w:val="20"/>
                <w:szCs w:val="20"/>
                <w:highlight w:val="none"/>
                <w:lang w:val="en-US" w:eastAsia="zh-CN"/>
              </w:rPr>
              <w:t>针对性较差</w:t>
            </w:r>
            <w:r>
              <w:rPr>
                <w:rFonts w:hint="eastAsia" w:ascii="宋体" w:hAnsi="宋体" w:cs="宋体"/>
                <w:color w:val="auto"/>
                <w:sz w:val="20"/>
                <w:szCs w:val="20"/>
                <w:highlight w:val="none"/>
              </w:rPr>
              <w:t>，</w:t>
            </w:r>
            <w:r>
              <w:rPr>
                <w:rFonts w:hint="eastAsia" w:cs="宋体"/>
                <w:color w:val="auto"/>
                <w:sz w:val="20"/>
                <w:szCs w:val="20"/>
                <w:highlight w:val="none"/>
                <w:lang w:val="en-US" w:eastAsia="zh-CN"/>
              </w:rPr>
              <w:t>加1.5</w:t>
            </w:r>
            <w:r>
              <w:rPr>
                <w:rFonts w:hint="eastAsia" w:ascii="宋体" w:hAnsi="宋体" w:cs="宋体"/>
                <w:color w:val="auto"/>
                <w:sz w:val="20"/>
                <w:szCs w:val="20"/>
                <w:highlight w:val="none"/>
              </w:rPr>
              <w:t>分；</w:t>
            </w:r>
          </w:p>
          <w:p>
            <w:pPr>
              <w:pStyle w:val="11"/>
              <w:keepNext w:val="0"/>
              <w:keepLines w:val="0"/>
              <w:pageBreakBefore w:val="0"/>
              <w:widowControl w:val="0"/>
              <w:tabs>
                <w:tab w:val="left" w:pos="3570"/>
              </w:tabs>
              <w:kinsoku/>
              <w:wordWrap/>
              <w:overflowPunct/>
              <w:topLinePunct w:val="0"/>
              <w:autoSpaceDE/>
              <w:autoSpaceDN/>
              <w:bidi w:val="0"/>
              <w:adjustRightInd/>
              <w:spacing w:line="264" w:lineRule="auto"/>
              <w:jc w:val="left"/>
              <w:textAlignment w:val="auto"/>
              <w:rPr>
                <w:rFonts w:hint="eastAsia" w:ascii="宋体" w:hAnsi="宋体" w:cs="宋体"/>
                <w:b w:val="0"/>
                <w:bCs/>
                <w:color w:val="auto"/>
                <w:sz w:val="20"/>
                <w:szCs w:val="20"/>
                <w:highlight w:val="none"/>
              </w:rPr>
            </w:pPr>
            <w:r>
              <w:rPr>
                <w:rFonts w:hint="eastAsia" w:ascii="宋体" w:hAnsi="宋体" w:cs="宋体"/>
                <w:b/>
                <w:color w:val="auto"/>
                <w:sz w:val="20"/>
                <w:szCs w:val="20"/>
                <w:highlight w:val="none"/>
              </w:rPr>
              <w:t>差：</w:t>
            </w:r>
            <w:r>
              <w:rPr>
                <w:rFonts w:hint="eastAsia" w:hAnsi="宋体" w:cs="宋体"/>
                <w:b w:val="0"/>
                <w:bCs/>
                <w:color w:val="auto"/>
                <w:sz w:val="20"/>
                <w:szCs w:val="20"/>
                <w:highlight w:val="none"/>
                <w:lang w:val="en-US" w:eastAsia="zh-CN"/>
              </w:rPr>
              <w:t>没有提供第</w:t>
            </w:r>
            <w:r>
              <w:rPr>
                <w:rFonts w:hint="eastAsia" w:ascii="宋体" w:hAnsi="宋体" w:cs="宋体"/>
                <w:b w:val="0"/>
                <w:bCs/>
                <w:color w:val="auto"/>
                <w:sz w:val="20"/>
                <w:szCs w:val="20"/>
                <w:highlight w:val="none"/>
              </w:rPr>
              <w:t>（1）项内容的，不得分。</w:t>
            </w:r>
          </w:p>
          <w:p>
            <w:pPr>
              <w:pStyle w:val="11"/>
              <w:keepNext w:val="0"/>
              <w:keepLines w:val="0"/>
              <w:pageBreakBefore w:val="0"/>
              <w:widowControl w:val="0"/>
              <w:tabs>
                <w:tab w:val="left" w:pos="3570"/>
              </w:tabs>
              <w:kinsoku/>
              <w:wordWrap/>
              <w:overflowPunct/>
              <w:topLinePunct w:val="0"/>
              <w:autoSpaceDE/>
              <w:autoSpaceDN/>
              <w:bidi w:val="0"/>
              <w:adjustRightInd/>
              <w:spacing w:line="264" w:lineRule="auto"/>
              <w:jc w:val="left"/>
              <w:textAlignment w:val="auto"/>
              <w:rPr>
                <w:rFonts w:hint="eastAsia" w:ascii="宋体" w:hAnsi="宋体" w:cs="宋体"/>
                <w:b w:val="0"/>
                <w:bCs/>
                <w:color w:val="auto"/>
                <w:sz w:val="20"/>
                <w:szCs w:val="20"/>
                <w:highlight w:val="none"/>
              </w:rPr>
            </w:pPr>
            <w:r>
              <w:rPr>
                <w:rFonts w:hint="eastAsia" w:ascii="宋体" w:hAnsi="宋体" w:cs="宋体"/>
                <w:b w:val="0"/>
                <w:bCs/>
                <w:color w:val="auto"/>
                <w:sz w:val="20"/>
                <w:szCs w:val="20"/>
                <w:highlight w:val="none"/>
              </w:rPr>
              <w:t>本项最高得</w:t>
            </w:r>
            <w:r>
              <w:rPr>
                <w:rFonts w:hint="eastAsia" w:hAnsi="宋体" w:cs="宋体"/>
                <w:b w:val="0"/>
                <w:bCs/>
                <w:color w:val="auto"/>
                <w:sz w:val="20"/>
                <w:szCs w:val="20"/>
                <w:highlight w:val="none"/>
                <w:lang w:val="en-US" w:eastAsia="zh-CN"/>
              </w:rPr>
              <w:t>5</w:t>
            </w:r>
            <w:r>
              <w:rPr>
                <w:rFonts w:hint="eastAsia" w:ascii="宋体" w:hAnsi="宋体" w:cs="宋体"/>
                <w:b w:val="0"/>
                <w:bCs/>
                <w:color w:val="auto"/>
                <w:sz w:val="20"/>
                <w:szCs w:val="20"/>
                <w:highlight w:val="none"/>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FFFFFF"/>
          <w:tblCellMar>
            <w:top w:w="57" w:type="dxa"/>
            <w:left w:w="108" w:type="dxa"/>
            <w:bottom w:w="57" w:type="dxa"/>
            <w:right w:w="108" w:type="dxa"/>
          </w:tblCellMar>
        </w:tblPrEx>
        <w:trPr>
          <w:trHeight w:val="1183" w:hRule="atLeast"/>
        </w:trPr>
        <w:tc>
          <w:tcPr>
            <w:tcW w:w="804" w:type="dxa"/>
            <w:vMerge w:val="continue"/>
            <w:shd w:val="clear" w:color="auto" w:fill="FFFFFF"/>
            <w:noWrap w:val="0"/>
            <w:vAlign w:val="center"/>
          </w:tcPr>
          <w:p>
            <w:pPr>
              <w:pStyle w:val="11"/>
              <w:keepNext w:val="0"/>
              <w:keepLines w:val="0"/>
              <w:pageBreakBefore w:val="0"/>
              <w:tabs>
                <w:tab w:val="left" w:pos="3570"/>
              </w:tabs>
              <w:kinsoku/>
              <w:wordWrap/>
              <w:overflowPunct/>
              <w:topLinePunct w:val="0"/>
              <w:bidi w:val="0"/>
              <w:spacing w:line="240" w:lineRule="auto"/>
              <w:jc w:val="center"/>
              <w:textAlignment w:val="auto"/>
              <w:rPr>
                <w:rFonts w:hint="eastAsia" w:hAnsi="宋体"/>
                <w:color w:val="auto"/>
                <w:sz w:val="20"/>
                <w:szCs w:val="20"/>
                <w:highlight w:val="none"/>
              </w:rPr>
            </w:pPr>
          </w:p>
        </w:tc>
        <w:tc>
          <w:tcPr>
            <w:tcW w:w="683" w:type="dxa"/>
            <w:gridSpan w:val="2"/>
            <w:vMerge w:val="continue"/>
            <w:shd w:val="clear" w:color="auto" w:fill="FFFFFF"/>
            <w:noWrap w:val="0"/>
            <w:vAlign w:val="center"/>
          </w:tcPr>
          <w:p>
            <w:pPr>
              <w:pStyle w:val="11"/>
              <w:keepNext w:val="0"/>
              <w:keepLines w:val="0"/>
              <w:pageBreakBefore w:val="0"/>
              <w:tabs>
                <w:tab w:val="left" w:pos="3570"/>
              </w:tabs>
              <w:kinsoku/>
              <w:wordWrap/>
              <w:overflowPunct/>
              <w:topLinePunct w:val="0"/>
              <w:bidi w:val="0"/>
              <w:spacing w:line="240" w:lineRule="auto"/>
              <w:jc w:val="left"/>
              <w:textAlignment w:val="auto"/>
              <w:rPr>
                <w:rFonts w:hint="eastAsia" w:hAnsi="宋体"/>
                <w:color w:val="auto"/>
                <w:sz w:val="20"/>
                <w:szCs w:val="20"/>
                <w:highlight w:val="none"/>
              </w:rPr>
            </w:pPr>
          </w:p>
        </w:tc>
        <w:tc>
          <w:tcPr>
            <w:tcW w:w="1301" w:type="dxa"/>
            <w:shd w:val="clear" w:color="auto" w:fill="FFFFFF"/>
            <w:noWrap w:val="0"/>
            <w:vAlign w:val="center"/>
          </w:tcPr>
          <w:p>
            <w:pPr>
              <w:pStyle w:val="11"/>
              <w:keepNext w:val="0"/>
              <w:keepLines w:val="0"/>
              <w:pageBreakBefore w:val="0"/>
              <w:widowControl w:val="0"/>
              <w:tabs>
                <w:tab w:val="left" w:pos="3570"/>
              </w:tabs>
              <w:kinsoku/>
              <w:wordWrap/>
              <w:overflowPunct/>
              <w:topLinePunct w:val="0"/>
              <w:autoSpaceDE/>
              <w:autoSpaceDN/>
              <w:bidi w:val="0"/>
              <w:adjustRightInd/>
              <w:spacing w:line="240" w:lineRule="auto"/>
              <w:jc w:val="center"/>
              <w:textAlignment w:val="auto"/>
              <w:rPr>
                <w:rFonts w:hint="eastAsia" w:ascii="宋体" w:hAnsi="宋体" w:cs="宋体"/>
                <w:color w:val="auto"/>
                <w:sz w:val="20"/>
                <w:szCs w:val="20"/>
                <w:highlight w:val="none"/>
              </w:rPr>
            </w:pPr>
            <w:r>
              <w:rPr>
                <w:rFonts w:hint="eastAsia" w:hAnsi="宋体" w:cs="宋体"/>
                <w:color w:val="auto"/>
                <w:sz w:val="20"/>
                <w:szCs w:val="20"/>
                <w:highlight w:val="none"/>
                <w:lang w:val="en-US" w:eastAsia="zh-CN"/>
              </w:rPr>
              <w:t>配合实施措施</w:t>
            </w:r>
          </w:p>
        </w:tc>
        <w:tc>
          <w:tcPr>
            <w:tcW w:w="819" w:type="dxa"/>
            <w:shd w:val="clear" w:color="auto" w:fill="FFFFFF"/>
            <w:noWrap w:val="0"/>
            <w:vAlign w:val="center"/>
          </w:tcPr>
          <w:p>
            <w:pPr>
              <w:pStyle w:val="11"/>
              <w:keepNext w:val="0"/>
              <w:keepLines w:val="0"/>
              <w:pageBreakBefore w:val="0"/>
              <w:widowControl w:val="0"/>
              <w:tabs>
                <w:tab w:val="left" w:pos="3570"/>
              </w:tabs>
              <w:kinsoku/>
              <w:wordWrap/>
              <w:overflowPunct/>
              <w:topLinePunct w:val="0"/>
              <w:autoSpaceDE/>
              <w:autoSpaceDN/>
              <w:bidi w:val="0"/>
              <w:adjustRightInd/>
              <w:spacing w:line="240" w:lineRule="auto"/>
              <w:jc w:val="center"/>
              <w:textAlignment w:val="auto"/>
              <w:rPr>
                <w:rFonts w:hint="eastAsia" w:hAnsi="宋体"/>
                <w:color w:val="auto"/>
                <w:sz w:val="20"/>
                <w:szCs w:val="20"/>
                <w:highlight w:val="none"/>
                <w:lang w:val="en-US" w:eastAsia="zh-CN"/>
              </w:rPr>
            </w:pPr>
            <w:r>
              <w:rPr>
                <w:rFonts w:hint="eastAsia" w:hAnsi="宋体"/>
                <w:color w:val="auto"/>
                <w:sz w:val="20"/>
                <w:szCs w:val="20"/>
                <w:highlight w:val="none"/>
                <w:lang w:val="en-US" w:eastAsia="zh-CN"/>
              </w:rPr>
              <w:t>5</w:t>
            </w:r>
          </w:p>
        </w:tc>
        <w:tc>
          <w:tcPr>
            <w:tcW w:w="10977" w:type="dxa"/>
            <w:shd w:val="clear" w:color="auto" w:fill="FFFFFF"/>
            <w:noWrap w:val="0"/>
            <w:vAlign w:val="center"/>
          </w:tcPr>
          <w:p>
            <w:pPr>
              <w:keepNext w:val="0"/>
              <w:keepLines w:val="0"/>
              <w:pageBreakBefore w:val="0"/>
              <w:widowControl w:val="0"/>
              <w:numPr>
                <w:ilvl w:val="0"/>
                <w:numId w:val="2"/>
              </w:numPr>
              <w:tabs>
                <w:tab w:val="left" w:pos="360"/>
                <w:tab w:val="left" w:pos="3570"/>
              </w:tabs>
              <w:kinsoku/>
              <w:wordWrap/>
              <w:overflowPunct/>
              <w:topLinePunct w:val="0"/>
              <w:autoSpaceDE/>
              <w:autoSpaceDN/>
              <w:bidi w:val="0"/>
              <w:adjustRightInd/>
              <w:snapToGrid w:val="0"/>
              <w:spacing w:line="264" w:lineRule="auto"/>
              <w:jc w:val="left"/>
              <w:textAlignment w:val="auto"/>
              <w:rPr>
                <w:rFonts w:hint="eastAsia" w:ascii="宋体" w:hAnsi="宋体" w:cs="宋体"/>
                <w:b/>
                <w:color w:val="auto"/>
                <w:sz w:val="20"/>
                <w:szCs w:val="20"/>
                <w:highlight w:val="none"/>
              </w:rPr>
            </w:pPr>
            <w:r>
              <w:rPr>
                <w:rFonts w:hint="eastAsia" w:cs="宋体"/>
                <w:color w:val="auto"/>
                <w:sz w:val="20"/>
                <w:szCs w:val="20"/>
                <w:highlight w:val="none"/>
                <w:lang w:val="en-US" w:eastAsia="zh-CN"/>
              </w:rPr>
              <w:t>制定在施工过程中配合总承包单位及其他专业工程的实施措施，并对实施措施重点难点作分析，得1.5分</w:t>
            </w:r>
            <w:r>
              <w:rPr>
                <w:rFonts w:hint="eastAsia" w:ascii="宋体" w:hAnsi="宋体" w:cs="宋体"/>
                <w:color w:val="auto"/>
                <w:sz w:val="20"/>
                <w:szCs w:val="20"/>
                <w:highlight w:val="none"/>
              </w:rPr>
              <w:t>：</w:t>
            </w:r>
          </w:p>
          <w:p>
            <w:pPr>
              <w:keepNext w:val="0"/>
              <w:keepLines w:val="0"/>
              <w:pageBreakBefore w:val="0"/>
              <w:widowControl w:val="0"/>
              <w:numPr>
                <w:ilvl w:val="0"/>
                <w:numId w:val="2"/>
              </w:numPr>
              <w:tabs>
                <w:tab w:val="left" w:pos="360"/>
                <w:tab w:val="left" w:pos="3570"/>
              </w:tabs>
              <w:kinsoku/>
              <w:wordWrap/>
              <w:overflowPunct/>
              <w:topLinePunct w:val="0"/>
              <w:autoSpaceDE/>
              <w:autoSpaceDN/>
              <w:bidi w:val="0"/>
              <w:adjustRightInd/>
              <w:snapToGrid w:val="0"/>
              <w:spacing w:line="264" w:lineRule="auto"/>
              <w:jc w:val="left"/>
              <w:textAlignment w:val="auto"/>
              <w:rPr>
                <w:rFonts w:hint="eastAsia" w:ascii="宋体" w:hAnsi="宋体" w:cs="宋体"/>
                <w:b/>
                <w:color w:val="auto"/>
                <w:sz w:val="20"/>
                <w:szCs w:val="20"/>
                <w:highlight w:val="none"/>
              </w:rPr>
            </w:pPr>
            <w:r>
              <w:rPr>
                <w:rFonts w:hint="eastAsia"/>
                <w:color w:val="auto"/>
                <w:sz w:val="20"/>
                <w:szCs w:val="20"/>
                <w:highlight w:val="none"/>
                <w:lang w:val="zh-TW"/>
              </w:rPr>
              <w:t>各</w:t>
            </w:r>
            <w:r>
              <w:rPr>
                <w:rFonts w:hint="eastAsia"/>
                <w:color w:val="auto"/>
                <w:sz w:val="20"/>
                <w:szCs w:val="20"/>
                <w:highlight w:val="none"/>
                <w:lang w:val="en-US" w:eastAsia="zh-CN"/>
              </w:rPr>
              <w:t>方案</w:t>
            </w:r>
            <w:r>
              <w:rPr>
                <w:rFonts w:hint="eastAsia"/>
                <w:color w:val="auto"/>
                <w:sz w:val="20"/>
                <w:szCs w:val="20"/>
                <w:highlight w:val="none"/>
                <w:lang w:val="zh-TW"/>
              </w:rPr>
              <w:t>横向对比：</w:t>
            </w:r>
          </w:p>
          <w:p>
            <w:pPr>
              <w:keepNext w:val="0"/>
              <w:keepLines w:val="0"/>
              <w:pageBreakBefore w:val="0"/>
              <w:widowControl w:val="0"/>
              <w:tabs>
                <w:tab w:val="left" w:pos="360"/>
                <w:tab w:val="left" w:pos="3570"/>
              </w:tabs>
              <w:kinsoku/>
              <w:wordWrap/>
              <w:overflowPunct/>
              <w:topLinePunct w:val="0"/>
              <w:autoSpaceDE/>
              <w:autoSpaceDN/>
              <w:bidi w:val="0"/>
              <w:adjustRightInd/>
              <w:snapToGrid w:val="0"/>
              <w:spacing w:line="264" w:lineRule="auto"/>
              <w:textAlignment w:val="auto"/>
              <w:rPr>
                <w:rFonts w:hint="eastAsia" w:ascii="宋体" w:hAnsi="宋体" w:eastAsia="宋体" w:cs="宋体"/>
                <w:b w:val="0"/>
                <w:bCs/>
                <w:color w:val="auto"/>
                <w:sz w:val="20"/>
                <w:szCs w:val="20"/>
                <w:highlight w:val="none"/>
                <w:lang w:eastAsia="zh-CN"/>
              </w:rPr>
            </w:pPr>
            <w:r>
              <w:rPr>
                <w:rFonts w:hint="eastAsia" w:ascii="宋体" w:hAnsi="宋体" w:eastAsia="宋体" w:cs="宋体"/>
                <w:b/>
                <w:color w:val="auto"/>
                <w:sz w:val="20"/>
                <w:szCs w:val="20"/>
                <w:highlight w:val="none"/>
              </w:rPr>
              <w:t>优：</w:t>
            </w:r>
            <w:r>
              <w:rPr>
                <w:rFonts w:hint="eastAsia"/>
                <w:color w:val="auto"/>
                <w:sz w:val="20"/>
                <w:szCs w:val="20"/>
                <w:highlight w:val="none"/>
                <w:lang w:val="en-US" w:eastAsia="zh-CN"/>
              </w:rPr>
              <w:t>提出的配合实施措施合理可行，</w:t>
            </w:r>
            <w:r>
              <w:rPr>
                <w:rFonts w:hint="eastAsia" w:ascii="宋体" w:hAnsi="宋体" w:cs="宋体"/>
                <w:color w:val="auto"/>
                <w:kern w:val="0"/>
                <w:sz w:val="20"/>
                <w:szCs w:val="20"/>
                <w:highlight w:val="none"/>
              </w:rPr>
              <w:t>有详细</w:t>
            </w:r>
            <w:r>
              <w:rPr>
                <w:rFonts w:hint="eastAsia" w:cs="宋体"/>
                <w:color w:val="auto"/>
                <w:kern w:val="0"/>
                <w:sz w:val="20"/>
                <w:szCs w:val="20"/>
                <w:highlight w:val="none"/>
                <w:lang w:val="en-US" w:eastAsia="zh-CN"/>
              </w:rPr>
              <w:t>清晰</w:t>
            </w:r>
            <w:r>
              <w:rPr>
                <w:rFonts w:hint="eastAsia" w:ascii="宋体" w:hAnsi="宋体" w:cs="宋体"/>
                <w:color w:val="auto"/>
                <w:kern w:val="0"/>
                <w:sz w:val="20"/>
                <w:szCs w:val="20"/>
                <w:highlight w:val="none"/>
              </w:rPr>
              <w:t>的相应的说明</w:t>
            </w:r>
            <w:r>
              <w:rPr>
                <w:rFonts w:hint="eastAsia" w:cs="宋体"/>
                <w:color w:val="auto"/>
                <w:kern w:val="0"/>
                <w:sz w:val="20"/>
                <w:szCs w:val="20"/>
                <w:highlight w:val="none"/>
                <w:lang w:eastAsia="zh-CN"/>
              </w:rPr>
              <w:t>，</w:t>
            </w:r>
            <w:r>
              <w:rPr>
                <w:rFonts w:hint="eastAsia"/>
                <w:color w:val="auto"/>
                <w:sz w:val="20"/>
                <w:szCs w:val="20"/>
                <w:highlight w:val="none"/>
                <w:lang w:val="en-US" w:eastAsia="zh-CN"/>
              </w:rPr>
              <w:t>重点难点分析透彻，内容清晰</w:t>
            </w:r>
            <w:r>
              <w:rPr>
                <w:rFonts w:hint="eastAsia" w:ascii="宋体" w:hAnsi="宋体" w:eastAsia="宋体" w:cs="宋体"/>
                <w:b w:val="0"/>
                <w:bCs/>
                <w:color w:val="auto"/>
                <w:sz w:val="20"/>
                <w:szCs w:val="20"/>
                <w:highlight w:val="none"/>
                <w:lang w:eastAsia="zh-CN"/>
              </w:rPr>
              <w:t>，</w:t>
            </w:r>
            <w:r>
              <w:rPr>
                <w:rFonts w:hint="eastAsia" w:cs="宋体"/>
                <w:color w:val="auto"/>
                <w:sz w:val="20"/>
                <w:szCs w:val="20"/>
                <w:highlight w:val="none"/>
                <w:lang w:val="en-US" w:eastAsia="zh-CN"/>
              </w:rPr>
              <w:t>加</w:t>
            </w:r>
            <w:r>
              <w:rPr>
                <w:rFonts w:hint="eastAsia" w:cs="宋体"/>
                <w:b w:val="0"/>
                <w:bCs/>
                <w:color w:val="auto"/>
                <w:sz w:val="20"/>
                <w:szCs w:val="20"/>
                <w:highlight w:val="none"/>
                <w:lang w:val="en-US" w:eastAsia="zh-CN"/>
              </w:rPr>
              <w:t>3.5</w:t>
            </w:r>
            <w:r>
              <w:rPr>
                <w:rFonts w:hint="eastAsia" w:ascii="宋体" w:hAnsi="宋体" w:eastAsia="宋体" w:cs="宋体"/>
                <w:b w:val="0"/>
                <w:bCs/>
                <w:color w:val="auto"/>
                <w:sz w:val="20"/>
                <w:szCs w:val="20"/>
                <w:highlight w:val="none"/>
              </w:rPr>
              <w:t>分</w:t>
            </w:r>
            <w:r>
              <w:rPr>
                <w:rFonts w:hint="eastAsia" w:ascii="宋体" w:hAnsi="宋体" w:eastAsia="宋体" w:cs="宋体"/>
                <w:b w:val="0"/>
                <w:bCs/>
                <w:color w:val="auto"/>
                <w:sz w:val="20"/>
                <w:szCs w:val="20"/>
                <w:highlight w:val="none"/>
                <w:lang w:eastAsia="zh-CN"/>
              </w:rPr>
              <w:t>；</w:t>
            </w:r>
          </w:p>
          <w:p>
            <w:pPr>
              <w:keepNext w:val="0"/>
              <w:keepLines w:val="0"/>
              <w:pageBreakBefore w:val="0"/>
              <w:widowControl w:val="0"/>
              <w:tabs>
                <w:tab w:val="left" w:pos="360"/>
                <w:tab w:val="left" w:pos="3570"/>
              </w:tabs>
              <w:kinsoku/>
              <w:wordWrap/>
              <w:overflowPunct/>
              <w:topLinePunct w:val="0"/>
              <w:autoSpaceDE/>
              <w:autoSpaceDN/>
              <w:bidi w:val="0"/>
              <w:adjustRightInd/>
              <w:snapToGrid w:val="0"/>
              <w:spacing w:line="264" w:lineRule="auto"/>
              <w:textAlignment w:val="auto"/>
              <w:rPr>
                <w:rFonts w:hint="eastAsia" w:ascii="宋体" w:hAnsi="宋体" w:eastAsia="宋体" w:cs="宋体"/>
                <w:b w:val="0"/>
                <w:bCs/>
                <w:color w:val="auto"/>
                <w:sz w:val="20"/>
                <w:szCs w:val="20"/>
                <w:highlight w:val="none"/>
                <w:lang w:eastAsia="zh-CN"/>
              </w:rPr>
            </w:pPr>
            <w:r>
              <w:rPr>
                <w:rFonts w:hint="eastAsia" w:ascii="宋体" w:hAnsi="宋体" w:eastAsia="宋体" w:cs="宋体"/>
                <w:b/>
                <w:color w:val="auto"/>
                <w:sz w:val="20"/>
                <w:szCs w:val="20"/>
                <w:highlight w:val="none"/>
              </w:rPr>
              <w:t>良：</w:t>
            </w:r>
            <w:r>
              <w:rPr>
                <w:rFonts w:hint="eastAsia" w:ascii="宋体" w:hAnsi="宋体" w:cs="宋体"/>
                <w:color w:val="auto"/>
                <w:kern w:val="0"/>
                <w:sz w:val="20"/>
                <w:szCs w:val="20"/>
                <w:highlight w:val="none"/>
              </w:rPr>
              <w:t>提出的配合实施措施</w:t>
            </w:r>
            <w:r>
              <w:rPr>
                <w:rFonts w:hint="eastAsia" w:ascii="宋体" w:hAnsi="宋体" w:cs="宋体"/>
                <w:color w:val="auto"/>
                <w:kern w:val="0"/>
                <w:sz w:val="20"/>
                <w:szCs w:val="20"/>
                <w:highlight w:val="none"/>
                <w:lang w:val="en-US" w:eastAsia="zh-CN"/>
              </w:rPr>
              <w:t>一般</w:t>
            </w:r>
            <w:r>
              <w:rPr>
                <w:rFonts w:hint="eastAsia" w:ascii="宋体" w:hAnsi="宋体" w:cs="宋体"/>
                <w:color w:val="auto"/>
                <w:kern w:val="0"/>
                <w:sz w:val="20"/>
                <w:szCs w:val="20"/>
                <w:highlight w:val="none"/>
              </w:rPr>
              <w:t>，有较详细的相应的说明，重点难点分析较透彻，内容较清晰</w:t>
            </w:r>
            <w:r>
              <w:rPr>
                <w:rFonts w:hint="eastAsia" w:ascii="宋体" w:hAnsi="宋体" w:eastAsia="宋体" w:cs="宋体"/>
                <w:b w:val="0"/>
                <w:bCs/>
                <w:color w:val="auto"/>
                <w:sz w:val="20"/>
                <w:szCs w:val="20"/>
                <w:highlight w:val="none"/>
                <w:lang w:eastAsia="zh-CN"/>
              </w:rPr>
              <w:t>，</w:t>
            </w:r>
            <w:r>
              <w:rPr>
                <w:rFonts w:hint="eastAsia" w:cs="宋体"/>
                <w:color w:val="auto"/>
                <w:sz w:val="20"/>
                <w:szCs w:val="20"/>
                <w:highlight w:val="none"/>
                <w:lang w:val="en-US" w:eastAsia="zh-CN"/>
              </w:rPr>
              <w:t>加</w:t>
            </w:r>
            <w:r>
              <w:rPr>
                <w:rFonts w:hint="eastAsia" w:cs="宋体"/>
                <w:b w:val="0"/>
                <w:bCs/>
                <w:color w:val="auto"/>
                <w:sz w:val="20"/>
                <w:szCs w:val="20"/>
                <w:highlight w:val="none"/>
                <w:lang w:val="en-US" w:eastAsia="zh-CN"/>
              </w:rPr>
              <w:t>2.5</w:t>
            </w:r>
            <w:r>
              <w:rPr>
                <w:rFonts w:hint="eastAsia" w:ascii="宋体" w:hAnsi="宋体" w:eastAsia="宋体" w:cs="宋体"/>
                <w:b w:val="0"/>
                <w:bCs/>
                <w:color w:val="auto"/>
                <w:sz w:val="20"/>
                <w:szCs w:val="20"/>
                <w:highlight w:val="none"/>
              </w:rPr>
              <w:t>分</w:t>
            </w:r>
            <w:r>
              <w:rPr>
                <w:rFonts w:hint="eastAsia" w:ascii="宋体" w:hAnsi="宋体" w:eastAsia="宋体" w:cs="宋体"/>
                <w:b w:val="0"/>
                <w:bCs/>
                <w:color w:val="auto"/>
                <w:sz w:val="20"/>
                <w:szCs w:val="20"/>
                <w:highlight w:val="none"/>
                <w:lang w:eastAsia="zh-CN"/>
              </w:rPr>
              <w:t>；</w:t>
            </w:r>
          </w:p>
          <w:p>
            <w:pPr>
              <w:keepNext w:val="0"/>
              <w:keepLines w:val="0"/>
              <w:pageBreakBefore w:val="0"/>
              <w:widowControl w:val="0"/>
              <w:tabs>
                <w:tab w:val="left" w:pos="360"/>
                <w:tab w:val="left" w:pos="3570"/>
              </w:tabs>
              <w:kinsoku/>
              <w:wordWrap/>
              <w:overflowPunct/>
              <w:topLinePunct w:val="0"/>
              <w:autoSpaceDE/>
              <w:autoSpaceDN/>
              <w:bidi w:val="0"/>
              <w:adjustRightInd/>
              <w:snapToGrid w:val="0"/>
              <w:spacing w:line="264" w:lineRule="auto"/>
              <w:textAlignment w:val="auto"/>
              <w:rPr>
                <w:rFonts w:hint="eastAsia" w:ascii="宋体" w:hAnsi="宋体" w:eastAsia="宋体" w:cs="宋体"/>
                <w:b/>
                <w:color w:val="auto"/>
                <w:sz w:val="20"/>
                <w:szCs w:val="20"/>
                <w:highlight w:val="none"/>
                <w:lang w:eastAsia="zh-CN"/>
              </w:rPr>
            </w:pPr>
            <w:r>
              <w:rPr>
                <w:rFonts w:hint="eastAsia" w:ascii="宋体" w:hAnsi="宋体" w:eastAsia="宋体" w:cs="宋体"/>
                <w:b/>
                <w:color w:val="auto"/>
                <w:sz w:val="20"/>
                <w:szCs w:val="20"/>
                <w:highlight w:val="none"/>
              </w:rPr>
              <w:t>中：</w:t>
            </w:r>
            <w:r>
              <w:rPr>
                <w:rFonts w:hint="eastAsia" w:ascii="宋体" w:hAnsi="宋体" w:cs="宋体"/>
                <w:color w:val="auto"/>
                <w:kern w:val="0"/>
                <w:sz w:val="20"/>
                <w:szCs w:val="20"/>
                <w:highlight w:val="none"/>
              </w:rPr>
              <w:t>提出的配合实施措施</w:t>
            </w:r>
            <w:r>
              <w:rPr>
                <w:rFonts w:hint="eastAsia" w:ascii="宋体" w:hAnsi="宋体" w:cs="宋体"/>
                <w:color w:val="auto"/>
                <w:kern w:val="0"/>
                <w:sz w:val="20"/>
                <w:szCs w:val="20"/>
                <w:highlight w:val="none"/>
                <w:lang w:val="en-US" w:eastAsia="zh-CN"/>
              </w:rPr>
              <w:t>较差</w:t>
            </w:r>
            <w:r>
              <w:rPr>
                <w:rFonts w:hint="eastAsia" w:ascii="宋体" w:hAnsi="宋体" w:cs="宋体"/>
                <w:color w:val="auto"/>
                <w:kern w:val="0"/>
                <w:sz w:val="20"/>
                <w:szCs w:val="20"/>
                <w:highlight w:val="none"/>
              </w:rPr>
              <w:t>，缺少说明，重点难点分析含糊，内容</w:t>
            </w:r>
            <w:r>
              <w:rPr>
                <w:rFonts w:hint="eastAsia" w:ascii="宋体" w:hAnsi="宋体" w:cs="宋体"/>
                <w:color w:val="auto"/>
                <w:kern w:val="0"/>
                <w:sz w:val="20"/>
                <w:szCs w:val="20"/>
                <w:highlight w:val="none"/>
                <w:lang w:val="en-US" w:eastAsia="zh-CN"/>
              </w:rPr>
              <w:t>较差</w:t>
            </w:r>
            <w:r>
              <w:rPr>
                <w:rFonts w:hint="eastAsia" w:ascii="宋体" w:hAnsi="宋体" w:eastAsia="宋体" w:cs="宋体"/>
                <w:b w:val="0"/>
                <w:bCs/>
                <w:color w:val="auto"/>
                <w:sz w:val="20"/>
                <w:szCs w:val="20"/>
                <w:highlight w:val="none"/>
                <w:lang w:eastAsia="zh-CN"/>
              </w:rPr>
              <w:t>，</w:t>
            </w:r>
            <w:r>
              <w:rPr>
                <w:rFonts w:hint="eastAsia" w:cs="宋体"/>
                <w:color w:val="auto"/>
                <w:sz w:val="20"/>
                <w:szCs w:val="20"/>
                <w:highlight w:val="none"/>
                <w:lang w:val="en-US" w:eastAsia="zh-CN"/>
              </w:rPr>
              <w:t>加</w:t>
            </w:r>
            <w:r>
              <w:rPr>
                <w:rFonts w:hint="eastAsia" w:cs="宋体"/>
                <w:b w:val="0"/>
                <w:bCs/>
                <w:color w:val="auto"/>
                <w:sz w:val="20"/>
                <w:szCs w:val="20"/>
                <w:highlight w:val="none"/>
                <w:lang w:val="en-US" w:eastAsia="zh-CN"/>
              </w:rPr>
              <w:t>1.5</w:t>
            </w:r>
            <w:r>
              <w:rPr>
                <w:rFonts w:hint="eastAsia" w:ascii="宋体" w:hAnsi="宋体" w:eastAsia="宋体" w:cs="宋体"/>
                <w:b w:val="0"/>
                <w:bCs/>
                <w:color w:val="auto"/>
                <w:sz w:val="20"/>
                <w:szCs w:val="20"/>
                <w:highlight w:val="none"/>
              </w:rPr>
              <w:t>分</w:t>
            </w:r>
            <w:r>
              <w:rPr>
                <w:rFonts w:hint="eastAsia" w:ascii="宋体" w:hAnsi="宋体" w:eastAsia="宋体" w:cs="宋体"/>
                <w:b w:val="0"/>
                <w:bCs/>
                <w:color w:val="auto"/>
                <w:sz w:val="20"/>
                <w:szCs w:val="20"/>
                <w:highlight w:val="none"/>
                <w:lang w:eastAsia="zh-CN"/>
              </w:rPr>
              <w:t>；</w:t>
            </w:r>
          </w:p>
          <w:p>
            <w:pPr>
              <w:pStyle w:val="11"/>
              <w:keepNext w:val="0"/>
              <w:keepLines w:val="0"/>
              <w:pageBreakBefore w:val="0"/>
              <w:widowControl w:val="0"/>
              <w:tabs>
                <w:tab w:val="left" w:pos="3570"/>
              </w:tabs>
              <w:kinsoku/>
              <w:wordWrap/>
              <w:overflowPunct/>
              <w:topLinePunct w:val="0"/>
              <w:autoSpaceDE/>
              <w:autoSpaceDN/>
              <w:bidi w:val="0"/>
              <w:adjustRightInd/>
              <w:spacing w:line="264" w:lineRule="auto"/>
              <w:jc w:val="left"/>
              <w:textAlignment w:val="auto"/>
              <w:rPr>
                <w:rFonts w:hint="eastAsia" w:ascii="宋体" w:hAnsi="宋体" w:cs="宋体"/>
                <w:b w:val="0"/>
                <w:bCs/>
                <w:color w:val="auto"/>
                <w:sz w:val="20"/>
                <w:szCs w:val="20"/>
                <w:highlight w:val="none"/>
              </w:rPr>
            </w:pPr>
            <w:r>
              <w:rPr>
                <w:rFonts w:hint="eastAsia" w:ascii="宋体" w:hAnsi="宋体" w:cs="宋体"/>
                <w:b/>
                <w:color w:val="auto"/>
                <w:sz w:val="20"/>
                <w:szCs w:val="20"/>
                <w:highlight w:val="none"/>
              </w:rPr>
              <w:t>差：</w:t>
            </w:r>
            <w:r>
              <w:rPr>
                <w:rFonts w:hint="eastAsia" w:hAnsi="宋体" w:cs="宋体"/>
                <w:b w:val="0"/>
                <w:bCs/>
                <w:color w:val="auto"/>
                <w:sz w:val="20"/>
                <w:szCs w:val="20"/>
                <w:highlight w:val="none"/>
                <w:lang w:val="en-US" w:eastAsia="zh-CN"/>
              </w:rPr>
              <w:t>没有提供第</w:t>
            </w:r>
            <w:r>
              <w:rPr>
                <w:rFonts w:hint="eastAsia" w:ascii="宋体" w:hAnsi="宋体" w:cs="宋体"/>
                <w:b w:val="0"/>
                <w:bCs/>
                <w:color w:val="auto"/>
                <w:sz w:val="20"/>
                <w:szCs w:val="20"/>
                <w:highlight w:val="none"/>
              </w:rPr>
              <w:t>（1）项内容的，不得分。</w:t>
            </w:r>
          </w:p>
          <w:p>
            <w:pPr>
              <w:pStyle w:val="11"/>
              <w:keepNext w:val="0"/>
              <w:keepLines w:val="0"/>
              <w:pageBreakBefore w:val="0"/>
              <w:widowControl w:val="0"/>
              <w:tabs>
                <w:tab w:val="left" w:pos="3570"/>
              </w:tabs>
              <w:kinsoku/>
              <w:wordWrap/>
              <w:overflowPunct/>
              <w:topLinePunct w:val="0"/>
              <w:autoSpaceDE/>
              <w:autoSpaceDN/>
              <w:bidi w:val="0"/>
              <w:adjustRightInd/>
              <w:spacing w:line="264" w:lineRule="auto"/>
              <w:jc w:val="left"/>
              <w:textAlignment w:val="auto"/>
              <w:rPr>
                <w:rFonts w:hint="eastAsia" w:ascii="宋体" w:hAnsi="宋体" w:cs="宋体"/>
                <w:b w:val="0"/>
                <w:bCs/>
                <w:color w:val="auto"/>
                <w:sz w:val="20"/>
                <w:szCs w:val="20"/>
                <w:highlight w:val="none"/>
              </w:rPr>
            </w:pPr>
            <w:r>
              <w:rPr>
                <w:rFonts w:hint="eastAsia" w:ascii="宋体" w:hAnsi="宋体" w:cs="宋体"/>
                <w:b w:val="0"/>
                <w:bCs/>
                <w:color w:val="auto"/>
                <w:sz w:val="20"/>
                <w:szCs w:val="20"/>
                <w:highlight w:val="none"/>
              </w:rPr>
              <w:t>本项最高得</w:t>
            </w:r>
            <w:r>
              <w:rPr>
                <w:rFonts w:hint="eastAsia" w:cs="宋体"/>
                <w:b w:val="0"/>
                <w:bCs/>
                <w:color w:val="auto"/>
                <w:sz w:val="20"/>
                <w:szCs w:val="20"/>
                <w:highlight w:val="none"/>
                <w:lang w:val="en-US" w:eastAsia="zh-CN"/>
              </w:rPr>
              <w:t>5</w:t>
            </w:r>
            <w:r>
              <w:rPr>
                <w:rFonts w:hint="eastAsia" w:ascii="宋体" w:hAnsi="宋体" w:cs="宋体"/>
                <w:b w:val="0"/>
                <w:bCs/>
                <w:color w:val="auto"/>
                <w:sz w:val="20"/>
                <w:szCs w:val="20"/>
                <w:highlight w:val="none"/>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FFFFFF"/>
          <w:tblCellMar>
            <w:top w:w="57" w:type="dxa"/>
            <w:left w:w="108" w:type="dxa"/>
            <w:bottom w:w="57" w:type="dxa"/>
            <w:right w:w="108" w:type="dxa"/>
          </w:tblCellMar>
        </w:tblPrEx>
        <w:trPr>
          <w:trHeight w:val="20" w:hRule="atLeast"/>
        </w:trPr>
        <w:tc>
          <w:tcPr>
            <w:tcW w:w="804" w:type="dxa"/>
            <w:vMerge w:val="continue"/>
            <w:shd w:val="clear" w:color="auto" w:fill="FFFFFF"/>
            <w:noWrap w:val="0"/>
            <w:vAlign w:val="center"/>
          </w:tcPr>
          <w:p>
            <w:pPr>
              <w:pStyle w:val="11"/>
              <w:keepNext w:val="0"/>
              <w:keepLines w:val="0"/>
              <w:pageBreakBefore w:val="0"/>
              <w:tabs>
                <w:tab w:val="left" w:pos="3570"/>
              </w:tabs>
              <w:kinsoku/>
              <w:wordWrap/>
              <w:overflowPunct/>
              <w:topLinePunct w:val="0"/>
              <w:bidi w:val="0"/>
              <w:spacing w:line="240" w:lineRule="auto"/>
              <w:jc w:val="left"/>
              <w:textAlignment w:val="auto"/>
              <w:rPr>
                <w:rFonts w:hint="eastAsia" w:hAnsi="宋体"/>
                <w:color w:val="auto"/>
                <w:sz w:val="20"/>
                <w:szCs w:val="20"/>
                <w:highlight w:val="none"/>
              </w:rPr>
            </w:pPr>
          </w:p>
        </w:tc>
        <w:tc>
          <w:tcPr>
            <w:tcW w:w="683" w:type="dxa"/>
            <w:gridSpan w:val="2"/>
            <w:vMerge w:val="continue"/>
            <w:shd w:val="clear" w:color="auto" w:fill="FFFFFF"/>
            <w:noWrap w:val="0"/>
            <w:vAlign w:val="center"/>
          </w:tcPr>
          <w:p>
            <w:pPr>
              <w:pStyle w:val="11"/>
              <w:keepNext w:val="0"/>
              <w:keepLines w:val="0"/>
              <w:pageBreakBefore w:val="0"/>
              <w:tabs>
                <w:tab w:val="left" w:pos="3570"/>
              </w:tabs>
              <w:kinsoku/>
              <w:wordWrap/>
              <w:overflowPunct/>
              <w:topLinePunct w:val="0"/>
              <w:bidi w:val="0"/>
              <w:spacing w:line="240" w:lineRule="auto"/>
              <w:jc w:val="left"/>
              <w:textAlignment w:val="auto"/>
              <w:rPr>
                <w:rFonts w:hint="eastAsia" w:hAnsi="宋体"/>
                <w:color w:val="auto"/>
                <w:sz w:val="20"/>
                <w:szCs w:val="20"/>
                <w:highlight w:val="none"/>
              </w:rPr>
            </w:pPr>
          </w:p>
        </w:tc>
        <w:tc>
          <w:tcPr>
            <w:tcW w:w="1301" w:type="dxa"/>
            <w:shd w:val="clear" w:color="auto" w:fill="FFFFFF"/>
            <w:noWrap w:val="0"/>
            <w:vAlign w:val="center"/>
          </w:tcPr>
          <w:p>
            <w:pPr>
              <w:pStyle w:val="11"/>
              <w:keepNext w:val="0"/>
              <w:keepLines w:val="0"/>
              <w:pageBreakBefore w:val="0"/>
              <w:widowControl w:val="0"/>
              <w:tabs>
                <w:tab w:val="left" w:pos="3570"/>
              </w:tabs>
              <w:kinsoku/>
              <w:wordWrap/>
              <w:overflowPunct/>
              <w:topLinePunct w:val="0"/>
              <w:autoSpaceDE/>
              <w:autoSpaceDN/>
              <w:bidi w:val="0"/>
              <w:adjustRightInd/>
              <w:spacing w:line="240" w:lineRule="auto"/>
              <w:jc w:val="center"/>
              <w:textAlignment w:val="auto"/>
              <w:rPr>
                <w:rFonts w:hint="eastAsia" w:ascii="宋体" w:hAnsi="宋体" w:eastAsia="宋体" w:cs="Times New Roman"/>
                <w:color w:val="auto"/>
                <w:kern w:val="0"/>
                <w:sz w:val="20"/>
                <w:szCs w:val="20"/>
                <w:highlight w:val="none"/>
                <w:lang w:val="en-US" w:eastAsia="zh-CN" w:bidi="ar-SA"/>
              </w:rPr>
            </w:pPr>
            <w:r>
              <w:rPr>
                <w:rFonts w:hint="eastAsia" w:ascii="宋体" w:hAnsi="宋体"/>
                <w:color w:val="auto"/>
                <w:sz w:val="20"/>
                <w:szCs w:val="20"/>
                <w:highlight w:val="none"/>
              </w:rPr>
              <w:t>人材机保证措施</w:t>
            </w:r>
          </w:p>
        </w:tc>
        <w:tc>
          <w:tcPr>
            <w:tcW w:w="819" w:type="dxa"/>
            <w:shd w:val="clear" w:color="auto" w:fill="FFFFFF"/>
            <w:noWrap w:val="0"/>
            <w:vAlign w:val="center"/>
          </w:tcPr>
          <w:p>
            <w:pPr>
              <w:pStyle w:val="11"/>
              <w:keepNext w:val="0"/>
              <w:keepLines w:val="0"/>
              <w:pageBreakBefore w:val="0"/>
              <w:widowControl w:val="0"/>
              <w:tabs>
                <w:tab w:val="left" w:pos="3570"/>
              </w:tabs>
              <w:kinsoku/>
              <w:wordWrap/>
              <w:overflowPunct/>
              <w:topLinePunct w:val="0"/>
              <w:autoSpaceDE/>
              <w:autoSpaceDN/>
              <w:bidi w:val="0"/>
              <w:adjustRightInd/>
              <w:spacing w:line="240" w:lineRule="auto"/>
              <w:jc w:val="center"/>
              <w:textAlignment w:val="auto"/>
              <w:rPr>
                <w:rFonts w:hint="eastAsia" w:ascii="宋体" w:hAnsi="宋体" w:eastAsia="宋体" w:cs="Times New Roman"/>
                <w:color w:val="auto"/>
                <w:kern w:val="0"/>
                <w:sz w:val="20"/>
                <w:szCs w:val="20"/>
                <w:highlight w:val="none"/>
                <w:lang w:val="en-US" w:eastAsia="zh-CN" w:bidi="ar-SA"/>
              </w:rPr>
            </w:pPr>
            <w:r>
              <w:rPr>
                <w:rFonts w:hint="eastAsia" w:hAnsi="宋体"/>
                <w:color w:val="auto"/>
                <w:sz w:val="20"/>
                <w:szCs w:val="20"/>
                <w:highlight w:val="none"/>
                <w:lang w:val="en-US" w:eastAsia="zh-CN"/>
              </w:rPr>
              <w:t>5</w:t>
            </w:r>
          </w:p>
        </w:tc>
        <w:tc>
          <w:tcPr>
            <w:tcW w:w="10977" w:type="dxa"/>
            <w:shd w:val="clear" w:color="auto" w:fill="FFFFFF"/>
            <w:noWrap w:val="0"/>
            <w:vAlign w:val="center"/>
          </w:tcPr>
          <w:p>
            <w:pPr>
              <w:keepNext w:val="0"/>
              <w:keepLines w:val="0"/>
              <w:pageBreakBefore w:val="0"/>
              <w:widowControl w:val="0"/>
              <w:numPr>
                <w:ilvl w:val="0"/>
                <w:numId w:val="3"/>
              </w:numPr>
              <w:tabs>
                <w:tab w:val="left" w:pos="360"/>
                <w:tab w:val="left" w:pos="3570"/>
              </w:tabs>
              <w:kinsoku/>
              <w:wordWrap/>
              <w:overflowPunct/>
              <w:topLinePunct w:val="0"/>
              <w:autoSpaceDE/>
              <w:autoSpaceDN/>
              <w:bidi w:val="0"/>
              <w:adjustRightInd/>
              <w:snapToGrid w:val="0"/>
              <w:spacing w:line="264" w:lineRule="auto"/>
              <w:jc w:val="left"/>
              <w:textAlignment w:val="auto"/>
              <w:rPr>
                <w:rFonts w:hint="eastAsia" w:ascii="宋体" w:hAnsi="宋体" w:cs="宋体"/>
                <w:b/>
                <w:color w:val="auto"/>
                <w:sz w:val="20"/>
                <w:szCs w:val="20"/>
                <w:highlight w:val="none"/>
              </w:rPr>
            </w:pPr>
            <w:r>
              <w:rPr>
                <w:rFonts w:hint="eastAsia" w:cs="宋体"/>
                <w:color w:val="auto"/>
                <w:sz w:val="20"/>
                <w:szCs w:val="20"/>
                <w:highlight w:val="none"/>
                <w:lang w:val="en-US" w:eastAsia="zh-CN"/>
              </w:rPr>
              <w:t>根据本项目工期紧的情况，</w:t>
            </w:r>
            <w:r>
              <w:rPr>
                <w:rFonts w:hint="eastAsia" w:ascii="宋体" w:hAnsi="宋体" w:eastAsia="宋体" w:cs="宋体"/>
                <w:b w:val="0"/>
                <w:bCs/>
                <w:color w:val="auto"/>
                <w:sz w:val="20"/>
                <w:szCs w:val="20"/>
                <w:highlight w:val="none"/>
              </w:rPr>
              <w:t>提供机械设备、材料、劳动力</w:t>
            </w:r>
            <w:r>
              <w:rPr>
                <w:rFonts w:hint="eastAsia" w:cs="宋体"/>
                <w:b w:val="0"/>
                <w:bCs/>
                <w:color w:val="auto"/>
                <w:sz w:val="20"/>
                <w:szCs w:val="20"/>
                <w:highlight w:val="none"/>
                <w:lang w:val="en-US" w:eastAsia="zh-CN"/>
              </w:rPr>
              <w:t>需求</w:t>
            </w:r>
            <w:r>
              <w:rPr>
                <w:rFonts w:hint="eastAsia" w:ascii="宋体" w:hAnsi="宋体" w:eastAsia="宋体" w:cs="宋体"/>
                <w:b w:val="0"/>
                <w:bCs/>
                <w:color w:val="auto"/>
                <w:sz w:val="20"/>
                <w:szCs w:val="20"/>
                <w:highlight w:val="none"/>
              </w:rPr>
              <w:t>计划</w:t>
            </w:r>
            <w:r>
              <w:rPr>
                <w:rFonts w:hint="eastAsia" w:ascii="宋体" w:hAnsi="宋体" w:eastAsia="宋体" w:cs="宋体"/>
                <w:b w:val="0"/>
                <w:bCs/>
                <w:color w:val="auto"/>
                <w:sz w:val="20"/>
                <w:szCs w:val="20"/>
                <w:highlight w:val="none"/>
                <w:lang w:val="en-US" w:eastAsia="zh-CN"/>
              </w:rPr>
              <w:t>,</w:t>
            </w:r>
            <w:r>
              <w:rPr>
                <w:rFonts w:hint="eastAsia" w:cs="宋体"/>
                <w:b w:val="0"/>
                <w:bCs/>
                <w:color w:val="auto"/>
                <w:sz w:val="20"/>
                <w:szCs w:val="20"/>
                <w:highlight w:val="none"/>
                <w:lang w:val="en-US" w:eastAsia="zh-CN"/>
              </w:rPr>
              <w:t>内容包含</w:t>
            </w:r>
            <w:r>
              <w:rPr>
                <w:rFonts w:hint="eastAsia" w:ascii="宋体" w:hAnsi="宋体" w:eastAsia="宋体" w:cs="宋体"/>
                <w:b w:val="0"/>
                <w:bCs/>
                <w:color w:val="auto"/>
                <w:sz w:val="20"/>
                <w:szCs w:val="20"/>
                <w:highlight w:val="none"/>
              </w:rPr>
              <w:t>相应</w:t>
            </w:r>
            <w:r>
              <w:rPr>
                <w:rFonts w:hint="eastAsia" w:cs="宋体"/>
                <w:b w:val="0"/>
                <w:bCs/>
                <w:color w:val="auto"/>
                <w:sz w:val="20"/>
                <w:szCs w:val="20"/>
                <w:highlight w:val="none"/>
                <w:lang w:val="en-US" w:eastAsia="zh-CN"/>
              </w:rPr>
              <w:t>保障</w:t>
            </w:r>
            <w:r>
              <w:rPr>
                <w:rFonts w:hint="eastAsia" w:ascii="宋体" w:hAnsi="宋体" w:eastAsia="宋体" w:cs="宋体"/>
                <w:b w:val="0"/>
                <w:bCs/>
                <w:color w:val="auto"/>
                <w:sz w:val="20"/>
                <w:szCs w:val="20"/>
                <w:highlight w:val="none"/>
              </w:rPr>
              <w:t>措施</w:t>
            </w:r>
            <w:r>
              <w:rPr>
                <w:rFonts w:hint="eastAsia" w:cs="宋体"/>
                <w:b w:val="0"/>
                <w:bCs/>
                <w:color w:val="auto"/>
                <w:sz w:val="20"/>
                <w:szCs w:val="20"/>
                <w:highlight w:val="none"/>
                <w:lang w:val="en-US" w:eastAsia="zh-CN"/>
              </w:rPr>
              <w:t>的</w:t>
            </w:r>
            <w:r>
              <w:rPr>
                <w:rFonts w:hint="eastAsia" w:cs="宋体"/>
                <w:color w:val="auto"/>
                <w:sz w:val="20"/>
                <w:szCs w:val="20"/>
                <w:highlight w:val="none"/>
                <w:lang w:val="en-US" w:eastAsia="zh-CN"/>
              </w:rPr>
              <w:t>，得1.5分</w:t>
            </w:r>
            <w:r>
              <w:rPr>
                <w:rFonts w:hint="eastAsia" w:ascii="宋体" w:hAnsi="宋体" w:cs="宋体"/>
                <w:color w:val="auto"/>
                <w:sz w:val="20"/>
                <w:szCs w:val="20"/>
                <w:highlight w:val="none"/>
              </w:rPr>
              <w:t>：</w:t>
            </w:r>
          </w:p>
          <w:p>
            <w:pPr>
              <w:keepNext w:val="0"/>
              <w:keepLines w:val="0"/>
              <w:pageBreakBefore w:val="0"/>
              <w:widowControl w:val="0"/>
              <w:numPr>
                <w:ilvl w:val="0"/>
                <w:numId w:val="3"/>
              </w:numPr>
              <w:tabs>
                <w:tab w:val="left" w:pos="360"/>
                <w:tab w:val="left" w:pos="3570"/>
              </w:tabs>
              <w:kinsoku/>
              <w:wordWrap/>
              <w:overflowPunct/>
              <w:topLinePunct w:val="0"/>
              <w:autoSpaceDE/>
              <w:autoSpaceDN/>
              <w:bidi w:val="0"/>
              <w:adjustRightInd/>
              <w:snapToGrid w:val="0"/>
              <w:spacing w:line="264" w:lineRule="auto"/>
              <w:jc w:val="left"/>
              <w:textAlignment w:val="auto"/>
              <w:rPr>
                <w:rFonts w:hint="eastAsia" w:ascii="宋体" w:hAnsi="宋体" w:cs="宋体"/>
                <w:b/>
                <w:color w:val="auto"/>
                <w:sz w:val="20"/>
                <w:szCs w:val="20"/>
                <w:highlight w:val="none"/>
              </w:rPr>
            </w:pPr>
            <w:r>
              <w:rPr>
                <w:rFonts w:hint="eastAsia"/>
                <w:color w:val="auto"/>
                <w:sz w:val="20"/>
                <w:szCs w:val="20"/>
                <w:highlight w:val="none"/>
                <w:lang w:val="zh-TW"/>
              </w:rPr>
              <w:t>各</w:t>
            </w:r>
            <w:r>
              <w:rPr>
                <w:rFonts w:hint="eastAsia"/>
                <w:color w:val="auto"/>
                <w:sz w:val="20"/>
                <w:szCs w:val="20"/>
                <w:highlight w:val="none"/>
                <w:lang w:val="en-US" w:eastAsia="zh-CN"/>
              </w:rPr>
              <w:t>方案</w:t>
            </w:r>
            <w:r>
              <w:rPr>
                <w:rFonts w:hint="eastAsia"/>
                <w:color w:val="auto"/>
                <w:sz w:val="20"/>
                <w:szCs w:val="20"/>
                <w:highlight w:val="none"/>
                <w:lang w:val="zh-TW"/>
              </w:rPr>
              <w:t>横向对比：</w:t>
            </w:r>
          </w:p>
          <w:p>
            <w:pPr>
              <w:keepNext w:val="0"/>
              <w:keepLines w:val="0"/>
              <w:pageBreakBefore w:val="0"/>
              <w:widowControl w:val="0"/>
              <w:tabs>
                <w:tab w:val="left" w:pos="360"/>
                <w:tab w:val="left" w:pos="3570"/>
              </w:tabs>
              <w:kinsoku/>
              <w:wordWrap/>
              <w:overflowPunct/>
              <w:topLinePunct w:val="0"/>
              <w:autoSpaceDE/>
              <w:autoSpaceDN/>
              <w:bidi w:val="0"/>
              <w:adjustRightInd/>
              <w:snapToGrid w:val="0"/>
              <w:spacing w:line="264" w:lineRule="auto"/>
              <w:textAlignment w:val="auto"/>
              <w:rPr>
                <w:rFonts w:hint="eastAsia" w:ascii="宋体" w:hAnsi="宋体" w:eastAsia="宋体" w:cs="宋体"/>
                <w:b w:val="0"/>
                <w:bCs/>
                <w:color w:val="auto"/>
                <w:sz w:val="20"/>
                <w:szCs w:val="20"/>
                <w:highlight w:val="none"/>
                <w:lang w:eastAsia="zh-CN"/>
              </w:rPr>
            </w:pPr>
            <w:r>
              <w:rPr>
                <w:rFonts w:hint="eastAsia" w:ascii="宋体" w:hAnsi="宋体" w:eastAsia="宋体" w:cs="宋体"/>
                <w:b/>
                <w:color w:val="auto"/>
                <w:sz w:val="20"/>
                <w:szCs w:val="20"/>
                <w:highlight w:val="none"/>
              </w:rPr>
              <w:t>优：</w:t>
            </w:r>
            <w:r>
              <w:rPr>
                <w:rFonts w:hint="eastAsia" w:ascii="宋体" w:hAnsi="宋体" w:eastAsia="宋体" w:cs="宋体"/>
                <w:b w:val="0"/>
                <w:bCs/>
                <w:color w:val="auto"/>
                <w:sz w:val="20"/>
                <w:szCs w:val="20"/>
                <w:highlight w:val="none"/>
              </w:rPr>
              <w:t>机械设备、材料、劳动力</w:t>
            </w:r>
            <w:r>
              <w:rPr>
                <w:rFonts w:hint="eastAsia" w:cs="宋体"/>
                <w:b w:val="0"/>
                <w:bCs/>
                <w:color w:val="auto"/>
                <w:sz w:val="20"/>
                <w:szCs w:val="20"/>
                <w:highlight w:val="none"/>
                <w:lang w:val="en-US" w:eastAsia="zh-CN"/>
              </w:rPr>
              <w:t>需求</w:t>
            </w:r>
            <w:r>
              <w:rPr>
                <w:rFonts w:hint="eastAsia" w:ascii="宋体" w:hAnsi="宋体" w:eastAsia="宋体" w:cs="宋体"/>
                <w:b w:val="0"/>
                <w:bCs/>
                <w:color w:val="auto"/>
                <w:sz w:val="20"/>
                <w:szCs w:val="20"/>
                <w:highlight w:val="none"/>
              </w:rPr>
              <w:t>计划</w:t>
            </w:r>
            <w:r>
              <w:rPr>
                <w:rFonts w:hint="eastAsia" w:cs="仿宋"/>
                <w:color w:val="auto"/>
                <w:sz w:val="20"/>
                <w:szCs w:val="20"/>
                <w:highlight w:val="none"/>
                <w:lang w:val="en-US" w:eastAsia="zh-CN"/>
              </w:rPr>
              <w:t>合理可行</w:t>
            </w:r>
            <w:r>
              <w:rPr>
                <w:rFonts w:hint="eastAsia" w:ascii="宋体" w:hAnsi="宋体" w:cs="仿宋"/>
                <w:color w:val="auto"/>
                <w:sz w:val="20"/>
                <w:szCs w:val="20"/>
                <w:highlight w:val="none"/>
                <w:lang w:eastAsia="zh-CN"/>
              </w:rPr>
              <w:t>，</w:t>
            </w:r>
            <w:r>
              <w:rPr>
                <w:rFonts w:hint="eastAsia" w:cs="仿宋"/>
                <w:color w:val="auto"/>
                <w:sz w:val="20"/>
                <w:szCs w:val="20"/>
                <w:highlight w:val="none"/>
                <w:lang w:val="en-US" w:eastAsia="zh-CN"/>
              </w:rPr>
              <w:t>相应的</w:t>
            </w:r>
            <w:r>
              <w:rPr>
                <w:rFonts w:hint="eastAsia" w:cs="宋体"/>
                <w:b w:val="0"/>
                <w:bCs/>
                <w:color w:val="auto"/>
                <w:sz w:val="20"/>
                <w:szCs w:val="20"/>
                <w:highlight w:val="none"/>
                <w:lang w:val="en-US" w:eastAsia="zh-CN"/>
              </w:rPr>
              <w:t>保障</w:t>
            </w:r>
            <w:r>
              <w:rPr>
                <w:rFonts w:hint="eastAsia" w:ascii="宋体" w:hAnsi="宋体" w:eastAsia="宋体" w:cs="宋体"/>
                <w:b w:val="0"/>
                <w:bCs/>
                <w:color w:val="auto"/>
                <w:sz w:val="20"/>
                <w:szCs w:val="20"/>
                <w:highlight w:val="none"/>
              </w:rPr>
              <w:t>措施</w:t>
            </w:r>
            <w:r>
              <w:rPr>
                <w:rFonts w:hint="eastAsia"/>
                <w:color w:val="auto"/>
                <w:sz w:val="20"/>
                <w:szCs w:val="20"/>
                <w:highlight w:val="none"/>
              </w:rPr>
              <w:t>针对性优</w:t>
            </w:r>
            <w:r>
              <w:rPr>
                <w:color w:val="auto"/>
                <w:sz w:val="20"/>
                <w:szCs w:val="20"/>
                <w:highlight w:val="none"/>
              </w:rPr>
              <w:t>、</w:t>
            </w:r>
            <w:r>
              <w:rPr>
                <w:rFonts w:hint="eastAsia"/>
                <w:color w:val="auto"/>
                <w:sz w:val="20"/>
                <w:szCs w:val="20"/>
                <w:highlight w:val="none"/>
                <w:lang w:val="en-US" w:eastAsia="zh-CN"/>
              </w:rPr>
              <w:t>可行性强</w:t>
            </w:r>
            <w:r>
              <w:rPr>
                <w:rFonts w:hint="eastAsia" w:ascii="宋体" w:hAnsi="宋体" w:eastAsia="宋体" w:cs="宋体"/>
                <w:b w:val="0"/>
                <w:bCs/>
                <w:color w:val="auto"/>
                <w:sz w:val="20"/>
                <w:szCs w:val="20"/>
                <w:highlight w:val="none"/>
                <w:lang w:eastAsia="zh-CN"/>
              </w:rPr>
              <w:t>，</w:t>
            </w:r>
            <w:r>
              <w:rPr>
                <w:rFonts w:hint="eastAsia" w:cs="宋体"/>
                <w:color w:val="auto"/>
                <w:sz w:val="20"/>
                <w:szCs w:val="20"/>
                <w:highlight w:val="none"/>
                <w:lang w:val="en-US" w:eastAsia="zh-CN"/>
              </w:rPr>
              <w:t>加</w:t>
            </w:r>
            <w:r>
              <w:rPr>
                <w:rFonts w:hint="eastAsia" w:cs="宋体"/>
                <w:b w:val="0"/>
                <w:bCs/>
                <w:color w:val="auto"/>
                <w:sz w:val="20"/>
                <w:szCs w:val="20"/>
                <w:highlight w:val="none"/>
                <w:lang w:val="en-US" w:eastAsia="zh-CN"/>
              </w:rPr>
              <w:t>3.5</w:t>
            </w:r>
            <w:r>
              <w:rPr>
                <w:rFonts w:hint="eastAsia" w:ascii="宋体" w:hAnsi="宋体" w:eastAsia="宋体" w:cs="宋体"/>
                <w:b w:val="0"/>
                <w:bCs/>
                <w:color w:val="auto"/>
                <w:sz w:val="20"/>
                <w:szCs w:val="20"/>
                <w:highlight w:val="none"/>
              </w:rPr>
              <w:t>分</w:t>
            </w:r>
            <w:r>
              <w:rPr>
                <w:rFonts w:hint="eastAsia" w:ascii="宋体" w:hAnsi="宋体" w:eastAsia="宋体" w:cs="宋体"/>
                <w:b w:val="0"/>
                <w:bCs/>
                <w:color w:val="auto"/>
                <w:sz w:val="20"/>
                <w:szCs w:val="20"/>
                <w:highlight w:val="none"/>
                <w:lang w:eastAsia="zh-CN"/>
              </w:rPr>
              <w:t>；</w:t>
            </w:r>
          </w:p>
          <w:p>
            <w:pPr>
              <w:keepNext w:val="0"/>
              <w:keepLines w:val="0"/>
              <w:pageBreakBefore w:val="0"/>
              <w:widowControl w:val="0"/>
              <w:tabs>
                <w:tab w:val="left" w:pos="360"/>
                <w:tab w:val="left" w:pos="3570"/>
              </w:tabs>
              <w:kinsoku/>
              <w:wordWrap/>
              <w:overflowPunct/>
              <w:topLinePunct w:val="0"/>
              <w:autoSpaceDE/>
              <w:autoSpaceDN/>
              <w:bidi w:val="0"/>
              <w:adjustRightInd/>
              <w:snapToGrid w:val="0"/>
              <w:spacing w:line="264" w:lineRule="auto"/>
              <w:textAlignment w:val="auto"/>
              <w:rPr>
                <w:rFonts w:hint="eastAsia" w:ascii="宋体" w:hAnsi="宋体" w:eastAsia="宋体" w:cs="宋体"/>
                <w:b w:val="0"/>
                <w:bCs/>
                <w:color w:val="auto"/>
                <w:sz w:val="20"/>
                <w:szCs w:val="20"/>
                <w:highlight w:val="none"/>
                <w:lang w:eastAsia="zh-CN"/>
              </w:rPr>
            </w:pPr>
            <w:r>
              <w:rPr>
                <w:rFonts w:hint="eastAsia" w:ascii="宋体" w:hAnsi="宋体" w:eastAsia="宋体" w:cs="宋体"/>
                <w:b/>
                <w:color w:val="auto"/>
                <w:sz w:val="20"/>
                <w:szCs w:val="20"/>
                <w:highlight w:val="none"/>
              </w:rPr>
              <w:t>良：</w:t>
            </w:r>
            <w:r>
              <w:rPr>
                <w:rFonts w:hint="eastAsia" w:ascii="宋体" w:hAnsi="宋体" w:eastAsia="宋体" w:cs="宋体"/>
                <w:b w:val="0"/>
                <w:bCs/>
                <w:color w:val="auto"/>
                <w:sz w:val="20"/>
                <w:szCs w:val="20"/>
                <w:highlight w:val="none"/>
              </w:rPr>
              <w:t>机械设备、材料、劳动力</w:t>
            </w:r>
            <w:r>
              <w:rPr>
                <w:rFonts w:hint="eastAsia" w:cs="宋体"/>
                <w:b w:val="0"/>
                <w:bCs/>
                <w:color w:val="auto"/>
                <w:sz w:val="20"/>
                <w:szCs w:val="20"/>
                <w:highlight w:val="none"/>
                <w:lang w:val="en-US" w:eastAsia="zh-CN"/>
              </w:rPr>
              <w:t>需求</w:t>
            </w:r>
            <w:r>
              <w:rPr>
                <w:rFonts w:hint="eastAsia" w:ascii="宋体" w:hAnsi="宋体" w:eastAsia="宋体" w:cs="宋体"/>
                <w:b w:val="0"/>
                <w:bCs/>
                <w:color w:val="auto"/>
                <w:sz w:val="20"/>
                <w:szCs w:val="20"/>
                <w:highlight w:val="none"/>
              </w:rPr>
              <w:t>计划</w:t>
            </w:r>
            <w:r>
              <w:rPr>
                <w:rFonts w:hint="eastAsia" w:ascii="宋体" w:hAnsi="宋体" w:eastAsia="宋体" w:cs="宋体"/>
                <w:b w:val="0"/>
                <w:bCs/>
                <w:color w:val="auto"/>
                <w:sz w:val="20"/>
                <w:szCs w:val="20"/>
                <w:highlight w:val="none"/>
                <w:lang w:val="en-US" w:eastAsia="zh-CN"/>
              </w:rPr>
              <w:t>一</w:t>
            </w:r>
            <w:r>
              <w:rPr>
                <w:rFonts w:hint="eastAsia" w:cs="仿宋"/>
                <w:color w:val="auto"/>
                <w:sz w:val="20"/>
                <w:szCs w:val="20"/>
                <w:highlight w:val="none"/>
                <w:lang w:val="en-US" w:eastAsia="zh-CN"/>
              </w:rPr>
              <w:t>般</w:t>
            </w:r>
            <w:r>
              <w:rPr>
                <w:rFonts w:hint="eastAsia" w:ascii="宋体" w:hAnsi="宋体" w:cs="仿宋"/>
                <w:color w:val="auto"/>
                <w:sz w:val="20"/>
                <w:szCs w:val="20"/>
                <w:highlight w:val="none"/>
                <w:lang w:eastAsia="zh-CN"/>
              </w:rPr>
              <w:t>，</w:t>
            </w:r>
            <w:r>
              <w:rPr>
                <w:rFonts w:hint="eastAsia" w:cs="仿宋"/>
                <w:color w:val="auto"/>
                <w:sz w:val="20"/>
                <w:szCs w:val="20"/>
                <w:highlight w:val="none"/>
                <w:lang w:val="en-US" w:eastAsia="zh-CN"/>
              </w:rPr>
              <w:t>相应的</w:t>
            </w:r>
            <w:r>
              <w:rPr>
                <w:rFonts w:hint="eastAsia" w:cs="宋体"/>
                <w:b w:val="0"/>
                <w:bCs/>
                <w:color w:val="auto"/>
                <w:sz w:val="20"/>
                <w:szCs w:val="20"/>
                <w:highlight w:val="none"/>
                <w:lang w:val="en-US" w:eastAsia="zh-CN"/>
              </w:rPr>
              <w:t>保障</w:t>
            </w:r>
            <w:r>
              <w:rPr>
                <w:rFonts w:hint="eastAsia" w:ascii="宋体" w:hAnsi="宋体" w:eastAsia="宋体" w:cs="宋体"/>
                <w:b w:val="0"/>
                <w:bCs/>
                <w:color w:val="auto"/>
                <w:sz w:val="20"/>
                <w:szCs w:val="20"/>
                <w:highlight w:val="none"/>
              </w:rPr>
              <w:t>措施</w:t>
            </w:r>
            <w:r>
              <w:rPr>
                <w:rFonts w:hint="eastAsia"/>
                <w:color w:val="auto"/>
                <w:sz w:val="20"/>
                <w:szCs w:val="20"/>
                <w:highlight w:val="none"/>
                <w:lang w:val="en-US" w:eastAsia="zh-CN"/>
              </w:rPr>
              <w:t>针对性一般、可行性一般</w:t>
            </w:r>
            <w:r>
              <w:rPr>
                <w:rFonts w:hint="eastAsia" w:ascii="宋体" w:hAnsi="宋体" w:eastAsia="宋体" w:cs="宋体"/>
                <w:b w:val="0"/>
                <w:bCs/>
                <w:color w:val="auto"/>
                <w:sz w:val="20"/>
                <w:szCs w:val="20"/>
                <w:highlight w:val="none"/>
                <w:lang w:eastAsia="zh-CN"/>
              </w:rPr>
              <w:t>，</w:t>
            </w:r>
            <w:r>
              <w:rPr>
                <w:rFonts w:hint="eastAsia" w:cs="宋体"/>
                <w:color w:val="auto"/>
                <w:sz w:val="20"/>
                <w:szCs w:val="20"/>
                <w:highlight w:val="none"/>
                <w:lang w:val="en-US" w:eastAsia="zh-CN"/>
              </w:rPr>
              <w:t>加</w:t>
            </w:r>
            <w:r>
              <w:rPr>
                <w:rFonts w:hint="eastAsia" w:cs="宋体"/>
                <w:b w:val="0"/>
                <w:bCs/>
                <w:color w:val="auto"/>
                <w:sz w:val="20"/>
                <w:szCs w:val="20"/>
                <w:highlight w:val="none"/>
                <w:lang w:val="en-US" w:eastAsia="zh-CN"/>
              </w:rPr>
              <w:t>2.5</w:t>
            </w:r>
            <w:r>
              <w:rPr>
                <w:rFonts w:hint="eastAsia" w:ascii="宋体" w:hAnsi="宋体" w:eastAsia="宋体" w:cs="宋体"/>
                <w:b w:val="0"/>
                <w:bCs/>
                <w:color w:val="auto"/>
                <w:sz w:val="20"/>
                <w:szCs w:val="20"/>
                <w:highlight w:val="none"/>
              </w:rPr>
              <w:t>分</w:t>
            </w:r>
            <w:r>
              <w:rPr>
                <w:rFonts w:hint="eastAsia" w:ascii="宋体" w:hAnsi="宋体" w:eastAsia="宋体" w:cs="宋体"/>
                <w:b w:val="0"/>
                <w:bCs/>
                <w:color w:val="auto"/>
                <w:sz w:val="20"/>
                <w:szCs w:val="20"/>
                <w:highlight w:val="none"/>
                <w:lang w:eastAsia="zh-CN"/>
              </w:rPr>
              <w:t>；</w:t>
            </w:r>
          </w:p>
          <w:p>
            <w:pPr>
              <w:keepNext w:val="0"/>
              <w:keepLines w:val="0"/>
              <w:pageBreakBefore w:val="0"/>
              <w:widowControl w:val="0"/>
              <w:tabs>
                <w:tab w:val="left" w:pos="360"/>
                <w:tab w:val="left" w:pos="3570"/>
              </w:tabs>
              <w:kinsoku/>
              <w:wordWrap/>
              <w:overflowPunct/>
              <w:topLinePunct w:val="0"/>
              <w:autoSpaceDE/>
              <w:autoSpaceDN/>
              <w:bidi w:val="0"/>
              <w:adjustRightInd/>
              <w:snapToGrid w:val="0"/>
              <w:spacing w:line="264" w:lineRule="auto"/>
              <w:textAlignment w:val="auto"/>
              <w:rPr>
                <w:rFonts w:hint="eastAsia" w:ascii="宋体" w:hAnsi="宋体" w:eastAsia="宋体" w:cs="宋体"/>
                <w:b/>
                <w:color w:val="auto"/>
                <w:sz w:val="20"/>
                <w:szCs w:val="20"/>
                <w:highlight w:val="none"/>
                <w:lang w:eastAsia="zh-CN"/>
              </w:rPr>
            </w:pPr>
            <w:r>
              <w:rPr>
                <w:rFonts w:hint="eastAsia" w:ascii="宋体" w:hAnsi="宋体" w:eastAsia="宋体" w:cs="宋体"/>
                <w:b/>
                <w:color w:val="auto"/>
                <w:sz w:val="20"/>
                <w:szCs w:val="20"/>
                <w:highlight w:val="none"/>
              </w:rPr>
              <w:t>中：</w:t>
            </w:r>
            <w:r>
              <w:rPr>
                <w:rFonts w:hint="eastAsia" w:ascii="宋体" w:hAnsi="宋体" w:eastAsia="宋体" w:cs="宋体"/>
                <w:b w:val="0"/>
                <w:bCs/>
                <w:color w:val="auto"/>
                <w:sz w:val="20"/>
                <w:szCs w:val="20"/>
                <w:highlight w:val="none"/>
              </w:rPr>
              <w:t>机械设备、材料、劳动力</w:t>
            </w:r>
            <w:r>
              <w:rPr>
                <w:rFonts w:hint="eastAsia" w:cs="宋体"/>
                <w:b w:val="0"/>
                <w:bCs/>
                <w:color w:val="auto"/>
                <w:sz w:val="20"/>
                <w:szCs w:val="20"/>
                <w:highlight w:val="none"/>
                <w:lang w:val="en-US" w:eastAsia="zh-CN"/>
              </w:rPr>
              <w:t>需求</w:t>
            </w:r>
            <w:r>
              <w:rPr>
                <w:rFonts w:hint="eastAsia" w:ascii="宋体" w:hAnsi="宋体" w:eastAsia="宋体" w:cs="宋体"/>
                <w:b w:val="0"/>
                <w:bCs/>
                <w:color w:val="auto"/>
                <w:sz w:val="20"/>
                <w:szCs w:val="20"/>
                <w:highlight w:val="none"/>
              </w:rPr>
              <w:t>计划</w:t>
            </w:r>
            <w:r>
              <w:rPr>
                <w:rFonts w:hint="eastAsia" w:ascii="宋体" w:hAnsi="宋体" w:eastAsia="宋体" w:cs="宋体"/>
                <w:b w:val="0"/>
                <w:bCs/>
                <w:color w:val="auto"/>
                <w:sz w:val="20"/>
                <w:szCs w:val="20"/>
                <w:highlight w:val="none"/>
                <w:lang w:val="en-US" w:eastAsia="zh-CN"/>
              </w:rPr>
              <w:t>较</w:t>
            </w:r>
            <w:r>
              <w:rPr>
                <w:rFonts w:hint="eastAsia" w:cs="仿宋"/>
                <w:color w:val="auto"/>
                <w:sz w:val="20"/>
                <w:szCs w:val="20"/>
                <w:highlight w:val="none"/>
                <w:lang w:val="en-US" w:eastAsia="zh-CN"/>
              </w:rPr>
              <w:t>差</w:t>
            </w:r>
            <w:r>
              <w:rPr>
                <w:rFonts w:hint="eastAsia" w:ascii="宋体" w:hAnsi="宋体" w:cs="仿宋"/>
                <w:color w:val="auto"/>
                <w:sz w:val="20"/>
                <w:szCs w:val="20"/>
                <w:highlight w:val="none"/>
                <w:lang w:eastAsia="zh-CN"/>
              </w:rPr>
              <w:t>，</w:t>
            </w:r>
            <w:r>
              <w:rPr>
                <w:rFonts w:hint="eastAsia" w:cs="仿宋"/>
                <w:color w:val="auto"/>
                <w:sz w:val="20"/>
                <w:szCs w:val="20"/>
                <w:highlight w:val="none"/>
                <w:lang w:val="en-US" w:eastAsia="zh-CN"/>
              </w:rPr>
              <w:t>相应的</w:t>
            </w:r>
            <w:r>
              <w:rPr>
                <w:rFonts w:hint="eastAsia" w:cs="宋体"/>
                <w:b w:val="0"/>
                <w:bCs/>
                <w:color w:val="auto"/>
                <w:sz w:val="20"/>
                <w:szCs w:val="20"/>
                <w:highlight w:val="none"/>
                <w:lang w:val="en-US" w:eastAsia="zh-CN"/>
              </w:rPr>
              <w:t>保障</w:t>
            </w:r>
            <w:r>
              <w:rPr>
                <w:rFonts w:hint="eastAsia" w:ascii="宋体" w:hAnsi="宋体" w:eastAsia="宋体" w:cs="宋体"/>
                <w:b w:val="0"/>
                <w:bCs/>
                <w:color w:val="auto"/>
                <w:sz w:val="20"/>
                <w:szCs w:val="20"/>
                <w:highlight w:val="none"/>
              </w:rPr>
              <w:t>措施</w:t>
            </w:r>
            <w:r>
              <w:rPr>
                <w:rFonts w:hint="eastAsia" w:cs="宋体"/>
                <w:b w:val="0"/>
                <w:bCs/>
                <w:color w:val="auto"/>
                <w:sz w:val="20"/>
                <w:szCs w:val="20"/>
                <w:highlight w:val="none"/>
                <w:lang w:val="en-US" w:eastAsia="zh-CN"/>
              </w:rPr>
              <w:t>针对性较差、</w:t>
            </w:r>
            <w:r>
              <w:rPr>
                <w:rFonts w:hint="eastAsia" w:ascii="宋体" w:hAnsi="宋体" w:eastAsia="宋体" w:cs="宋体"/>
                <w:b w:val="0"/>
                <w:bCs/>
                <w:color w:val="auto"/>
                <w:sz w:val="20"/>
                <w:szCs w:val="20"/>
                <w:highlight w:val="none"/>
              </w:rPr>
              <w:t>可行性</w:t>
            </w:r>
            <w:r>
              <w:rPr>
                <w:rFonts w:hint="eastAsia" w:cs="宋体"/>
                <w:b w:val="0"/>
                <w:bCs/>
                <w:color w:val="auto"/>
                <w:sz w:val="20"/>
                <w:szCs w:val="20"/>
                <w:highlight w:val="none"/>
                <w:lang w:val="en-US" w:eastAsia="zh-CN"/>
              </w:rPr>
              <w:t>较差</w:t>
            </w:r>
            <w:r>
              <w:rPr>
                <w:rFonts w:hint="eastAsia" w:ascii="宋体" w:hAnsi="宋体" w:eastAsia="宋体" w:cs="宋体"/>
                <w:b w:val="0"/>
                <w:bCs/>
                <w:color w:val="auto"/>
                <w:sz w:val="20"/>
                <w:szCs w:val="20"/>
                <w:highlight w:val="none"/>
                <w:lang w:eastAsia="zh-CN"/>
              </w:rPr>
              <w:t>，</w:t>
            </w:r>
            <w:r>
              <w:rPr>
                <w:rFonts w:hint="eastAsia" w:cs="宋体"/>
                <w:color w:val="auto"/>
                <w:sz w:val="20"/>
                <w:szCs w:val="20"/>
                <w:highlight w:val="none"/>
                <w:lang w:val="en-US" w:eastAsia="zh-CN"/>
              </w:rPr>
              <w:t>加1.5</w:t>
            </w:r>
            <w:r>
              <w:rPr>
                <w:rFonts w:hint="eastAsia" w:ascii="宋体" w:hAnsi="宋体" w:eastAsia="宋体" w:cs="宋体"/>
                <w:b w:val="0"/>
                <w:bCs/>
                <w:color w:val="auto"/>
                <w:sz w:val="20"/>
                <w:szCs w:val="20"/>
                <w:highlight w:val="none"/>
              </w:rPr>
              <w:t>分</w:t>
            </w:r>
            <w:r>
              <w:rPr>
                <w:rFonts w:hint="eastAsia" w:ascii="宋体" w:hAnsi="宋体" w:eastAsia="宋体" w:cs="宋体"/>
                <w:b w:val="0"/>
                <w:bCs/>
                <w:color w:val="auto"/>
                <w:sz w:val="20"/>
                <w:szCs w:val="20"/>
                <w:highlight w:val="none"/>
                <w:lang w:eastAsia="zh-CN"/>
              </w:rPr>
              <w:t>；</w:t>
            </w:r>
          </w:p>
          <w:p>
            <w:pPr>
              <w:pStyle w:val="11"/>
              <w:keepNext w:val="0"/>
              <w:keepLines w:val="0"/>
              <w:pageBreakBefore w:val="0"/>
              <w:widowControl w:val="0"/>
              <w:tabs>
                <w:tab w:val="left" w:pos="3570"/>
              </w:tabs>
              <w:kinsoku/>
              <w:wordWrap/>
              <w:overflowPunct/>
              <w:topLinePunct w:val="0"/>
              <w:autoSpaceDE/>
              <w:autoSpaceDN/>
              <w:bidi w:val="0"/>
              <w:adjustRightInd/>
              <w:spacing w:line="264" w:lineRule="auto"/>
              <w:jc w:val="left"/>
              <w:textAlignment w:val="auto"/>
              <w:rPr>
                <w:rFonts w:hint="eastAsia" w:ascii="宋体" w:hAnsi="宋体" w:cs="宋体"/>
                <w:b w:val="0"/>
                <w:bCs/>
                <w:color w:val="auto"/>
                <w:sz w:val="20"/>
                <w:szCs w:val="20"/>
                <w:highlight w:val="none"/>
              </w:rPr>
            </w:pPr>
            <w:r>
              <w:rPr>
                <w:rFonts w:hint="eastAsia" w:ascii="宋体" w:hAnsi="宋体" w:cs="宋体"/>
                <w:b/>
                <w:color w:val="auto"/>
                <w:sz w:val="20"/>
                <w:szCs w:val="20"/>
                <w:highlight w:val="none"/>
              </w:rPr>
              <w:t>差：</w:t>
            </w:r>
            <w:r>
              <w:rPr>
                <w:rFonts w:hint="eastAsia" w:hAnsi="宋体" w:cs="宋体"/>
                <w:b w:val="0"/>
                <w:bCs/>
                <w:color w:val="auto"/>
                <w:sz w:val="20"/>
                <w:szCs w:val="20"/>
                <w:highlight w:val="none"/>
                <w:lang w:val="en-US" w:eastAsia="zh-CN"/>
              </w:rPr>
              <w:t>没有提供第</w:t>
            </w:r>
            <w:r>
              <w:rPr>
                <w:rFonts w:hint="eastAsia" w:ascii="宋体" w:hAnsi="宋体" w:cs="宋体"/>
                <w:b w:val="0"/>
                <w:bCs/>
                <w:color w:val="auto"/>
                <w:sz w:val="20"/>
                <w:szCs w:val="20"/>
                <w:highlight w:val="none"/>
              </w:rPr>
              <w:t>（1）项内容的，不得分。</w:t>
            </w:r>
          </w:p>
          <w:p>
            <w:pPr>
              <w:keepNext w:val="0"/>
              <w:keepLines w:val="0"/>
              <w:pageBreakBefore w:val="0"/>
              <w:widowControl w:val="0"/>
              <w:tabs>
                <w:tab w:val="left" w:pos="360"/>
                <w:tab w:val="left" w:pos="3570"/>
              </w:tabs>
              <w:kinsoku/>
              <w:wordWrap/>
              <w:overflowPunct/>
              <w:topLinePunct w:val="0"/>
              <w:autoSpaceDE/>
              <w:autoSpaceDN/>
              <w:bidi w:val="0"/>
              <w:adjustRightInd/>
              <w:snapToGrid w:val="0"/>
              <w:spacing w:line="264" w:lineRule="auto"/>
              <w:textAlignment w:val="auto"/>
              <w:rPr>
                <w:rFonts w:hint="eastAsia" w:ascii="宋体" w:hAnsi="宋体" w:eastAsia="宋体" w:cs="Times New Roman"/>
                <w:color w:val="auto"/>
                <w:kern w:val="0"/>
                <w:sz w:val="20"/>
                <w:szCs w:val="20"/>
                <w:highlight w:val="none"/>
                <w:lang w:val="en-US" w:eastAsia="zh-CN" w:bidi="ar-SA"/>
              </w:rPr>
            </w:pPr>
            <w:r>
              <w:rPr>
                <w:rFonts w:hint="eastAsia" w:ascii="宋体" w:hAnsi="宋体" w:cs="宋体"/>
                <w:b w:val="0"/>
                <w:bCs/>
                <w:color w:val="auto"/>
                <w:sz w:val="20"/>
                <w:szCs w:val="20"/>
                <w:highlight w:val="none"/>
              </w:rPr>
              <w:t>本项最高得</w:t>
            </w:r>
            <w:r>
              <w:rPr>
                <w:rFonts w:hint="eastAsia" w:cs="宋体"/>
                <w:b w:val="0"/>
                <w:bCs/>
                <w:color w:val="auto"/>
                <w:sz w:val="20"/>
                <w:szCs w:val="20"/>
                <w:highlight w:val="none"/>
                <w:lang w:val="en-US" w:eastAsia="zh-CN"/>
              </w:rPr>
              <w:t>5</w:t>
            </w:r>
            <w:r>
              <w:rPr>
                <w:rFonts w:hint="eastAsia" w:ascii="宋体" w:hAnsi="宋体" w:cs="宋体"/>
                <w:b w:val="0"/>
                <w:bCs/>
                <w:color w:val="auto"/>
                <w:sz w:val="20"/>
                <w:szCs w:val="20"/>
                <w:highlight w:val="none"/>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FFFFFF"/>
          <w:tblCellMar>
            <w:top w:w="57" w:type="dxa"/>
            <w:left w:w="108" w:type="dxa"/>
            <w:bottom w:w="57" w:type="dxa"/>
            <w:right w:w="108" w:type="dxa"/>
          </w:tblCellMar>
        </w:tblPrEx>
        <w:trPr>
          <w:trHeight w:val="20" w:hRule="atLeast"/>
        </w:trPr>
        <w:tc>
          <w:tcPr>
            <w:tcW w:w="804" w:type="dxa"/>
            <w:vMerge w:val="continue"/>
            <w:shd w:val="clear" w:color="auto" w:fill="FFFFFF"/>
            <w:noWrap w:val="0"/>
            <w:vAlign w:val="center"/>
          </w:tcPr>
          <w:p>
            <w:pPr>
              <w:pStyle w:val="11"/>
              <w:keepNext w:val="0"/>
              <w:keepLines w:val="0"/>
              <w:pageBreakBefore w:val="0"/>
              <w:tabs>
                <w:tab w:val="left" w:pos="3570"/>
              </w:tabs>
              <w:kinsoku/>
              <w:wordWrap/>
              <w:overflowPunct/>
              <w:topLinePunct w:val="0"/>
              <w:bidi w:val="0"/>
              <w:spacing w:line="240" w:lineRule="auto"/>
              <w:jc w:val="left"/>
              <w:textAlignment w:val="auto"/>
              <w:rPr>
                <w:rFonts w:hint="eastAsia" w:hAnsi="宋体"/>
                <w:color w:val="auto"/>
                <w:sz w:val="20"/>
                <w:szCs w:val="20"/>
                <w:highlight w:val="none"/>
              </w:rPr>
            </w:pPr>
          </w:p>
        </w:tc>
        <w:tc>
          <w:tcPr>
            <w:tcW w:w="683" w:type="dxa"/>
            <w:gridSpan w:val="2"/>
            <w:vMerge w:val="continue"/>
            <w:shd w:val="clear" w:color="auto" w:fill="FFFFFF"/>
            <w:noWrap w:val="0"/>
            <w:vAlign w:val="center"/>
          </w:tcPr>
          <w:p>
            <w:pPr>
              <w:pStyle w:val="11"/>
              <w:keepNext w:val="0"/>
              <w:keepLines w:val="0"/>
              <w:pageBreakBefore w:val="0"/>
              <w:tabs>
                <w:tab w:val="left" w:pos="3570"/>
              </w:tabs>
              <w:kinsoku/>
              <w:wordWrap/>
              <w:overflowPunct/>
              <w:topLinePunct w:val="0"/>
              <w:bidi w:val="0"/>
              <w:spacing w:line="240" w:lineRule="auto"/>
              <w:jc w:val="left"/>
              <w:textAlignment w:val="auto"/>
              <w:rPr>
                <w:rFonts w:hint="eastAsia" w:hAnsi="宋体"/>
                <w:color w:val="auto"/>
                <w:sz w:val="20"/>
                <w:szCs w:val="20"/>
                <w:highlight w:val="none"/>
              </w:rPr>
            </w:pPr>
          </w:p>
        </w:tc>
        <w:tc>
          <w:tcPr>
            <w:tcW w:w="1301" w:type="dxa"/>
            <w:shd w:val="clear" w:color="auto" w:fill="FFFFFF"/>
            <w:noWrap w:val="0"/>
            <w:vAlign w:val="center"/>
          </w:tcPr>
          <w:p>
            <w:pPr>
              <w:keepNext w:val="0"/>
              <w:keepLines w:val="0"/>
              <w:pageBreakBefore w:val="0"/>
              <w:widowControl w:val="0"/>
              <w:tabs>
                <w:tab w:val="left" w:pos="360"/>
                <w:tab w:val="left" w:pos="3570"/>
              </w:tabs>
              <w:kinsoku/>
              <w:wordWrap/>
              <w:overflowPunct/>
              <w:topLinePunct w:val="0"/>
              <w:autoSpaceDE/>
              <w:autoSpaceDN/>
              <w:bidi w:val="0"/>
              <w:adjustRightInd/>
              <w:snapToGrid w:val="0"/>
              <w:jc w:val="center"/>
              <w:textAlignment w:val="auto"/>
              <w:rPr>
                <w:rFonts w:hint="eastAsia" w:hAnsi="宋体"/>
                <w:color w:val="auto"/>
                <w:sz w:val="20"/>
                <w:szCs w:val="20"/>
                <w:highlight w:val="none"/>
              </w:rPr>
            </w:pPr>
            <w:r>
              <w:rPr>
                <w:rFonts w:hint="eastAsia"/>
                <w:color w:val="auto"/>
                <w:sz w:val="20"/>
                <w:szCs w:val="20"/>
                <w:highlight w:val="none"/>
              </w:rPr>
              <w:t>施工进度计划及工期保证措施</w:t>
            </w:r>
          </w:p>
        </w:tc>
        <w:tc>
          <w:tcPr>
            <w:tcW w:w="819" w:type="dxa"/>
            <w:shd w:val="clear" w:color="auto" w:fill="FFFFFF"/>
            <w:noWrap w:val="0"/>
            <w:vAlign w:val="center"/>
          </w:tcPr>
          <w:p>
            <w:pPr>
              <w:keepNext w:val="0"/>
              <w:keepLines w:val="0"/>
              <w:pageBreakBefore w:val="0"/>
              <w:widowControl w:val="0"/>
              <w:tabs>
                <w:tab w:val="left" w:pos="360"/>
                <w:tab w:val="left" w:pos="3570"/>
              </w:tabs>
              <w:kinsoku/>
              <w:wordWrap/>
              <w:overflowPunct/>
              <w:topLinePunct w:val="0"/>
              <w:autoSpaceDE/>
              <w:autoSpaceDN/>
              <w:bidi w:val="0"/>
              <w:adjustRightInd/>
              <w:snapToGrid w:val="0"/>
              <w:jc w:val="center"/>
              <w:textAlignment w:val="auto"/>
              <w:rPr>
                <w:rFonts w:hint="eastAsia" w:hAnsi="宋体" w:eastAsia="宋体"/>
                <w:color w:val="auto"/>
                <w:sz w:val="20"/>
                <w:szCs w:val="20"/>
                <w:highlight w:val="none"/>
                <w:lang w:eastAsia="zh-CN"/>
              </w:rPr>
            </w:pPr>
            <w:r>
              <w:rPr>
                <w:rFonts w:hint="eastAsia" w:cs="宋体"/>
                <w:color w:val="auto"/>
                <w:sz w:val="20"/>
                <w:szCs w:val="20"/>
                <w:highlight w:val="none"/>
                <w:lang w:val="en-US" w:eastAsia="zh-CN"/>
              </w:rPr>
              <w:t>5</w:t>
            </w:r>
          </w:p>
        </w:tc>
        <w:tc>
          <w:tcPr>
            <w:tcW w:w="10977" w:type="dxa"/>
            <w:shd w:val="clear" w:color="auto" w:fill="FFFFFF"/>
            <w:noWrap w:val="0"/>
            <w:vAlign w:val="center"/>
          </w:tcPr>
          <w:p>
            <w:pPr>
              <w:keepNext w:val="0"/>
              <w:keepLines w:val="0"/>
              <w:pageBreakBefore w:val="0"/>
              <w:widowControl w:val="0"/>
              <w:numPr>
                <w:ilvl w:val="0"/>
                <w:numId w:val="4"/>
              </w:numPr>
              <w:tabs>
                <w:tab w:val="left" w:pos="360"/>
                <w:tab w:val="left" w:pos="3570"/>
              </w:tabs>
              <w:kinsoku/>
              <w:wordWrap/>
              <w:overflowPunct/>
              <w:topLinePunct w:val="0"/>
              <w:autoSpaceDE/>
              <w:autoSpaceDN/>
              <w:bidi w:val="0"/>
              <w:adjustRightInd/>
              <w:snapToGrid w:val="0"/>
              <w:spacing w:line="264" w:lineRule="auto"/>
              <w:jc w:val="left"/>
              <w:textAlignment w:val="auto"/>
              <w:rPr>
                <w:rFonts w:hint="eastAsia" w:ascii="宋体" w:hAnsi="宋体" w:cs="宋体"/>
                <w:b/>
                <w:color w:val="auto"/>
                <w:sz w:val="20"/>
                <w:szCs w:val="20"/>
                <w:highlight w:val="none"/>
              </w:rPr>
            </w:pPr>
            <w:r>
              <w:rPr>
                <w:rFonts w:hint="eastAsia" w:cs="宋体"/>
                <w:color w:val="auto"/>
                <w:sz w:val="20"/>
                <w:szCs w:val="20"/>
                <w:highlight w:val="none"/>
                <w:lang w:val="en-US" w:eastAsia="zh-CN"/>
              </w:rPr>
              <w:t>根据本项目特点有</w:t>
            </w:r>
            <w:r>
              <w:rPr>
                <w:rFonts w:hint="eastAsia" w:cs="宋体"/>
                <w:b w:val="0"/>
                <w:bCs/>
                <w:color w:val="auto"/>
                <w:sz w:val="20"/>
                <w:szCs w:val="20"/>
                <w:highlight w:val="none"/>
                <w:lang w:val="en-US" w:eastAsia="zh-CN"/>
              </w:rPr>
              <w:t>编制</w:t>
            </w:r>
            <w:r>
              <w:rPr>
                <w:rFonts w:hint="eastAsia" w:ascii="宋体" w:hAnsi="宋体" w:cs="宋体"/>
                <w:color w:val="auto"/>
                <w:sz w:val="20"/>
                <w:szCs w:val="20"/>
                <w:highlight w:val="none"/>
              </w:rPr>
              <w:t>工期进度计划</w:t>
            </w:r>
            <w:r>
              <w:rPr>
                <w:rFonts w:hint="eastAsia" w:cs="宋体"/>
                <w:color w:val="auto"/>
                <w:sz w:val="20"/>
                <w:szCs w:val="20"/>
                <w:highlight w:val="none"/>
                <w:lang w:val="en-US" w:eastAsia="zh-CN"/>
              </w:rPr>
              <w:t>及施工工期保证措施的，得1.5分</w:t>
            </w:r>
            <w:r>
              <w:rPr>
                <w:rFonts w:hint="eastAsia" w:ascii="宋体" w:hAnsi="宋体" w:cs="宋体"/>
                <w:color w:val="auto"/>
                <w:sz w:val="20"/>
                <w:szCs w:val="20"/>
                <w:highlight w:val="none"/>
              </w:rPr>
              <w:t>：</w:t>
            </w:r>
          </w:p>
          <w:p>
            <w:pPr>
              <w:keepNext w:val="0"/>
              <w:keepLines w:val="0"/>
              <w:pageBreakBefore w:val="0"/>
              <w:widowControl w:val="0"/>
              <w:numPr>
                <w:ilvl w:val="0"/>
                <w:numId w:val="4"/>
              </w:numPr>
              <w:tabs>
                <w:tab w:val="left" w:pos="360"/>
                <w:tab w:val="left" w:pos="3570"/>
              </w:tabs>
              <w:kinsoku/>
              <w:wordWrap/>
              <w:overflowPunct/>
              <w:topLinePunct w:val="0"/>
              <w:autoSpaceDE/>
              <w:autoSpaceDN/>
              <w:bidi w:val="0"/>
              <w:adjustRightInd/>
              <w:snapToGrid w:val="0"/>
              <w:spacing w:line="264" w:lineRule="auto"/>
              <w:jc w:val="left"/>
              <w:textAlignment w:val="auto"/>
              <w:rPr>
                <w:rFonts w:hint="eastAsia" w:ascii="宋体" w:hAnsi="宋体" w:cs="宋体"/>
                <w:b/>
                <w:color w:val="auto"/>
                <w:sz w:val="20"/>
                <w:szCs w:val="20"/>
                <w:highlight w:val="none"/>
              </w:rPr>
            </w:pPr>
            <w:r>
              <w:rPr>
                <w:rFonts w:hint="eastAsia"/>
                <w:color w:val="auto"/>
                <w:sz w:val="20"/>
                <w:szCs w:val="20"/>
                <w:highlight w:val="none"/>
                <w:lang w:val="zh-TW"/>
              </w:rPr>
              <w:t>各</w:t>
            </w:r>
            <w:r>
              <w:rPr>
                <w:rFonts w:hint="eastAsia"/>
                <w:color w:val="auto"/>
                <w:sz w:val="20"/>
                <w:szCs w:val="20"/>
                <w:highlight w:val="none"/>
                <w:lang w:val="en-US" w:eastAsia="zh-CN"/>
              </w:rPr>
              <w:t>方案</w:t>
            </w:r>
            <w:r>
              <w:rPr>
                <w:rFonts w:hint="eastAsia"/>
                <w:color w:val="auto"/>
                <w:sz w:val="20"/>
                <w:szCs w:val="20"/>
                <w:highlight w:val="none"/>
                <w:lang w:val="zh-TW"/>
              </w:rPr>
              <w:t>横向对比：</w:t>
            </w:r>
          </w:p>
          <w:p>
            <w:pPr>
              <w:keepNext w:val="0"/>
              <w:keepLines w:val="0"/>
              <w:pageBreakBefore w:val="0"/>
              <w:widowControl w:val="0"/>
              <w:tabs>
                <w:tab w:val="left" w:pos="360"/>
                <w:tab w:val="left" w:pos="3570"/>
              </w:tabs>
              <w:kinsoku/>
              <w:wordWrap/>
              <w:overflowPunct/>
              <w:topLinePunct w:val="0"/>
              <w:autoSpaceDE/>
              <w:autoSpaceDN/>
              <w:bidi w:val="0"/>
              <w:adjustRightInd/>
              <w:snapToGrid w:val="0"/>
              <w:spacing w:line="264" w:lineRule="auto"/>
              <w:textAlignment w:val="auto"/>
              <w:rPr>
                <w:rFonts w:hint="eastAsia" w:ascii="宋体" w:hAnsi="宋体" w:cs="宋体"/>
                <w:color w:val="auto"/>
                <w:sz w:val="20"/>
                <w:szCs w:val="20"/>
                <w:highlight w:val="none"/>
              </w:rPr>
            </w:pPr>
            <w:r>
              <w:rPr>
                <w:rFonts w:hint="eastAsia" w:ascii="宋体" w:hAnsi="宋体" w:cs="宋体"/>
                <w:b/>
                <w:color w:val="auto"/>
                <w:sz w:val="20"/>
                <w:szCs w:val="20"/>
                <w:highlight w:val="none"/>
              </w:rPr>
              <w:t>优：</w:t>
            </w:r>
            <w:r>
              <w:rPr>
                <w:rFonts w:hint="eastAsia"/>
                <w:color w:val="auto"/>
                <w:sz w:val="20"/>
                <w:szCs w:val="20"/>
                <w:highlight w:val="none"/>
              </w:rPr>
              <w:t>施工进度计划</w:t>
            </w:r>
            <w:r>
              <w:rPr>
                <w:rFonts w:hint="eastAsia" w:cs="仿宋"/>
                <w:color w:val="auto"/>
                <w:sz w:val="20"/>
                <w:szCs w:val="20"/>
                <w:highlight w:val="none"/>
                <w:lang w:val="en-US" w:eastAsia="zh-CN"/>
              </w:rPr>
              <w:t>合理可行</w:t>
            </w:r>
            <w:r>
              <w:rPr>
                <w:rFonts w:hint="eastAsia" w:ascii="Times New Roman" w:hAnsi="Times New Roman"/>
                <w:color w:val="auto"/>
                <w:sz w:val="20"/>
                <w:szCs w:val="20"/>
                <w:highlight w:val="none"/>
                <w:lang w:val="en-US" w:eastAsia="zh-CN"/>
              </w:rPr>
              <w:t>，</w:t>
            </w:r>
            <w:r>
              <w:rPr>
                <w:rFonts w:ascii="Times New Roman" w:hAnsi="Times New Roman"/>
                <w:color w:val="auto"/>
                <w:sz w:val="20"/>
                <w:szCs w:val="20"/>
                <w:highlight w:val="none"/>
              </w:rPr>
              <w:t>对项目工期需求</w:t>
            </w:r>
            <w:r>
              <w:rPr>
                <w:rFonts w:hint="eastAsia"/>
                <w:color w:val="auto"/>
                <w:sz w:val="20"/>
                <w:szCs w:val="20"/>
                <w:highlight w:val="none"/>
              </w:rPr>
              <w:t>理解</w:t>
            </w:r>
            <w:r>
              <w:rPr>
                <w:rFonts w:ascii="Times New Roman" w:hAnsi="Times New Roman"/>
                <w:color w:val="auto"/>
                <w:sz w:val="20"/>
                <w:szCs w:val="20"/>
                <w:highlight w:val="none"/>
              </w:rPr>
              <w:t>准确</w:t>
            </w:r>
            <w:r>
              <w:rPr>
                <w:rFonts w:hint="eastAsia" w:ascii="Times New Roman" w:hAnsi="Times New Roman"/>
                <w:color w:val="auto"/>
                <w:sz w:val="20"/>
                <w:szCs w:val="20"/>
                <w:highlight w:val="none"/>
                <w:lang w:eastAsia="zh-CN"/>
              </w:rPr>
              <w:t>，</w:t>
            </w:r>
            <w:r>
              <w:rPr>
                <w:rFonts w:hint="eastAsia"/>
                <w:color w:val="auto"/>
                <w:sz w:val="20"/>
                <w:szCs w:val="20"/>
                <w:highlight w:val="none"/>
              </w:rPr>
              <w:t>对</w:t>
            </w:r>
            <w:r>
              <w:rPr>
                <w:color w:val="auto"/>
                <w:sz w:val="20"/>
                <w:szCs w:val="20"/>
                <w:highlight w:val="none"/>
              </w:rPr>
              <w:t>关键线路</w:t>
            </w:r>
            <w:r>
              <w:rPr>
                <w:rFonts w:hint="eastAsia"/>
                <w:color w:val="auto"/>
                <w:sz w:val="20"/>
                <w:szCs w:val="20"/>
                <w:highlight w:val="none"/>
              </w:rPr>
              <w:t>分析</w:t>
            </w:r>
            <w:r>
              <w:rPr>
                <w:color w:val="auto"/>
                <w:sz w:val="20"/>
                <w:szCs w:val="20"/>
                <w:highlight w:val="none"/>
              </w:rPr>
              <w:t>清晰、准确、完整</w:t>
            </w:r>
            <w:r>
              <w:rPr>
                <w:rFonts w:hint="eastAsia"/>
                <w:color w:val="auto"/>
                <w:sz w:val="20"/>
                <w:szCs w:val="20"/>
                <w:highlight w:val="none"/>
                <w:lang w:eastAsia="zh-CN"/>
              </w:rPr>
              <w:t>，</w:t>
            </w:r>
            <w:r>
              <w:rPr>
                <w:rFonts w:hint="eastAsia" w:ascii="宋体" w:hAnsi="宋体" w:cs="宋体"/>
                <w:color w:val="auto"/>
                <w:sz w:val="20"/>
                <w:szCs w:val="20"/>
                <w:highlight w:val="none"/>
              </w:rPr>
              <w:t>施工工期</w:t>
            </w:r>
            <w:r>
              <w:rPr>
                <w:rFonts w:hint="eastAsia"/>
                <w:color w:val="auto"/>
                <w:sz w:val="20"/>
                <w:szCs w:val="20"/>
                <w:highlight w:val="none"/>
              </w:rPr>
              <w:t>保证</w:t>
            </w:r>
            <w:r>
              <w:rPr>
                <w:color w:val="auto"/>
                <w:sz w:val="20"/>
                <w:szCs w:val="20"/>
                <w:highlight w:val="none"/>
              </w:rPr>
              <w:t>措施</w:t>
            </w:r>
            <w:r>
              <w:rPr>
                <w:rFonts w:hint="eastAsia"/>
                <w:color w:val="auto"/>
                <w:sz w:val="20"/>
                <w:szCs w:val="20"/>
                <w:highlight w:val="none"/>
                <w:lang w:val="en-US" w:eastAsia="zh-CN"/>
              </w:rPr>
              <w:t>合理可行，</w:t>
            </w:r>
            <w:r>
              <w:rPr>
                <w:rFonts w:hint="eastAsia"/>
                <w:color w:val="auto"/>
                <w:sz w:val="20"/>
                <w:szCs w:val="20"/>
                <w:highlight w:val="none"/>
              </w:rPr>
              <w:t>针对性优</w:t>
            </w:r>
            <w:r>
              <w:rPr>
                <w:rFonts w:hint="eastAsia" w:ascii="宋体" w:hAnsi="宋体" w:cs="宋体"/>
                <w:color w:val="auto"/>
                <w:sz w:val="20"/>
                <w:szCs w:val="20"/>
                <w:highlight w:val="none"/>
              </w:rPr>
              <w:t>，</w:t>
            </w:r>
            <w:r>
              <w:rPr>
                <w:rFonts w:hint="eastAsia" w:cs="宋体"/>
                <w:color w:val="auto"/>
                <w:sz w:val="20"/>
                <w:szCs w:val="20"/>
                <w:highlight w:val="none"/>
                <w:lang w:val="en-US" w:eastAsia="zh-CN"/>
              </w:rPr>
              <w:t>加3.5</w:t>
            </w:r>
            <w:r>
              <w:rPr>
                <w:rFonts w:hint="eastAsia" w:ascii="宋体" w:hAnsi="宋体" w:cs="宋体"/>
                <w:color w:val="auto"/>
                <w:sz w:val="20"/>
                <w:szCs w:val="20"/>
                <w:highlight w:val="none"/>
              </w:rPr>
              <w:t>分；</w:t>
            </w:r>
          </w:p>
          <w:p>
            <w:pPr>
              <w:keepNext w:val="0"/>
              <w:keepLines w:val="0"/>
              <w:pageBreakBefore w:val="0"/>
              <w:widowControl w:val="0"/>
              <w:tabs>
                <w:tab w:val="left" w:pos="360"/>
                <w:tab w:val="left" w:pos="3570"/>
              </w:tabs>
              <w:kinsoku/>
              <w:wordWrap/>
              <w:overflowPunct/>
              <w:topLinePunct w:val="0"/>
              <w:autoSpaceDE/>
              <w:autoSpaceDN/>
              <w:bidi w:val="0"/>
              <w:adjustRightInd/>
              <w:snapToGrid w:val="0"/>
              <w:spacing w:line="264" w:lineRule="auto"/>
              <w:textAlignment w:val="auto"/>
              <w:rPr>
                <w:rFonts w:hint="eastAsia" w:ascii="宋体" w:hAnsi="宋体" w:cs="宋体"/>
                <w:color w:val="auto"/>
                <w:sz w:val="20"/>
                <w:szCs w:val="20"/>
                <w:highlight w:val="none"/>
              </w:rPr>
            </w:pPr>
            <w:r>
              <w:rPr>
                <w:rFonts w:hint="eastAsia" w:ascii="宋体" w:hAnsi="宋体" w:cs="宋体"/>
                <w:b/>
                <w:color w:val="auto"/>
                <w:sz w:val="20"/>
                <w:szCs w:val="20"/>
                <w:highlight w:val="none"/>
              </w:rPr>
              <w:t>良：</w:t>
            </w:r>
            <w:r>
              <w:rPr>
                <w:rFonts w:hint="eastAsia"/>
                <w:color w:val="auto"/>
                <w:sz w:val="20"/>
                <w:szCs w:val="20"/>
                <w:highlight w:val="none"/>
              </w:rPr>
              <w:t>施工进度计划</w:t>
            </w:r>
            <w:r>
              <w:rPr>
                <w:rFonts w:hint="eastAsia" w:ascii="Times New Roman" w:hAnsi="Times New Roman"/>
                <w:color w:val="auto"/>
                <w:sz w:val="20"/>
                <w:szCs w:val="20"/>
                <w:highlight w:val="none"/>
                <w:lang w:val="en-US" w:eastAsia="zh-CN"/>
              </w:rPr>
              <w:t>一般，</w:t>
            </w:r>
            <w:r>
              <w:rPr>
                <w:color w:val="auto"/>
                <w:sz w:val="20"/>
                <w:szCs w:val="20"/>
                <w:highlight w:val="none"/>
              </w:rPr>
              <w:t>对项目工期需求</w:t>
            </w:r>
            <w:r>
              <w:rPr>
                <w:rFonts w:hint="eastAsia"/>
                <w:color w:val="auto"/>
                <w:sz w:val="20"/>
                <w:szCs w:val="20"/>
                <w:highlight w:val="none"/>
              </w:rPr>
              <w:t>理解</w:t>
            </w:r>
            <w:r>
              <w:rPr>
                <w:rFonts w:hint="eastAsia"/>
                <w:color w:val="auto"/>
                <w:sz w:val="20"/>
                <w:szCs w:val="20"/>
                <w:highlight w:val="none"/>
                <w:lang w:val="en-US" w:eastAsia="zh-CN"/>
              </w:rPr>
              <w:t>一般</w:t>
            </w:r>
            <w:r>
              <w:rPr>
                <w:rFonts w:hint="eastAsia" w:ascii="Times New Roman" w:hAnsi="Times New Roman"/>
                <w:color w:val="auto"/>
                <w:sz w:val="20"/>
                <w:szCs w:val="20"/>
                <w:highlight w:val="none"/>
                <w:lang w:val="en-US" w:eastAsia="zh-CN"/>
              </w:rPr>
              <w:t>，</w:t>
            </w:r>
            <w:r>
              <w:rPr>
                <w:rFonts w:hint="eastAsia"/>
                <w:color w:val="auto"/>
                <w:sz w:val="20"/>
                <w:szCs w:val="20"/>
                <w:highlight w:val="none"/>
              </w:rPr>
              <w:t>对</w:t>
            </w:r>
            <w:r>
              <w:rPr>
                <w:color w:val="auto"/>
                <w:sz w:val="20"/>
                <w:szCs w:val="20"/>
                <w:highlight w:val="none"/>
              </w:rPr>
              <w:t>关键线路</w:t>
            </w:r>
            <w:r>
              <w:rPr>
                <w:rFonts w:hint="eastAsia"/>
                <w:color w:val="auto"/>
                <w:sz w:val="20"/>
                <w:szCs w:val="20"/>
                <w:highlight w:val="none"/>
              </w:rPr>
              <w:t>的分析较</w:t>
            </w:r>
            <w:r>
              <w:rPr>
                <w:color w:val="auto"/>
                <w:sz w:val="20"/>
                <w:szCs w:val="20"/>
                <w:highlight w:val="none"/>
              </w:rPr>
              <w:t>清晰、准确，</w:t>
            </w:r>
            <w:r>
              <w:rPr>
                <w:rFonts w:hint="eastAsia" w:ascii="宋体" w:hAnsi="宋体" w:cs="宋体"/>
                <w:color w:val="auto"/>
                <w:sz w:val="20"/>
                <w:szCs w:val="20"/>
                <w:highlight w:val="none"/>
              </w:rPr>
              <w:t>施工工期</w:t>
            </w:r>
            <w:r>
              <w:rPr>
                <w:rFonts w:hint="eastAsia"/>
                <w:color w:val="auto"/>
                <w:sz w:val="20"/>
                <w:szCs w:val="20"/>
                <w:highlight w:val="none"/>
              </w:rPr>
              <w:t>保证</w:t>
            </w:r>
            <w:r>
              <w:rPr>
                <w:color w:val="auto"/>
                <w:sz w:val="20"/>
                <w:szCs w:val="20"/>
                <w:highlight w:val="none"/>
              </w:rPr>
              <w:t>措施</w:t>
            </w:r>
            <w:r>
              <w:rPr>
                <w:rFonts w:hint="eastAsia"/>
                <w:color w:val="auto"/>
                <w:sz w:val="20"/>
                <w:szCs w:val="20"/>
                <w:highlight w:val="none"/>
                <w:lang w:val="en-US" w:eastAsia="zh-CN"/>
              </w:rPr>
              <w:t>针对性一般</w:t>
            </w:r>
            <w:r>
              <w:rPr>
                <w:rFonts w:hint="eastAsia" w:ascii="宋体" w:hAnsi="宋体" w:cs="宋体"/>
                <w:color w:val="auto"/>
                <w:sz w:val="20"/>
                <w:szCs w:val="20"/>
                <w:highlight w:val="none"/>
              </w:rPr>
              <w:t>，</w:t>
            </w:r>
            <w:r>
              <w:rPr>
                <w:rFonts w:hint="eastAsia" w:cs="宋体"/>
                <w:color w:val="auto"/>
                <w:sz w:val="20"/>
                <w:szCs w:val="20"/>
                <w:highlight w:val="none"/>
                <w:lang w:val="en-US" w:eastAsia="zh-CN"/>
              </w:rPr>
              <w:t>加2.5</w:t>
            </w:r>
            <w:r>
              <w:rPr>
                <w:rFonts w:hint="eastAsia" w:ascii="宋体" w:hAnsi="宋体" w:cs="宋体"/>
                <w:color w:val="auto"/>
                <w:sz w:val="20"/>
                <w:szCs w:val="20"/>
                <w:highlight w:val="none"/>
              </w:rPr>
              <w:t>分；</w:t>
            </w:r>
          </w:p>
          <w:p>
            <w:pPr>
              <w:keepNext w:val="0"/>
              <w:keepLines w:val="0"/>
              <w:pageBreakBefore w:val="0"/>
              <w:widowControl w:val="0"/>
              <w:tabs>
                <w:tab w:val="left" w:pos="360"/>
                <w:tab w:val="left" w:pos="3570"/>
              </w:tabs>
              <w:kinsoku/>
              <w:wordWrap/>
              <w:overflowPunct/>
              <w:topLinePunct w:val="0"/>
              <w:autoSpaceDE/>
              <w:autoSpaceDN/>
              <w:bidi w:val="0"/>
              <w:adjustRightInd/>
              <w:snapToGrid w:val="0"/>
              <w:spacing w:line="264" w:lineRule="auto"/>
              <w:textAlignment w:val="auto"/>
              <w:rPr>
                <w:rFonts w:hint="eastAsia" w:ascii="宋体" w:hAnsi="宋体" w:cs="宋体"/>
                <w:color w:val="auto"/>
                <w:sz w:val="20"/>
                <w:szCs w:val="20"/>
                <w:highlight w:val="none"/>
              </w:rPr>
            </w:pPr>
            <w:r>
              <w:rPr>
                <w:rFonts w:hint="eastAsia" w:ascii="宋体" w:hAnsi="宋体" w:cs="宋体"/>
                <w:b/>
                <w:color w:val="auto"/>
                <w:sz w:val="20"/>
                <w:szCs w:val="20"/>
                <w:highlight w:val="none"/>
              </w:rPr>
              <w:t>中：</w:t>
            </w:r>
            <w:r>
              <w:rPr>
                <w:rFonts w:hint="eastAsia"/>
                <w:color w:val="auto"/>
                <w:sz w:val="20"/>
                <w:szCs w:val="20"/>
                <w:highlight w:val="none"/>
              </w:rPr>
              <w:t>施工进度计划</w:t>
            </w:r>
            <w:r>
              <w:rPr>
                <w:rFonts w:hint="eastAsia" w:ascii="Times New Roman" w:hAnsi="Times New Roman"/>
                <w:color w:val="auto"/>
                <w:sz w:val="20"/>
                <w:szCs w:val="20"/>
                <w:highlight w:val="none"/>
                <w:lang w:val="en-US" w:eastAsia="zh-CN"/>
              </w:rPr>
              <w:t>较差，</w:t>
            </w:r>
            <w:r>
              <w:rPr>
                <w:color w:val="auto"/>
                <w:sz w:val="20"/>
                <w:szCs w:val="20"/>
                <w:highlight w:val="none"/>
              </w:rPr>
              <w:t>对项目工期需求</w:t>
            </w:r>
            <w:r>
              <w:rPr>
                <w:rFonts w:hint="eastAsia"/>
                <w:color w:val="auto"/>
                <w:sz w:val="20"/>
                <w:szCs w:val="20"/>
                <w:highlight w:val="none"/>
              </w:rPr>
              <w:t>理解</w:t>
            </w:r>
            <w:r>
              <w:rPr>
                <w:rFonts w:hint="eastAsia"/>
                <w:color w:val="auto"/>
                <w:sz w:val="20"/>
                <w:szCs w:val="20"/>
                <w:highlight w:val="none"/>
                <w:lang w:val="en-US" w:eastAsia="zh-CN"/>
              </w:rPr>
              <w:t>较差</w:t>
            </w:r>
            <w:r>
              <w:rPr>
                <w:rFonts w:hint="eastAsia" w:ascii="Times New Roman" w:hAnsi="Times New Roman"/>
                <w:color w:val="auto"/>
                <w:sz w:val="20"/>
                <w:szCs w:val="20"/>
                <w:highlight w:val="none"/>
                <w:lang w:val="en-US" w:eastAsia="zh-CN"/>
              </w:rPr>
              <w:t>，</w:t>
            </w:r>
            <w:r>
              <w:rPr>
                <w:rFonts w:hint="eastAsia"/>
                <w:color w:val="auto"/>
                <w:sz w:val="20"/>
                <w:szCs w:val="20"/>
                <w:highlight w:val="none"/>
              </w:rPr>
              <w:t>对</w:t>
            </w:r>
            <w:r>
              <w:rPr>
                <w:color w:val="auto"/>
                <w:sz w:val="20"/>
                <w:szCs w:val="20"/>
                <w:highlight w:val="none"/>
              </w:rPr>
              <w:t>关键线路</w:t>
            </w:r>
            <w:r>
              <w:rPr>
                <w:rFonts w:hint="eastAsia"/>
                <w:color w:val="auto"/>
                <w:sz w:val="20"/>
                <w:szCs w:val="20"/>
                <w:highlight w:val="none"/>
              </w:rPr>
              <w:t>的分析</w:t>
            </w:r>
            <w:r>
              <w:rPr>
                <w:rFonts w:hint="eastAsia"/>
                <w:color w:val="auto"/>
                <w:sz w:val="20"/>
                <w:szCs w:val="20"/>
                <w:highlight w:val="none"/>
                <w:lang w:val="en-US" w:eastAsia="zh-CN"/>
              </w:rPr>
              <w:t>不清晰</w:t>
            </w:r>
            <w:r>
              <w:rPr>
                <w:color w:val="auto"/>
                <w:sz w:val="20"/>
                <w:szCs w:val="20"/>
                <w:highlight w:val="none"/>
              </w:rPr>
              <w:t>，</w:t>
            </w:r>
            <w:r>
              <w:rPr>
                <w:rFonts w:hint="eastAsia" w:ascii="宋体" w:hAnsi="宋体" w:cs="宋体"/>
                <w:color w:val="auto"/>
                <w:sz w:val="20"/>
                <w:szCs w:val="20"/>
                <w:highlight w:val="none"/>
              </w:rPr>
              <w:t>施工工期</w:t>
            </w:r>
            <w:r>
              <w:rPr>
                <w:rFonts w:hint="eastAsia"/>
                <w:color w:val="auto"/>
                <w:sz w:val="20"/>
                <w:szCs w:val="20"/>
                <w:highlight w:val="none"/>
              </w:rPr>
              <w:t>保证</w:t>
            </w:r>
            <w:r>
              <w:rPr>
                <w:color w:val="auto"/>
                <w:sz w:val="20"/>
                <w:szCs w:val="20"/>
                <w:highlight w:val="none"/>
              </w:rPr>
              <w:t>措施</w:t>
            </w:r>
            <w:r>
              <w:rPr>
                <w:rFonts w:hint="eastAsia"/>
                <w:color w:val="auto"/>
                <w:sz w:val="20"/>
                <w:szCs w:val="20"/>
                <w:highlight w:val="none"/>
                <w:lang w:val="en-US" w:eastAsia="zh-CN"/>
              </w:rPr>
              <w:t>针对性较差</w:t>
            </w:r>
            <w:r>
              <w:rPr>
                <w:rFonts w:hint="eastAsia" w:ascii="宋体" w:hAnsi="宋体" w:cs="宋体"/>
                <w:color w:val="auto"/>
                <w:sz w:val="20"/>
                <w:szCs w:val="20"/>
                <w:highlight w:val="none"/>
              </w:rPr>
              <w:t>，</w:t>
            </w:r>
            <w:r>
              <w:rPr>
                <w:rFonts w:hint="eastAsia" w:cs="宋体"/>
                <w:color w:val="auto"/>
                <w:sz w:val="20"/>
                <w:szCs w:val="20"/>
                <w:highlight w:val="none"/>
                <w:lang w:val="en-US" w:eastAsia="zh-CN"/>
              </w:rPr>
              <w:t>加1.5</w:t>
            </w:r>
            <w:r>
              <w:rPr>
                <w:rFonts w:hint="eastAsia" w:ascii="宋体" w:hAnsi="宋体" w:cs="宋体"/>
                <w:color w:val="auto"/>
                <w:sz w:val="20"/>
                <w:szCs w:val="20"/>
                <w:highlight w:val="none"/>
              </w:rPr>
              <w:t>分；</w:t>
            </w:r>
          </w:p>
          <w:p>
            <w:pPr>
              <w:pStyle w:val="11"/>
              <w:keepNext w:val="0"/>
              <w:keepLines w:val="0"/>
              <w:pageBreakBefore w:val="0"/>
              <w:widowControl w:val="0"/>
              <w:tabs>
                <w:tab w:val="left" w:pos="3570"/>
              </w:tabs>
              <w:kinsoku/>
              <w:wordWrap/>
              <w:overflowPunct/>
              <w:topLinePunct w:val="0"/>
              <w:autoSpaceDE/>
              <w:autoSpaceDN/>
              <w:bidi w:val="0"/>
              <w:adjustRightInd/>
              <w:spacing w:line="264" w:lineRule="auto"/>
              <w:jc w:val="left"/>
              <w:textAlignment w:val="auto"/>
              <w:rPr>
                <w:rFonts w:hint="eastAsia" w:ascii="宋体" w:hAnsi="宋体" w:cs="宋体"/>
                <w:b w:val="0"/>
                <w:bCs/>
                <w:color w:val="auto"/>
                <w:sz w:val="20"/>
                <w:szCs w:val="20"/>
                <w:highlight w:val="none"/>
              </w:rPr>
            </w:pPr>
            <w:r>
              <w:rPr>
                <w:rFonts w:hint="eastAsia" w:ascii="宋体" w:hAnsi="宋体" w:cs="宋体"/>
                <w:b/>
                <w:color w:val="auto"/>
                <w:sz w:val="20"/>
                <w:szCs w:val="20"/>
                <w:highlight w:val="none"/>
              </w:rPr>
              <w:t>差：</w:t>
            </w:r>
            <w:r>
              <w:rPr>
                <w:rFonts w:hint="eastAsia" w:hAnsi="宋体" w:cs="宋体"/>
                <w:b w:val="0"/>
                <w:bCs/>
                <w:color w:val="auto"/>
                <w:sz w:val="20"/>
                <w:szCs w:val="20"/>
                <w:highlight w:val="none"/>
                <w:lang w:val="en-US" w:eastAsia="zh-CN"/>
              </w:rPr>
              <w:t>没有提供第</w:t>
            </w:r>
            <w:r>
              <w:rPr>
                <w:rFonts w:hint="eastAsia" w:ascii="宋体" w:hAnsi="宋体" w:cs="宋体"/>
                <w:b w:val="0"/>
                <w:bCs/>
                <w:color w:val="auto"/>
                <w:sz w:val="20"/>
                <w:szCs w:val="20"/>
                <w:highlight w:val="none"/>
              </w:rPr>
              <w:t>（1）项内容的，不得分。</w:t>
            </w:r>
          </w:p>
          <w:p>
            <w:pPr>
              <w:keepNext w:val="0"/>
              <w:keepLines w:val="0"/>
              <w:pageBreakBefore w:val="0"/>
              <w:widowControl w:val="0"/>
              <w:tabs>
                <w:tab w:val="left" w:pos="3570"/>
              </w:tabs>
              <w:kinsoku/>
              <w:wordWrap/>
              <w:overflowPunct/>
              <w:topLinePunct w:val="0"/>
              <w:autoSpaceDE/>
              <w:autoSpaceDN/>
              <w:bidi w:val="0"/>
              <w:adjustRightInd/>
              <w:snapToGrid w:val="0"/>
              <w:spacing w:line="264" w:lineRule="auto"/>
              <w:textAlignment w:val="auto"/>
              <w:rPr>
                <w:rFonts w:hint="eastAsia" w:hAnsi="宋体"/>
                <w:color w:val="auto"/>
                <w:sz w:val="20"/>
                <w:szCs w:val="20"/>
                <w:highlight w:val="none"/>
              </w:rPr>
            </w:pPr>
            <w:r>
              <w:rPr>
                <w:rFonts w:hint="eastAsia" w:ascii="宋体" w:hAnsi="宋体" w:cs="宋体"/>
                <w:b w:val="0"/>
                <w:bCs/>
                <w:color w:val="auto"/>
                <w:sz w:val="20"/>
                <w:szCs w:val="20"/>
                <w:highlight w:val="none"/>
              </w:rPr>
              <w:t>本项最高得</w:t>
            </w:r>
            <w:r>
              <w:rPr>
                <w:rFonts w:hint="eastAsia" w:cs="宋体"/>
                <w:b w:val="0"/>
                <w:bCs/>
                <w:color w:val="auto"/>
                <w:sz w:val="20"/>
                <w:szCs w:val="20"/>
                <w:highlight w:val="none"/>
                <w:lang w:val="en-US" w:eastAsia="zh-CN"/>
              </w:rPr>
              <w:t>5</w:t>
            </w:r>
            <w:r>
              <w:rPr>
                <w:rFonts w:hint="eastAsia" w:ascii="宋体" w:hAnsi="宋体" w:cs="宋体"/>
                <w:b w:val="0"/>
                <w:bCs/>
                <w:color w:val="auto"/>
                <w:sz w:val="20"/>
                <w:szCs w:val="20"/>
                <w:highlight w:val="none"/>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FFFFFF"/>
          <w:tblCellMar>
            <w:top w:w="57" w:type="dxa"/>
            <w:left w:w="108" w:type="dxa"/>
            <w:bottom w:w="57" w:type="dxa"/>
            <w:right w:w="108" w:type="dxa"/>
          </w:tblCellMar>
        </w:tblPrEx>
        <w:trPr>
          <w:trHeight w:val="303" w:hRule="atLeast"/>
        </w:trPr>
        <w:tc>
          <w:tcPr>
            <w:tcW w:w="804" w:type="dxa"/>
            <w:vMerge w:val="continue"/>
            <w:shd w:val="clear" w:color="auto" w:fill="FFFFFF"/>
            <w:noWrap w:val="0"/>
            <w:vAlign w:val="center"/>
          </w:tcPr>
          <w:p>
            <w:pPr>
              <w:pStyle w:val="11"/>
              <w:keepNext w:val="0"/>
              <w:keepLines w:val="0"/>
              <w:pageBreakBefore w:val="0"/>
              <w:tabs>
                <w:tab w:val="left" w:pos="3570"/>
              </w:tabs>
              <w:kinsoku/>
              <w:wordWrap/>
              <w:overflowPunct/>
              <w:topLinePunct w:val="0"/>
              <w:bidi w:val="0"/>
              <w:spacing w:line="240" w:lineRule="auto"/>
              <w:jc w:val="left"/>
              <w:textAlignment w:val="auto"/>
              <w:rPr>
                <w:rFonts w:hint="eastAsia" w:hAnsi="宋体"/>
                <w:color w:val="auto"/>
                <w:sz w:val="20"/>
                <w:szCs w:val="20"/>
                <w:highlight w:val="none"/>
              </w:rPr>
            </w:pPr>
          </w:p>
        </w:tc>
        <w:tc>
          <w:tcPr>
            <w:tcW w:w="683" w:type="dxa"/>
            <w:gridSpan w:val="2"/>
            <w:vMerge w:val="continue"/>
            <w:shd w:val="clear" w:color="auto" w:fill="FFFFFF"/>
            <w:noWrap w:val="0"/>
            <w:vAlign w:val="center"/>
          </w:tcPr>
          <w:p>
            <w:pPr>
              <w:pStyle w:val="11"/>
              <w:keepNext w:val="0"/>
              <w:keepLines w:val="0"/>
              <w:pageBreakBefore w:val="0"/>
              <w:tabs>
                <w:tab w:val="left" w:pos="3570"/>
              </w:tabs>
              <w:kinsoku/>
              <w:wordWrap/>
              <w:overflowPunct/>
              <w:topLinePunct w:val="0"/>
              <w:bidi w:val="0"/>
              <w:spacing w:line="240" w:lineRule="auto"/>
              <w:jc w:val="left"/>
              <w:textAlignment w:val="auto"/>
              <w:rPr>
                <w:rFonts w:hint="eastAsia" w:hAnsi="宋体"/>
                <w:color w:val="auto"/>
                <w:sz w:val="20"/>
                <w:szCs w:val="20"/>
                <w:highlight w:val="none"/>
              </w:rPr>
            </w:pPr>
          </w:p>
        </w:tc>
        <w:tc>
          <w:tcPr>
            <w:tcW w:w="1301" w:type="dxa"/>
            <w:shd w:val="clear" w:color="auto" w:fill="FFFFFF"/>
            <w:noWrap w:val="0"/>
            <w:vAlign w:val="center"/>
          </w:tcPr>
          <w:p>
            <w:pPr>
              <w:keepNext w:val="0"/>
              <w:keepLines w:val="0"/>
              <w:pageBreakBefore w:val="0"/>
              <w:widowControl w:val="0"/>
              <w:tabs>
                <w:tab w:val="left" w:pos="360"/>
                <w:tab w:val="left" w:pos="3570"/>
              </w:tabs>
              <w:kinsoku/>
              <w:wordWrap/>
              <w:overflowPunct/>
              <w:topLinePunct w:val="0"/>
              <w:autoSpaceDE/>
              <w:autoSpaceDN/>
              <w:bidi w:val="0"/>
              <w:adjustRightInd/>
              <w:snapToGrid w:val="0"/>
              <w:jc w:val="center"/>
              <w:textAlignment w:val="auto"/>
              <w:rPr>
                <w:rFonts w:hint="eastAsia" w:hAnsi="宋体"/>
                <w:color w:val="auto"/>
                <w:sz w:val="20"/>
                <w:szCs w:val="20"/>
                <w:highlight w:val="none"/>
              </w:rPr>
            </w:pPr>
            <w:r>
              <w:rPr>
                <w:rFonts w:hint="eastAsia" w:hAnsi="宋体"/>
                <w:color w:val="auto"/>
                <w:sz w:val="20"/>
                <w:szCs w:val="20"/>
                <w:highlight w:val="none"/>
              </w:rPr>
              <w:t>质量控制措施</w:t>
            </w:r>
          </w:p>
        </w:tc>
        <w:tc>
          <w:tcPr>
            <w:tcW w:w="819" w:type="dxa"/>
            <w:shd w:val="clear" w:color="auto" w:fill="FFFFFF"/>
            <w:noWrap w:val="0"/>
            <w:vAlign w:val="center"/>
          </w:tcPr>
          <w:p>
            <w:pPr>
              <w:keepNext w:val="0"/>
              <w:keepLines w:val="0"/>
              <w:pageBreakBefore w:val="0"/>
              <w:widowControl w:val="0"/>
              <w:tabs>
                <w:tab w:val="left" w:pos="360"/>
                <w:tab w:val="left" w:pos="3570"/>
              </w:tabs>
              <w:kinsoku/>
              <w:wordWrap/>
              <w:overflowPunct/>
              <w:topLinePunct w:val="0"/>
              <w:autoSpaceDE/>
              <w:autoSpaceDN/>
              <w:bidi w:val="0"/>
              <w:adjustRightInd/>
              <w:snapToGrid w:val="0"/>
              <w:jc w:val="center"/>
              <w:textAlignment w:val="auto"/>
              <w:rPr>
                <w:rFonts w:hint="eastAsia" w:hAnsi="宋体" w:eastAsia="宋体"/>
                <w:color w:val="auto"/>
                <w:sz w:val="20"/>
                <w:szCs w:val="20"/>
                <w:highlight w:val="none"/>
                <w:lang w:val="en-US" w:eastAsia="zh-CN"/>
              </w:rPr>
            </w:pPr>
            <w:r>
              <w:rPr>
                <w:rFonts w:hint="eastAsia" w:cs="宋体"/>
                <w:color w:val="auto"/>
                <w:sz w:val="20"/>
                <w:szCs w:val="20"/>
                <w:highlight w:val="none"/>
                <w:lang w:val="en-US" w:eastAsia="zh-CN"/>
              </w:rPr>
              <w:t>5</w:t>
            </w:r>
          </w:p>
        </w:tc>
        <w:tc>
          <w:tcPr>
            <w:tcW w:w="10977" w:type="dxa"/>
            <w:shd w:val="clear" w:color="auto" w:fill="FFFFFF"/>
            <w:noWrap w:val="0"/>
            <w:vAlign w:val="center"/>
          </w:tcPr>
          <w:p>
            <w:pPr>
              <w:keepNext w:val="0"/>
              <w:keepLines w:val="0"/>
              <w:pageBreakBefore w:val="0"/>
              <w:widowControl w:val="0"/>
              <w:numPr>
                <w:ilvl w:val="0"/>
                <w:numId w:val="5"/>
              </w:numPr>
              <w:tabs>
                <w:tab w:val="left" w:pos="360"/>
                <w:tab w:val="left" w:pos="3570"/>
              </w:tabs>
              <w:kinsoku/>
              <w:wordWrap/>
              <w:overflowPunct/>
              <w:topLinePunct w:val="0"/>
              <w:autoSpaceDE/>
              <w:autoSpaceDN/>
              <w:bidi w:val="0"/>
              <w:adjustRightInd/>
              <w:snapToGrid w:val="0"/>
              <w:spacing w:line="264" w:lineRule="auto"/>
              <w:jc w:val="left"/>
              <w:textAlignment w:val="auto"/>
              <w:rPr>
                <w:rFonts w:hint="eastAsia" w:ascii="宋体" w:hAnsi="宋体" w:cs="宋体"/>
                <w:color w:val="auto"/>
                <w:sz w:val="20"/>
                <w:szCs w:val="20"/>
                <w:highlight w:val="none"/>
              </w:rPr>
            </w:pPr>
            <w:r>
              <w:rPr>
                <w:rFonts w:hint="eastAsia" w:cs="宋体"/>
                <w:color w:val="auto"/>
                <w:sz w:val="20"/>
                <w:szCs w:val="20"/>
                <w:highlight w:val="none"/>
                <w:lang w:val="en-US" w:eastAsia="zh-CN"/>
              </w:rPr>
              <w:t>根据本项目特点有编制质量控制措施的，内容包含质量目标、质量保证体系、装修安装调试质量保证措施、质量通病预防措施、成品保护措施、质量事故应急预案的，得1.5分</w:t>
            </w:r>
            <w:r>
              <w:rPr>
                <w:rFonts w:hint="eastAsia" w:ascii="宋体" w:hAnsi="宋体" w:cs="宋体"/>
                <w:color w:val="auto"/>
                <w:sz w:val="20"/>
                <w:szCs w:val="20"/>
                <w:highlight w:val="none"/>
              </w:rPr>
              <w:t>：</w:t>
            </w:r>
          </w:p>
          <w:p>
            <w:pPr>
              <w:keepNext w:val="0"/>
              <w:keepLines w:val="0"/>
              <w:pageBreakBefore w:val="0"/>
              <w:widowControl w:val="0"/>
              <w:numPr>
                <w:ilvl w:val="0"/>
                <w:numId w:val="5"/>
              </w:numPr>
              <w:tabs>
                <w:tab w:val="left" w:pos="360"/>
                <w:tab w:val="left" w:pos="3570"/>
              </w:tabs>
              <w:kinsoku/>
              <w:wordWrap/>
              <w:overflowPunct/>
              <w:topLinePunct w:val="0"/>
              <w:autoSpaceDE/>
              <w:autoSpaceDN/>
              <w:bidi w:val="0"/>
              <w:adjustRightInd/>
              <w:snapToGrid w:val="0"/>
              <w:spacing w:line="264" w:lineRule="auto"/>
              <w:jc w:val="left"/>
              <w:textAlignment w:val="auto"/>
              <w:rPr>
                <w:rFonts w:hint="eastAsia" w:ascii="宋体" w:hAnsi="宋体" w:cs="宋体"/>
                <w:b/>
                <w:color w:val="auto"/>
                <w:sz w:val="20"/>
                <w:szCs w:val="20"/>
                <w:highlight w:val="none"/>
              </w:rPr>
            </w:pPr>
            <w:r>
              <w:rPr>
                <w:rFonts w:hint="eastAsia"/>
                <w:color w:val="auto"/>
                <w:sz w:val="20"/>
                <w:szCs w:val="20"/>
                <w:highlight w:val="none"/>
                <w:lang w:val="zh-TW"/>
              </w:rPr>
              <w:t>各</w:t>
            </w:r>
            <w:r>
              <w:rPr>
                <w:rFonts w:hint="eastAsia"/>
                <w:color w:val="auto"/>
                <w:sz w:val="20"/>
                <w:szCs w:val="20"/>
                <w:highlight w:val="none"/>
                <w:lang w:val="en-US" w:eastAsia="zh-CN"/>
              </w:rPr>
              <w:t>方案</w:t>
            </w:r>
            <w:r>
              <w:rPr>
                <w:rFonts w:hint="eastAsia"/>
                <w:color w:val="auto"/>
                <w:sz w:val="20"/>
                <w:szCs w:val="20"/>
                <w:highlight w:val="none"/>
                <w:lang w:val="zh-TW"/>
              </w:rPr>
              <w:t>向对比：</w:t>
            </w:r>
          </w:p>
          <w:p>
            <w:pPr>
              <w:keepNext w:val="0"/>
              <w:keepLines w:val="0"/>
              <w:pageBreakBefore w:val="0"/>
              <w:widowControl w:val="0"/>
              <w:tabs>
                <w:tab w:val="left" w:pos="360"/>
                <w:tab w:val="left" w:pos="3570"/>
              </w:tabs>
              <w:kinsoku/>
              <w:wordWrap/>
              <w:overflowPunct/>
              <w:topLinePunct w:val="0"/>
              <w:autoSpaceDE/>
              <w:autoSpaceDN/>
              <w:bidi w:val="0"/>
              <w:adjustRightInd/>
              <w:snapToGrid w:val="0"/>
              <w:spacing w:line="264" w:lineRule="auto"/>
              <w:textAlignment w:val="auto"/>
              <w:rPr>
                <w:rFonts w:hint="eastAsia" w:ascii="宋体" w:hAnsi="宋体" w:cs="宋体"/>
                <w:color w:val="auto"/>
                <w:sz w:val="20"/>
                <w:szCs w:val="20"/>
                <w:highlight w:val="none"/>
              </w:rPr>
            </w:pPr>
            <w:r>
              <w:rPr>
                <w:rFonts w:hint="eastAsia" w:ascii="宋体" w:hAnsi="宋体" w:cs="宋体"/>
                <w:b/>
                <w:color w:val="auto"/>
                <w:sz w:val="20"/>
                <w:szCs w:val="20"/>
                <w:highlight w:val="none"/>
              </w:rPr>
              <w:t>优：</w:t>
            </w:r>
            <w:r>
              <w:rPr>
                <w:rFonts w:hint="eastAsia" w:ascii="宋体" w:hAnsi="宋体" w:cs="宋体"/>
                <w:color w:val="auto"/>
                <w:sz w:val="20"/>
                <w:szCs w:val="20"/>
                <w:highlight w:val="none"/>
              </w:rPr>
              <w:t>质量目标满足或者优于招标文件要求，</w:t>
            </w:r>
            <w:r>
              <w:rPr>
                <w:rFonts w:hint="eastAsia" w:cs="宋体"/>
                <w:color w:val="auto"/>
                <w:sz w:val="20"/>
                <w:szCs w:val="20"/>
                <w:highlight w:val="none"/>
                <w:lang w:val="en-US" w:eastAsia="zh-CN"/>
              </w:rPr>
              <w:t>上述措施内容具体</w:t>
            </w:r>
            <w:r>
              <w:rPr>
                <w:rFonts w:hint="eastAsia"/>
                <w:color w:val="auto"/>
                <w:sz w:val="20"/>
                <w:szCs w:val="20"/>
                <w:highlight w:val="none"/>
                <w:lang w:val="en-US" w:eastAsia="zh-CN"/>
              </w:rPr>
              <w:t>合理，符合项目实际情况</w:t>
            </w:r>
            <w:r>
              <w:rPr>
                <w:rFonts w:hint="eastAsia" w:ascii="宋体" w:hAnsi="宋体" w:cs="宋体"/>
                <w:color w:val="auto"/>
                <w:sz w:val="20"/>
                <w:szCs w:val="20"/>
                <w:highlight w:val="none"/>
              </w:rPr>
              <w:t>，</w:t>
            </w:r>
            <w:r>
              <w:rPr>
                <w:rFonts w:hint="eastAsia" w:cs="宋体"/>
                <w:color w:val="auto"/>
                <w:sz w:val="20"/>
                <w:szCs w:val="20"/>
                <w:highlight w:val="none"/>
                <w:lang w:val="en-US" w:eastAsia="zh-CN"/>
              </w:rPr>
              <w:t>加3.5</w:t>
            </w:r>
            <w:r>
              <w:rPr>
                <w:rFonts w:hint="eastAsia" w:ascii="宋体" w:hAnsi="宋体" w:cs="宋体"/>
                <w:color w:val="auto"/>
                <w:sz w:val="20"/>
                <w:szCs w:val="20"/>
                <w:highlight w:val="none"/>
              </w:rPr>
              <w:t>分；</w:t>
            </w:r>
          </w:p>
          <w:p>
            <w:pPr>
              <w:keepNext w:val="0"/>
              <w:keepLines w:val="0"/>
              <w:pageBreakBefore w:val="0"/>
              <w:widowControl w:val="0"/>
              <w:tabs>
                <w:tab w:val="left" w:pos="360"/>
                <w:tab w:val="left" w:pos="3570"/>
              </w:tabs>
              <w:kinsoku/>
              <w:wordWrap/>
              <w:overflowPunct/>
              <w:topLinePunct w:val="0"/>
              <w:autoSpaceDE/>
              <w:autoSpaceDN/>
              <w:bidi w:val="0"/>
              <w:adjustRightInd/>
              <w:snapToGrid w:val="0"/>
              <w:spacing w:line="264" w:lineRule="auto"/>
              <w:textAlignment w:val="auto"/>
              <w:rPr>
                <w:rFonts w:hint="eastAsia" w:ascii="宋体" w:hAnsi="宋体" w:cs="宋体"/>
                <w:color w:val="auto"/>
                <w:sz w:val="20"/>
                <w:szCs w:val="20"/>
                <w:highlight w:val="none"/>
              </w:rPr>
            </w:pPr>
            <w:r>
              <w:rPr>
                <w:rFonts w:hint="eastAsia" w:ascii="宋体" w:hAnsi="宋体" w:cs="宋体"/>
                <w:b/>
                <w:bCs/>
                <w:color w:val="auto"/>
                <w:sz w:val="20"/>
                <w:szCs w:val="20"/>
                <w:highlight w:val="none"/>
              </w:rPr>
              <w:t>良：</w:t>
            </w:r>
            <w:r>
              <w:rPr>
                <w:rFonts w:hint="eastAsia" w:ascii="宋体" w:hAnsi="宋体" w:cs="宋体"/>
                <w:color w:val="auto"/>
                <w:sz w:val="20"/>
                <w:szCs w:val="20"/>
                <w:highlight w:val="none"/>
              </w:rPr>
              <w:t>质量目标满足或者优于招标文件要求，</w:t>
            </w:r>
            <w:r>
              <w:rPr>
                <w:rFonts w:hint="eastAsia" w:cs="宋体"/>
                <w:color w:val="auto"/>
                <w:sz w:val="20"/>
                <w:szCs w:val="20"/>
                <w:highlight w:val="none"/>
                <w:lang w:val="en-US" w:eastAsia="zh-CN"/>
              </w:rPr>
              <w:t>上述措施内容基本完整，可行性一般</w:t>
            </w:r>
            <w:r>
              <w:rPr>
                <w:rFonts w:hint="eastAsia"/>
                <w:color w:val="auto"/>
                <w:sz w:val="20"/>
                <w:szCs w:val="20"/>
                <w:highlight w:val="none"/>
                <w:lang w:val="en-US" w:eastAsia="zh-CN"/>
              </w:rPr>
              <w:t>，</w:t>
            </w:r>
            <w:r>
              <w:rPr>
                <w:rFonts w:hint="eastAsia" w:cs="宋体"/>
                <w:color w:val="auto"/>
                <w:sz w:val="20"/>
                <w:szCs w:val="20"/>
                <w:highlight w:val="none"/>
                <w:lang w:val="en-US" w:eastAsia="zh-CN"/>
              </w:rPr>
              <w:t>加2.5</w:t>
            </w:r>
            <w:r>
              <w:rPr>
                <w:rFonts w:hint="eastAsia" w:ascii="宋体" w:hAnsi="宋体" w:cs="宋体"/>
                <w:color w:val="auto"/>
                <w:sz w:val="20"/>
                <w:szCs w:val="20"/>
                <w:highlight w:val="none"/>
              </w:rPr>
              <w:t>分；</w:t>
            </w:r>
          </w:p>
          <w:p>
            <w:pPr>
              <w:keepNext w:val="0"/>
              <w:keepLines w:val="0"/>
              <w:pageBreakBefore w:val="0"/>
              <w:widowControl w:val="0"/>
              <w:tabs>
                <w:tab w:val="left" w:pos="360"/>
                <w:tab w:val="left" w:pos="3570"/>
              </w:tabs>
              <w:kinsoku/>
              <w:wordWrap/>
              <w:overflowPunct/>
              <w:topLinePunct w:val="0"/>
              <w:autoSpaceDE/>
              <w:autoSpaceDN/>
              <w:bidi w:val="0"/>
              <w:adjustRightInd/>
              <w:snapToGrid w:val="0"/>
              <w:spacing w:line="264" w:lineRule="auto"/>
              <w:textAlignment w:val="auto"/>
              <w:rPr>
                <w:rFonts w:hint="eastAsia" w:ascii="宋体" w:hAnsi="宋体" w:cs="宋体"/>
                <w:color w:val="auto"/>
                <w:sz w:val="20"/>
                <w:szCs w:val="20"/>
                <w:highlight w:val="none"/>
              </w:rPr>
            </w:pPr>
            <w:r>
              <w:rPr>
                <w:rFonts w:hint="eastAsia" w:ascii="宋体" w:hAnsi="宋体" w:cs="宋体"/>
                <w:b/>
                <w:bCs/>
                <w:color w:val="auto"/>
                <w:sz w:val="20"/>
                <w:szCs w:val="20"/>
                <w:highlight w:val="none"/>
              </w:rPr>
              <w:t>中：</w:t>
            </w:r>
            <w:r>
              <w:rPr>
                <w:rFonts w:hint="eastAsia" w:ascii="宋体" w:hAnsi="宋体" w:cs="宋体"/>
                <w:color w:val="auto"/>
                <w:sz w:val="20"/>
                <w:szCs w:val="20"/>
                <w:highlight w:val="none"/>
              </w:rPr>
              <w:t>质量目标满足招标文件要求，</w:t>
            </w:r>
            <w:r>
              <w:rPr>
                <w:rFonts w:hint="eastAsia" w:cs="宋体"/>
                <w:color w:val="auto"/>
                <w:sz w:val="20"/>
                <w:szCs w:val="20"/>
                <w:highlight w:val="none"/>
                <w:lang w:val="en-US" w:eastAsia="zh-CN"/>
              </w:rPr>
              <w:t>上述措施内容较差，缺乏针对性</w:t>
            </w:r>
            <w:r>
              <w:rPr>
                <w:rFonts w:hint="eastAsia" w:ascii="宋体" w:hAnsi="宋体" w:cs="宋体"/>
                <w:color w:val="auto"/>
                <w:sz w:val="20"/>
                <w:szCs w:val="20"/>
                <w:highlight w:val="none"/>
              </w:rPr>
              <w:t>，</w:t>
            </w:r>
            <w:r>
              <w:rPr>
                <w:rFonts w:hint="eastAsia" w:cs="宋体"/>
                <w:color w:val="auto"/>
                <w:sz w:val="20"/>
                <w:szCs w:val="20"/>
                <w:highlight w:val="none"/>
                <w:lang w:val="en-US" w:eastAsia="zh-CN"/>
              </w:rPr>
              <w:t>加1.5</w:t>
            </w:r>
            <w:r>
              <w:rPr>
                <w:rFonts w:hint="eastAsia" w:ascii="宋体" w:hAnsi="宋体" w:cs="宋体"/>
                <w:color w:val="auto"/>
                <w:sz w:val="20"/>
                <w:szCs w:val="20"/>
                <w:highlight w:val="none"/>
              </w:rPr>
              <w:t>分；</w:t>
            </w:r>
          </w:p>
          <w:p>
            <w:pPr>
              <w:pStyle w:val="11"/>
              <w:keepNext w:val="0"/>
              <w:keepLines w:val="0"/>
              <w:pageBreakBefore w:val="0"/>
              <w:widowControl w:val="0"/>
              <w:tabs>
                <w:tab w:val="left" w:pos="3570"/>
              </w:tabs>
              <w:kinsoku/>
              <w:wordWrap/>
              <w:overflowPunct/>
              <w:topLinePunct w:val="0"/>
              <w:autoSpaceDE/>
              <w:autoSpaceDN/>
              <w:bidi w:val="0"/>
              <w:adjustRightInd/>
              <w:spacing w:line="264" w:lineRule="auto"/>
              <w:jc w:val="left"/>
              <w:textAlignment w:val="auto"/>
              <w:rPr>
                <w:rFonts w:hint="eastAsia" w:ascii="宋体" w:hAnsi="宋体" w:cs="宋体"/>
                <w:b w:val="0"/>
                <w:bCs/>
                <w:color w:val="auto"/>
                <w:sz w:val="20"/>
                <w:szCs w:val="20"/>
                <w:highlight w:val="none"/>
              </w:rPr>
            </w:pPr>
            <w:r>
              <w:rPr>
                <w:rFonts w:hint="eastAsia" w:ascii="宋体" w:hAnsi="宋体" w:cs="宋体"/>
                <w:b/>
                <w:color w:val="auto"/>
                <w:sz w:val="20"/>
                <w:szCs w:val="20"/>
                <w:highlight w:val="none"/>
              </w:rPr>
              <w:t>差：</w:t>
            </w:r>
            <w:r>
              <w:rPr>
                <w:rFonts w:hint="eastAsia" w:hAnsi="宋体" w:cs="宋体"/>
                <w:b w:val="0"/>
                <w:bCs/>
                <w:color w:val="auto"/>
                <w:sz w:val="20"/>
                <w:szCs w:val="20"/>
                <w:highlight w:val="none"/>
                <w:lang w:val="en-US" w:eastAsia="zh-CN"/>
              </w:rPr>
              <w:t>没有提供第</w:t>
            </w:r>
            <w:r>
              <w:rPr>
                <w:rFonts w:hint="eastAsia" w:ascii="宋体" w:hAnsi="宋体" w:cs="宋体"/>
                <w:b w:val="0"/>
                <w:bCs/>
                <w:color w:val="auto"/>
                <w:sz w:val="20"/>
                <w:szCs w:val="20"/>
                <w:highlight w:val="none"/>
              </w:rPr>
              <w:t>（1）项内容的，不得分。</w:t>
            </w:r>
          </w:p>
          <w:p>
            <w:pPr>
              <w:keepNext w:val="0"/>
              <w:keepLines w:val="0"/>
              <w:pageBreakBefore w:val="0"/>
              <w:widowControl w:val="0"/>
              <w:tabs>
                <w:tab w:val="left" w:pos="360"/>
                <w:tab w:val="left" w:pos="3570"/>
              </w:tabs>
              <w:kinsoku/>
              <w:wordWrap/>
              <w:overflowPunct/>
              <w:topLinePunct w:val="0"/>
              <w:autoSpaceDE/>
              <w:autoSpaceDN/>
              <w:bidi w:val="0"/>
              <w:adjustRightInd/>
              <w:snapToGrid w:val="0"/>
              <w:spacing w:line="264" w:lineRule="auto"/>
              <w:textAlignment w:val="auto"/>
              <w:rPr>
                <w:rFonts w:hint="eastAsia" w:hAnsi="宋体"/>
                <w:color w:val="auto"/>
                <w:sz w:val="20"/>
                <w:szCs w:val="20"/>
                <w:highlight w:val="none"/>
              </w:rPr>
            </w:pPr>
            <w:r>
              <w:rPr>
                <w:rFonts w:hint="eastAsia" w:ascii="宋体" w:hAnsi="宋体" w:cs="宋体"/>
                <w:b w:val="0"/>
                <w:bCs/>
                <w:color w:val="auto"/>
                <w:sz w:val="20"/>
                <w:szCs w:val="20"/>
                <w:highlight w:val="none"/>
              </w:rPr>
              <w:t>本项最高得</w:t>
            </w:r>
            <w:r>
              <w:rPr>
                <w:rFonts w:hint="eastAsia" w:cs="宋体"/>
                <w:b w:val="0"/>
                <w:bCs/>
                <w:color w:val="auto"/>
                <w:sz w:val="20"/>
                <w:szCs w:val="20"/>
                <w:highlight w:val="none"/>
                <w:lang w:val="en-US" w:eastAsia="zh-CN"/>
              </w:rPr>
              <w:t>5</w:t>
            </w:r>
            <w:r>
              <w:rPr>
                <w:rFonts w:hint="eastAsia" w:ascii="宋体" w:hAnsi="宋体" w:cs="宋体"/>
                <w:b w:val="0"/>
                <w:bCs/>
                <w:color w:val="auto"/>
                <w:sz w:val="20"/>
                <w:szCs w:val="20"/>
                <w:highlight w:val="none"/>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FFFFFF"/>
          <w:tblCellMar>
            <w:top w:w="57" w:type="dxa"/>
            <w:left w:w="108" w:type="dxa"/>
            <w:bottom w:w="57" w:type="dxa"/>
            <w:right w:w="108" w:type="dxa"/>
          </w:tblCellMar>
        </w:tblPrEx>
        <w:trPr>
          <w:trHeight w:val="1022" w:hRule="atLeast"/>
        </w:trPr>
        <w:tc>
          <w:tcPr>
            <w:tcW w:w="804" w:type="dxa"/>
            <w:vMerge w:val="continue"/>
            <w:shd w:val="clear" w:color="auto" w:fill="FFFFFF"/>
            <w:noWrap w:val="0"/>
            <w:vAlign w:val="center"/>
          </w:tcPr>
          <w:p>
            <w:pPr>
              <w:pStyle w:val="11"/>
              <w:keepNext w:val="0"/>
              <w:keepLines w:val="0"/>
              <w:pageBreakBefore w:val="0"/>
              <w:tabs>
                <w:tab w:val="left" w:pos="3570"/>
              </w:tabs>
              <w:kinsoku/>
              <w:wordWrap/>
              <w:overflowPunct/>
              <w:topLinePunct w:val="0"/>
              <w:bidi w:val="0"/>
              <w:spacing w:line="240" w:lineRule="auto"/>
              <w:jc w:val="left"/>
              <w:textAlignment w:val="auto"/>
              <w:rPr>
                <w:rFonts w:hint="eastAsia" w:hAnsi="宋体"/>
                <w:color w:val="auto"/>
                <w:sz w:val="20"/>
                <w:szCs w:val="20"/>
                <w:highlight w:val="none"/>
              </w:rPr>
            </w:pPr>
          </w:p>
        </w:tc>
        <w:tc>
          <w:tcPr>
            <w:tcW w:w="683" w:type="dxa"/>
            <w:gridSpan w:val="2"/>
            <w:vMerge w:val="continue"/>
            <w:shd w:val="clear" w:color="auto" w:fill="FFFFFF"/>
            <w:noWrap w:val="0"/>
            <w:vAlign w:val="center"/>
          </w:tcPr>
          <w:p>
            <w:pPr>
              <w:pStyle w:val="11"/>
              <w:keepNext w:val="0"/>
              <w:keepLines w:val="0"/>
              <w:pageBreakBefore w:val="0"/>
              <w:tabs>
                <w:tab w:val="left" w:pos="3570"/>
              </w:tabs>
              <w:kinsoku/>
              <w:wordWrap/>
              <w:overflowPunct/>
              <w:topLinePunct w:val="0"/>
              <w:bidi w:val="0"/>
              <w:spacing w:line="240" w:lineRule="auto"/>
              <w:jc w:val="left"/>
              <w:textAlignment w:val="auto"/>
              <w:rPr>
                <w:rFonts w:hint="eastAsia" w:hAnsi="宋体"/>
                <w:color w:val="auto"/>
                <w:sz w:val="20"/>
                <w:szCs w:val="20"/>
                <w:highlight w:val="none"/>
              </w:rPr>
            </w:pPr>
          </w:p>
        </w:tc>
        <w:tc>
          <w:tcPr>
            <w:tcW w:w="1301" w:type="dxa"/>
            <w:shd w:val="clear" w:color="auto" w:fill="FFFFFF"/>
            <w:noWrap w:val="0"/>
            <w:vAlign w:val="center"/>
          </w:tcPr>
          <w:p>
            <w:pPr>
              <w:keepNext w:val="0"/>
              <w:keepLines w:val="0"/>
              <w:pageBreakBefore w:val="0"/>
              <w:widowControl w:val="0"/>
              <w:tabs>
                <w:tab w:val="left" w:pos="360"/>
                <w:tab w:val="left" w:pos="3570"/>
              </w:tabs>
              <w:kinsoku/>
              <w:wordWrap/>
              <w:overflowPunct/>
              <w:topLinePunct w:val="0"/>
              <w:autoSpaceDE/>
              <w:autoSpaceDN/>
              <w:bidi w:val="0"/>
              <w:adjustRightInd/>
              <w:snapToGrid w:val="0"/>
              <w:jc w:val="center"/>
              <w:textAlignment w:val="auto"/>
              <w:rPr>
                <w:rFonts w:hint="eastAsia" w:hAnsi="宋体"/>
                <w:color w:val="auto"/>
                <w:sz w:val="20"/>
                <w:szCs w:val="20"/>
                <w:highlight w:val="none"/>
              </w:rPr>
            </w:pPr>
            <w:r>
              <w:rPr>
                <w:rFonts w:hint="eastAsia" w:ascii="宋体" w:hAnsi="宋体" w:cs="宋体"/>
                <w:color w:val="auto"/>
                <w:sz w:val="20"/>
                <w:szCs w:val="20"/>
                <w:highlight w:val="none"/>
              </w:rPr>
              <w:t>绿色节能控制措施</w:t>
            </w:r>
          </w:p>
        </w:tc>
        <w:tc>
          <w:tcPr>
            <w:tcW w:w="819" w:type="dxa"/>
            <w:shd w:val="clear" w:color="auto" w:fill="FFFFFF"/>
            <w:noWrap w:val="0"/>
            <w:vAlign w:val="center"/>
          </w:tcPr>
          <w:p>
            <w:pPr>
              <w:keepNext w:val="0"/>
              <w:keepLines w:val="0"/>
              <w:pageBreakBefore w:val="0"/>
              <w:widowControl w:val="0"/>
              <w:tabs>
                <w:tab w:val="left" w:pos="360"/>
                <w:tab w:val="left" w:pos="3570"/>
              </w:tabs>
              <w:kinsoku/>
              <w:wordWrap/>
              <w:overflowPunct/>
              <w:topLinePunct w:val="0"/>
              <w:autoSpaceDE/>
              <w:autoSpaceDN/>
              <w:bidi w:val="0"/>
              <w:adjustRightInd/>
              <w:snapToGrid w:val="0"/>
              <w:jc w:val="center"/>
              <w:textAlignment w:val="auto"/>
              <w:rPr>
                <w:rFonts w:hint="eastAsia" w:hAnsi="宋体" w:eastAsia="宋体"/>
                <w:color w:val="auto"/>
                <w:sz w:val="20"/>
                <w:szCs w:val="20"/>
                <w:highlight w:val="none"/>
                <w:lang w:val="en-US" w:eastAsia="zh-CN"/>
              </w:rPr>
            </w:pPr>
            <w:r>
              <w:rPr>
                <w:rFonts w:hint="eastAsia" w:ascii="宋体" w:hAnsi="宋体" w:cs="宋体"/>
                <w:color w:val="auto"/>
                <w:sz w:val="20"/>
                <w:szCs w:val="20"/>
                <w:highlight w:val="none"/>
                <w:lang w:val="en-US" w:eastAsia="zh-CN"/>
              </w:rPr>
              <w:t>5</w:t>
            </w:r>
          </w:p>
        </w:tc>
        <w:tc>
          <w:tcPr>
            <w:tcW w:w="10977" w:type="dxa"/>
            <w:shd w:val="clear" w:color="auto" w:fill="FFFFFF"/>
            <w:noWrap w:val="0"/>
            <w:vAlign w:val="center"/>
          </w:tcPr>
          <w:p>
            <w:pPr>
              <w:keepNext w:val="0"/>
              <w:keepLines w:val="0"/>
              <w:pageBreakBefore w:val="0"/>
              <w:widowControl w:val="0"/>
              <w:numPr>
                <w:ilvl w:val="0"/>
                <w:numId w:val="6"/>
              </w:numPr>
              <w:tabs>
                <w:tab w:val="left" w:pos="360"/>
                <w:tab w:val="left" w:pos="3570"/>
              </w:tabs>
              <w:kinsoku/>
              <w:wordWrap/>
              <w:overflowPunct/>
              <w:topLinePunct w:val="0"/>
              <w:autoSpaceDE/>
              <w:autoSpaceDN/>
              <w:bidi w:val="0"/>
              <w:adjustRightInd/>
              <w:snapToGrid w:val="0"/>
              <w:spacing w:line="264" w:lineRule="auto"/>
              <w:jc w:val="left"/>
              <w:textAlignment w:val="auto"/>
              <w:rPr>
                <w:rFonts w:hint="eastAsia" w:ascii="宋体" w:hAnsi="宋体" w:cs="宋体"/>
                <w:color w:val="auto"/>
                <w:sz w:val="20"/>
                <w:szCs w:val="20"/>
                <w:highlight w:val="none"/>
              </w:rPr>
            </w:pPr>
            <w:r>
              <w:rPr>
                <w:rFonts w:hint="eastAsia" w:cs="宋体"/>
                <w:color w:val="auto"/>
                <w:sz w:val="20"/>
                <w:szCs w:val="20"/>
                <w:highlight w:val="none"/>
                <w:lang w:val="en-US" w:eastAsia="zh-CN"/>
              </w:rPr>
              <w:t>有编制</w:t>
            </w:r>
            <w:r>
              <w:rPr>
                <w:rFonts w:hint="eastAsia" w:ascii="宋体" w:hAnsi="宋体" w:cs="宋体"/>
                <w:color w:val="auto"/>
                <w:sz w:val="20"/>
                <w:szCs w:val="20"/>
                <w:highlight w:val="none"/>
              </w:rPr>
              <w:t>绿色节能控制措施</w:t>
            </w:r>
            <w:r>
              <w:rPr>
                <w:rFonts w:hint="eastAsia" w:cs="宋体"/>
                <w:color w:val="auto"/>
                <w:sz w:val="20"/>
                <w:szCs w:val="20"/>
                <w:highlight w:val="none"/>
                <w:lang w:val="en-US" w:eastAsia="zh-CN"/>
              </w:rPr>
              <w:t>的，有</w:t>
            </w:r>
            <w:r>
              <w:rPr>
                <w:rFonts w:hint="eastAsia" w:ascii="宋体" w:hAnsi="宋体" w:cs="宋体"/>
                <w:color w:val="auto"/>
                <w:sz w:val="20"/>
                <w:szCs w:val="20"/>
                <w:highlight w:val="none"/>
              </w:rPr>
              <w:t>应用</w:t>
            </w:r>
            <w:r>
              <w:rPr>
                <w:rFonts w:hint="eastAsia" w:ascii="宋体" w:hAnsi="宋体" w:cs="宋体"/>
                <w:color w:val="auto"/>
                <w:sz w:val="20"/>
                <w:szCs w:val="20"/>
                <w:highlight w:val="none"/>
                <w:lang w:val="en-US" w:eastAsia="zh-CN"/>
              </w:rPr>
              <w:t>建筑装修相关的</w:t>
            </w:r>
            <w:r>
              <w:rPr>
                <w:rFonts w:hint="eastAsia" w:ascii="宋体" w:hAnsi="宋体" w:cs="宋体"/>
                <w:color w:val="auto"/>
                <w:sz w:val="20"/>
                <w:szCs w:val="20"/>
                <w:highlight w:val="none"/>
              </w:rPr>
              <w:t>新技术、新工艺</w:t>
            </w:r>
            <w:r>
              <w:rPr>
                <w:rFonts w:hint="eastAsia" w:cs="宋体"/>
                <w:color w:val="auto"/>
                <w:sz w:val="20"/>
                <w:szCs w:val="20"/>
                <w:highlight w:val="none"/>
                <w:lang w:eastAsia="zh-CN"/>
              </w:rPr>
              <w:t>，</w:t>
            </w:r>
            <w:r>
              <w:rPr>
                <w:rFonts w:hint="eastAsia" w:cs="宋体"/>
                <w:color w:val="auto"/>
                <w:sz w:val="20"/>
                <w:szCs w:val="20"/>
                <w:highlight w:val="none"/>
                <w:lang w:val="en-US" w:eastAsia="zh-CN"/>
              </w:rPr>
              <w:t>节约资源，达到绿色节能目标，得1.5分</w:t>
            </w:r>
            <w:r>
              <w:rPr>
                <w:rFonts w:hint="eastAsia" w:ascii="宋体" w:hAnsi="宋体" w:cs="宋体"/>
                <w:color w:val="auto"/>
                <w:sz w:val="20"/>
                <w:szCs w:val="20"/>
                <w:highlight w:val="none"/>
              </w:rPr>
              <w:t>：</w:t>
            </w:r>
          </w:p>
          <w:p>
            <w:pPr>
              <w:keepNext w:val="0"/>
              <w:keepLines w:val="0"/>
              <w:pageBreakBefore w:val="0"/>
              <w:widowControl w:val="0"/>
              <w:numPr>
                <w:ilvl w:val="0"/>
                <w:numId w:val="6"/>
              </w:numPr>
              <w:tabs>
                <w:tab w:val="left" w:pos="360"/>
                <w:tab w:val="left" w:pos="3570"/>
              </w:tabs>
              <w:kinsoku/>
              <w:wordWrap/>
              <w:overflowPunct/>
              <w:topLinePunct w:val="0"/>
              <w:autoSpaceDE/>
              <w:autoSpaceDN/>
              <w:bidi w:val="0"/>
              <w:adjustRightInd/>
              <w:snapToGrid w:val="0"/>
              <w:spacing w:line="264" w:lineRule="auto"/>
              <w:jc w:val="left"/>
              <w:textAlignment w:val="auto"/>
              <w:rPr>
                <w:rFonts w:hint="eastAsia" w:ascii="宋体" w:hAnsi="宋体" w:cs="宋体"/>
                <w:b/>
                <w:color w:val="auto"/>
                <w:sz w:val="20"/>
                <w:szCs w:val="20"/>
                <w:highlight w:val="none"/>
              </w:rPr>
            </w:pPr>
            <w:r>
              <w:rPr>
                <w:rFonts w:hint="eastAsia"/>
                <w:color w:val="auto"/>
                <w:sz w:val="20"/>
                <w:szCs w:val="20"/>
                <w:highlight w:val="none"/>
                <w:lang w:val="zh-TW"/>
              </w:rPr>
              <w:t>各</w:t>
            </w:r>
            <w:r>
              <w:rPr>
                <w:rFonts w:hint="eastAsia"/>
                <w:color w:val="auto"/>
                <w:sz w:val="20"/>
                <w:szCs w:val="20"/>
                <w:highlight w:val="none"/>
                <w:lang w:val="en-US" w:eastAsia="zh-CN"/>
              </w:rPr>
              <w:t>方案</w:t>
            </w:r>
            <w:r>
              <w:rPr>
                <w:rFonts w:hint="eastAsia"/>
                <w:color w:val="auto"/>
                <w:sz w:val="20"/>
                <w:szCs w:val="20"/>
                <w:highlight w:val="none"/>
                <w:lang w:val="zh-TW"/>
              </w:rPr>
              <w:t>横向对比：</w:t>
            </w:r>
          </w:p>
          <w:p>
            <w:pPr>
              <w:keepNext w:val="0"/>
              <w:keepLines w:val="0"/>
              <w:pageBreakBefore w:val="0"/>
              <w:widowControl w:val="0"/>
              <w:tabs>
                <w:tab w:val="left" w:pos="360"/>
                <w:tab w:val="left" w:pos="3570"/>
              </w:tabs>
              <w:kinsoku/>
              <w:wordWrap/>
              <w:overflowPunct/>
              <w:topLinePunct w:val="0"/>
              <w:autoSpaceDE/>
              <w:autoSpaceDN/>
              <w:bidi w:val="0"/>
              <w:adjustRightInd/>
              <w:snapToGrid w:val="0"/>
              <w:spacing w:line="264" w:lineRule="auto"/>
              <w:textAlignment w:val="auto"/>
              <w:rPr>
                <w:rFonts w:hint="eastAsia" w:ascii="宋体" w:hAnsi="宋体" w:cs="宋体"/>
                <w:color w:val="auto"/>
                <w:sz w:val="20"/>
                <w:szCs w:val="20"/>
                <w:highlight w:val="none"/>
              </w:rPr>
            </w:pPr>
            <w:r>
              <w:rPr>
                <w:rFonts w:hint="eastAsia" w:ascii="宋体" w:hAnsi="宋体" w:cs="宋体"/>
                <w:b/>
                <w:color w:val="auto"/>
                <w:sz w:val="20"/>
                <w:szCs w:val="20"/>
                <w:highlight w:val="none"/>
              </w:rPr>
              <w:t>优：</w:t>
            </w:r>
            <w:r>
              <w:rPr>
                <w:rFonts w:hint="eastAsia" w:ascii="宋体" w:hAnsi="宋体" w:cs="宋体"/>
                <w:color w:val="auto"/>
                <w:sz w:val="20"/>
                <w:szCs w:val="20"/>
                <w:highlight w:val="none"/>
              </w:rPr>
              <w:t>绿色节能控制措施</w:t>
            </w:r>
            <w:r>
              <w:rPr>
                <w:rFonts w:hint="eastAsia" w:cs="宋体"/>
                <w:color w:val="auto"/>
                <w:sz w:val="20"/>
                <w:szCs w:val="20"/>
                <w:highlight w:val="none"/>
                <w:lang w:val="en-US" w:eastAsia="zh-CN"/>
              </w:rPr>
              <w:t>完善</w:t>
            </w:r>
            <w:r>
              <w:rPr>
                <w:rFonts w:hint="eastAsia" w:ascii="宋体" w:hAnsi="宋体" w:cs="宋体"/>
                <w:color w:val="auto"/>
                <w:sz w:val="20"/>
                <w:szCs w:val="20"/>
                <w:highlight w:val="none"/>
              </w:rPr>
              <w:t>，</w:t>
            </w:r>
            <w:r>
              <w:rPr>
                <w:rFonts w:hint="eastAsia" w:cs="宋体"/>
                <w:color w:val="auto"/>
                <w:sz w:val="20"/>
                <w:szCs w:val="20"/>
                <w:highlight w:val="none"/>
                <w:lang w:val="en-US" w:eastAsia="zh-CN"/>
              </w:rPr>
              <w:t>应用的新技术、新工艺科学可靠，</w:t>
            </w:r>
            <w:r>
              <w:rPr>
                <w:rFonts w:hint="eastAsia" w:ascii="宋体" w:hAnsi="宋体" w:cs="宋体"/>
                <w:color w:val="auto"/>
                <w:sz w:val="20"/>
                <w:szCs w:val="20"/>
                <w:highlight w:val="none"/>
              </w:rPr>
              <w:t>，</w:t>
            </w:r>
            <w:r>
              <w:rPr>
                <w:rFonts w:hint="eastAsia" w:cs="宋体"/>
                <w:color w:val="auto"/>
                <w:sz w:val="20"/>
                <w:szCs w:val="20"/>
                <w:highlight w:val="none"/>
                <w:lang w:val="en-US" w:eastAsia="zh-CN"/>
              </w:rPr>
              <w:t>加3.5</w:t>
            </w:r>
            <w:r>
              <w:rPr>
                <w:rFonts w:hint="eastAsia" w:ascii="宋体" w:hAnsi="宋体" w:cs="宋体"/>
                <w:color w:val="auto"/>
                <w:sz w:val="20"/>
                <w:szCs w:val="20"/>
                <w:highlight w:val="none"/>
              </w:rPr>
              <w:t>分；</w:t>
            </w:r>
          </w:p>
          <w:p>
            <w:pPr>
              <w:keepNext w:val="0"/>
              <w:keepLines w:val="0"/>
              <w:pageBreakBefore w:val="0"/>
              <w:widowControl w:val="0"/>
              <w:tabs>
                <w:tab w:val="left" w:pos="360"/>
                <w:tab w:val="left" w:pos="3570"/>
              </w:tabs>
              <w:kinsoku/>
              <w:wordWrap/>
              <w:overflowPunct/>
              <w:topLinePunct w:val="0"/>
              <w:autoSpaceDE/>
              <w:autoSpaceDN/>
              <w:bidi w:val="0"/>
              <w:adjustRightInd/>
              <w:snapToGrid w:val="0"/>
              <w:spacing w:line="264" w:lineRule="auto"/>
              <w:textAlignment w:val="auto"/>
              <w:rPr>
                <w:rFonts w:hint="eastAsia" w:ascii="宋体" w:hAnsi="宋体" w:cs="宋体"/>
                <w:color w:val="auto"/>
                <w:sz w:val="20"/>
                <w:szCs w:val="20"/>
                <w:highlight w:val="none"/>
              </w:rPr>
            </w:pPr>
            <w:r>
              <w:rPr>
                <w:rFonts w:hint="eastAsia" w:ascii="宋体" w:hAnsi="宋体" w:cs="宋体"/>
                <w:b/>
                <w:color w:val="auto"/>
                <w:sz w:val="20"/>
                <w:szCs w:val="20"/>
                <w:highlight w:val="none"/>
              </w:rPr>
              <w:t>良：</w:t>
            </w:r>
            <w:r>
              <w:rPr>
                <w:rFonts w:hint="eastAsia" w:ascii="宋体" w:hAnsi="宋体" w:cs="宋体"/>
                <w:color w:val="auto"/>
                <w:sz w:val="20"/>
                <w:szCs w:val="20"/>
                <w:highlight w:val="none"/>
              </w:rPr>
              <w:t>绿色节能控制措施</w:t>
            </w:r>
            <w:r>
              <w:rPr>
                <w:rFonts w:hint="eastAsia" w:cs="宋体"/>
                <w:color w:val="auto"/>
                <w:sz w:val="20"/>
                <w:szCs w:val="20"/>
                <w:highlight w:val="none"/>
                <w:lang w:val="en-US" w:eastAsia="zh-CN"/>
              </w:rPr>
              <w:t>一般</w:t>
            </w:r>
            <w:r>
              <w:rPr>
                <w:rFonts w:hint="eastAsia" w:ascii="宋体" w:hAnsi="宋体" w:cs="宋体"/>
                <w:color w:val="auto"/>
                <w:sz w:val="20"/>
                <w:szCs w:val="20"/>
                <w:highlight w:val="none"/>
              </w:rPr>
              <w:t>，</w:t>
            </w:r>
            <w:r>
              <w:rPr>
                <w:rFonts w:hint="eastAsia" w:cs="宋体"/>
                <w:color w:val="auto"/>
                <w:sz w:val="20"/>
                <w:szCs w:val="20"/>
                <w:highlight w:val="none"/>
                <w:lang w:val="en-US" w:eastAsia="zh-CN"/>
              </w:rPr>
              <w:t>应用的新技术、新工艺基本可靠</w:t>
            </w:r>
            <w:r>
              <w:rPr>
                <w:rFonts w:hint="eastAsia" w:ascii="宋体" w:hAnsi="宋体" w:cs="宋体"/>
                <w:color w:val="auto"/>
                <w:sz w:val="20"/>
                <w:szCs w:val="20"/>
                <w:highlight w:val="none"/>
              </w:rPr>
              <w:t>，</w:t>
            </w:r>
            <w:r>
              <w:rPr>
                <w:rFonts w:hint="eastAsia" w:cs="宋体"/>
                <w:color w:val="auto"/>
                <w:sz w:val="20"/>
                <w:szCs w:val="20"/>
                <w:highlight w:val="none"/>
                <w:lang w:val="en-US" w:eastAsia="zh-CN"/>
              </w:rPr>
              <w:t>加2.5</w:t>
            </w:r>
            <w:r>
              <w:rPr>
                <w:rFonts w:hint="eastAsia" w:ascii="宋体" w:hAnsi="宋体" w:cs="宋体"/>
                <w:color w:val="auto"/>
                <w:sz w:val="20"/>
                <w:szCs w:val="20"/>
                <w:highlight w:val="none"/>
              </w:rPr>
              <w:t>分；</w:t>
            </w:r>
          </w:p>
          <w:p>
            <w:pPr>
              <w:keepNext w:val="0"/>
              <w:keepLines w:val="0"/>
              <w:pageBreakBefore w:val="0"/>
              <w:widowControl w:val="0"/>
              <w:tabs>
                <w:tab w:val="left" w:pos="360"/>
                <w:tab w:val="left" w:pos="3570"/>
              </w:tabs>
              <w:kinsoku/>
              <w:wordWrap/>
              <w:overflowPunct/>
              <w:topLinePunct w:val="0"/>
              <w:autoSpaceDE/>
              <w:autoSpaceDN/>
              <w:bidi w:val="0"/>
              <w:adjustRightInd/>
              <w:snapToGrid w:val="0"/>
              <w:spacing w:line="264" w:lineRule="auto"/>
              <w:textAlignment w:val="auto"/>
              <w:rPr>
                <w:rFonts w:ascii="宋体" w:hAnsi="宋体" w:cs="宋体"/>
                <w:color w:val="auto"/>
                <w:sz w:val="20"/>
                <w:szCs w:val="20"/>
                <w:highlight w:val="none"/>
              </w:rPr>
            </w:pPr>
            <w:r>
              <w:rPr>
                <w:rFonts w:hint="eastAsia" w:ascii="宋体" w:hAnsi="宋体" w:cs="宋体"/>
                <w:b/>
                <w:color w:val="auto"/>
                <w:sz w:val="20"/>
                <w:szCs w:val="20"/>
                <w:highlight w:val="none"/>
              </w:rPr>
              <w:t>中：</w:t>
            </w:r>
            <w:r>
              <w:rPr>
                <w:rFonts w:hint="eastAsia" w:ascii="宋体" w:hAnsi="宋体" w:cs="宋体"/>
                <w:color w:val="auto"/>
                <w:sz w:val="20"/>
                <w:szCs w:val="20"/>
                <w:highlight w:val="none"/>
              </w:rPr>
              <w:t>绿色节能控制措施</w:t>
            </w:r>
            <w:r>
              <w:rPr>
                <w:rFonts w:hint="eastAsia" w:cs="宋体"/>
                <w:color w:val="auto"/>
                <w:sz w:val="20"/>
                <w:szCs w:val="20"/>
                <w:highlight w:val="none"/>
                <w:lang w:val="en-US" w:eastAsia="zh-CN"/>
              </w:rPr>
              <w:t>较差</w:t>
            </w:r>
            <w:r>
              <w:rPr>
                <w:rFonts w:hint="eastAsia" w:ascii="宋体" w:hAnsi="宋体" w:cs="宋体"/>
                <w:color w:val="auto"/>
                <w:sz w:val="20"/>
                <w:szCs w:val="20"/>
                <w:highlight w:val="none"/>
              </w:rPr>
              <w:t>，</w:t>
            </w:r>
            <w:r>
              <w:rPr>
                <w:rFonts w:hint="eastAsia" w:cs="宋体"/>
                <w:color w:val="auto"/>
                <w:sz w:val="20"/>
                <w:szCs w:val="20"/>
                <w:highlight w:val="none"/>
                <w:lang w:val="en-US" w:eastAsia="zh-CN"/>
              </w:rPr>
              <w:t>应用的新技术、新工艺适用性较差</w:t>
            </w:r>
            <w:r>
              <w:rPr>
                <w:rFonts w:hint="eastAsia" w:ascii="宋体" w:hAnsi="宋体" w:cs="宋体"/>
                <w:color w:val="auto"/>
                <w:sz w:val="20"/>
                <w:szCs w:val="20"/>
                <w:highlight w:val="none"/>
              </w:rPr>
              <w:t>，</w:t>
            </w:r>
            <w:r>
              <w:rPr>
                <w:rFonts w:hint="eastAsia" w:cs="宋体"/>
                <w:color w:val="auto"/>
                <w:sz w:val="20"/>
                <w:szCs w:val="20"/>
                <w:highlight w:val="none"/>
                <w:lang w:val="en-US" w:eastAsia="zh-CN"/>
              </w:rPr>
              <w:t>加1.5</w:t>
            </w:r>
            <w:r>
              <w:rPr>
                <w:rFonts w:hint="eastAsia" w:ascii="宋体" w:hAnsi="宋体" w:cs="宋体"/>
                <w:color w:val="auto"/>
                <w:sz w:val="20"/>
                <w:szCs w:val="20"/>
                <w:highlight w:val="none"/>
              </w:rPr>
              <w:t>分。</w:t>
            </w:r>
          </w:p>
          <w:p>
            <w:pPr>
              <w:pStyle w:val="11"/>
              <w:keepNext w:val="0"/>
              <w:keepLines w:val="0"/>
              <w:pageBreakBefore w:val="0"/>
              <w:widowControl w:val="0"/>
              <w:tabs>
                <w:tab w:val="left" w:pos="3570"/>
              </w:tabs>
              <w:kinsoku/>
              <w:wordWrap/>
              <w:overflowPunct/>
              <w:topLinePunct w:val="0"/>
              <w:autoSpaceDE/>
              <w:autoSpaceDN/>
              <w:bidi w:val="0"/>
              <w:adjustRightInd/>
              <w:spacing w:line="264" w:lineRule="auto"/>
              <w:jc w:val="left"/>
              <w:textAlignment w:val="auto"/>
              <w:rPr>
                <w:rFonts w:hint="eastAsia" w:ascii="宋体" w:hAnsi="宋体" w:cs="宋体"/>
                <w:b w:val="0"/>
                <w:bCs/>
                <w:color w:val="auto"/>
                <w:sz w:val="20"/>
                <w:szCs w:val="20"/>
                <w:highlight w:val="none"/>
              </w:rPr>
            </w:pPr>
            <w:r>
              <w:rPr>
                <w:rFonts w:hint="eastAsia" w:ascii="宋体" w:hAnsi="宋体" w:cs="宋体"/>
                <w:b/>
                <w:color w:val="auto"/>
                <w:sz w:val="20"/>
                <w:szCs w:val="20"/>
                <w:highlight w:val="none"/>
              </w:rPr>
              <w:t>差：</w:t>
            </w:r>
            <w:r>
              <w:rPr>
                <w:rFonts w:hint="eastAsia" w:hAnsi="宋体" w:cs="宋体"/>
                <w:b w:val="0"/>
                <w:bCs/>
                <w:color w:val="auto"/>
                <w:sz w:val="20"/>
                <w:szCs w:val="20"/>
                <w:highlight w:val="none"/>
                <w:lang w:val="en-US" w:eastAsia="zh-CN"/>
              </w:rPr>
              <w:t>没有提供第</w:t>
            </w:r>
            <w:r>
              <w:rPr>
                <w:rFonts w:hint="eastAsia" w:ascii="宋体" w:hAnsi="宋体" w:cs="宋体"/>
                <w:b w:val="0"/>
                <w:bCs/>
                <w:color w:val="auto"/>
                <w:sz w:val="20"/>
                <w:szCs w:val="20"/>
                <w:highlight w:val="none"/>
              </w:rPr>
              <w:t>（1）项内容的，不得分。</w:t>
            </w:r>
          </w:p>
          <w:p>
            <w:pPr>
              <w:keepNext w:val="0"/>
              <w:keepLines w:val="0"/>
              <w:pageBreakBefore w:val="0"/>
              <w:widowControl w:val="0"/>
              <w:tabs>
                <w:tab w:val="left" w:pos="360"/>
                <w:tab w:val="left" w:pos="3570"/>
              </w:tabs>
              <w:kinsoku/>
              <w:wordWrap/>
              <w:overflowPunct/>
              <w:topLinePunct w:val="0"/>
              <w:autoSpaceDE/>
              <w:autoSpaceDN/>
              <w:bidi w:val="0"/>
              <w:adjustRightInd/>
              <w:snapToGrid w:val="0"/>
              <w:spacing w:line="264" w:lineRule="auto"/>
              <w:textAlignment w:val="auto"/>
              <w:rPr>
                <w:rFonts w:hint="eastAsia" w:hAnsi="宋体"/>
                <w:color w:val="auto"/>
                <w:sz w:val="20"/>
                <w:szCs w:val="20"/>
                <w:highlight w:val="none"/>
              </w:rPr>
            </w:pPr>
            <w:r>
              <w:rPr>
                <w:rFonts w:hint="eastAsia" w:ascii="宋体" w:hAnsi="宋体" w:cs="宋体"/>
                <w:b w:val="0"/>
                <w:bCs/>
                <w:color w:val="auto"/>
                <w:sz w:val="20"/>
                <w:szCs w:val="20"/>
                <w:highlight w:val="none"/>
              </w:rPr>
              <w:t>本项最高得</w:t>
            </w:r>
            <w:r>
              <w:rPr>
                <w:rFonts w:hint="eastAsia" w:cs="宋体"/>
                <w:b w:val="0"/>
                <w:bCs/>
                <w:color w:val="auto"/>
                <w:sz w:val="20"/>
                <w:szCs w:val="20"/>
                <w:highlight w:val="none"/>
                <w:lang w:val="en-US" w:eastAsia="zh-CN"/>
              </w:rPr>
              <w:t>5</w:t>
            </w:r>
            <w:r>
              <w:rPr>
                <w:rFonts w:hint="eastAsia" w:ascii="宋体" w:hAnsi="宋体" w:cs="宋体"/>
                <w:b w:val="0"/>
                <w:bCs/>
                <w:color w:val="auto"/>
                <w:sz w:val="20"/>
                <w:szCs w:val="20"/>
                <w:highlight w:val="none"/>
              </w:rPr>
              <w:t>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6001" w:hRule="atLeast"/>
        </w:trPr>
        <w:tc>
          <w:tcPr>
            <w:tcW w:w="804" w:type="dxa"/>
            <w:shd w:val="clear" w:color="auto" w:fill="FFFFFF"/>
            <w:noWrap w:val="0"/>
            <w:vAlign w:val="center"/>
          </w:tcPr>
          <w:p>
            <w:pPr>
              <w:keepNext w:val="0"/>
              <w:keepLines w:val="0"/>
              <w:pageBreakBefore w:val="0"/>
              <w:tabs>
                <w:tab w:val="left" w:pos="3570"/>
              </w:tabs>
              <w:kinsoku/>
              <w:wordWrap/>
              <w:overflowPunct/>
              <w:topLinePunct w:val="0"/>
              <w:bidi w:val="0"/>
              <w:spacing w:line="240" w:lineRule="auto"/>
              <w:ind w:left="-57" w:leftChars="-27" w:right="-50" w:rightChars="-24"/>
              <w:jc w:val="center"/>
              <w:textAlignment w:val="auto"/>
              <w:rPr>
                <w:rFonts w:hint="eastAsia" w:ascii="宋体" w:hAnsi="宋体" w:eastAsia="宋体"/>
                <w:color w:val="auto"/>
                <w:kern w:val="0"/>
                <w:sz w:val="20"/>
                <w:szCs w:val="20"/>
                <w:highlight w:val="none"/>
                <w:lang w:val="en-US" w:eastAsia="zh-CN"/>
              </w:rPr>
            </w:pPr>
            <w:r>
              <w:rPr>
                <w:rFonts w:hint="eastAsia"/>
                <w:color w:val="auto"/>
                <w:kern w:val="0"/>
                <w:sz w:val="20"/>
                <w:szCs w:val="20"/>
                <w:highlight w:val="none"/>
                <w:lang w:val="en-US" w:eastAsia="zh-CN"/>
              </w:rPr>
              <w:t>二</w:t>
            </w:r>
          </w:p>
        </w:tc>
        <w:tc>
          <w:tcPr>
            <w:tcW w:w="1984" w:type="dxa"/>
            <w:gridSpan w:val="3"/>
            <w:shd w:val="clear" w:color="auto" w:fill="FFFFFF"/>
            <w:noWrap w:val="0"/>
            <w:vAlign w:val="center"/>
          </w:tcPr>
          <w:p>
            <w:pPr>
              <w:keepNext w:val="0"/>
              <w:keepLines w:val="0"/>
              <w:pageBreakBefore w:val="0"/>
              <w:tabs>
                <w:tab w:val="left" w:pos="3570"/>
              </w:tabs>
              <w:kinsoku/>
              <w:wordWrap/>
              <w:overflowPunct/>
              <w:topLinePunct w:val="0"/>
              <w:bidi w:val="0"/>
              <w:spacing w:line="240" w:lineRule="auto"/>
              <w:ind w:left="-57" w:leftChars="-27" w:right="-50" w:rightChars="-24"/>
              <w:jc w:val="center"/>
              <w:textAlignment w:val="auto"/>
              <w:rPr>
                <w:rFonts w:hint="eastAsia" w:ascii="宋体" w:hAnsi="宋体"/>
                <w:color w:val="auto"/>
                <w:kern w:val="0"/>
                <w:sz w:val="20"/>
                <w:szCs w:val="20"/>
                <w:highlight w:val="none"/>
                <w:lang w:val="zh-CN"/>
              </w:rPr>
            </w:pPr>
            <w:r>
              <w:rPr>
                <w:rFonts w:hint="eastAsia" w:ascii="宋体" w:hAnsi="宋体"/>
                <w:color w:val="auto"/>
                <w:kern w:val="0"/>
                <w:sz w:val="20"/>
                <w:szCs w:val="20"/>
                <w:highlight w:val="none"/>
                <w:lang w:val="zh-CN"/>
              </w:rPr>
              <w:t>项目管理机构</w:t>
            </w:r>
            <w:r>
              <w:rPr>
                <w:rFonts w:hint="eastAsia" w:ascii="宋体" w:hAnsi="宋体"/>
                <w:color w:val="auto"/>
                <w:kern w:val="0"/>
                <w:sz w:val="20"/>
                <w:szCs w:val="20"/>
                <w:highlight w:val="none"/>
                <w:lang w:val="en-US" w:eastAsia="zh-CN"/>
              </w:rPr>
              <w:t>(40分）</w:t>
            </w:r>
          </w:p>
        </w:tc>
        <w:tc>
          <w:tcPr>
            <w:tcW w:w="819" w:type="dxa"/>
            <w:shd w:val="clear" w:color="auto" w:fill="FFFFFF"/>
            <w:noWrap w:val="0"/>
            <w:vAlign w:val="center"/>
          </w:tcPr>
          <w:p>
            <w:pPr>
              <w:pStyle w:val="11"/>
              <w:keepNext w:val="0"/>
              <w:keepLines w:val="0"/>
              <w:pageBreakBefore w:val="0"/>
              <w:tabs>
                <w:tab w:val="left" w:pos="3570"/>
              </w:tabs>
              <w:kinsoku/>
              <w:wordWrap/>
              <w:overflowPunct/>
              <w:topLinePunct w:val="0"/>
              <w:bidi w:val="0"/>
              <w:spacing w:line="240" w:lineRule="auto"/>
              <w:jc w:val="center"/>
              <w:textAlignment w:val="auto"/>
              <w:rPr>
                <w:rFonts w:hint="default" w:ascii="宋体" w:hAnsi="宋体" w:eastAsia="宋体" w:cs="宋体"/>
                <w:color w:val="auto"/>
                <w:sz w:val="20"/>
                <w:szCs w:val="20"/>
                <w:highlight w:val="none"/>
                <w:lang w:val="en-US" w:eastAsia="zh-CN"/>
              </w:rPr>
            </w:pPr>
            <w:r>
              <w:rPr>
                <w:rFonts w:hint="eastAsia" w:hAnsi="宋体" w:cs="宋体"/>
                <w:color w:val="auto"/>
                <w:sz w:val="20"/>
                <w:szCs w:val="20"/>
                <w:highlight w:val="none"/>
                <w:lang w:val="en-US" w:eastAsia="zh-CN"/>
              </w:rPr>
              <w:t>40</w:t>
            </w:r>
          </w:p>
        </w:tc>
        <w:tc>
          <w:tcPr>
            <w:tcW w:w="10977" w:type="dxa"/>
            <w:shd w:val="clear" w:color="auto" w:fill="FFFFFF"/>
            <w:noWrap w:val="0"/>
            <w:vAlign w:val="center"/>
          </w:tcPr>
          <w:p>
            <w:pPr>
              <w:keepNext w:val="0"/>
              <w:keepLines w:val="0"/>
              <w:pageBreakBefore w:val="0"/>
              <w:tabs>
                <w:tab w:val="left" w:pos="521"/>
                <w:tab w:val="left" w:pos="3570"/>
              </w:tabs>
              <w:kinsoku/>
              <w:wordWrap/>
              <w:overflowPunct/>
              <w:topLinePunct w:val="0"/>
              <w:bidi w:val="0"/>
              <w:adjustRightInd w:val="0"/>
              <w:spacing w:line="288" w:lineRule="auto"/>
              <w:jc w:val="left"/>
              <w:textAlignment w:val="auto"/>
              <w:rPr>
                <w:rFonts w:hint="eastAsia" w:ascii="宋体" w:hAnsi="宋体" w:eastAsia="宋体" w:cs="宋体"/>
                <w:color w:val="auto"/>
                <w:sz w:val="20"/>
                <w:szCs w:val="20"/>
                <w:highlight w:val="none"/>
              </w:rPr>
            </w:pPr>
            <w:r>
              <w:rPr>
                <w:rFonts w:hint="eastAsia" w:hAnsi="宋体" w:cs="宋体"/>
                <w:color w:val="auto"/>
                <w:kern w:val="2"/>
                <w:sz w:val="20"/>
                <w:szCs w:val="20"/>
                <w:highlight w:val="none"/>
              </w:rPr>
              <w:t>投标人项目管理团队配置人员完全满足</w:t>
            </w:r>
            <w:r>
              <w:rPr>
                <w:rFonts w:hint="eastAsia" w:ascii="宋体" w:hAnsi="宋体" w:eastAsia="宋体" w:cs="宋体"/>
                <w:color w:val="auto"/>
                <w:sz w:val="20"/>
                <w:szCs w:val="20"/>
                <w:highlight w:val="none"/>
              </w:rPr>
              <w:t>或优于</w:t>
            </w:r>
            <w:r>
              <w:rPr>
                <w:rFonts w:hint="eastAsia" w:hAnsi="宋体" w:cs="宋体"/>
                <w:color w:val="auto"/>
                <w:kern w:val="2"/>
                <w:sz w:val="20"/>
                <w:szCs w:val="20"/>
                <w:highlight w:val="none"/>
              </w:rPr>
              <w:t>招标文</w:t>
            </w:r>
            <w:r>
              <w:rPr>
                <w:rFonts w:hint="eastAsia" w:hAnsi="宋体" w:eastAsia="宋体" w:cs="宋体"/>
                <w:color w:val="auto"/>
                <w:kern w:val="2"/>
                <w:sz w:val="20"/>
                <w:szCs w:val="20"/>
                <w:highlight w:val="none"/>
              </w:rPr>
              <w:t>件附表四</w:t>
            </w:r>
            <w:r>
              <w:rPr>
                <w:rFonts w:hint="eastAsia" w:hAnsi="宋体" w:eastAsia="宋体" w:cs="宋体"/>
                <w:color w:val="auto"/>
                <w:kern w:val="2"/>
                <w:sz w:val="20"/>
                <w:szCs w:val="20"/>
                <w:highlight w:val="none"/>
                <w:lang w:val="en-US" w:eastAsia="zh-CN"/>
              </w:rPr>
              <w:t>附件</w:t>
            </w:r>
            <w:r>
              <w:rPr>
                <w:rFonts w:hint="eastAsia" w:hAnsi="宋体" w:eastAsia="宋体" w:cs="宋体"/>
                <w:color w:val="auto"/>
                <w:kern w:val="2"/>
                <w:sz w:val="20"/>
                <w:szCs w:val="20"/>
                <w:highlight w:val="none"/>
              </w:rPr>
              <w:t>的《项目管理机构人员配置要求表》的得</w:t>
            </w:r>
            <w:r>
              <w:rPr>
                <w:rFonts w:hint="eastAsia" w:cs="宋体"/>
                <w:color w:val="auto"/>
                <w:kern w:val="2"/>
                <w:sz w:val="20"/>
                <w:szCs w:val="20"/>
                <w:highlight w:val="none"/>
                <w:lang w:val="en-US" w:eastAsia="zh-CN"/>
              </w:rPr>
              <w:t>6</w:t>
            </w:r>
            <w:r>
              <w:rPr>
                <w:rFonts w:hint="eastAsia" w:hAnsi="宋体" w:eastAsia="宋体" w:cs="宋体"/>
                <w:color w:val="auto"/>
                <w:kern w:val="2"/>
                <w:sz w:val="20"/>
                <w:szCs w:val="20"/>
                <w:highlight w:val="none"/>
              </w:rPr>
              <w:t>分，不满足《项目管理机构人员配置要求表》的本项得0分。在满足《</w:t>
            </w:r>
            <w:r>
              <w:rPr>
                <w:rFonts w:hint="eastAsia" w:hAnsi="宋体" w:cs="宋体"/>
                <w:color w:val="auto"/>
                <w:kern w:val="2"/>
                <w:sz w:val="20"/>
                <w:szCs w:val="20"/>
                <w:highlight w:val="none"/>
              </w:rPr>
              <w:t>项目管理机构人员配置要求表》的基础上</w:t>
            </w:r>
            <w:r>
              <w:rPr>
                <w:rFonts w:hint="eastAsia" w:hAnsi="宋体" w:cs="宋体"/>
                <w:color w:val="auto"/>
                <w:kern w:val="2"/>
                <w:sz w:val="20"/>
                <w:szCs w:val="20"/>
                <w:highlight w:val="none"/>
                <w:lang w:eastAsia="zh-CN"/>
              </w:rPr>
              <w:t>进行加分</w:t>
            </w:r>
            <w:r>
              <w:rPr>
                <w:rFonts w:hint="eastAsia" w:ascii="宋体" w:hAnsi="宋体" w:eastAsia="宋体" w:cs="宋体"/>
                <w:color w:val="auto"/>
                <w:sz w:val="20"/>
                <w:szCs w:val="20"/>
                <w:highlight w:val="none"/>
              </w:rPr>
              <w:t>：</w:t>
            </w:r>
          </w:p>
          <w:p>
            <w:pPr>
              <w:pStyle w:val="11"/>
              <w:keepNext w:val="0"/>
              <w:keepLines w:val="0"/>
              <w:pageBreakBefore w:val="0"/>
              <w:tabs>
                <w:tab w:val="left" w:pos="3570"/>
              </w:tabs>
              <w:kinsoku/>
              <w:wordWrap/>
              <w:overflowPunct/>
              <w:topLinePunct w:val="0"/>
              <w:bidi w:val="0"/>
              <w:spacing w:line="288" w:lineRule="auto"/>
              <w:ind w:left="1462" w:leftChars="-21" w:hanging="1506" w:hangingChars="753"/>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1）项目负责人：</w:t>
            </w:r>
            <w:r>
              <w:rPr>
                <w:rFonts w:hint="default" w:cs="宋体"/>
                <w:color w:val="auto"/>
                <w:kern w:val="2"/>
                <w:sz w:val="20"/>
                <w:szCs w:val="20"/>
                <w:highlight w:val="none"/>
                <w:lang w:val="en-US" w:eastAsia="zh-CN" w:bidi="ar-SA"/>
              </w:rPr>
              <w:t>①</w:t>
            </w:r>
            <w:r>
              <w:rPr>
                <w:rFonts w:hint="eastAsia" w:cs="宋体"/>
                <w:color w:val="auto"/>
                <w:kern w:val="2"/>
                <w:sz w:val="20"/>
                <w:szCs w:val="20"/>
                <w:highlight w:val="none"/>
                <w:lang w:val="en-US" w:eastAsia="zh-CN" w:bidi="ar-SA"/>
              </w:rPr>
              <w:t>具有</w:t>
            </w:r>
            <w:r>
              <w:rPr>
                <w:rFonts w:hint="eastAsia" w:ascii="宋体" w:hAnsi="宋体" w:cs="宋体"/>
                <w:color w:val="auto"/>
                <w:kern w:val="0"/>
                <w:sz w:val="20"/>
                <w:szCs w:val="20"/>
                <w:highlight w:val="none"/>
                <w:lang w:eastAsia="zh-CN"/>
              </w:rPr>
              <w:t>建筑</w:t>
            </w:r>
            <w:r>
              <w:rPr>
                <w:rFonts w:hint="eastAsia" w:cs="宋体"/>
                <w:color w:val="auto"/>
                <w:kern w:val="0"/>
                <w:sz w:val="21"/>
                <w:szCs w:val="21"/>
                <w:highlight w:val="none"/>
                <w:lang w:eastAsia="zh-CN"/>
              </w:rPr>
              <w:t>装饰施工</w:t>
            </w:r>
            <w:r>
              <w:rPr>
                <w:rFonts w:hint="eastAsia" w:ascii="宋体" w:hAnsi="宋体" w:cs="宋体"/>
                <w:color w:val="auto"/>
                <w:kern w:val="0"/>
                <w:sz w:val="20"/>
                <w:szCs w:val="20"/>
                <w:highlight w:val="none"/>
                <w:lang w:eastAsia="zh-CN"/>
              </w:rPr>
              <w:t>类专业</w:t>
            </w:r>
            <w:r>
              <w:rPr>
                <w:rFonts w:hint="eastAsia" w:ascii="宋体" w:hAnsi="宋体" w:cs="宋体"/>
                <w:color w:val="auto"/>
                <w:kern w:val="0"/>
                <w:sz w:val="20"/>
                <w:szCs w:val="20"/>
                <w:highlight w:val="none"/>
              </w:rPr>
              <w:t>高级工程师(或以上)</w:t>
            </w:r>
            <w:r>
              <w:rPr>
                <w:rFonts w:hint="eastAsia" w:ascii="宋体" w:hAnsi="宋体" w:cs="宋体"/>
                <w:bCs/>
                <w:color w:val="auto"/>
                <w:sz w:val="20"/>
                <w:szCs w:val="20"/>
                <w:highlight w:val="none"/>
              </w:rPr>
              <w:t>职称</w:t>
            </w:r>
            <w:r>
              <w:rPr>
                <w:rFonts w:hint="eastAsia" w:cs="宋体"/>
                <w:bCs/>
                <w:color w:val="auto"/>
                <w:sz w:val="20"/>
                <w:szCs w:val="20"/>
                <w:highlight w:val="none"/>
                <w:lang w:eastAsia="zh-CN"/>
              </w:rPr>
              <w:t>加</w:t>
            </w:r>
            <w:r>
              <w:rPr>
                <w:rFonts w:hint="eastAsia" w:cs="宋体"/>
                <w:bCs/>
                <w:color w:val="auto"/>
                <w:sz w:val="20"/>
                <w:szCs w:val="20"/>
                <w:highlight w:val="none"/>
                <w:lang w:val="en-US" w:eastAsia="zh-CN"/>
              </w:rPr>
              <w:t>2.5分；</w:t>
            </w:r>
            <w:r>
              <w:rPr>
                <w:rFonts w:hint="eastAsia" w:ascii="宋体" w:hAnsi="宋体" w:cs="宋体"/>
                <w:color w:val="auto"/>
                <w:sz w:val="20"/>
                <w:szCs w:val="20"/>
                <w:highlight w:val="none"/>
                <w:lang w:eastAsia="zh-CN"/>
              </w:rPr>
              <w:t>取</w:t>
            </w:r>
            <w:r>
              <w:rPr>
                <w:rFonts w:hint="eastAsia" w:cs="宋体"/>
                <w:color w:val="auto"/>
                <w:sz w:val="20"/>
                <w:szCs w:val="20"/>
                <w:highlight w:val="none"/>
                <w:lang w:eastAsia="zh-CN"/>
              </w:rPr>
              <w:t>得前述专业</w:t>
            </w:r>
            <w:r>
              <w:rPr>
                <w:rFonts w:hint="eastAsia" w:ascii="宋体" w:hAnsi="宋体" w:cs="宋体"/>
                <w:bCs/>
                <w:color w:val="auto"/>
                <w:sz w:val="20"/>
                <w:szCs w:val="20"/>
                <w:highlight w:val="none"/>
              </w:rPr>
              <w:t>职称</w:t>
            </w:r>
            <w:r>
              <w:rPr>
                <w:rFonts w:hint="eastAsia" w:ascii="宋体" w:hAnsi="宋体" w:cs="宋体"/>
                <w:color w:val="auto"/>
                <w:sz w:val="20"/>
                <w:szCs w:val="20"/>
                <w:highlight w:val="none"/>
                <w:lang w:eastAsia="zh-CN"/>
              </w:rPr>
              <w:t>年限</w:t>
            </w:r>
            <w:r>
              <w:rPr>
                <w:rFonts w:hint="eastAsia" w:cs="宋体"/>
                <w:color w:val="auto"/>
                <w:kern w:val="2"/>
                <w:sz w:val="20"/>
                <w:szCs w:val="20"/>
                <w:highlight w:val="none"/>
                <w:lang w:val="en-US" w:eastAsia="zh-CN" w:bidi="ar-SA"/>
              </w:rPr>
              <w:t>3</w:t>
            </w:r>
            <w:r>
              <w:rPr>
                <w:rFonts w:hint="eastAsia" w:ascii="宋体" w:hAnsi="宋体" w:eastAsia="宋体" w:cs="宋体"/>
                <w:color w:val="auto"/>
                <w:kern w:val="2"/>
                <w:sz w:val="20"/>
                <w:szCs w:val="20"/>
                <w:highlight w:val="none"/>
                <w:lang w:val="en-US" w:eastAsia="zh-CN" w:bidi="ar-SA"/>
              </w:rPr>
              <w:t>年(</w:t>
            </w:r>
            <w:r>
              <w:rPr>
                <w:rFonts w:hint="eastAsia" w:hAnsi="宋体" w:cs="宋体"/>
                <w:color w:val="auto"/>
                <w:kern w:val="2"/>
                <w:sz w:val="20"/>
                <w:szCs w:val="20"/>
                <w:highlight w:val="none"/>
                <w:lang w:val="en-US" w:eastAsia="zh-CN" w:bidi="ar-SA"/>
              </w:rPr>
              <w:t>不含本数</w:t>
            </w:r>
            <w:r>
              <w:rPr>
                <w:rFonts w:hint="eastAsia" w:ascii="宋体" w:hAnsi="宋体" w:eastAsia="宋体" w:cs="宋体"/>
                <w:color w:val="auto"/>
                <w:kern w:val="2"/>
                <w:sz w:val="20"/>
                <w:szCs w:val="20"/>
                <w:highlight w:val="none"/>
                <w:lang w:val="en-US" w:eastAsia="zh-CN" w:bidi="ar-SA"/>
              </w:rPr>
              <w:t>)</w:t>
            </w:r>
            <w:r>
              <w:rPr>
                <w:rFonts w:hint="eastAsia" w:hAnsi="宋体" w:cs="宋体"/>
                <w:color w:val="auto"/>
                <w:kern w:val="2"/>
                <w:sz w:val="20"/>
                <w:szCs w:val="20"/>
                <w:highlight w:val="none"/>
                <w:lang w:val="en-US" w:eastAsia="zh-CN" w:bidi="ar-SA"/>
              </w:rPr>
              <w:t>以上的</w:t>
            </w:r>
            <w:r>
              <w:rPr>
                <w:rFonts w:hint="eastAsia" w:ascii="宋体" w:hAnsi="宋体" w:eastAsia="宋体" w:cs="宋体"/>
                <w:color w:val="auto"/>
                <w:kern w:val="2"/>
                <w:sz w:val="20"/>
                <w:szCs w:val="20"/>
                <w:highlight w:val="none"/>
                <w:lang w:val="en-US" w:eastAsia="zh-CN" w:bidi="ar-SA"/>
              </w:rPr>
              <w:t>，加</w:t>
            </w:r>
            <w:r>
              <w:rPr>
                <w:rFonts w:hint="eastAsia" w:hAnsi="宋体" w:cs="宋体"/>
                <w:color w:val="auto"/>
                <w:kern w:val="2"/>
                <w:sz w:val="20"/>
                <w:szCs w:val="20"/>
                <w:highlight w:val="none"/>
                <w:lang w:val="en-US" w:eastAsia="zh-CN" w:bidi="ar-SA"/>
              </w:rPr>
              <w:t>1.5</w:t>
            </w:r>
            <w:r>
              <w:rPr>
                <w:rFonts w:hint="eastAsia" w:ascii="宋体" w:hAnsi="宋体" w:eastAsia="宋体" w:cs="宋体"/>
                <w:color w:val="auto"/>
                <w:kern w:val="2"/>
                <w:sz w:val="20"/>
                <w:szCs w:val="20"/>
                <w:highlight w:val="none"/>
                <w:lang w:val="en-US" w:eastAsia="zh-CN" w:bidi="ar-SA"/>
              </w:rPr>
              <w:t>分，</w:t>
            </w:r>
            <w:r>
              <w:rPr>
                <w:rFonts w:hint="eastAsia" w:cs="宋体"/>
                <w:bCs/>
                <w:color w:val="auto"/>
                <w:sz w:val="20"/>
                <w:szCs w:val="20"/>
                <w:highlight w:val="none"/>
                <w:lang w:val="en-US" w:eastAsia="zh-CN"/>
              </w:rPr>
              <w:t>1-</w:t>
            </w:r>
            <w:r>
              <w:rPr>
                <w:rFonts w:hint="eastAsia" w:hAnsi="宋体" w:cs="宋体"/>
                <w:color w:val="auto"/>
                <w:kern w:val="2"/>
                <w:sz w:val="20"/>
                <w:szCs w:val="20"/>
                <w:highlight w:val="none"/>
                <w:lang w:val="en-US" w:eastAsia="zh-CN" w:bidi="ar-SA"/>
              </w:rPr>
              <w:t>3</w:t>
            </w:r>
            <w:r>
              <w:rPr>
                <w:rFonts w:hint="eastAsia" w:ascii="宋体" w:hAnsi="宋体" w:eastAsia="宋体" w:cs="宋体"/>
                <w:color w:val="auto"/>
                <w:kern w:val="2"/>
                <w:sz w:val="20"/>
                <w:szCs w:val="20"/>
                <w:highlight w:val="none"/>
                <w:lang w:val="en-US" w:eastAsia="zh-CN" w:bidi="ar-SA"/>
              </w:rPr>
              <w:t>年</w:t>
            </w:r>
            <w:r>
              <w:rPr>
                <w:rFonts w:hint="eastAsia" w:hAnsi="宋体" w:cs="宋体"/>
                <w:color w:val="auto"/>
                <w:kern w:val="2"/>
                <w:sz w:val="20"/>
                <w:szCs w:val="20"/>
                <w:highlight w:val="none"/>
                <w:lang w:val="en-US" w:eastAsia="zh-CN" w:bidi="ar-SA"/>
              </w:rPr>
              <w:t>（含）</w:t>
            </w:r>
            <w:r>
              <w:rPr>
                <w:rFonts w:hint="eastAsia" w:ascii="宋体" w:hAnsi="宋体" w:eastAsia="宋体" w:cs="宋体"/>
                <w:color w:val="auto"/>
                <w:kern w:val="2"/>
                <w:sz w:val="20"/>
                <w:szCs w:val="20"/>
                <w:highlight w:val="none"/>
                <w:lang w:val="en-US" w:eastAsia="zh-CN" w:bidi="ar-SA"/>
              </w:rPr>
              <w:t>，加</w:t>
            </w:r>
            <w:r>
              <w:rPr>
                <w:rFonts w:hint="eastAsia" w:hAnsi="宋体" w:cs="宋体"/>
                <w:color w:val="auto"/>
                <w:kern w:val="2"/>
                <w:sz w:val="20"/>
                <w:szCs w:val="20"/>
                <w:highlight w:val="none"/>
                <w:lang w:val="en-US" w:eastAsia="zh-CN" w:bidi="ar-SA"/>
              </w:rPr>
              <w:t>0.5</w:t>
            </w:r>
            <w:r>
              <w:rPr>
                <w:rFonts w:hint="eastAsia" w:ascii="宋体" w:hAnsi="宋体" w:eastAsia="宋体" w:cs="宋体"/>
                <w:color w:val="auto"/>
                <w:kern w:val="2"/>
                <w:sz w:val="20"/>
                <w:szCs w:val="20"/>
                <w:highlight w:val="none"/>
                <w:lang w:val="en-US" w:eastAsia="zh-CN" w:bidi="ar-SA"/>
              </w:rPr>
              <w:t>分；</w:t>
            </w:r>
            <w:r>
              <w:rPr>
                <w:rFonts w:hint="eastAsia" w:ascii="宋体" w:hAnsi="宋体" w:eastAsia="宋体" w:cs="宋体"/>
                <w:b/>
                <w:bCs/>
                <w:color w:val="auto"/>
                <w:kern w:val="2"/>
                <w:sz w:val="20"/>
                <w:szCs w:val="20"/>
                <w:highlight w:val="none"/>
                <w:lang w:val="en-US" w:eastAsia="zh-CN" w:bidi="ar-SA"/>
              </w:rPr>
              <w:t>本</w:t>
            </w:r>
            <w:r>
              <w:rPr>
                <w:rFonts w:hint="eastAsia" w:hAnsi="宋体" w:cs="宋体"/>
                <w:b/>
                <w:bCs/>
                <w:color w:val="auto"/>
                <w:kern w:val="2"/>
                <w:sz w:val="20"/>
                <w:szCs w:val="20"/>
                <w:highlight w:val="none"/>
                <w:lang w:val="en-US" w:eastAsia="zh-CN" w:bidi="ar-SA"/>
              </w:rPr>
              <w:t>小</w:t>
            </w:r>
            <w:r>
              <w:rPr>
                <w:rFonts w:hint="eastAsia" w:ascii="宋体" w:hAnsi="宋体" w:eastAsia="宋体" w:cs="宋体"/>
                <w:b/>
                <w:bCs/>
                <w:color w:val="auto"/>
                <w:kern w:val="2"/>
                <w:sz w:val="20"/>
                <w:szCs w:val="20"/>
                <w:highlight w:val="none"/>
                <w:lang w:val="en-US" w:eastAsia="zh-CN" w:bidi="ar-SA"/>
              </w:rPr>
              <w:t>项最多得</w:t>
            </w:r>
            <w:r>
              <w:rPr>
                <w:rFonts w:hint="eastAsia" w:hAnsi="宋体" w:cs="宋体"/>
                <w:b/>
                <w:bCs/>
                <w:color w:val="auto"/>
                <w:kern w:val="2"/>
                <w:sz w:val="20"/>
                <w:szCs w:val="20"/>
                <w:highlight w:val="none"/>
                <w:lang w:val="en-US" w:eastAsia="zh-CN" w:bidi="ar-SA"/>
              </w:rPr>
              <w:t>4</w:t>
            </w:r>
            <w:r>
              <w:rPr>
                <w:rFonts w:hint="eastAsia" w:ascii="宋体" w:hAnsi="宋体" w:eastAsia="宋体" w:cs="宋体"/>
                <w:b/>
                <w:bCs/>
                <w:color w:val="auto"/>
                <w:kern w:val="2"/>
                <w:sz w:val="20"/>
                <w:szCs w:val="20"/>
                <w:highlight w:val="none"/>
                <w:lang w:val="en-US" w:eastAsia="zh-CN" w:bidi="ar-SA"/>
              </w:rPr>
              <w:t>分。</w:t>
            </w:r>
          </w:p>
          <w:p>
            <w:pPr>
              <w:pStyle w:val="11"/>
              <w:keepNext w:val="0"/>
              <w:keepLines w:val="0"/>
              <w:pageBreakBefore w:val="0"/>
              <w:tabs>
                <w:tab w:val="left" w:pos="3570"/>
              </w:tabs>
              <w:kinsoku/>
              <w:wordWrap/>
              <w:overflowPunct/>
              <w:topLinePunct w:val="0"/>
              <w:bidi w:val="0"/>
              <w:spacing w:line="288" w:lineRule="auto"/>
              <w:ind w:left="1519" w:leftChars="6" w:hanging="1506" w:hangingChars="753"/>
              <w:textAlignment w:val="auto"/>
              <w:rPr>
                <w:rFonts w:hint="default" w:ascii="宋体" w:hAnsi="宋体" w:eastAsia="宋体" w:cs="宋体"/>
                <w:color w:val="auto"/>
                <w:kern w:val="2"/>
                <w:sz w:val="20"/>
                <w:szCs w:val="20"/>
                <w:highlight w:val="none"/>
                <w:lang w:val="en-US" w:eastAsia="zh-CN" w:bidi="ar-SA"/>
              </w:rPr>
            </w:pPr>
            <w:r>
              <w:rPr>
                <w:rFonts w:hint="eastAsia" w:hAnsi="宋体" w:cs="宋体"/>
                <w:color w:val="auto"/>
                <w:kern w:val="2"/>
                <w:sz w:val="20"/>
                <w:szCs w:val="20"/>
                <w:highlight w:val="none"/>
                <w:lang w:val="en-US" w:eastAsia="zh-CN" w:bidi="ar-SA"/>
              </w:rPr>
              <w:t xml:space="preserve">            </w:t>
            </w:r>
            <w:r>
              <w:rPr>
                <w:rFonts w:hint="eastAsia" w:cs="宋体"/>
                <w:color w:val="auto"/>
                <w:kern w:val="2"/>
                <w:sz w:val="20"/>
                <w:szCs w:val="20"/>
                <w:highlight w:val="none"/>
                <w:lang w:val="en-US" w:eastAsia="zh-CN" w:bidi="ar-SA"/>
              </w:rPr>
              <w:t xml:space="preserve">  </w:t>
            </w:r>
            <w:r>
              <w:rPr>
                <w:rFonts w:hint="default" w:cs="宋体"/>
                <w:color w:val="auto"/>
                <w:kern w:val="2"/>
                <w:sz w:val="20"/>
                <w:szCs w:val="20"/>
                <w:highlight w:val="none"/>
                <w:lang w:val="en-US" w:eastAsia="zh-CN" w:bidi="ar-SA"/>
              </w:rPr>
              <w:t>②</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年1月1日</w:t>
            </w:r>
            <w:r>
              <w:rPr>
                <w:rFonts w:hint="eastAsia" w:ascii="宋体" w:hAnsi="宋体" w:eastAsia="宋体" w:cs="Times New Roman"/>
                <w:color w:val="auto"/>
                <w:szCs w:val="21"/>
                <w:highlight w:val="none"/>
              </w:rPr>
              <w:t>至投标截止时间止</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u w:val="none"/>
                <w:shd w:val="clear" w:color="auto" w:fill="auto"/>
                <w:lang w:val="en-US" w:eastAsia="zh-CN"/>
              </w:rPr>
              <w:t>任职</w:t>
            </w:r>
            <w:r>
              <w:rPr>
                <w:rFonts w:hint="eastAsia" w:ascii="宋体" w:hAnsi="宋体" w:eastAsia="宋体" w:cs="宋体"/>
                <w:color w:val="auto"/>
                <w:szCs w:val="21"/>
                <w:highlight w:val="none"/>
              </w:rPr>
              <w:t>项目负责人</w:t>
            </w:r>
            <w:r>
              <w:rPr>
                <w:rFonts w:hint="eastAsia" w:ascii="宋体" w:hAnsi="宋体" w:eastAsia="宋体" w:cs="宋体"/>
                <w:color w:val="auto"/>
                <w:szCs w:val="21"/>
                <w:highlight w:val="none"/>
                <w:lang w:eastAsia="zh-CN"/>
              </w:rPr>
              <w:t>（或项目经理）</w:t>
            </w:r>
            <w:r>
              <w:rPr>
                <w:rFonts w:hint="eastAsia" w:ascii="宋体" w:hAnsi="宋体" w:eastAsia="宋体" w:cs="宋体"/>
                <w:color w:val="auto"/>
                <w:szCs w:val="21"/>
                <w:highlight w:val="none"/>
              </w:rPr>
              <w:t>完成过质量合格的建筑装修装饰工程施工业绩</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得</w:t>
            </w:r>
            <w:r>
              <w:rPr>
                <w:rFonts w:hint="eastAsia"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分</w:t>
            </w:r>
          </w:p>
          <w:p>
            <w:pPr>
              <w:pStyle w:val="11"/>
              <w:keepNext w:val="0"/>
              <w:keepLines w:val="0"/>
              <w:pageBreakBefore w:val="0"/>
              <w:tabs>
                <w:tab w:val="left" w:pos="3570"/>
              </w:tabs>
              <w:kinsoku/>
              <w:wordWrap/>
              <w:overflowPunct/>
              <w:topLinePunct w:val="0"/>
              <w:bidi w:val="0"/>
              <w:spacing w:line="288" w:lineRule="auto"/>
              <w:ind w:left="1550" w:leftChars="704" w:hanging="72" w:hangingChars="36"/>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b/>
                <w:bCs/>
                <w:color w:val="auto"/>
                <w:kern w:val="2"/>
                <w:sz w:val="20"/>
                <w:szCs w:val="20"/>
                <w:highlight w:val="none"/>
                <w:lang w:val="en-US" w:eastAsia="zh-CN" w:bidi="ar-SA"/>
              </w:rPr>
              <w:t>本项</w:t>
            </w:r>
            <w:r>
              <w:rPr>
                <w:rFonts w:hint="eastAsia" w:hAnsi="宋体" w:cs="宋体"/>
                <w:b/>
                <w:bCs/>
                <w:color w:val="auto"/>
                <w:kern w:val="2"/>
                <w:sz w:val="20"/>
                <w:szCs w:val="20"/>
                <w:highlight w:val="none"/>
                <w:lang w:val="en-US" w:eastAsia="zh-CN" w:bidi="ar-SA"/>
              </w:rPr>
              <w:t>累计</w:t>
            </w:r>
            <w:r>
              <w:rPr>
                <w:rFonts w:hint="eastAsia" w:ascii="宋体" w:hAnsi="宋体" w:eastAsia="宋体" w:cs="宋体"/>
                <w:b/>
                <w:bCs/>
                <w:color w:val="auto"/>
                <w:kern w:val="2"/>
                <w:sz w:val="20"/>
                <w:szCs w:val="20"/>
                <w:highlight w:val="none"/>
                <w:lang w:val="en-US" w:eastAsia="zh-CN" w:bidi="ar-SA"/>
              </w:rPr>
              <w:t>最多得</w:t>
            </w:r>
            <w:r>
              <w:rPr>
                <w:rFonts w:hint="eastAsia" w:hAnsi="宋体" w:cs="宋体"/>
                <w:b/>
                <w:bCs/>
                <w:color w:val="auto"/>
                <w:kern w:val="2"/>
                <w:sz w:val="20"/>
                <w:szCs w:val="20"/>
                <w:highlight w:val="none"/>
                <w:lang w:val="en-US" w:eastAsia="zh-CN" w:bidi="ar-SA"/>
              </w:rPr>
              <w:t>7</w:t>
            </w:r>
            <w:r>
              <w:rPr>
                <w:rFonts w:hint="eastAsia" w:ascii="宋体" w:hAnsi="宋体" w:eastAsia="宋体" w:cs="宋体"/>
                <w:b/>
                <w:bCs/>
                <w:color w:val="auto"/>
                <w:kern w:val="2"/>
                <w:sz w:val="20"/>
                <w:szCs w:val="20"/>
                <w:highlight w:val="none"/>
                <w:lang w:val="en-US" w:eastAsia="zh-CN" w:bidi="ar-SA"/>
              </w:rPr>
              <w:t>分。</w:t>
            </w:r>
          </w:p>
          <w:p>
            <w:pPr>
              <w:keepNext w:val="0"/>
              <w:keepLines w:val="0"/>
              <w:pageBreakBefore w:val="0"/>
              <w:widowControl w:val="0"/>
              <w:tabs>
                <w:tab w:val="left" w:pos="3570"/>
              </w:tabs>
              <w:kinsoku/>
              <w:wordWrap/>
              <w:overflowPunct/>
              <w:topLinePunct w:val="0"/>
              <w:autoSpaceDE/>
              <w:autoSpaceDN/>
              <w:bidi w:val="0"/>
              <w:adjustRightInd/>
              <w:snapToGrid/>
              <w:spacing w:line="288" w:lineRule="auto"/>
              <w:ind w:left="1483" w:leftChars="-28" w:right="-53" w:rightChars="-25" w:hanging="1542" w:hangingChars="771"/>
              <w:textAlignment w:val="auto"/>
              <w:rPr>
                <w:rFonts w:hint="eastAsia" w:ascii="宋体" w:hAnsi="宋体" w:eastAsia="宋体" w:cs="宋体"/>
                <w:b/>
                <w:bCs/>
                <w:color w:val="auto"/>
                <w:kern w:val="2"/>
                <w:sz w:val="20"/>
                <w:szCs w:val="20"/>
                <w:highlight w:val="none"/>
                <w:lang w:val="en-US" w:eastAsia="zh-CN" w:bidi="ar-SA"/>
              </w:rPr>
            </w:pPr>
            <w:r>
              <w:rPr>
                <w:rFonts w:hint="eastAsia" w:ascii="宋体" w:hAnsi="宋体"/>
                <w:color w:val="auto"/>
                <w:sz w:val="20"/>
                <w:szCs w:val="20"/>
                <w:highlight w:val="none"/>
                <w:lang w:val="en-US" w:eastAsia="zh-CN"/>
              </w:rPr>
              <w:t>2</w:t>
            </w:r>
            <w:r>
              <w:rPr>
                <w:rFonts w:hint="eastAsia" w:ascii="宋体" w:hAnsi="宋体"/>
                <w:color w:val="auto"/>
                <w:sz w:val="20"/>
                <w:szCs w:val="20"/>
                <w:highlight w:val="none"/>
              </w:rPr>
              <w:t>）技术负责人：</w:t>
            </w:r>
            <w:r>
              <w:rPr>
                <w:rFonts w:hint="default" w:cs="宋体"/>
                <w:color w:val="auto"/>
                <w:kern w:val="2"/>
                <w:sz w:val="20"/>
                <w:szCs w:val="20"/>
                <w:highlight w:val="none"/>
                <w:lang w:val="en-US" w:eastAsia="zh-CN" w:bidi="ar-SA"/>
              </w:rPr>
              <w:t>①</w:t>
            </w:r>
            <w:r>
              <w:rPr>
                <w:rFonts w:hint="eastAsia" w:ascii="宋体" w:hAnsi="宋体" w:cs="宋体"/>
                <w:color w:val="auto"/>
                <w:sz w:val="20"/>
                <w:szCs w:val="20"/>
                <w:highlight w:val="none"/>
                <w:lang w:eastAsia="zh-CN"/>
              </w:rPr>
              <w:t>取得</w:t>
            </w:r>
            <w:r>
              <w:rPr>
                <w:rFonts w:hint="eastAsia" w:ascii="宋体" w:hAnsi="宋体" w:cs="宋体"/>
                <w:color w:val="auto"/>
                <w:kern w:val="0"/>
                <w:sz w:val="20"/>
                <w:szCs w:val="20"/>
                <w:highlight w:val="none"/>
                <w:lang w:eastAsia="zh-CN"/>
              </w:rPr>
              <w:t>建筑</w:t>
            </w:r>
            <w:r>
              <w:rPr>
                <w:rFonts w:hint="eastAsia" w:cs="宋体"/>
                <w:color w:val="auto"/>
                <w:kern w:val="0"/>
                <w:sz w:val="21"/>
                <w:szCs w:val="21"/>
                <w:highlight w:val="none"/>
                <w:lang w:eastAsia="zh-CN"/>
              </w:rPr>
              <w:t>装饰施工</w:t>
            </w:r>
            <w:r>
              <w:rPr>
                <w:rFonts w:hint="eastAsia" w:ascii="宋体" w:hAnsi="宋体" w:cs="宋体"/>
                <w:color w:val="auto"/>
                <w:kern w:val="0"/>
                <w:sz w:val="20"/>
                <w:szCs w:val="20"/>
                <w:highlight w:val="none"/>
                <w:lang w:eastAsia="zh-CN"/>
              </w:rPr>
              <w:t>类专业</w:t>
            </w:r>
            <w:r>
              <w:rPr>
                <w:rFonts w:hint="eastAsia" w:ascii="宋体" w:hAnsi="宋体"/>
                <w:color w:val="auto"/>
                <w:sz w:val="20"/>
                <w:szCs w:val="20"/>
                <w:highlight w:val="none"/>
              </w:rPr>
              <w:t>高级工程师(或以上)职称</w:t>
            </w:r>
            <w:r>
              <w:rPr>
                <w:rFonts w:hint="eastAsia" w:ascii="宋体" w:hAnsi="宋体" w:cs="宋体"/>
                <w:color w:val="auto"/>
                <w:sz w:val="20"/>
                <w:szCs w:val="20"/>
                <w:highlight w:val="none"/>
                <w:lang w:eastAsia="zh-CN"/>
              </w:rPr>
              <w:t>年限</w:t>
            </w:r>
            <w:r>
              <w:rPr>
                <w:rFonts w:hint="eastAsia"/>
                <w:color w:val="auto"/>
                <w:sz w:val="20"/>
                <w:szCs w:val="20"/>
                <w:highlight w:val="none"/>
                <w:lang w:val="en-US" w:eastAsia="zh-CN"/>
              </w:rPr>
              <w:t>3</w:t>
            </w:r>
            <w:r>
              <w:rPr>
                <w:rFonts w:hint="eastAsia" w:ascii="宋体" w:hAnsi="宋体"/>
                <w:color w:val="auto"/>
                <w:sz w:val="20"/>
                <w:szCs w:val="20"/>
                <w:highlight w:val="none"/>
              </w:rPr>
              <w:t>年</w:t>
            </w:r>
            <w:r>
              <w:rPr>
                <w:rFonts w:hint="eastAsia" w:ascii="宋体" w:hAnsi="宋体" w:cs="宋体"/>
                <w:color w:val="auto"/>
                <w:sz w:val="20"/>
                <w:szCs w:val="20"/>
                <w:highlight w:val="none"/>
              </w:rPr>
              <w:t>(</w:t>
            </w:r>
            <w:r>
              <w:rPr>
                <w:rFonts w:hint="eastAsia" w:hAnsi="宋体" w:cs="宋体"/>
                <w:color w:val="auto"/>
                <w:kern w:val="2"/>
                <w:sz w:val="20"/>
                <w:szCs w:val="20"/>
                <w:highlight w:val="none"/>
                <w:lang w:val="en-US" w:eastAsia="zh-CN" w:bidi="ar-SA"/>
              </w:rPr>
              <w:t>不含本数</w:t>
            </w:r>
            <w:r>
              <w:rPr>
                <w:rFonts w:hint="eastAsia" w:ascii="宋体" w:hAnsi="宋体" w:cs="宋体"/>
                <w:color w:val="auto"/>
                <w:sz w:val="20"/>
                <w:szCs w:val="20"/>
                <w:highlight w:val="none"/>
              </w:rPr>
              <w:t>)</w:t>
            </w:r>
            <w:r>
              <w:rPr>
                <w:rFonts w:hint="eastAsia" w:cs="宋体"/>
                <w:color w:val="auto"/>
                <w:sz w:val="20"/>
                <w:szCs w:val="20"/>
                <w:highlight w:val="none"/>
                <w:lang w:val="en-US" w:eastAsia="zh-CN"/>
              </w:rPr>
              <w:t>以上</w:t>
            </w:r>
            <w:r>
              <w:rPr>
                <w:rFonts w:hint="eastAsia" w:ascii="宋体" w:hAnsi="宋体"/>
                <w:color w:val="auto"/>
                <w:sz w:val="20"/>
                <w:szCs w:val="20"/>
                <w:highlight w:val="none"/>
              </w:rPr>
              <w:t>的，加</w:t>
            </w:r>
            <w:r>
              <w:rPr>
                <w:rFonts w:hint="eastAsia"/>
                <w:color w:val="auto"/>
                <w:sz w:val="20"/>
                <w:szCs w:val="20"/>
                <w:highlight w:val="none"/>
                <w:lang w:val="en-US" w:eastAsia="zh-CN"/>
              </w:rPr>
              <w:t>4</w:t>
            </w:r>
            <w:r>
              <w:rPr>
                <w:rFonts w:hint="eastAsia" w:ascii="宋体" w:hAnsi="宋体"/>
                <w:color w:val="auto"/>
                <w:sz w:val="20"/>
                <w:szCs w:val="20"/>
                <w:highlight w:val="none"/>
              </w:rPr>
              <w:t>分</w:t>
            </w:r>
            <w:r>
              <w:rPr>
                <w:rFonts w:hint="eastAsia"/>
                <w:color w:val="auto"/>
                <w:sz w:val="20"/>
                <w:szCs w:val="20"/>
                <w:highlight w:val="none"/>
                <w:lang w:eastAsia="zh-CN"/>
              </w:rPr>
              <w:t>，</w:t>
            </w:r>
            <w:r>
              <w:rPr>
                <w:rFonts w:hint="eastAsia" w:cs="宋体"/>
                <w:bCs/>
                <w:color w:val="auto"/>
                <w:sz w:val="20"/>
                <w:szCs w:val="20"/>
                <w:highlight w:val="none"/>
                <w:lang w:val="en-US" w:eastAsia="zh-CN"/>
              </w:rPr>
              <w:t>1-</w:t>
            </w:r>
            <w:r>
              <w:rPr>
                <w:rFonts w:hint="eastAsia" w:cs="宋体"/>
                <w:color w:val="auto"/>
                <w:kern w:val="2"/>
                <w:sz w:val="20"/>
                <w:szCs w:val="20"/>
                <w:highlight w:val="none"/>
                <w:lang w:val="en-US" w:eastAsia="zh-CN" w:bidi="ar-SA"/>
              </w:rPr>
              <w:t>3</w:t>
            </w:r>
            <w:r>
              <w:rPr>
                <w:rFonts w:hint="eastAsia" w:ascii="宋体" w:hAnsi="宋体" w:eastAsia="宋体" w:cs="宋体"/>
                <w:color w:val="auto"/>
                <w:kern w:val="2"/>
                <w:sz w:val="20"/>
                <w:szCs w:val="20"/>
                <w:highlight w:val="none"/>
                <w:lang w:val="en-US" w:eastAsia="zh-CN" w:bidi="ar-SA"/>
              </w:rPr>
              <w:t>年</w:t>
            </w:r>
            <w:r>
              <w:rPr>
                <w:rFonts w:hint="eastAsia" w:hAnsi="宋体" w:cs="宋体"/>
                <w:color w:val="auto"/>
                <w:kern w:val="2"/>
                <w:sz w:val="20"/>
                <w:szCs w:val="20"/>
                <w:highlight w:val="none"/>
                <w:lang w:val="en-US" w:eastAsia="zh-CN" w:bidi="ar-SA"/>
              </w:rPr>
              <w:t>（含）</w:t>
            </w:r>
            <w:r>
              <w:rPr>
                <w:rFonts w:hint="eastAsia" w:ascii="宋体" w:hAnsi="宋体" w:eastAsia="宋体" w:cs="宋体"/>
                <w:color w:val="auto"/>
                <w:kern w:val="2"/>
                <w:sz w:val="20"/>
                <w:szCs w:val="20"/>
                <w:highlight w:val="none"/>
                <w:lang w:val="en-US" w:eastAsia="zh-CN" w:bidi="ar-SA"/>
              </w:rPr>
              <w:t>，加</w:t>
            </w:r>
            <w:r>
              <w:rPr>
                <w:rFonts w:hint="eastAsia" w:hAnsi="宋体" w:cs="宋体"/>
                <w:color w:val="auto"/>
                <w:kern w:val="2"/>
                <w:sz w:val="20"/>
                <w:szCs w:val="20"/>
                <w:highlight w:val="none"/>
                <w:lang w:val="en-US" w:eastAsia="zh-CN" w:bidi="ar-SA"/>
              </w:rPr>
              <w:t>2</w:t>
            </w:r>
            <w:r>
              <w:rPr>
                <w:rFonts w:hint="eastAsia" w:ascii="宋体" w:hAnsi="宋体" w:eastAsia="宋体" w:cs="宋体"/>
                <w:color w:val="auto"/>
                <w:kern w:val="2"/>
                <w:sz w:val="20"/>
                <w:szCs w:val="20"/>
                <w:highlight w:val="none"/>
                <w:lang w:val="en-US" w:eastAsia="zh-CN" w:bidi="ar-SA"/>
              </w:rPr>
              <w:t>分；</w:t>
            </w:r>
            <w:r>
              <w:rPr>
                <w:rFonts w:hint="eastAsia" w:ascii="宋体" w:hAnsi="宋体" w:eastAsia="宋体" w:cs="宋体"/>
                <w:b/>
                <w:bCs/>
                <w:color w:val="auto"/>
                <w:kern w:val="2"/>
                <w:sz w:val="20"/>
                <w:szCs w:val="20"/>
                <w:highlight w:val="none"/>
                <w:lang w:val="en-US" w:eastAsia="zh-CN" w:bidi="ar-SA"/>
              </w:rPr>
              <w:t>本</w:t>
            </w:r>
            <w:r>
              <w:rPr>
                <w:rFonts w:hint="eastAsia" w:cs="宋体"/>
                <w:b/>
                <w:bCs/>
                <w:color w:val="auto"/>
                <w:kern w:val="2"/>
                <w:sz w:val="20"/>
                <w:szCs w:val="20"/>
                <w:highlight w:val="none"/>
                <w:lang w:val="en-US" w:eastAsia="zh-CN" w:bidi="ar-SA"/>
              </w:rPr>
              <w:t>小</w:t>
            </w:r>
            <w:r>
              <w:rPr>
                <w:rFonts w:hint="eastAsia" w:ascii="宋体" w:hAnsi="宋体" w:eastAsia="宋体" w:cs="宋体"/>
                <w:b/>
                <w:bCs/>
                <w:color w:val="auto"/>
                <w:kern w:val="2"/>
                <w:sz w:val="20"/>
                <w:szCs w:val="20"/>
                <w:highlight w:val="none"/>
                <w:lang w:val="en-US" w:eastAsia="zh-CN" w:bidi="ar-SA"/>
              </w:rPr>
              <w:t>项最多得</w:t>
            </w:r>
            <w:r>
              <w:rPr>
                <w:rFonts w:hint="eastAsia" w:cs="宋体"/>
                <w:b/>
                <w:bCs/>
                <w:color w:val="auto"/>
                <w:kern w:val="2"/>
                <w:sz w:val="20"/>
                <w:szCs w:val="20"/>
                <w:highlight w:val="none"/>
                <w:lang w:val="en-US" w:eastAsia="zh-CN" w:bidi="ar-SA"/>
              </w:rPr>
              <w:t>4</w:t>
            </w:r>
            <w:r>
              <w:rPr>
                <w:rFonts w:hint="eastAsia" w:ascii="宋体" w:hAnsi="宋体" w:eastAsia="宋体" w:cs="宋体"/>
                <w:b/>
                <w:bCs/>
                <w:color w:val="auto"/>
                <w:kern w:val="2"/>
                <w:sz w:val="20"/>
                <w:szCs w:val="20"/>
                <w:highlight w:val="none"/>
                <w:lang w:val="en-US" w:eastAsia="zh-CN" w:bidi="ar-SA"/>
              </w:rPr>
              <w:t>分。</w:t>
            </w:r>
          </w:p>
          <w:p>
            <w:pPr>
              <w:pStyle w:val="11"/>
              <w:keepNext w:val="0"/>
              <w:keepLines w:val="0"/>
              <w:pageBreakBefore w:val="0"/>
              <w:tabs>
                <w:tab w:val="left" w:pos="3570"/>
              </w:tabs>
              <w:kinsoku/>
              <w:wordWrap/>
              <w:overflowPunct/>
              <w:topLinePunct w:val="0"/>
              <w:bidi w:val="0"/>
              <w:spacing w:line="288" w:lineRule="auto"/>
              <w:ind w:left="1432" w:leftChars="-38" w:hanging="1512" w:hangingChars="753"/>
              <w:textAlignment w:val="auto"/>
              <w:rPr>
                <w:rFonts w:hint="default" w:ascii="宋体" w:hAnsi="宋体" w:eastAsia="宋体" w:cs="宋体"/>
                <w:color w:val="auto"/>
                <w:kern w:val="2"/>
                <w:sz w:val="20"/>
                <w:szCs w:val="20"/>
                <w:highlight w:val="none"/>
                <w:lang w:val="en-US" w:eastAsia="zh-CN" w:bidi="ar-SA"/>
              </w:rPr>
            </w:pPr>
            <w:r>
              <w:rPr>
                <w:rFonts w:hint="eastAsia" w:cs="宋体"/>
                <w:b/>
                <w:bCs/>
                <w:color w:val="auto"/>
                <w:kern w:val="2"/>
                <w:sz w:val="20"/>
                <w:szCs w:val="20"/>
                <w:highlight w:val="none"/>
                <w:lang w:val="en-US" w:eastAsia="zh-CN" w:bidi="ar-SA"/>
              </w:rPr>
              <w:t xml:space="preserve">               </w:t>
            </w:r>
            <w:r>
              <w:rPr>
                <w:rFonts w:hint="default" w:cs="宋体"/>
                <w:color w:val="auto"/>
                <w:kern w:val="2"/>
                <w:sz w:val="20"/>
                <w:szCs w:val="20"/>
                <w:highlight w:val="none"/>
                <w:lang w:val="en-US" w:eastAsia="zh-CN" w:bidi="ar-SA"/>
              </w:rPr>
              <w:t>②</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年1月1日</w:t>
            </w:r>
            <w:r>
              <w:rPr>
                <w:rFonts w:hint="eastAsia" w:ascii="宋体" w:hAnsi="宋体" w:eastAsia="宋体" w:cs="Times New Roman"/>
                <w:color w:val="auto"/>
                <w:szCs w:val="21"/>
                <w:highlight w:val="none"/>
              </w:rPr>
              <w:t>至投标截止时间止</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u w:val="none"/>
                <w:shd w:val="clear" w:color="auto" w:fill="auto"/>
                <w:lang w:val="en-US" w:eastAsia="zh-CN"/>
              </w:rPr>
              <w:t>任职</w:t>
            </w:r>
            <w:r>
              <w:rPr>
                <w:rFonts w:hint="eastAsia" w:hAnsi="宋体" w:cs="宋体"/>
                <w:color w:val="auto"/>
                <w:szCs w:val="21"/>
                <w:highlight w:val="none"/>
                <w:lang w:eastAsia="zh-CN"/>
              </w:rPr>
              <w:t>技术</w:t>
            </w:r>
            <w:r>
              <w:rPr>
                <w:rFonts w:hint="eastAsia" w:ascii="宋体" w:hAnsi="宋体" w:eastAsia="宋体" w:cs="宋体"/>
                <w:color w:val="auto"/>
                <w:szCs w:val="21"/>
                <w:highlight w:val="none"/>
              </w:rPr>
              <w:t>负责人完成过质量合格的建筑装修装饰工程施工业绩</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得</w:t>
            </w:r>
            <w:r>
              <w:rPr>
                <w:rFonts w:hint="eastAsia"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分</w:t>
            </w:r>
          </w:p>
          <w:p>
            <w:pPr>
              <w:keepNext w:val="0"/>
              <w:keepLines w:val="0"/>
              <w:pageBreakBefore w:val="0"/>
              <w:widowControl w:val="0"/>
              <w:tabs>
                <w:tab w:val="left" w:pos="3570"/>
              </w:tabs>
              <w:kinsoku/>
              <w:wordWrap/>
              <w:overflowPunct/>
              <w:topLinePunct w:val="0"/>
              <w:autoSpaceDE/>
              <w:autoSpaceDN/>
              <w:bidi w:val="0"/>
              <w:adjustRightInd/>
              <w:snapToGrid/>
              <w:spacing w:line="288" w:lineRule="auto"/>
              <w:ind w:left="1478" w:leftChars="704" w:right="-53" w:rightChars="-25" w:firstLine="0" w:firstLineChars="0"/>
              <w:textAlignment w:val="auto"/>
              <w:rPr>
                <w:rFonts w:hint="default" w:ascii="宋体" w:hAnsi="宋体" w:eastAsia="宋体" w:cs="宋体"/>
                <w:b/>
                <w:bCs/>
                <w:color w:val="auto"/>
                <w:kern w:val="2"/>
                <w:sz w:val="20"/>
                <w:szCs w:val="20"/>
                <w:highlight w:val="none"/>
                <w:lang w:val="en-US" w:eastAsia="zh-CN" w:bidi="ar-SA"/>
              </w:rPr>
            </w:pPr>
            <w:r>
              <w:rPr>
                <w:rFonts w:hint="eastAsia" w:ascii="宋体" w:hAnsi="宋体" w:eastAsia="宋体" w:cs="宋体"/>
                <w:b/>
                <w:bCs/>
                <w:color w:val="auto"/>
                <w:kern w:val="2"/>
                <w:sz w:val="20"/>
                <w:szCs w:val="20"/>
                <w:highlight w:val="none"/>
                <w:lang w:val="en-US" w:eastAsia="zh-CN" w:bidi="ar-SA"/>
              </w:rPr>
              <w:t>本项</w:t>
            </w:r>
            <w:r>
              <w:rPr>
                <w:rFonts w:hint="eastAsia" w:hAnsi="宋体" w:cs="宋体"/>
                <w:b/>
                <w:bCs/>
                <w:color w:val="auto"/>
                <w:kern w:val="2"/>
                <w:sz w:val="20"/>
                <w:szCs w:val="20"/>
                <w:highlight w:val="none"/>
                <w:lang w:val="en-US" w:eastAsia="zh-CN" w:bidi="ar-SA"/>
              </w:rPr>
              <w:t>累计</w:t>
            </w:r>
            <w:r>
              <w:rPr>
                <w:rFonts w:hint="eastAsia" w:ascii="宋体" w:hAnsi="宋体" w:eastAsia="宋体" w:cs="宋体"/>
                <w:b/>
                <w:bCs/>
                <w:color w:val="auto"/>
                <w:kern w:val="2"/>
                <w:sz w:val="20"/>
                <w:szCs w:val="20"/>
                <w:highlight w:val="none"/>
                <w:lang w:val="en-US" w:eastAsia="zh-CN" w:bidi="ar-SA"/>
              </w:rPr>
              <w:t>最多得</w:t>
            </w:r>
            <w:r>
              <w:rPr>
                <w:rFonts w:hint="eastAsia" w:hAnsi="宋体" w:cs="宋体"/>
                <w:b/>
                <w:bCs/>
                <w:color w:val="auto"/>
                <w:kern w:val="2"/>
                <w:sz w:val="20"/>
                <w:szCs w:val="20"/>
                <w:highlight w:val="none"/>
                <w:lang w:val="en-US" w:eastAsia="zh-CN" w:bidi="ar-SA"/>
              </w:rPr>
              <w:t>7</w:t>
            </w:r>
            <w:r>
              <w:rPr>
                <w:rFonts w:hint="eastAsia" w:ascii="宋体" w:hAnsi="宋体" w:eastAsia="宋体" w:cs="宋体"/>
                <w:b/>
                <w:bCs/>
                <w:color w:val="auto"/>
                <w:kern w:val="2"/>
                <w:sz w:val="20"/>
                <w:szCs w:val="20"/>
                <w:highlight w:val="none"/>
                <w:lang w:val="en-US" w:eastAsia="zh-CN" w:bidi="ar-SA"/>
              </w:rPr>
              <w:t>分。</w:t>
            </w:r>
          </w:p>
          <w:p>
            <w:pPr>
              <w:keepNext w:val="0"/>
              <w:keepLines w:val="0"/>
              <w:pageBreakBefore w:val="0"/>
              <w:widowControl w:val="0"/>
              <w:tabs>
                <w:tab w:val="left" w:pos="3570"/>
              </w:tabs>
              <w:kinsoku/>
              <w:wordWrap/>
              <w:overflowPunct/>
              <w:topLinePunct w:val="0"/>
              <w:autoSpaceDE/>
              <w:autoSpaceDN/>
              <w:bidi w:val="0"/>
              <w:adjustRightInd/>
              <w:snapToGrid/>
              <w:spacing w:line="288" w:lineRule="auto"/>
              <w:ind w:left="1475" w:leftChars="-28" w:right="-53" w:rightChars="-25" w:hanging="1534" w:hangingChars="767"/>
              <w:textAlignment w:val="auto"/>
              <w:rPr>
                <w:rFonts w:hint="eastAsia" w:ascii="宋体" w:hAnsi="宋体" w:eastAsia="宋体"/>
                <w:color w:val="auto"/>
                <w:sz w:val="20"/>
                <w:szCs w:val="20"/>
                <w:highlight w:val="none"/>
                <w:lang w:eastAsia="zh-CN"/>
              </w:rPr>
            </w:pPr>
            <w:r>
              <w:rPr>
                <w:rFonts w:hint="eastAsia" w:ascii="宋体" w:hAnsi="宋体"/>
                <w:color w:val="auto"/>
                <w:sz w:val="20"/>
                <w:szCs w:val="20"/>
                <w:highlight w:val="none"/>
                <w:lang w:val="en-US" w:eastAsia="zh-CN"/>
              </w:rPr>
              <w:t>3</w:t>
            </w:r>
            <w:r>
              <w:rPr>
                <w:rFonts w:hint="eastAsia" w:ascii="宋体" w:hAnsi="宋体"/>
                <w:color w:val="auto"/>
                <w:sz w:val="20"/>
                <w:szCs w:val="20"/>
                <w:highlight w:val="none"/>
              </w:rPr>
              <w:t>）</w:t>
            </w:r>
            <w:r>
              <w:rPr>
                <w:rFonts w:hint="eastAsia" w:ascii="宋体" w:hAnsi="宋体"/>
                <w:color w:val="auto"/>
                <w:sz w:val="20"/>
                <w:szCs w:val="20"/>
                <w:highlight w:val="none"/>
                <w:lang w:eastAsia="zh-CN"/>
              </w:rPr>
              <w:t>质量</w:t>
            </w:r>
            <w:r>
              <w:rPr>
                <w:rFonts w:hint="eastAsia" w:ascii="宋体" w:hAnsi="宋体"/>
                <w:color w:val="auto"/>
                <w:sz w:val="20"/>
                <w:szCs w:val="20"/>
                <w:highlight w:val="none"/>
              </w:rPr>
              <w:t>负责人：</w:t>
            </w:r>
            <w:r>
              <w:rPr>
                <w:rFonts w:hint="eastAsia" w:ascii="宋体" w:hAnsi="宋体" w:cs="宋体"/>
                <w:color w:val="auto"/>
                <w:sz w:val="20"/>
                <w:szCs w:val="20"/>
                <w:highlight w:val="none"/>
                <w:lang w:eastAsia="zh-CN"/>
              </w:rPr>
              <w:t>取得</w:t>
            </w:r>
            <w:r>
              <w:rPr>
                <w:rFonts w:hint="eastAsia" w:ascii="宋体" w:hAnsi="宋体" w:cs="宋体"/>
                <w:color w:val="auto"/>
                <w:kern w:val="0"/>
                <w:sz w:val="20"/>
                <w:szCs w:val="20"/>
                <w:highlight w:val="none"/>
                <w:lang w:eastAsia="zh-CN"/>
              </w:rPr>
              <w:t>建筑</w:t>
            </w:r>
            <w:r>
              <w:rPr>
                <w:rFonts w:hint="eastAsia" w:cs="宋体"/>
                <w:color w:val="auto"/>
                <w:kern w:val="0"/>
                <w:sz w:val="21"/>
                <w:szCs w:val="21"/>
                <w:highlight w:val="none"/>
                <w:lang w:eastAsia="zh-CN"/>
              </w:rPr>
              <w:t>装饰施工</w:t>
            </w:r>
            <w:r>
              <w:rPr>
                <w:rFonts w:hint="eastAsia" w:ascii="宋体" w:hAnsi="宋体" w:cs="宋体"/>
                <w:color w:val="auto"/>
                <w:kern w:val="0"/>
                <w:sz w:val="20"/>
                <w:szCs w:val="20"/>
                <w:highlight w:val="none"/>
                <w:lang w:eastAsia="zh-CN"/>
              </w:rPr>
              <w:t>类专业</w:t>
            </w:r>
            <w:r>
              <w:rPr>
                <w:rFonts w:hint="eastAsia" w:ascii="宋体" w:hAnsi="宋体"/>
                <w:color w:val="auto"/>
                <w:sz w:val="20"/>
                <w:szCs w:val="20"/>
                <w:highlight w:val="none"/>
              </w:rPr>
              <w:t>高级工程师(或以上)职称</w:t>
            </w:r>
            <w:r>
              <w:rPr>
                <w:rFonts w:hint="eastAsia" w:ascii="宋体" w:hAnsi="宋体" w:cs="宋体"/>
                <w:color w:val="auto"/>
                <w:sz w:val="20"/>
                <w:szCs w:val="20"/>
                <w:highlight w:val="none"/>
                <w:lang w:eastAsia="zh-CN"/>
              </w:rPr>
              <w:t>年限</w:t>
            </w:r>
            <w:r>
              <w:rPr>
                <w:rFonts w:hint="eastAsia" w:cs="宋体"/>
                <w:color w:val="auto"/>
                <w:kern w:val="2"/>
                <w:sz w:val="20"/>
                <w:szCs w:val="20"/>
                <w:highlight w:val="none"/>
                <w:lang w:val="en-US" w:eastAsia="zh-CN" w:bidi="ar-SA"/>
              </w:rPr>
              <w:t>3</w:t>
            </w:r>
            <w:r>
              <w:rPr>
                <w:rFonts w:hint="eastAsia" w:ascii="宋体" w:hAnsi="宋体" w:eastAsia="宋体" w:cs="宋体"/>
                <w:color w:val="auto"/>
                <w:kern w:val="2"/>
                <w:sz w:val="20"/>
                <w:szCs w:val="20"/>
                <w:highlight w:val="none"/>
                <w:lang w:val="en-US" w:eastAsia="zh-CN" w:bidi="ar-SA"/>
              </w:rPr>
              <w:t>年</w:t>
            </w:r>
            <w:r>
              <w:rPr>
                <w:rFonts w:hint="eastAsia" w:ascii="宋体" w:hAnsi="宋体" w:cs="宋体"/>
                <w:color w:val="auto"/>
                <w:sz w:val="20"/>
                <w:szCs w:val="20"/>
                <w:highlight w:val="none"/>
              </w:rPr>
              <w:t>(</w:t>
            </w:r>
            <w:r>
              <w:rPr>
                <w:rFonts w:hint="eastAsia" w:hAnsi="宋体" w:cs="宋体"/>
                <w:color w:val="auto"/>
                <w:kern w:val="2"/>
                <w:sz w:val="20"/>
                <w:szCs w:val="20"/>
                <w:highlight w:val="none"/>
                <w:lang w:val="en-US" w:eastAsia="zh-CN" w:bidi="ar-SA"/>
              </w:rPr>
              <w:t>不含本数</w:t>
            </w:r>
            <w:r>
              <w:rPr>
                <w:rFonts w:hint="eastAsia" w:ascii="宋体" w:hAnsi="宋体" w:cs="宋体"/>
                <w:color w:val="auto"/>
                <w:sz w:val="20"/>
                <w:szCs w:val="20"/>
                <w:highlight w:val="none"/>
              </w:rPr>
              <w:t>)</w:t>
            </w:r>
            <w:r>
              <w:rPr>
                <w:rFonts w:hint="eastAsia" w:cs="宋体"/>
                <w:color w:val="auto"/>
                <w:sz w:val="20"/>
                <w:szCs w:val="20"/>
                <w:highlight w:val="none"/>
                <w:lang w:val="en-US" w:eastAsia="zh-CN"/>
              </w:rPr>
              <w:t>以上</w:t>
            </w:r>
            <w:r>
              <w:rPr>
                <w:rFonts w:hint="eastAsia" w:ascii="宋体" w:hAnsi="宋体"/>
                <w:color w:val="auto"/>
                <w:sz w:val="20"/>
                <w:szCs w:val="20"/>
                <w:highlight w:val="none"/>
              </w:rPr>
              <w:t>的，加</w:t>
            </w:r>
            <w:r>
              <w:rPr>
                <w:rFonts w:hint="eastAsia"/>
                <w:color w:val="auto"/>
                <w:sz w:val="20"/>
                <w:szCs w:val="20"/>
                <w:highlight w:val="none"/>
                <w:lang w:val="en-US" w:eastAsia="zh-CN"/>
              </w:rPr>
              <w:t>5</w:t>
            </w:r>
            <w:r>
              <w:rPr>
                <w:rFonts w:hint="eastAsia" w:ascii="宋体" w:hAnsi="宋体"/>
                <w:color w:val="auto"/>
                <w:sz w:val="20"/>
                <w:szCs w:val="20"/>
                <w:highlight w:val="none"/>
              </w:rPr>
              <w:t>分</w:t>
            </w:r>
            <w:r>
              <w:rPr>
                <w:rFonts w:hint="eastAsia"/>
                <w:color w:val="auto"/>
                <w:sz w:val="20"/>
                <w:szCs w:val="20"/>
                <w:highlight w:val="none"/>
                <w:lang w:eastAsia="zh-CN"/>
              </w:rPr>
              <w:t>，</w:t>
            </w:r>
            <w:r>
              <w:rPr>
                <w:rFonts w:hint="eastAsia" w:cs="宋体"/>
                <w:bCs/>
                <w:color w:val="auto"/>
                <w:sz w:val="20"/>
                <w:szCs w:val="20"/>
                <w:highlight w:val="none"/>
                <w:lang w:val="en-US" w:eastAsia="zh-CN"/>
              </w:rPr>
              <w:t>1-</w:t>
            </w:r>
            <w:r>
              <w:rPr>
                <w:rFonts w:hint="eastAsia" w:cs="宋体"/>
                <w:color w:val="auto"/>
                <w:kern w:val="2"/>
                <w:sz w:val="20"/>
                <w:szCs w:val="20"/>
                <w:highlight w:val="none"/>
                <w:lang w:val="en-US" w:eastAsia="zh-CN" w:bidi="ar-SA"/>
              </w:rPr>
              <w:t>3</w:t>
            </w:r>
            <w:r>
              <w:rPr>
                <w:rFonts w:hint="eastAsia" w:ascii="宋体" w:hAnsi="宋体" w:eastAsia="宋体" w:cs="宋体"/>
                <w:color w:val="auto"/>
                <w:kern w:val="2"/>
                <w:sz w:val="20"/>
                <w:szCs w:val="20"/>
                <w:highlight w:val="none"/>
                <w:lang w:val="en-US" w:eastAsia="zh-CN" w:bidi="ar-SA"/>
              </w:rPr>
              <w:t>年</w:t>
            </w:r>
            <w:r>
              <w:rPr>
                <w:rFonts w:hint="eastAsia" w:hAnsi="宋体" w:cs="宋体"/>
                <w:color w:val="auto"/>
                <w:kern w:val="2"/>
                <w:sz w:val="20"/>
                <w:szCs w:val="20"/>
                <w:highlight w:val="none"/>
                <w:lang w:val="en-US" w:eastAsia="zh-CN" w:bidi="ar-SA"/>
              </w:rPr>
              <w:t>（含）</w:t>
            </w:r>
            <w:r>
              <w:rPr>
                <w:rFonts w:hint="eastAsia" w:ascii="宋体" w:hAnsi="宋体" w:eastAsia="宋体" w:cs="宋体"/>
                <w:color w:val="auto"/>
                <w:kern w:val="2"/>
                <w:sz w:val="20"/>
                <w:szCs w:val="20"/>
                <w:highlight w:val="none"/>
                <w:lang w:val="en-US" w:eastAsia="zh-CN" w:bidi="ar-SA"/>
              </w:rPr>
              <w:t>，加</w:t>
            </w:r>
            <w:r>
              <w:rPr>
                <w:rFonts w:hint="eastAsia" w:hAnsi="宋体" w:cs="宋体"/>
                <w:color w:val="auto"/>
                <w:kern w:val="2"/>
                <w:sz w:val="20"/>
                <w:szCs w:val="20"/>
                <w:highlight w:val="none"/>
                <w:lang w:val="en-US" w:eastAsia="zh-CN" w:bidi="ar-SA"/>
              </w:rPr>
              <w:t>2</w:t>
            </w:r>
            <w:r>
              <w:rPr>
                <w:rFonts w:hint="eastAsia" w:ascii="宋体" w:hAnsi="宋体" w:eastAsia="宋体" w:cs="宋体"/>
                <w:color w:val="auto"/>
                <w:kern w:val="2"/>
                <w:sz w:val="20"/>
                <w:szCs w:val="20"/>
                <w:highlight w:val="none"/>
                <w:lang w:val="en-US" w:eastAsia="zh-CN" w:bidi="ar-SA"/>
              </w:rPr>
              <w:t>分；</w:t>
            </w:r>
            <w:r>
              <w:rPr>
                <w:rFonts w:hint="eastAsia" w:ascii="宋体" w:hAnsi="宋体" w:eastAsia="宋体" w:cs="宋体"/>
                <w:b/>
                <w:bCs/>
                <w:color w:val="auto"/>
                <w:kern w:val="2"/>
                <w:sz w:val="20"/>
                <w:szCs w:val="20"/>
                <w:highlight w:val="none"/>
                <w:lang w:val="en-US" w:eastAsia="zh-CN" w:bidi="ar-SA"/>
              </w:rPr>
              <w:t>本项最多得</w:t>
            </w:r>
            <w:r>
              <w:rPr>
                <w:rFonts w:hint="eastAsia" w:hAnsi="宋体" w:cs="宋体"/>
                <w:b/>
                <w:bCs/>
                <w:color w:val="auto"/>
                <w:kern w:val="2"/>
                <w:sz w:val="20"/>
                <w:szCs w:val="20"/>
                <w:highlight w:val="none"/>
                <w:lang w:val="en-US" w:eastAsia="zh-CN" w:bidi="ar-SA"/>
              </w:rPr>
              <w:t>5</w:t>
            </w:r>
            <w:r>
              <w:rPr>
                <w:rFonts w:hint="eastAsia" w:ascii="宋体" w:hAnsi="宋体" w:eastAsia="宋体" w:cs="宋体"/>
                <w:b/>
                <w:bCs/>
                <w:color w:val="auto"/>
                <w:kern w:val="2"/>
                <w:sz w:val="20"/>
                <w:szCs w:val="20"/>
                <w:highlight w:val="none"/>
                <w:lang w:val="en-US" w:eastAsia="zh-CN" w:bidi="ar-SA"/>
              </w:rPr>
              <w:t>分。</w:t>
            </w:r>
          </w:p>
          <w:p>
            <w:pPr>
              <w:keepNext w:val="0"/>
              <w:keepLines w:val="0"/>
              <w:pageBreakBefore w:val="0"/>
              <w:widowControl w:val="0"/>
              <w:tabs>
                <w:tab w:val="left" w:pos="3570"/>
              </w:tabs>
              <w:kinsoku/>
              <w:wordWrap/>
              <w:overflowPunct/>
              <w:topLinePunct w:val="0"/>
              <w:autoSpaceDE/>
              <w:autoSpaceDN/>
              <w:bidi w:val="0"/>
              <w:adjustRightInd/>
              <w:snapToGrid/>
              <w:spacing w:line="288" w:lineRule="auto"/>
              <w:ind w:left="1475" w:leftChars="-28" w:right="-53" w:rightChars="-25" w:hanging="1534" w:hangingChars="767"/>
              <w:textAlignment w:val="auto"/>
              <w:rPr>
                <w:rFonts w:hint="eastAsia" w:ascii="宋体" w:hAnsi="宋体" w:eastAsia="宋体" w:cs="Times New Roman"/>
                <w:color w:val="auto"/>
                <w:sz w:val="20"/>
                <w:szCs w:val="20"/>
                <w:highlight w:val="none"/>
                <w:lang w:eastAsia="zh-CN"/>
              </w:rPr>
            </w:pPr>
            <w:r>
              <w:rPr>
                <w:rFonts w:hint="eastAsia" w:ascii="宋体" w:hAnsi="宋体" w:eastAsia="宋体" w:cs="Times New Roman"/>
                <w:color w:val="auto"/>
                <w:sz w:val="20"/>
                <w:szCs w:val="20"/>
                <w:highlight w:val="none"/>
                <w:lang w:val="en-US" w:eastAsia="zh-CN"/>
              </w:rPr>
              <w:t>4</w:t>
            </w:r>
            <w:r>
              <w:rPr>
                <w:rFonts w:hint="eastAsia" w:ascii="宋体" w:hAnsi="宋体" w:eastAsia="宋体" w:cs="Times New Roman"/>
                <w:color w:val="auto"/>
                <w:sz w:val="20"/>
                <w:szCs w:val="20"/>
                <w:highlight w:val="none"/>
                <w:lang w:eastAsia="zh-CN"/>
              </w:rPr>
              <w:t>）深化设计负责人：取得</w:t>
            </w:r>
            <w:r>
              <w:rPr>
                <w:rFonts w:hint="eastAsia" w:ascii="宋体" w:hAnsi="宋体" w:cs="宋体"/>
                <w:color w:val="auto"/>
                <w:kern w:val="0"/>
                <w:sz w:val="20"/>
                <w:szCs w:val="20"/>
                <w:highlight w:val="none"/>
                <w:lang w:eastAsia="zh-CN"/>
              </w:rPr>
              <w:t>建筑</w:t>
            </w:r>
            <w:r>
              <w:rPr>
                <w:rFonts w:hint="eastAsia" w:cs="宋体"/>
                <w:color w:val="auto"/>
                <w:kern w:val="0"/>
                <w:sz w:val="20"/>
                <w:szCs w:val="20"/>
                <w:highlight w:val="none"/>
                <w:lang w:eastAsia="zh-CN"/>
              </w:rPr>
              <w:t>装饰设计</w:t>
            </w:r>
            <w:r>
              <w:rPr>
                <w:rFonts w:hint="eastAsia" w:ascii="宋体" w:hAnsi="宋体" w:cs="宋体"/>
                <w:color w:val="auto"/>
                <w:kern w:val="0"/>
                <w:sz w:val="20"/>
                <w:szCs w:val="20"/>
                <w:highlight w:val="none"/>
                <w:lang w:eastAsia="zh-CN"/>
              </w:rPr>
              <w:t>类专业</w:t>
            </w:r>
            <w:r>
              <w:rPr>
                <w:rFonts w:hint="eastAsia" w:ascii="宋体" w:hAnsi="宋体" w:eastAsia="宋体" w:cs="Times New Roman"/>
                <w:color w:val="auto"/>
                <w:sz w:val="20"/>
                <w:szCs w:val="20"/>
                <w:highlight w:val="none"/>
                <w:lang w:eastAsia="zh-CN"/>
              </w:rPr>
              <w:t>高级工程师(或以上)职称年限</w:t>
            </w:r>
            <w:r>
              <w:rPr>
                <w:rFonts w:hint="eastAsia" w:cs="宋体"/>
                <w:color w:val="auto"/>
                <w:kern w:val="2"/>
                <w:sz w:val="20"/>
                <w:szCs w:val="20"/>
                <w:highlight w:val="none"/>
                <w:lang w:val="en-US" w:eastAsia="zh-CN" w:bidi="ar-SA"/>
              </w:rPr>
              <w:t>3</w:t>
            </w:r>
            <w:r>
              <w:rPr>
                <w:rFonts w:hint="eastAsia" w:ascii="宋体" w:hAnsi="宋体" w:eastAsia="宋体" w:cs="宋体"/>
                <w:color w:val="auto"/>
                <w:kern w:val="2"/>
                <w:sz w:val="20"/>
                <w:szCs w:val="20"/>
                <w:highlight w:val="none"/>
                <w:lang w:val="en-US" w:eastAsia="zh-CN" w:bidi="ar-SA"/>
              </w:rPr>
              <w:t>年</w:t>
            </w:r>
            <w:r>
              <w:rPr>
                <w:rFonts w:hint="eastAsia" w:ascii="宋体" w:hAnsi="宋体" w:cs="宋体"/>
                <w:color w:val="auto"/>
                <w:sz w:val="20"/>
                <w:szCs w:val="20"/>
                <w:highlight w:val="none"/>
              </w:rPr>
              <w:t>(</w:t>
            </w:r>
            <w:r>
              <w:rPr>
                <w:rFonts w:hint="eastAsia" w:hAnsi="宋体" w:cs="宋体"/>
                <w:color w:val="auto"/>
                <w:kern w:val="2"/>
                <w:sz w:val="20"/>
                <w:szCs w:val="20"/>
                <w:highlight w:val="none"/>
                <w:lang w:val="en-US" w:eastAsia="zh-CN" w:bidi="ar-SA"/>
              </w:rPr>
              <w:t>不含本数</w:t>
            </w:r>
            <w:r>
              <w:rPr>
                <w:rFonts w:hint="eastAsia" w:ascii="宋体" w:hAnsi="宋体" w:cs="宋体"/>
                <w:color w:val="auto"/>
                <w:sz w:val="20"/>
                <w:szCs w:val="20"/>
                <w:highlight w:val="none"/>
              </w:rPr>
              <w:t>)</w:t>
            </w:r>
            <w:r>
              <w:rPr>
                <w:rFonts w:hint="eastAsia" w:cs="宋体"/>
                <w:color w:val="auto"/>
                <w:sz w:val="20"/>
                <w:szCs w:val="20"/>
                <w:highlight w:val="none"/>
                <w:lang w:val="en-US" w:eastAsia="zh-CN"/>
              </w:rPr>
              <w:t>以上</w:t>
            </w:r>
            <w:r>
              <w:rPr>
                <w:rFonts w:hint="eastAsia" w:ascii="宋体" w:hAnsi="宋体"/>
                <w:color w:val="auto"/>
                <w:sz w:val="20"/>
                <w:szCs w:val="20"/>
                <w:highlight w:val="none"/>
              </w:rPr>
              <w:t>的，加</w:t>
            </w:r>
            <w:r>
              <w:rPr>
                <w:rFonts w:hint="eastAsia"/>
                <w:color w:val="auto"/>
                <w:sz w:val="20"/>
                <w:szCs w:val="20"/>
                <w:highlight w:val="none"/>
                <w:lang w:val="en-US" w:eastAsia="zh-CN"/>
              </w:rPr>
              <w:t>5</w:t>
            </w:r>
            <w:r>
              <w:rPr>
                <w:rFonts w:hint="eastAsia" w:ascii="宋体" w:hAnsi="宋体"/>
                <w:color w:val="auto"/>
                <w:sz w:val="20"/>
                <w:szCs w:val="20"/>
                <w:highlight w:val="none"/>
              </w:rPr>
              <w:t>分</w:t>
            </w:r>
            <w:r>
              <w:rPr>
                <w:rFonts w:hint="eastAsia"/>
                <w:color w:val="auto"/>
                <w:sz w:val="20"/>
                <w:szCs w:val="20"/>
                <w:highlight w:val="none"/>
                <w:lang w:eastAsia="zh-CN"/>
              </w:rPr>
              <w:t>，</w:t>
            </w:r>
            <w:r>
              <w:rPr>
                <w:rFonts w:hint="eastAsia" w:cs="宋体"/>
                <w:bCs/>
                <w:color w:val="auto"/>
                <w:sz w:val="20"/>
                <w:szCs w:val="20"/>
                <w:highlight w:val="none"/>
                <w:lang w:val="en-US" w:eastAsia="zh-CN"/>
              </w:rPr>
              <w:t>1-</w:t>
            </w:r>
            <w:r>
              <w:rPr>
                <w:rFonts w:hint="eastAsia" w:cs="宋体"/>
                <w:color w:val="auto"/>
                <w:kern w:val="2"/>
                <w:sz w:val="20"/>
                <w:szCs w:val="20"/>
                <w:highlight w:val="none"/>
                <w:lang w:val="en-US" w:eastAsia="zh-CN" w:bidi="ar-SA"/>
              </w:rPr>
              <w:t>3</w:t>
            </w:r>
            <w:r>
              <w:rPr>
                <w:rFonts w:hint="eastAsia" w:ascii="宋体" w:hAnsi="宋体" w:eastAsia="宋体" w:cs="宋体"/>
                <w:color w:val="auto"/>
                <w:kern w:val="2"/>
                <w:sz w:val="20"/>
                <w:szCs w:val="20"/>
                <w:highlight w:val="none"/>
                <w:lang w:val="en-US" w:eastAsia="zh-CN" w:bidi="ar-SA"/>
              </w:rPr>
              <w:t>年</w:t>
            </w:r>
            <w:r>
              <w:rPr>
                <w:rFonts w:hint="eastAsia" w:hAnsi="宋体" w:cs="宋体"/>
                <w:color w:val="auto"/>
                <w:kern w:val="2"/>
                <w:sz w:val="20"/>
                <w:szCs w:val="20"/>
                <w:highlight w:val="none"/>
                <w:lang w:val="en-US" w:eastAsia="zh-CN" w:bidi="ar-SA"/>
              </w:rPr>
              <w:t>（含）</w:t>
            </w:r>
            <w:r>
              <w:rPr>
                <w:rFonts w:hint="eastAsia" w:ascii="宋体" w:hAnsi="宋体" w:eastAsia="宋体" w:cs="宋体"/>
                <w:color w:val="auto"/>
                <w:kern w:val="2"/>
                <w:sz w:val="20"/>
                <w:szCs w:val="20"/>
                <w:highlight w:val="none"/>
                <w:lang w:val="en-US" w:eastAsia="zh-CN" w:bidi="ar-SA"/>
              </w:rPr>
              <w:t>，加</w:t>
            </w:r>
            <w:r>
              <w:rPr>
                <w:rFonts w:hint="eastAsia" w:hAnsi="宋体" w:cs="宋体"/>
                <w:color w:val="auto"/>
                <w:kern w:val="2"/>
                <w:sz w:val="20"/>
                <w:szCs w:val="20"/>
                <w:highlight w:val="none"/>
                <w:lang w:val="en-US" w:eastAsia="zh-CN" w:bidi="ar-SA"/>
              </w:rPr>
              <w:t>2</w:t>
            </w:r>
            <w:r>
              <w:rPr>
                <w:rFonts w:hint="eastAsia" w:ascii="宋体" w:hAnsi="宋体" w:eastAsia="宋体" w:cs="宋体"/>
                <w:color w:val="auto"/>
                <w:kern w:val="2"/>
                <w:sz w:val="20"/>
                <w:szCs w:val="20"/>
                <w:highlight w:val="none"/>
                <w:lang w:val="en-US" w:eastAsia="zh-CN" w:bidi="ar-SA"/>
              </w:rPr>
              <w:t>分；</w:t>
            </w:r>
            <w:r>
              <w:rPr>
                <w:rFonts w:hint="eastAsia" w:ascii="宋体" w:hAnsi="宋体" w:eastAsia="宋体" w:cs="宋体"/>
                <w:b/>
                <w:bCs/>
                <w:color w:val="auto"/>
                <w:kern w:val="2"/>
                <w:sz w:val="20"/>
                <w:szCs w:val="20"/>
                <w:highlight w:val="none"/>
                <w:lang w:val="en-US" w:eastAsia="zh-CN" w:bidi="ar-SA"/>
              </w:rPr>
              <w:t>本项最多得</w:t>
            </w:r>
            <w:r>
              <w:rPr>
                <w:rFonts w:hint="eastAsia" w:hAnsi="宋体" w:cs="宋体"/>
                <w:b/>
                <w:bCs/>
                <w:color w:val="auto"/>
                <w:kern w:val="2"/>
                <w:sz w:val="20"/>
                <w:szCs w:val="20"/>
                <w:highlight w:val="none"/>
                <w:lang w:val="en-US" w:eastAsia="zh-CN" w:bidi="ar-SA"/>
              </w:rPr>
              <w:t>5</w:t>
            </w:r>
            <w:r>
              <w:rPr>
                <w:rFonts w:hint="eastAsia" w:ascii="宋体" w:hAnsi="宋体" w:eastAsia="宋体" w:cs="宋体"/>
                <w:b/>
                <w:bCs/>
                <w:color w:val="auto"/>
                <w:kern w:val="2"/>
                <w:sz w:val="20"/>
                <w:szCs w:val="20"/>
                <w:highlight w:val="none"/>
                <w:lang w:val="en-US" w:eastAsia="zh-CN" w:bidi="ar-SA"/>
              </w:rPr>
              <w:t>分。</w:t>
            </w:r>
          </w:p>
          <w:p>
            <w:pPr>
              <w:keepNext w:val="0"/>
              <w:keepLines w:val="0"/>
              <w:pageBreakBefore w:val="0"/>
              <w:widowControl w:val="0"/>
              <w:tabs>
                <w:tab w:val="left" w:pos="3570"/>
              </w:tabs>
              <w:kinsoku/>
              <w:wordWrap/>
              <w:overflowPunct/>
              <w:topLinePunct w:val="0"/>
              <w:autoSpaceDE/>
              <w:autoSpaceDN/>
              <w:bidi w:val="0"/>
              <w:adjustRightInd/>
              <w:snapToGrid/>
              <w:spacing w:line="288" w:lineRule="auto"/>
              <w:ind w:left="1400" w:leftChars="-38" w:right="-53" w:rightChars="-25" w:hanging="1480" w:hangingChars="740"/>
              <w:textAlignment w:val="auto"/>
              <w:rPr>
                <w:rFonts w:ascii="宋体" w:hAnsi="宋体"/>
                <w:color w:val="auto"/>
                <w:sz w:val="20"/>
                <w:szCs w:val="20"/>
                <w:highlight w:val="none"/>
              </w:rPr>
            </w:pPr>
            <w:r>
              <w:rPr>
                <w:rFonts w:hint="eastAsia"/>
                <w:color w:val="auto"/>
                <w:sz w:val="20"/>
                <w:szCs w:val="20"/>
                <w:highlight w:val="none"/>
                <w:lang w:val="en-US" w:eastAsia="zh-CN"/>
              </w:rPr>
              <w:t>5</w:t>
            </w:r>
            <w:r>
              <w:rPr>
                <w:rFonts w:hint="eastAsia" w:ascii="宋体" w:hAnsi="宋体"/>
                <w:color w:val="auto"/>
                <w:sz w:val="20"/>
                <w:szCs w:val="20"/>
                <w:highlight w:val="none"/>
              </w:rPr>
              <w:t>）造价</w:t>
            </w:r>
            <w:r>
              <w:rPr>
                <w:rFonts w:hint="eastAsia" w:ascii="宋体" w:hAnsi="宋体" w:eastAsia="宋体" w:cs="Times New Roman"/>
                <w:color w:val="auto"/>
                <w:sz w:val="20"/>
                <w:szCs w:val="20"/>
                <w:highlight w:val="none"/>
              </w:rPr>
              <w:t>负责人</w:t>
            </w:r>
            <w:r>
              <w:rPr>
                <w:rFonts w:hint="eastAsia" w:ascii="宋体" w:hAnsi="宋体"/>
                <w:color w:val="auto"/>
                <w:sz w:val="20"/>
                <w:szCs w:val="20"/>
                <w:highlight w:val="none"/>
              </w:rPr>
              <w:t>：</w:t>
            </w:r>
            <w:r>
              <w:rPr>
                <w:rFonts w:hint="eastAsia" w:cs="宋体"/>
                <w:color w:val="auto"/>
                <w:kern w:val="2"/>
                <w:sz w:val="20"/>
                <w:szCs w:val="20"/>
                <w:highlight w:val="none"/>
                <w:lang w:val="en-US" w:eastAsia="zh-CN" w:bidi="ar-SA"/>
              </w:rPr>
              <w:t>具有</w:t>
            </w:r>
            <w:r>
              <w:rPr>
                <w:rFonts w:hint="eastAsia" w:ascii="宋体" w:hAnsi="宋体" w:cs="宋体"/>
                <w:color w:val="auto"/>
                <w:kern w:val="0"/>
                <w:sz w:val="20"/>
                <w:szCs w:val="20"/>
                <w:highlight w:val="none"/>
                <w:lang w:eastAsia="zh-CN"/>
              </w:rPr>
              <w:t>建筑工程类专业</w:t>
            </w:r>
            <w:r>
              <w:rPr>
                <w:rFonts w:hint="eastAsia" w:ascii="宋体" w:hAnsi="宋体" w:cs="宋体"/>
                <w:color w:val="auto"/>
                <w:kern w:val="0"/>
                <w:sz w:val="20"/>
                <w:szCs w:val="20"/>
                <w:highlight w:val="none"/>
              </w:rPr>
              <w:t>高级工程师(或以上)</w:t>
            </w:r>
            <w:r>
              <w:rPr>
                <w:rFonts w:hint="eastAsia" w:ascii="宋体" w:hAnsi="宋体" w:cs="宋体"/>
                <w:bCs/>
                <w:color w:val="auto"/>
                <w:sz w:val="20"/>
                <w:szCs w:val="20"/>
                <w:highlight w:val="none"/>
              </w:rPr>
              <w:t>职称</w:t>
            </w:r>
            <w:r>
              <w:rPr>
                <w:rFonts w:hint="eastAsia" w:cs="宋体"/>
                <w:bCs/>
                <w:color w:val="auto"/>
                <w:sz w:val="20"/>
                <w:szCs w:val="20"/>
                <w:highlight w:val="none"/>
                <w:lang w:eastAsia="zh-CN"/>
              </w:rPr>
              <w:t>加</w:t>
            </w:r>
            <w:r>
              <w:rPr>
                <w:rFonts w:hint="eastAsia" w:cs="宋体"/>
                <w:bCs/>
                <w:color w:val="auto"/>
                <w:sz w:val="20"/>
                <w:szCs w:val="20"/>
                <w:highlight w:val="none"/>
                <w:lang w:val="en-US" w:eastAsia="zh-CN"/>
              </w:rPr>
              <w:t>3分；</w:t>
            </w:r>
            <w:r>
              <w:rPr>
                <w:rFonts w:hint="eastAsia" w:ascii="宋体" w:hAnsi="宋体" w:cs="宋体"/>
                <w:color w:val="auto"/>
                <w:sz w:val="20"/>
                <w:szCs w:val="20"/>
                <w:highlight w:val="none"/>
                <w:lang w:eastAsia="zh-CN"/>
              </w:rPr>
              <w:t>取</w:t>
            </w:r>
            <w:r>
              <w:rPr>
                <w:rFonts w:hint="eastAsia" w:cs="宋体"/>
                <w:color w:val="auto"/>
                <w:sz w:val="20"/>
                <w:szCs w:val="20"/>
                <w:highlight w:val="none"/>
                <w:lang w:eastAsia="zh-CN"/>
              </w:rPr>
              <w:t>得前述专业</w:t>
            </w:r>
            <w:r>
              <w:rPr>
                <w:rFonts w:hint="eastAsia" w:ascii="宋体" w:hAnsi="宋体" w:cs="宋体"/>
                <w:bCs/>
                <w:color w:val="auto"/>
                <w:sz w:val="20"/>
                <w:szCs w:val="20"/>
                <w:highlight w:val="none"/>
              </w:rPr>
              <w:t>职称</w:t>
            </w:r>
            <w:r>
              <w:rPr>
                <w:rFonts w:hint="eastAsia" w:ascii="宋体" w:hAnsi="宋体" w:cs="宋体"/>
                <w:color w:val="auto"/>
                <w:sz w:val="20"/>
                <w:szCs w:val="20"/>
                <w:highlight w:val="none"/>
                <w:lang w:eastAsia="zh-CN"/>
              </w:rPr>
              <w:t>年限</w:t>
            </w:r>
            <w:r>
              <w:rPr>
                <w:rFonts w:hint="eastAsia" w:cs="宋体"/>
                <w:color w:val="auto"/>
                <w:kern w:val="2"/>
                <w:sz w:val="20"/>
                <w:szCs w:val="20"/>
                <w:highlight w:val="none"/>
                <w:lang w:val="en-US" w:eastAsia="zh-CN" w:bidi="ar-SA"/>
              </w:rPr>
              <w:t>3</w:t>
            </w:r>
            <w:r>
              <w:rPr>
                <w:rFonts w:hint="eastAsia" w:ascii="宋体" w:hAnsi="宋体" w:eastAsia="宋体" w:cs="宋体"/>
                <w:color w:val="auto"/>
                <w:kern w:val="2"/>
                <w:sz w:val="20"/>
                <w:szCs w:val="20"/>
                <w:highlight w:val="none"/>
                <w:lang w:val="en-US" w:eastAsia="zh-CN" w:bidi="ar-SA"/>
              </w:rPr>
              <w:t>年</w:t>
            </w:r>
            <w:r>
              <w:rPr>
                <w:rFonts w:hint="eastAsia" w:ascii="宋体" w:hAnsi="宋体" w:cs="宋体"/>
                <w:color w:val="auto"/>
                <w:sz w:val="20"/>
                <w:szCs w:val="20"/>
                <w:highlight w:val="none"/>
              </w:rPr>
              <w:t>(</w:t>
            </w:r>
            <w:r>
              <w:rPr>
                <w:rFonts w:hint="eastAsia" w:hAnsi="宋体" w:cs="宋体"/>
                <w:color w:val="auto"/>
                <w:kern w:val="2"/>
                <w:sz w:val="20"/>
                <w:szCs w:val="20"/>
                <w:highlight w:val="none"/>
                <w:lang w:val="en-US" w:eastAsia="zh-CN" w:bidi="ar-SA"/>
              </w:rPr>
              <w:t>不含本数</w:t>
            </w:r>
            <w:r>
              <w:rPr>
                <w:rFonts w:hint="eastAsia" w:ascii="宋体" w:hAnsi="宋体" w:cs="宋体"/>
                <w:color w:val="auto"/>
                <w:sz w:val="20"/>
                <w:szCs w:val="20"/>
                <w:highlight w:val="none"/>
              </w:rPr>
              <w:t>)</w:t>
            </w:r>
            <w:r>
              <w:rPr>
                <w:rFonts w:hint="eastAsia" w:cs="宋体"/>
                <w:color w:val="auto"/>
                <w:sz w:val="20"/>
                <w:szCs w:val="20"/>
                <w:highlight w:val="none"/>
                <w:lang w:val="en-US" w:eastAsia="zh-CN"/>
              </w:rPr>
              <w:t>以上</w:t>
            </w:r>
            <w:r>
              <w:rPr>
                <w:rFonts w:hint="eastAsia" w:ascii="宋体" w:hAnsi="宋体" w:cs="宋体"/>
                <w:bCs/>
                <w:color w:val="auto"/>
                <w:sz w:val="20"/>
                <w:szCs w:val="20"/>
                <w:highlight w:val="none"/>
              </w:rPr>
              <w:t>的，加</w:t>
            </w:r>
            <w:r>
              <w:rPr>
                <w:rFonts w:hint="eastAsia" w:cs="宋体"/>
                <w:bCs/>
                <w:color w:val="auto"/>
                <w:sz w:val="20"/>
                <w:szCs w:val="20"/>
                <w:highlight w:val="none"/>
                <w:lang w:val="en-US" w:eastAsia="zh-CN"/>
              </w:rPr>
              <w:t>2</w:t>
            </w:r>
            <w:r>
              <w:rPr>
                <w:rFonts w:hint="eastAsia" w:ascii="宋体" w:hAnsi="宋体" w:cs="宋体"/>
                <w:bCs/>
                <w:color w:val="auto"/>
                <w:sz w:val="20"/>
                <w:szCs w:val="20"/>
                <w:highlight w:val="none"/>
              </w:rPr>
              <w:t>分</w:t>
            </w:r>
            <w:r>
              <w:rPr>
                <w:rFonts w:hint="eastAsia" w:cs="宋体"/>
                <w:bCs/>
                <w:color w:val="auto"/>
                <w:sz w:val="20"/>
                <w:szCs w:val="20"/>
                <w:highlight w:val="none"/>
                <w:lang w:eastAsia="zh-CN"/>
              </w:rPr>
              <w:t>，</w:t>
            </w:r>
            <w:r>
              <w:rPr>
                <w:rFonts w:hint="eastAsia" w:cs="宋体"/>
                <w:bCs/>
                <w:color w:val="auto"/>
                <w:sz w:val="20"/>
                <w:szCs w:val="20"/>
                <w:highlight w:val="none"/>
                <w:lang w:val="en-US" w:eastAsia="zh-CN"/>
              </w:rPr>
              <w:t>1-</w:t>
            </w:r>
            <w:r>
              <w:rPr>
                <w:rFonts w:hint="eastAsia" w:cs="宋体"/>
                <w:color w:val="auto"/>
                <w:kern w:val="2"/>
                <w:sz w:val="20"/>
                <w:szCs w:val="20"/>
                <w:highlight w:val="none"/>
                <w:lang w:val="en-US" w:eastAsia="zh-CN" w:bidi="ar-SA"/>
              </w:rPr>
              <w:t>3</w:t>
            </w:r>
            <w:r>
              <w:rPr>
                <w:rFonts w:hint="eastAsia" w:ascii="宋体" w:hAnsi="宋体" w:eastAsia="宋体" w:cs="宋体"/>
                <w:color w:val="auto"/>
                <w:kern w:val="2"/>
                <w:sz w:val="20"/>
                <w:szCs w:val="20"/>
                <w:highlight w:val="none"/>
                <w:lang w:val="en-US" w:eastAsia="zh-CN" w:bidi="ar-SA"/>
              </w:rPr>
              <w:t>年</w:t>
            </w:r>
            <w:r>
              <w:rPr>
                <w:rFonts w:hint="eastAsia" w:hAnsi="宋体" w:cs="宋体"/>
                <w:color w:val="auto"/>
                <w:kern w:val="2"/>
                <w:sz w:val="20"/>
                <w:szCs w:val="20"/>
                <w:highlight w:val="none"/>
                <w:lang w:val="en-US" w:eastAsia="zh-CN" w:bidi="ar-SA"/>
              </w:rPr>
              <w:t>（含）</w:t>
            </w:r>
            <w:r>
              <w:rPr>
                <w:rFonts w:hint="eastAsia" w:ascii="宋体" w:hAnsi="宋体" w:eastAsia="宋体" w:cs="宋体"/>
                <w:color w:val="auto"/>
                <w:kern w:val="2"/>
                <w:sz w:val="20"/>
                <w:szCs w:val="20"/>
                <w:highlight w:val="none"/>
                <w:lang w:val="en-US" w:eastAsia="zh-CN" w:bidi="ar-SA"/>
              </w:rPr>
              <w:t>，加</w:t>
            </w:r>
            <w:r>
              <w:rPr>
                <w:rFonts w:hint="eastAsia" w:cs="宋体"/>
                <w:color w:val="auto"/>
                <w:kern w:val="2"/>
                <w:sz w:val="20"/>
                <w:szCs w:val="20"/>
                <w:highlight w:val="none"/>
                <w:lang w:val="en-US" w:eastAsia="zh-CN" w:bidi="ar-SA"/>
              </w:rPr>
              <w:t>1</w:t>
            </w:r>
            <w:r>
              <w:rPr>
                <w:rFonts w:hint="eastAsia" w:ascii="宋体" w:hAnsi="宋体" w:eastAsia="宋体" w:cs="宋体"/>
                <w:color w:val="auto"/>
                <w:kern w:val="2"/>
                <w:sz w:val="20"/>
                <w:szCs w:val="20"/>
                <w:highlight w:val="none"/>
                <w:lang w:val="en-US" w:eastAsia="zh-CN" w:bidi="ar-SA"/>
              </w:rPr>
              <w:t>分；</w:t>
            </w:r>
            <w:r>
              <w:rPr>
                <w:rFonts w:hint="eastAsia" w:ascii="宋体" w:hAnsi="宋体" w:eastAsia="宋体" w:cs="宋体"/>
                <w:b/>
                <w:bCs/>
                <w:color w:val="auto"/>
                <w:kern w:val="2"/>
                <w:sz w:val="20"/>
                <w:szCs w:val="20"/>
                <w:highlight w:val="none"/>
                <w:lang w:val="en-US" w:eastAsia="zh-CN" w:bidi="ar-SA"/>
              </w:rPr>
              <w:t>本项最多得</w:t>
            </w:r>
            <w:r>
              <w:rPr>
                <w:rFonts w:hint="eastAsia" w:hAnsi="宋体" w:cs="宋体"/>
                <w:b/>
                <w:bCs/>
                <w:color w:val="auto"/>
                <w:kern w:val="2"/>
                <w:sz w:val="20"/>
                <w:szCs w:val="20"/>
                <w:highlight w:val="none"/>
                <w:lang w:val="en-US" w:eastAsia="zh-CN" w:bidi="ar-SA"/>
              </w:rPr>
              <w:t>5</w:t>
            </w:r>
            <w:r>
              <w:rPr>
                <w:rFonts w:hint="eastAsia" w:ascii="宋体" w:hAnsi="宋体" w:eastAsia="宋体" w:cs="宋体"/>
                <w:b/>
                <w:bCs/>
                <w:color w:val="auto"/>
                <w:kern w:val="2"/>
                <w:sz w:val="20"/>
                <w:szCs w:val="20"/>
                <w:highlight w:val="none"/>
                <w:lang w:val="en-US" w:eastAsia="zh-CN" w:bidi="ar-SA"/>
              </w:rPr>
              <w:t>分。</w:t>
            </w:r>
          </w:p>
          <w:p>
            <w:pPr>
              <w:keepNext w:val="0"/>
              <w:keepLines w:val="0"/>
              <w:pageBreakBefore w:val="0"/>
              <w:widowControl w:val="0"/>
              <w:tabs>
                <w:tab w:val="left" w:pos="3570"/>
              </w:tabs>
              <w:kinsoku/>
              <w:wordWrap/>
              <w:overflowPunct/>
              <w:topLinePunct w:val="0"/>
              <w:autoSpaceDE/>
              <w:autoSpaceDN/>
              <w:bidi w:val="0"/>
              <w:adjustRightInd/>
              <w:snapToGrid/>
              <w:spacing w:line="288" w:lineRule="auto"/>
              <w:ind w:left="1424" w:leftChars="-40" w:right="-53" w:rightChars="-25" w:hanging="1508" w:hangingChars="754"/>
              <w:textAlignment w:val="auto"/>
              <w:rPr>
                <w:rFonts w:hint="eastAsia" w:ascii="宋体" w:hAnsi="宋体" w:eastAsia="宋体"/>
                <w:color w:val="auto"/>
                <w:sz w:val="20"/>
                <w:szCs w:val="20"/>
                <w:highlight w:val="none"/>
                <w:lang w:eastAsia="zh-CN"/>
              </w:rPr>
            </w:pPr>
            <w:r>
              <w:rPr>
                <w:rFonts w:hint="eastAsia"/>
                <w:color w:val="auto"/>
                <w:sz w:val="20"/>
                <w:szCs w:val="20"/>
                <w:highlight w:val="none"/>
                <w:lang w:val="en-US" w:eastAsia="zh-CN"/>
              </w:rPr>
              <w:t>6</w:t>
            </w:r>
            <w:r>
              <w:rPr>
                <w:rFonts w:hint="eastAsia" w:ascii="宋体" w:hAnsi="宋体"/>
                <w:color w:val="auto"/>
                <w:sz w:val="20"/>
                <w:szCs w:val="20"/>
                <w:highlight w:val="none"/>
              </w:rPr>
              <w:t>）</w:t>
            </w:r>
            <w:r>
              <w:rPr>
                <w:rFonts w:hint="eastAsia" w:ascii="宋体" w:hAnsi="宋体"/>
                <w:color w:val="auto"/>
                <w:sz w:val="20"/>
                <w:szCs w:val="20"/>
                <w:highlight w:val="none"/>
                <w:lang w:eastAsia="zh-CN"/>
              </w:rPr>
              <w:t>安全负责人：</w:t>
            </w:r>
            <w:r>
              <w:rPr>
                <w:rFonts w:hint="eastAsia" w:cs="宋体"/>
                <w:color w:val="auto"/>
                <w:kern w:val="2"/>
                <w:sz w:val="20"/>
                <w:szCs w:val="20"/>
                <w:highlight w:val="none"/>
                <w:lang w:val="en-US" w:eastAsia="zh-CN" w:bidi="ar-SA"/>
              </w:rPr>
              <w:t>具有</w:t>
            </w:r>
            <w:r>
              <w:rPr>
                <w:rFonts w:hint="eastAsia" w:ascii="宋体" w:hAnsi="宋体" w:cs="宋体"/>
                <w:color w:val="auto"/>
                <w:kern w:val="0"/>
                <w:sz w:val="20"/>
                <w:szCs w:val="20"/>
                <w:highlight w:val="none"/>
                <w:lang w:eastAsia="zh-CN"/>
              </w:rPr>
              <w:t>建筑工程类专业</w:t>
            </w:r>
            <w:r>
              <w:rPr>
                <w:rFonts w:hint="eastAsia" w:ascii="宋体" w:hAnsi="宋体" w:cs="宋体"/>
                <w:color w:val="auto"/>
                <w:kern w:val="0"/>
                <w:sz w:val="20"/>
                <w:szCs w:val="20"/>
                <w:highlight w:val="none"/>
              </w:rPr>
              <w:t>高级工程师(或以上)</w:t>
            </w:r>
            <w:r>
              <w:rPr>
                <w:rFonts w:hint="eastAsia" w:ascii="宋体" w:hAnsi="宋体" w:cs="宋体"/>
                <w:bCs/>
                <w:color w:val="auto"/>
                <w:sz w:val="20"/>
                <w:szCs w:val="20"/>
                <w:highlight w:val="none"/>
              </w:rPr>
              <w:t>职称</w:t>
            </w:r>
            <w:r>
              <w:rPr>
                <w:rFonts w:hint="eastAsia" w:cs="宋体"/>
                <w:bCs/>
                <w:color w:val="auto"/>
                <w:sz w:val="20"/>
                <w:szCs w:val="20"/>
                <w:highlight w:val="none"/>
                <w:lang w:eastAsia="zh-CN"/>
              </w:rPr>
              <w:t>加</w:t>
            </w:r>
            <w:r>
              <w:rPr>
                <w:rFonts w:hint="eastAsia" w:cs="宋体"/>
                <w:bCs/>
                <w:color w:val="auto"/>
                <w:sz w:val="20"/>
                <w:szCs w:val="20"/>
                <w:highlight w:val="none"/>
                <w:lang w:val="en-US" w:eastAsia="zh-CN"/>
              </w:rPr>
              <w:t>3分；</w:t>
            </w:r>
            <w:r>
              <w:rPr>
                <w:rFonts w:hint="eastAsia" w:ascii="宋体" w:hAnsi="宋体" w:cs="宋体"/>
                <w:color w:val="auto"/>
                <w:sz w:val="20"/>
                <w:szCs w:val="20"/>
                <w:highlight w:val="none"/>
                <w:lang w:eastAsia="zh-CN"/>
              </w:rPr>
              <w:t>取</w:t>
            </w:r>
            <w:r>
              <w:rPr>
                <w:rFonts w:hint="eastAsia" w:cs="宋体"/>
                <w:color w:val="auto"/>
                <w:sz w:val="20"/>
                <w:szCs w:val="20"/>
                <w:highlight w:val="none"/>
                <w:lang w:eastAsia="zh-CN"/>
              </w:rPr>
              <w:t>得前述专业</w:t>
            </w:r>
            <w:r>
              <w:rPr>
                <w:rFonts w:hint="eastAsia" w:ascii="宋体" w:hAnsi="宋体" w:cs="宋体"/>
                <w:bCs/>
                <w:color w:val="auto"/>
                <w:sz w:val="20"/>
                <w:szCs w:val="20"/>
                <w:highlight w:val="none"/>
              </w:rPr>
              <w:t>职称</w:t>
            </w:r>
            <w:r>
              <w:rPr>
                <w:rFonts w:hint="eastAsia" w:ascii="宋体" w:hAnsi="宋体" w:cs="宋体"/>
                <w:color w:val="auto"/>
                <w:sz w:val="20"/>
                <w:szCs w:val="20"/>
                <w:highlight w:val="none"/>
                <w:lang w:eastAsia="zh-CN"/>
              </w:rPr>
              <w:t>年限</w:t>
            </w:r>
            <w:r>
              <w:rPr>
                <w:rFonts w:hint="eastAsia" w:cs="宋体"/>
                <w:color w:val="auto"/>
                <w:kern w:val="2"/>
                <w:sz w:val="20"/>
                <w:szCs w:val="20"/>
                <w:highlight w:val="none"/>
                <w:lang w:val="en-US" w:eastAsia="zh-CN" w:bidi="ar-SA"/>
              </w:rPr>
              <w:t>3</w:t>
            </w:r>
            <w:r>
              <w:rPr>
                <w:rFonts w:hint="eastAsia" w:ascii="宋体" w:hAnsi="宋体" w:eastAsia="宋体" w:cs="宋体"/>
                <w:color w:val="auto"/>
                <w:kern w:val="2"/>
                <w:sz w:val="20"/>
                <w:szCs w:val="20"/>
                <w:highlight w:val="none"/>
                <w:lang w:val="en-US" w:eastAsia="zh-CN" w:bidi="ar-SA"/>
              </w:rPr>
              <w:t>年</w:t>
            </w:r>
            <w:r>
              <w:rPr>
                <w:rFonts w:hint="eastAsia" w:ascii="宋体" w:hAnsi="宋体" w:cs="宋体"/>
                <w:color w:val="auto"/>
                <w:sz w:val="20"/>
                <w:szCs w:val="20"/>
                <w:highlight w:val="none"/>
              </w:rPr>
              <w:t>(</w:t>
            </w:r>
            <w:r>
              <w:rPr>
                <w:rFonts w:hint="eastAsia" w:hAnsi="宋体" w:cs="宋体"/>
                <w:color w:val="auto"/>
                <w:kern w:val="2"/>
                <w:sz w:val="20"/>
                <w:szCs w:val="20"/>
                <w:highlight w:val="none"/>
                <w:lang w:val="en-US" w:eastAsia="zh-CN" w:bidi="ar-SA"/>
              </w:rPr>
              <w:t>不含本数</w:t>
            </w:r>
            <w:r>
              <w:rPr>
                <w:rFonts w:hint="eastAsia" w:ascii="宋体" w:hAnsi="宋体" w:cs="宋体"/>
                <w:color w:val="auto"/>
                <w:sz w:val="20"/>
                <w:szCs w:val="20"/>
                <w:highlight w:val="none"/>
              </w:rPr>
              <w:t>)</w:t>
            </w:r>
            <w:r>
              <w:rPr>
                <w:rFonts w:hint="eastAsia" w:cs="宋体"/>
                <w:color w:val="auto"/>
                <w:sz w:val="20"/>
                <w:szCs w:val="20"/>
                <w:highlight w:val="none"/>
                <w:lang w:val="en-US" w:eastAsia="zh-CN"/>
              </w:rPr>
              <w:t>以上</w:t>
            </w:r>
            <w:r>
              <w:rPr>
                <w:rFonts w:hint="eastAsia" w:ascii="宋体" w:hAnsi="宋体" w:cs="宋体"/>
                <w:bCs/>
                <w:color w:val="auto"/>
                <w:sz w:val="20"/>
                <w:szCs w:val="20"/>
                <w:highlight w:val="none"/>
              </w:rPr>
              <w:t>的，加</w:t>
            </w:r>
            <w:r>
              <w:rPr>
                <w:rFonts w:hint="eastAsia" w:cs="宋体"/>
                <w:bCs/>
                <w:color w:val="auto"/>
                <w:sz w:val="20"/>
                <w:szCs w:val="20"/>
                <w:highlight w:val="none"/>
                <w:lang w:val="en-US" w:eastAsia="zh-CN"/>
              </w:rPr>
              <w:t>2</w:t>
            </w:r>
            <w:r>
              <w:rPr>
                <w:rFonts w:hint="eastAsia" w:ascii="宋体" w:hAnsi="宋体" w:cs="宋体"/>
                <w:bCs/>
                <w:color w:val="auto"/>
                <w:sz w:val="20"/>
                <w:szCs w:val="20"/>
                <w:highlight w:val="none"/>
              </w:rPr>
              <w:t>分</w:t>
            </w:r>
            <w:r>
              <w:rPr>
                <w:rFonts w:hint="eastAsia" w:cs="宋体"/>
                <w:bCs/>
                <w:color w:val="auto"/>
                <w:sz w:val="20"/>
                <w:szCs w:val="20"/>
                <w:highlight w:val="none"/>
                <w:lang w:eastAsia="zh-CN"/>
              </w:rPr>
              <w:t>，</w:t>
            </w:r>
            <w:r>
              <w:rPr>
                <w:rFonts w:hint="eastAsia" w:cs="宋体"/>
                <w:bCs/>
                <w:color w:val="auto"/>
                <w:sz w:val="20"/>
                <w:szCs w:val="20"/>
                <w:highlight w:val="none"/>
                <w:lang w:val="en-US" w:eastAsia="zh-CN"/>
              </w:rPr>
              <w:t>1-</w:t>
            </w:r>
            <w:r>
              <w:rPr>
                <w:rFonts w:hint="eastAsia" w:cs="宋体"/>
                <w:color w:val="auto"/>
                <w:kern w:val="2"/>
                <w:sz w:val="20"/>
                <w:szCs w:val="20"/>
                <w:highlight w:val="none"/>
                <w:lang w:val="en-US" w:eastAsia="zh-CN" w:bidi="ar-SA"/>
              </w:rPr>
              <w:t>3</w:t>
            </w:r>
            <w:r>
              <w:rPr>
                <w:rFonts w:hint="eastAsia" w:ascii="宋体" w:hAnsi="宋体" w:eastAsia="宋体" w:cs="宋体"/>
                <w:color w:val="auto"/>
                <w:kern w:val="2"/>
                <w:sz w:val="20"/>
                <w:szCs w:val="20"/>
                <w:highlight w:val="none"/>
                <w:lang w:val="en-US" w:eastAsia="zh-CN" w:bidi="ar-SA"/>
              </w:rPr>
              <w:t>年</w:t>
            </w:r>
            <w:r>
              <w:rPr>
                <w:rFonts w:hint="eastAsia" w:hAnsi="宋体" w:cs="宋体"/>
                <w:color w:val="auto"/>
                <w:kern w:val="2"/>
                <w:sz w:val="20"/>
                <w:szCs w:val="20"/>
                <w:highlight w:val="none"/>
                <w:lang w:val="en-US" w:eastAsia="zh-CN" w:bidi="ar-SA"/>
              </w:rPr>
              <w:t>（含）</w:t>
            </w:r>
            <w:r>
              <w:rPr>
                <w:rFonts w:hint="eastAsia" w:ascii="宋体" w:hAnsi="宋体" w:eastAsia="宋体" w:cs="宋体"/>
                <w:color w:val="auto"/>
                <w:kern w:val="2"/>
                <w:sz w:val="20"/>
                <w:szCs w:val="20"/>
                <w:highlight w:val="none"/>
                <w:lang w:val="en-US" w:eastAsia="zh-CN" w:bidi="ar-SA"/>
              </w:rPr>
              <w:t>，加</w:t>
            </w:r>
            <w:r>
              <w:rPr>
                <w:rFonts w:hint="eastAsia" w:cs="宋体"/>
                <w:color w:val="auto"/>
                <w:kern w:val="2"/>
                <w:sz w:val="20"/>
                <w:szCs w:val="20"/>
                <w:highlight w:val="none"/>
                <w:lang w:val="en-US" w:eastAsia="zh-CN" w:bidi="ar-SA"/>
              </w:rPr>
              <w:t>1</w:t>
            </w:r>
            <w:r>
              <w:rPr>
                <w:rFonts w:hint="eastAsia" w:ascii="宋体" w:hAnsi="宋体" w:eastAsia="宋体" w:cs="宋体"/>
                <w:color w:val="auto"/>
                <w:kern w:val="2"/>
                <w:sz w:val="20"/>
                <w:szCs w:val="20"/>
                <w:highlight w:val="none"/>
                <w:lang w:val="en-US" w:eastAsia="zh-CN" w:bidi="ar-SA"/>
              </w:rPr>
              <w:t>分；</w:t>
            </w:r>
            <w:r>
              <w:rPr>
                <w:rFonts w:hint="eastAsia" w:ascii="宋体" w:hAnsi="宋体" w:eastAsia="宋体" w:cs="宋体"/>
                <w:b/>
                <w:bCs/>
                <w:color w:val="auto"/>
                <w:kern w:val="2"/>
                <w:sz w:val="20"/>
                <w:szCs w:val="20"/>
                <w:highlight w:val="none"/>
                <w:lang w:val="en-US" w:eastAsia="zh-CN" w:bidi="ar-SA"/>
              </w:rPr>
              <w:t>本项最多得</w:t>
            </w:r>
            <w:r>
              <w:rPr>
                <w:rFonts w:hint="eastAsia" w:hAnsi="宋体" w:cs="宋体"/>
                <w:b/>
                <w:bCs/>
                <w:color w:val="auto"/>
                <w:kern w:val="2"/>
                <w:sz w:val="20"/>
                <w:szCs w:val="20"/>
                <w:highlight w:val="none"/>
                <w:lang w:val="en-US" w:eastAsia="zh-CN" w:bidi="ar-SA"/>
              </w:rPr>
              <w:t>5</w:t>
            </w:r>
            <w:r>
              <w:rPr>
                <w:rFonts w:hint="eastAsia" w:ascii="宋体" w:hAnsi="宋体" w:eastAsia="宋体" w:cs="宋体"/>
                <w:b/>
                <w:bCs/>
                <w:color w:val="auto"/>
                <w:kern w:val="2"/>
                <w:sz w:val="20"/>
                <w:szCs w:val="20"/>
                <w:highlight w:val="none"/>
                <w:lang w:val="en-US" w:eastAsia="zh-CN" w:bidi="ar-SA"/>
              </w:rPr>
              <w:t>分。</w:t>
            </w:r>
          </w:p>
          <w:p>
            <w:pPr>
              <w:keepNext w:val="0"/>
              <w:keepLines w:val="0"/>
              <w:pageBreakBefore w:val="0"/>
              <w:tabs>
                <w:tab w:val="left" w:pos="3570"/>
              </w:tabs>
              <w:kinsoku/>
              <w:wordWrap/>
              <w:overflowPunct/>
              <w:topLinePunct w:val="0"/>
              <w:bidi w:val="0"/>
              <w:snapToGrid w:val="0"/>
              <w:spacing w:line="288" w:lineRule="auto"/>
              <w:textAlignment w:val="auto"/>
              <w:rPr>
                <w:rFonts w:hint="eastAsia" w:ascii="宋体" w:hAnsi="宋体"/>
                <w:b w:val="0"/>
                <w:bCs/>
                <w:color w:val="auto"/>
                <w:sz w:val="20"/>
                <w:szCs w:val="20"/>
                <w:highlight w:val="none"/>
                <w:lang w:val="en-US" w:eastAsia="zh-CN"/>
              </w:rPr>
            </w:pPr>
            <w:r>
              <w:rPr>
                <w:rFonts w:hint="eastAsia" w:ascii="宋体" w:hAnsi="宋体"/>
                <w:color w:val="auto"/>
                <w:sz w:val="20"/>
                <w:szCs w:val="20"/>
                <w:highlight w:val="none"/>
              </w:rPr>
              <w:t>注：本项累计最高得</w:t>
            </w:r>
            <w:r>
              <w:rPr>
                <w:rFonts w:hint="eastAsia" w:ascii="宋体" w:hAnsi="宋体"/>
                <w:color w:val="auto"/>
                <w:sz w:val="20"/>
                <w:szCs w:val="20"/>
                <w:highlight w:val="none"/>
                <w:lang w:val="en-US" w:eastAsia="zh-CN"/>
              </w:rPr>
              <w:t>40</w:t>
            </w:r>
            <w:r>
              <w:rPr>
                <w:rFonts w:hint="eastAsia" w:ascii="宋体" w:hAnsi="宋体"/>
                <w:color w:val="auto"/>
                <w:sz w:val="20"/>
                <w:szCs w:val="20"/>
                <w:highlight w:val="none"/>
              </w:rPr>
              <w:t>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780" w:hRule="atLeast"/>
        </w:trPr>
        <w:tc>
          <w:tcPr>
            <w:tcW w:w="804" w:type="dxa"/>
            <w:vMerge w:val="restart"/>
            <w:shd w:val="clear" w:color="auto" w:fill="FFFFFF"/>
            <w:noWrap w:val="0"/>
            <w:vAlign w:val="center"/>
          </w:tcPr>
          <w:p>
            <w:pPr>
              <w:keepNext w:val="0"/>
              <w:keepLines w:val="0"/>
              <w:pageBreakBefore w:val="0"/>
              <w:tabs>
                <w:tab w:val="left" w:pos="3570"/>
              </w:tabs>
              <w:kinsoku/>
              <w:wordWrap/>
              <w:overflowPunct/>
              <w:topLinePunct w:val="0"/>
              <w:bidi w:val="0"/>
              <w:spacing w:line="240" w:lineRule="auto"/>
              <w:ind w:left="-57" w:leftChars="-27" w:right="-50" w:rightChars="-24"/>
              <w:jc w:val="center"/>
              <w:textAlignment w:val="auto"/>
              <w:rPr>
                <w:rFonts w:hint="default" w:ascii="宋体" w:hAnsi="宋体" w:eastAsia="宋体"/>
                <w:color w:val="auto"/>
                <w:kern w:val="0"/>
                <w:sz w:val="20"/>
                <w:szCs w:val="20"/>
                <w:highlight w:val="none"/>
                <w:lang w:val="en-US" w:eastAsia="zh-CN"/>
              </w:rPr>
            </w:pPr>
            <w:r>
              <w:rPr>
                <w:rFonts w:hint="eastAsia"/>
                <w:color w:val="auto"/>
                <w:kern w:val="0"/>
                <w:sz w:val="20"/>
                <w:szCs w:val="20"/>
                <w:highlight w:val="none"/>
                <w:lang w:val="en-US" w:eastAsia="zh-CN"/>
              </w:rPr>
              <w:t>三</w:t>
            </w:r>
          </w:p>
        </w:tc>
        <w:tc>
          <w:tcPr>
            <w:tcW w:w="674" w:type="dxa"/>
            <w:vMerge w:val="restart"/>
            <w:shd w:val="clear" w:color="auto" w:fill="FFFFFF"/>
            <w:noWrap w:val="0"/>
            <w:vAlign w:val="center"/>
          </w:tcPr>
          <w:p>
            <w:pPr>
              <w:keepNext w:val="0"/>
              <w:keepLines w:val="0"/>
              <w:pageBreakBefore w:val="0"/>
              <w:widowControl/>
              <w:tabs>
                <w:tab w:val="left" w:pos="3570"/>
              </w:tabs>
              <w:kinsoku/>
              <w:wordWrap/>
              <w:overflowPunct/>
              <w:topLinePunct w:val="0"/>
              <w:bidi w:val="0"/>
              <w:adjustRightInd w:val="0"/>
              <w:snapToGrid w:val="0"/>
              <w:spacing w:line="240" w:lineRule="auto"/>
              <w:ind w:left="-57" w:leftChars="-27" w:right="-50" w:rightChars="-24"/>
              <w:jc w:val="center"/>
              <w:textAlignment w:val="auto"/>
              <w:rPr>
                <w:rFonts w:hint="eastAsia" w:ascii="宋体" w:hAnsi="宋体"/>
                <w:color w:val="auto"/>
                <w:kern w:val="0"/>
                <w:sz w:val="20"/>
                <w:szCs w:val="20"/>
                <w:highlight w:val="none"/>
                <w:lang w:val="zh-CN"/>
              </w:rPr>
            </w:pPr>
            <w:r>
              <w:rPr>
                <w:rFonts w:hint="eastAsia" w:ascii="宋体" w:hAnsi="宋体"/>
                <w:color w:val="auto"/>
                <w:kern w:val="0"/>
                <w:sz w:val="20"/>
                <w:szCs w:val="20"/>
                <w:highlight w:val="none"/>
                <w:lang w:val="zh-CN"/>
              </w:rPr>
              <w:t>企业</w:t>
            </w:r>
          </w:p>
          <w:p>
            <w:pPr>
              <w:keepNext w:val="0"/>
              <w:keepLines w:val="0"/>
              <w:pageBreakBefore w:val="0"/>
              <w:tabs>
                <w:tab w:val="left" w:pos="3570"/>
              </w:tabs>
              <w:kinsoku/>
              <w:wordWrap/>
              <w:overflowPunct/>
              <w:topLinePunct w:val="0"/>
              <w:bidi w:val="0"/>
              <w:spacing w:line="240" w:lineRule="auto"/>
              <w:ind w:left="-57" w:leftChars="-27" w:right="-50" w:rightChars="-24"/>
              <w:jc w:val="center"/>
              <w:textAlignment w:val="auto"/>
              <w:rPr>
                <w:rFonts w:ascii="宋体" w:hAnsi="宋体"/>
                <w:color w:val="auto"/>
                <w:kern w:val="0"/>
                <w:sz w:val="20"/>
                <w:szCs w:val="20"/>
                <w:highlight w:val="none"/>
                <w:lang w:val="zh-CN"/>
              </w:rPr>
            </w:pPr>
            <w:r>
              <w:rPr>
                <w:rFonts w:hint="eastAsia" w:ascii="宋体" w:hAnsi="宋体"/>
                <w:color w:val="auto"/>
                <w:kern w:val="0"/>
                <w:sz w:val="20"/>
                <w:szCs w:val="20"/>
                <w:highlight w:val="none"/>
                <w:lang w:val="zh-CN"/>
              </w:rPr>
              <w:t>资信（30分）</w:t>
            </w:r>
          </w:p>
        </w:tc>
        <w:tc>
          <w:tcPr>
            <w:tcW w:w="1310" w:type="dxa"/>
            <w:gridSpan w:val="2"/>
            <w:shd w:val="clear" w:color="auto" w:fill="FFFFFF"/>
            <w:noWrap w:val="0"/>
            <w:vAlign w:val="center"/>
          </w:tcPr>
          <w:p>
            <w:pPr>
              <w:keepNext w:val="0"/>
              <w:keepLines w:val="0"/>
              <w:pageBreakBefore w:val="0"/>
              <w:tabs>
                <w:tab w:val="left" w:pos="3570"/>
              </w:tabs>
              <w:kinsoku/>
              <w:wordWrap/>
              <w:overflowPunct/>
              <w:topLinePunct w:val="0"/>
              <w:bidi w:val="0"/>
              <w:spacing w:line="240" w:lineRule="auto"/>
              <w:ind w:left="-57" w:leftChars="-27" w:right="-50" w:rightChars="-24"/>
              <w:jc w:val="center"/>
              <w:textAlignment w:val="auto"/>
              <w:rPr>
                <w:rFonts w:ascii="宋体" w:hAnsi="宋体"/>
                <w:color w:val="auto"/>
                <w:kern w:val="0"/>
                <w:sz w:val="20"/>
                <w:szCs w:val="20"/>
                <w:highlight w:val="none"/>
                <w:lang w:val="zh-CN"/>
              </w:rPr>
            </w:pPr>
            <w:r>
              <w:rPr>
                <w:rFonts w:hint="eastAsia" w:ascii="宋体" w:hAnsi="宋体"/>
                <w:color w:val="auto"/>
                <w:kern w:val="0"/>
                <w:sz w:val="20"/>
                <w:szCs w:val="20"/>
                <w:highlight w:val="none"/>
                <w:lang w:val="zh-CN"/>
              </w:rPr>
              <w:t>类似业绩</w:t>
            </w:r>
          </w:p>
        </w:tc>
        <w:tc>
          <w:tcPr>
            <w:tcW w:w="819" w:type="dxa"/>
            <w:shd w:val="clear" w:color="auto" w:fill="FFFFFF"/>
            <w:noWrap w:val="0"/>
            <w:vAlign w:val="center"/>
          </w:tcPr>
          <w:p>
            <w:pPr>
              <w:pStyle w:val="11"/>
              <w:keepNext w:val="0"/>
              <w:keepLines w:val="0"/>
              <w:pageBreakBefore w:val="0"/>
              <w:tabs>
                <w:tab w:val="left" w:pos="3570"/>
              </w:tabs>
              <w:kinsoku/>
              <w:wordWrap/>
              <w:overflowPunct/>
              <w:topLinePunct w:val="0"/>
              <w:bidi w:val="0"/>
              <w:spacing w:line="240" w:lineRule="auto"/>
              <w:jc w:val="center"/>
              <w:textAlignment w:val="auto"/>
              <w:rPr>
                <w:rFonts w:ascii="宋体" w:hAnsi="宋体" w:eastAsia="宋体" w:cs="宋体"/>
                <w:color w:val="auto"/>
                <w:sz w:val="20"/>
                <w:szCs w:val="20"/>
                <w:highlight w:val="none"/>
              </w:rPr>
            </w:pPr>
            <w:r>
              <w:rPr>
                <w:rFonts w:ascii="宋体" w:hAnsi="宋体" w:eastAsia="宋体" w:cs="宋体"/>
                <w:color w:val="auto"/>
                <w:sz w:val="20"/>
                <w:szCs w:val="20"/>
                <w:highlight w:val="none"/>
              </w:rPr>
              <w:t>12</w:t>
            </w:r>
          </w:p>
        </w:tc>
        <w:tc>
          <w:tcPr>
            <w:tcW w:w="10977" w:type="dxa"/>
            <w:shd w:val="clear" w:color="auto" w:fill="FFFFFF"/>
            <w:noWrap w:val="0"/>
            <w:vAlign w:val="center"/>
          </w:tcPr>
          <w:p>
            <w:pPr>
              <w:keepNext w:val="0"/>
              <w:keepLines w:val="0"/>
              <w:pageBreakBefore w:val="0"/>
              <w:tabs>
                <w:tab w:val="left" w:pos="3570"/>
              </w:tabs>
              <w:kinsoku/>
              <w:wordWrap/>
              <w:overflowPunct/>
              <w:topLinePunct w:val="0"/>
              <w:bidi w:val="0"/>
              <w:snapToGrid w:val="0"/>
              <w:spacing w:line="288" w:lineRule="auto"/>
              <w:textAlignment w:val="auto"/>
              <w:rPr>
                <w:rFonts w:ascii="宋体" w:hAnsi="宋体"/>
                <w:color w:val="auto"/>
                <w:kern w:val="0"/>
                <w:sz w:val="20"/>
                <w:szCs w:val="20"/>
                <w:highlight w:val="none"/>
                <w:lang w:val="zh-CN"/>
              </w:rPr>
            </w:pPr>
            <w:r>
              <w:rPr>
                <w:rFonts w:hint="eastAsia" w:hAnsi="宋体" w:cs="宋体"/>
                <w:color w:val="auto"/>
                <w:sz w:val="20"/>
                <w:szCs w:val="20"/>
                <w:highlight w:val="none"/>
              </w:rPr>
              <w:t>投标人</w:t>
            </w:r>
            <w:r>
              <w:rPr>
                <w:rFonts w:hint="eastAsia" w:ascii="宋体" w:hAnsi="宋体"/>
                <w:color w:val="auto"/>
                <w:kern w:val="0"/>
                <w:sz w:val="20"/>
                <w:szCs w:val="20"/>
                <w:highlight w:val="none"/>
                <w:lang w:val="zh-CN"/>
              </w:rPr>
              <w:t>自2</w:t>
            </w:r>
            <w:r>
              <w:rPr>
                <w:rFonts w:ascii="宋体" w:hAnsi="宋体"/>
                <w:color w:val="auto"/>
                <w:kern w:val="0"/>
                <w:sz w:val="20"/>
                <w:szCs w:val="20"/>
                <w:highlight w:val="none"/>
                <w:lang w:val="zh-CN"/>
              </w:rPr>
              <w:t>02</w:t>
            </w:r>
            <w:r>
              <w:rPr>
                <w:rFonts w:hint="eastAsia" w:ascii="宋体" w:hAnsi="宋体"/>
                <w:color w:val="auto"/>
                <w:kern w:val="0"/>
                <w:sz w:val="20"/>
                <w:szCs w:val="20"/>
                <w:highlight w:val="none"/>
                <w:lang w:val="en-US" w:eastAsia="zh-CN"/>
              </w:rPr>
              <w:t>1</w:t>
            </w:r>
            <w:r>
              <w:rPr>
                <w:rFonts w:hint="eastAsia" w:ascii="宋体" w:hAnsi="宋体"/>
                <w:color w:val="auto"/>
                <w:kern w:val="0"/>
                <w:sz w:val="20"/>
                <w:szCs w:val="20"/>
                <w:highlight w:val="none"/>
                <w:lang w:val="zh-CN"/>
              </w:rPr>
              <w:t>年1月1日至投标截止时间止，完成过质量合格且金额大于或等于</w:t>
            </w:r>
            <w:r>
              <w:rPr>
                <w:rFonts w:hint="eastAsia" w:ascii="宋体" w:hAnsi="宋体"/>
                <w:color w:val="auto"/>
                <w:kern w:val="0"/>
                <w:sz w:val="20"/>
                <w:szCs w:val="20"/>
                <w:highlight w:val="none"/>
                <w:lang w:val="en-US" w:eastAsia="zh-CN"/>
              </w:rPr>
              <w:t>70</w:t>
            </w:r>
            <w:r>
              <w:rPr>
                <w:rFonts w:hint="eastAsia" w:ascii="宋体" w:hAnsi="宋体"/>
                <w:color w:val="auto"/>
                <w:kern w:val="0"/>
                <w:sz w:val="20"/>
                <w:szCs w:val="20"/>
                <w:highlight w:val="none"/>
              </w:rPr>
              <w:t>00</w:t>
            </w:r>
            <w:r>
              <w:rPr>
                <w:rFonts w:hint="eastAsia" w:ascii="宋体" w:hAnsi="宋体"/>
                <w:color w:val="auto"/>
                <w:kern w:val="0"/>
                <w:sz w:val="20"/>
                <w:szCs w:val="20"/>
                <w:highlight w:val="none"/>
                <w:lang w:val="zh-CN"/>
              </w:rPr>
              <w:t>万元的建筑装修装饰类工程施工业绩的：每个得</w:t>
            </w:r>
            <w:r>
              <w:rPr>
                <w:rFonts w:hint="eastAsia" w:ascii="宋体" w:hAnsi="宋体"/>
                <w:color w:val="auto"/>
                <w:kern w:val="0"/>
                <w:sz w:val="20"/>
                <w:szCs w:val="20"/>
                <w:highlight w:val="none"/>
                <w:lang w:val="en-US" w:eastAsia="zh-CN"/>
              </w:rPr>
              <w:t>6</w:t>
            </w:r>
            <w:r>
              <w:rPr>
                <w:rFonts w:hint="eastAsia" w:ascii="宋体" w:hAnsi="宋体"/>
                <w:color w:val="auto"/>
                <w:kern w:val="0"/>
                <w:sz w:val="20"/>
                <w:szCs w:val="20"/>
                <w:highlight w:val="none"/>
                <w:lang w:val="zh-CN"/>
              </w:rPr>
              <w:t>分，最多得</w:t>
            </w:r>
            <w:r>
              <w:rPr>
                <w:rFonts w:ascii="宋体" w:hAnsi="宋体"/>
                <w:color w:val="auto"/>
                <w:kern w:val="0"/>
                <w:sz w:val="20"/>
                <w:szCs w:val="20"/>
                <w:highlight w:val="none"/>
                <w:lang w:val="zh-CN"/>
              </w:rPr>
              <w:t>12</w:t>
            </w:r>
            <w:r>
              <w:rPr>
                <w:rFonts w:hint="eastAsia" w:ascii="宋体" w:hAnsi="宋体"/>
                <w:color w:val="auto"/>
                <w:kern w:val="0"/>
                <w:sz w:val="20"/>
                <w:szCs w:val="20"/>
                <w:highlight w:val="none"/>
                <w:lang w:val="zh-CN"/>
              </w:rPr>
              <w:t>分。</w:t>
            </w:r>
          </w:p>
          <w:p>
            <w:pPr>
              <w:keepNext w:val="0"/>
              <w:keepLines w:val="0"/>
              <w:pageBreakBefore w:val="0"/>
              <w:tabs>
                <w:tab w:val="left" w:pos="3570"/>
              </w:tabs>
              <w:kinsoku/>
              <w:wordWrap/>
              <w:overflowPunct/>
              <w:topLinePunct w:val="0"/>
              <w:bidi w:val="0"/>
              <w:spacing w:line="288" w:lineRule="auto"/>
              <w:textAlignment w:val="auto"/>
              <w:rPr>
                <w:rFonts w:hint="eastAsia" w:ascii="宋体" w:hAnsi="宋体"/>
                <w:b w:val="0"/>
                <w:bCs/>
                <w:color w:val="auto"/>
                <w:sz w:val="20"/>
                <w:szCs w:val="20"/>
                <w:highlight w:val="none"/>
                <w:lang w:val="en-US" w:eastAsia="zh-CN"/>
              </w:rPr>
            </w:pPr>
            <w:r>
              <w:rPr>
                <w:rFonts w:hint="eastAsia" w:ascii="宋体" w:hAnsi="宋体"/>
                <w:color w:val="auto"/>
                <w:kern w:val="0"/>
                <w:sz w:val="20"/>
                <w:szCs w:val="20"/>
                <w:highlight w:val="none"/>
                <w:lang w:val="zh-CN"/>
              </w:rPr>
              <w:t>注：</w:t>
            </w:r>
            <w:r>
              <w:rPr>
                <w:rFonts w:hint="eastAsia" w:ascii="宋体" w:hAnsi="宋体"/>
                <w:b w:val="0"/>
                <w:bCs/>
                <w:color w:val="auto"/>
                <w:sz w:val="20"/>
                <w:szCs w:val="20"/>
                <w:highlight w:val="none"/>
                <w:lang w:val="en-US" w:eastAsia="zh-CN"/>
              </w:rPr>
              <w:t>企业业绩取自广州市住建行业信用管理平台。投标人须提供项目名称、广州市住建行业信用管理平台内的项目编号及业绩在广州市住建行业信用管理平台的网页信息截图（网页信息截图须能清晰显示带有“住建行业信用管理平台”名称，并至少包含“项目基本信息”等信息的页面）以供核对（业绩相关附件的上传件取广州市住建行业信用管理平台，投标阶段可不重复提交）。</w:t>
            </w:r>
            <w:r>
              <w:rPr>
                <w:rFonts w:hint="eastAsia" w:ascii="宋体" w:hAnsi="宋体" w:eastAsia="宋体" w:cs="宋体"/>
                <w:color w:val="auto"/>
                <w:sz w:val="20"/>
                <w:szCs w:val="20"/>
                <w:highlight w:val="none"/>
              </w:rPr>
              <w:t>不提供项目名称、项目编号及网页信息截图的业绩不予评审</w:t>
            </w:r>
            <w:r>
              <w:rPr>
                <w:rFonts w:hint="eastAsia"/>
                <w:color w:val="auto"/>
                <w:sz w:val="20"/>
                <w:szCs w:val="20"/>
                <w:highlight w:val="none"/>
              </w:rPr>
              <w:t>。</w:t>
            </w:r>
            <w:r>
              <w:rPr>
                <w:rFonts w:hint="eastAsia" w:ascii="宋体" w:hAnsi="宋体"/>
                <w:b w:val="0"/>
                <w:bCs/>
                <w:color w:val="auto"/>
                <w:sz w:val="20"/>
                <w:szCs w:val="20"/>
                <w:highlight w:val="none"/>
                <w:lang w:val="en-US" w:eastAsia="zh-CN"/>
              </w:rPr>
              <w:t>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w:t>
            </w:r>
          </w:p>
          <w:p>
            <w:pPr>
              <w:keepNext w:val="0"/>
              <w:keepLines w:val="0"/>
              <w:pageBreakBefore w:val="0"/>
              <w:tabs>
                <w:tab w:val="left" w:pos="3570"/>
              </w:tabs>
              <w:kinsoku/>
              <w:wordWrap/>
              <w:overflowPunct/>
              <w:topLinePunct w:val="0"/>
              <w:bidi w:val="0"/>
              <w:spacing w:line="288" w:lineRule="auto"/>
              <w:textAlignment w:val="auto"/>
              <w:rPr>
                <w:rFonts w:hint="eastAsia" w:ascii="宋体" w:hAnsi="宋体"/>
                <w:b w:val="0"/>
                <w:bCs/>
                <w:color w:val="auto"/>
                <w:sz w:val="20"/>
                <w:szCs w:val="20"/>
                <w:highlight w:val="none"/>
                <w:lang w:val="en-US" w:eastAsia="zh-CN"/>
              </w:rPr>
            </w:pPr>
            <w:r>
              <w:rPr>
                <w:rFonts w:hint="eastAsia" w:ascii="宋体" w:hAnsi="宋体"/>
                <w:b w:val="0"/>
                <w:bCs/>
                <w:color w:val="auto"/>
                <w:sz w:val="20"/>
                <w:szCs w:val="20"/>
                <w:highlight w:val="none"/>
                <w:lang w:val="en-US" w:eastAsia="zh-CN"/>
              </w:rPr>
              <w:t>（1）</w:t>
            </w:r>
            <w:r>
              <w:rPr>
                <w:rFonts w:hint="eastAsia" w:ascii="宋体" w:hAnsi="宋体" w:eastAsia="宋体" w:cs="宋体"/>
                <w:color w:val="auto"/>
                <w:kern w:val="0"/>
                <w:sz w:val="21"/>
                <w:szCs w:val="21"/>
                <w:highlight w:val="none"/>
              </w:rPr>
              <w:t>技术指标【</w:t>
            </w:r>
            <w:r>
              <w:rPr>
                <w:rFonts w:hint="eastAsia" w:ascii="宋体" w:hAnsi="宋体" w:eastAsia="宋体" w:cs="Times New Roman"/>
                <w:color w:val="auto"/>
                <w:sz w:val="21"/>
                <w:szCs w:val="21"/>
                <w:highlight w:val="none"/>
              </w:rPr>
              <w:t>建筑装修装饰工程金额</w:t>
            </w:r>
            <w:r>
              <w:rPr>
                <w:rFonts w:hint="eastAsia" w:ascii="宋体" w:hAnsi="宋体" w:eastAsia="宋体" w:cs="宋体"/>
                <w:color w:val="auto"/>
                <w:sz w:val="21"/>
                <w:szCs w:val="21"/>
                <w:highlight w:val="none"/>
              </w:rPr>
              <w:t>大</w:t>
            </w:r>
            <w:r>
              <w:rPr>
                <w:rFonts w:hint="eastAsia" w:ascii="宋体" w:hAnsi="宋体" w:eastAsia="宋体" w:cs="Times New Roman"/>
                <w:color w:val="auto"/>
                <w:sz w:val="21"/>
                <w:szCs w:val="21"/>
                <w:highlight w:val="none"/>
              </w:rPr>
              <w:t>于</w:t>
            </w:r>
            <w:r>
              <w:rPr>
                <w:rFonts w:hint="eastAsia" w:ascii="宋体" w:hAnsi="宋体" w:eastAsia="宋体" w:cs="Times New Roman"/>
                <w:color w:val="auto"/>
                <w:sz w:val="21"/>
                <w:szCs w:val="21"/>
                <w:highlight w:val="none"/>
                <w:lang w:val="en-US" w:eastAsia="zh-CN"/>
              </w:rPr>
              <w:t>或等于</w:t>
            </w:r>
            <w:r>
              <w:rPr>
                <w:rFonts w:hint="eastAsia" w:ascii="宋体" w:hAnsi="宋体" w:eastAsia="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000</w:t>
            </w:r>
            <w:r>
              <w:rPr>
                <w:rFonts w:hint="eastAsia" w:ascii="宋体" w:hAnsi="宋体" w:eastAsia="宋体" w:cs="宋体"/>
                <w:color w:val="auto"/>
                <w:sz w:val="21"/>
                <w:szCs w:val="21"/>
                <w:highlight w:val="none"/>
              </w:rPr>
              <w:t>万元</w:t>
            </w:r>
            <w:r>
              <w:rPr>
                <w:rFonts w:hint="eastAsia" w:ascii="宋体" w:hAnsi="宋体" w:eastAsia="宋体" w:cs="宋体"/>
                <w:color w:val="auto"/>
                <w:kern w:val="0"/>
                <w:sz w:val="21"/>
                <w:szCs w:val="21"/>
                <w:highlight w:val="none"/>
              </w:rPr>
              <w:t>】需在广州市住建行业信用管理平台中项目业绩页面的“工程规模”栏中所记录“建筑装修装饰工程”的工程造价为准</w:t>
            </w:r>
            <w:r>
              <w:rPr>
                <w:rFonts w:hint="eastAsia" w:ascii="宋体" w:hAnsi="宋体"/>
                <w:b w:val="0"/>
                <w:bCs/>
                <w:color w:val="auto"/>
                <w:sz w:val="20"/>
                <w:szCs w:val="20"/>
                <w:highlight w:val="none"/>
                <w:lang w:val="en-US" w:eastAsia="zh-CN"/>
              </w:rPr>
              <w:t>。用于本项目投标的业绩，在广州市住建行业信用管理平台“工程对应的企业资质”栏中登记的资质须为“建筑装修装饰工程”。不符合上述要求的，该项业绩不予认定。</w:t>
            </w:r>
          </w:p>
          <w:p>
            <w:pPr>
              <w:keepNext w:val="0"/>
              <w:keepLines w:val="0"/>
              <w:pageBreakBefore w:val="0"/>
              <w:tabs>
                <w:tab w:val="left" w:pos="3570"/>
              </w:tabs>
              <w:kinsoku/>
              <w:wordWrap/>
              <w:overflowPunct/>
              <w:topLinePunct w:val="0"/>
              <w:bidi w:val="0"/>
              <w:spacing w:line="288" w:lineRule="auto"/>
              <w:textAlignment w:val="auto"/>
              <w:rPr>
                <w:rFonts w:hint="default"/>
                <w:color w:val="auto"/>
                <w:sz w:val="20"/>
                <w:szCs w:val="20"/>
                <w:highlight w:val="none"/>
                <w:lang w:val="en-US" w:eastAsia="zh-CN"/>
              </w:rPr>
            </w:pPr>
            <w:r>
              <w:rPr>
                <w:rFonts w:hint="eastAsia" w:ascii="宋体" w:hAnsi="宋体"/>
                <w:b w:val="0"/>
                <w:bCs/>
                <w:color w:val="auto"/>
                <w:sz w:val="20"/>
                <w:szCs w:val="20"/>
                <w:highlight w:val="none"/>
                <w:lang w:val="en-US" w:eastAsia="zh-CN"/>
              </w:rPr>
              <w:t>（2）完成时间以</w:t>
            </w:r>
            <w:r>
              <w:rPr>
                <w:rFonts w:hint="eastAsia" w:ascii="宋体" w:hAnsi="宋体" w:cs="宋体"/>
                <w:color w:val="auto"/>
                <w:sz w:val="20"/>
                <w:szCs w:val="20"/>
                <w:highlight w:val="none"/>
              </w:rPr>
              <w:t>平台中项目业绩页面的“验收材料”栏中的验收日期所记录的日期为准</w:t>
            </w:r>
            <w:r>
              <w:rPr>
                <w:rFonts w:hint="eastAsia" w:ascii="宋体" w:hAnsi="宋体"/>
                <w:b w:val="0"/>
                <w:bCs/>
                <w:color w:val="auto"/>
                <w:sz w:val="20"/>
                <w:szCs w:val="20"/>
                <w:highlight w:val="none"/>
                <w:lang w:val="en-US" w:eastAsia="zh-CN"/>
              </w:rPr>
              <w:t>。</w:t>
            </w:r>
          </w:p>
          <w:p>
            <w:pPr>
              <w:keepNext w:val="0"/>
              <w:keepLines w:val="0"/>
              <w:pageBreakBefore w:val="0"/>
              <w:tabs>
                <w:tab w:val="left" w:pos="3570"/>
              </w:tabs>
              <w:kinsoku/>
              <w:wordWrap/>
              <w:overflowPunct/>
              <w:topLinePunct w:val="0"/>
              <w:bidi w:val="0"/>
              <w:snapToGrid w:val="0"/>
              <w:spacing w:line="288" w:lineRule="auto"/>
              <w:textAlignment w:val="auto"/>
              <w:rPr>
                <w:rFonts w:hint="eastAsia" w:ascii="宋体" w:hAnsi="宋体"/>
                <w:color w:val="auto"/>
                <w:kern w:val="0"/>
                <w:sz w:val="20"/>
                <w:szCs w:val="20"/>
                <w:highlight w:val="none"/>
                <w:lang w:val="zh-CN"/>
              </w:rPr>
            </w:pPr>
            <w:r>
              <w:rPr>
                <w:rFonts w:hint="eastAsia" w:ascii="宋体" w:hAnsi="宋体"/>
                <w:b w:val="0"/>
                <w:bCs/>
                <w:color w:val="auto"/>
                <w:sz w:val="20"/>
                <w:szCs w:val="20"/>
                <w:highlight w:val="none"/>
                <w:lang w:val="en-US" w:eastAsia="zh-CN"/>
              </w:rPr>
              <w:t>（3）广州市住建行业信用管理平台内业绩上传件不符合上述要求的，该项业绩不予认定。</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780" w:hRule="atLeast"/>
        </w:trPr>
        <w:tc>
          <w:tcPr>
            <w:tcW w:w="804" w:type="dxa"/>
            <w:vMerge w:val="continue"/>
            <w:shd w:val="clear" w:color="auto" w:fill="FFFFFF"/>
            <w:noWrap w:val="0"/>
            <w:vAlign w:val="center"/>
          </w:tcPr>
          <w:p>
            <w:pPr>
              <w:keepNext w:val="0"/>
              <w:keepLines w:val="0"/>
              <w:pageBreakBefore w:val="0"/>
              <w:tabs>
                <w:tab w:val="left" w:pos="3570"/>
              </w:tabs>
              <w:kinsoku/>
              <w:wordWrap/>
              <w:overflowPunct/>
              <w:topLinePunct w:val="0"/>
              <w:bidi w:val="0"/>
              <w:spacing w:line="240" w:lineRule="auto"/>
              <w:ind w:left="-57" w:leftChars="-27" w:right="-50" w:rightChars="-24"/>
              <w:jc w:val="center"/>
              <w:textAlignment w:val="auto"/>
              <w:rPr>
                <w:rFonts w:hint="eastAsia" w:ascii="宋体" w:hAnsi="宋体"/>
                <w:color w:val="auto"/>
                <w:kern w:val="0"/>
                <w:sz w:val="20"/>
                <w:szCs w:val="20"/>
                <w:highlight w:val="none"/>
                <w:lang w:val="zh-CN"/>
              </w:rPr>
            </w:pPr>
          </w:p>
        </w:tc>
        <w:tc>
          <w:tcPr>
            <w:tcW w:w="674" w:type="dxa"/>
            <w:vMerge w:val="continue"/>
            <w:shd w:val="clear" w:color="auto" w:fill="FFFFFF"/>
            <w:noWrap w:val="0"/>
            <w:vAlign w:val="center"/>
          </w:tcPr>
          <w:p>
            <w:pPr>
              <w:keepNext w:val="0"/>
              <w:keepLines w:val="0"/>
              <w:pageBreakBefore w:val="0"/>
              <w:tabs>
                <w:tab w:val="left" w:pos="3570"/>
              </w:tabs>
              <w:kinsoku/>
              <w:wordWrap/>
              <w:overflowPunct/>
              <w:topLinePunct w:val="0"/>
              <w:bidi w:val="0"/>
              <w:spacing w:line="240" w:lineRule="auto"/>
              <w:ind w:left="-57" w:leftChars="-27" w:right="-50" w:rightChars="-24"/>
              <w:jc w:val="center"/>
              <w:textAlignment w:val="auto"/>
              <w:rPr>
                <w:rFonts w:hint="eastAsia" w:ascii="宋体" w:hAnsi="宋体"/>
                <w:color w:val="auto"/>
                <w:kern w:val="0"/>
                <w:sz w:val="20"/>
                <w:szCs w:val="20"/>
                <w:highlight w:val="none"/>
                <w:lang w:val="zh-CN"/>
              </w:rPr>
            </w:pPr>
          </w:p>
        </w:tc>
        <w:tc>
          <w:tcPr>
            <w:tcW w:w="1310" w:type="dxa"/>
            <w:gridSpan w:val="2"/>
            <w:shd w:val="clear" w:color="auto" w:fill="FFFFFF"/>
            <w:noWrap w:val="0"/>
            <w:vAlign w:val="center"/>
          </w:tcPr>
          <w:p>
            <w:pPr>
              <w:keepNext w:val="0"/>
              <w:keepLines w:val="0"/>
              <w:pageBreakBefore w:val="0"/>
              <w:tabs>
                <w:tab w:val="left" w:pos="3570"/>
              </w:tabs>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auto"/>
                <w:kern w:val="2"/>
                <w:sz w:val="20"/>
                <w:szCs w:val="20"/>
                <w:highlight w:val="none"/>
                <w:lang w:val="zh-CN" w:eastAsia="zh-CN" w:bidi="ar-SA"/>
              </w:rPr>
            </w:pPr>
            <w:r>
              <w:rPr>
                <w:rFonts w:hint="eastAsia" w:ascii="宋体" w:hAnsi="宋体" w:cs="宋体"/>
                <w:color w:val="auto"/>
                <w:sz w:val="20"/>
                <w:szCs w:val="20"/>
                <w:highlight w:val="none"/>
              </w:rPr>
              <w:t>工程研发能力</w:t>
            </w:r>
          </w:p>
        </w:tc>
        <w:tc>
          <w:tcPr>
            <w:tcW w:w="819" w:type="dxa"/>
            <w:shd w:val="clear" w:color="auto" w:fill="FFFFFF"/>
            <w:noWrap w:val="0"/>
            <w:vAlign w:val="center"/>
          </w:tcPr>
          <w:p>
            <w:pPr>
              <w:pStyle w:val="11"/>
              <w:keepNext w:val="0"/>
              <w:keepLines w:val="0"/>
              <w:pageBreakBefore w:val="0"/>
              <w:tabs>
                <w:tab w:val="left" w:pos="3570"/>
              </w:tabs>
              <w:kinsoku/>
              <w:wordWrap/>
              <w:overflowPunct/>
              <w:topLinePunct w:val="0"/>
              <w:bidi w:val="0"/>
              <w:spacing w:line="240" w:lineRule="auto"/>
              <w:jc w:val="center"/>
              <w:textAlignment w:val="auto"/>
              <w:rPr>
                <w:rFonts w:hint="eastAsia" w:ascii="宋体" w:hAnsi="宋体" w:eastAsia="宋体" w:cs="宋体"/>
                <w:color w:val="auto"/>
                <w:sz w:val="20"/>
                <w:szCs w:val="20"/>
                <w:highlight w:val="none"/>
                <w:lang w:val="en-US" w:eastAsia="zh-CN"/>
              </w:rPr>
            </w:pPr>
            <w:r>
              <w:rPr>
                <w:rFonts w:hint="eastAsia" w:hAnsi="宋体" w:cs="宋体"/>
                <w:color w:val="auto"/>
                <w:sz w:val="20"/>
                <w:szCs w:val="20"/>
                <w:highlight w:val="none"/>
                <w:lang w:val="en-US" w:eastAsia="zh-CN"/>
              </w:rPr>
              <w:t>9</w:t>
            </w:r>
          </w:p>
        </w:tc>
        <w:tc>
          <w:tcPr>
            <w:tcW w:w="10977" w:type="dxa"/>
            <w:shd w:val="clear" w:color="auto" w:fill="FFFFFF"/>
            <w:noWrap w:val="0"/>
            <w:vAlign w:val="center"/>
          </w:tcPr>
          <w:p>
            <w:pPr>
              <w:pStyle w:val="41"/>
              <w:spacing w:line="276" w:lineRule="auto"/>
              <w:ind w:left="0" w:leftChars="0" w:firstLine="0" w:firstLineChars="0"/>
              <w:jc w:val="left"/>
              <w:rPr>
                <w:rFonts w:hint="default" w:ascii="宋体" w:hAnsi="宋体" w:eastAsia="宋体" w:cs="Times New Roman"/>
                <w:color w:val="auto"/>
                <w:sz w:val="20"/>
                <w:szCs w:val="20"/>
                <w:highlight w:val="none"/>
                <w:lang w:val="en-US" w:eastAsia="zh-CN"/>
              </w:rPr>
            </w:pPr>
            <w:r>
              <w:rPr>
                <w:rFonts w:hint="eastAsia" w:ascii="宋体" w:hAnsi="宋体" w:eastAsia="宋体" w:cs="Times New Roman"/>
                <w:bCs/>
                <w:color w:val="auto"/>
                <w:szCs w:val="21"/>
                <w:highlight w:val="none"/>
                <w:lang w:val="en-US" w:eastAsia="zh-CN"/>
              </w:rPr>
              <w:t>投标人自2021年</w:t>
            </w:r>
            <w:r>
              <w:rPr>
                <w:rFonts w:hint="default" w:ascii="宋体" w:hAnsi="宋体" w:eastAsia="宋体" w:cs="Times New Roman"/>
                <w:bCs/>
                <w:color w:val="auto"/>
                <w:szCs w:val="21"/>
                <w:highlight w:val="none"/>
                <w:lang w:val="en-US" w:eastAsia="zh-CN"/>
              </w:rPr>
              <w:t>1</w:t>
            </w:r>
            <w:r>
              <w:rPr>
                <w:rFonts w:hint="eastAsia" w:ascii="宋体" w:hAnsi="宋体" w:eastAsia="宋体" w:cs="Times New Roman"/>
                <w:bCs/>
                <w:color w:val="auto"/>
                <w:szCs w:val="21"/>
                <w:highlight w:val="none"/>
                <w:lang w:val="en-US" w:eastAsia="zh-CN"/>
              </w:rPr>
              <w:t>月</w:t>
            </w:r>
            <w:r>
              <w:rPr>
                <w:rFonts w:hint="default" w:ascii="宋体" w:hAnsi="宋体" w:eastAsia="宋体" w:cs="Times New Roman"/>
                <w:bCs/>
                <w:color w:val="auto"/>
                <w:szCs w:val="21"/>
                <w:highlight w:val="none"/>
                <w:lang w:val="en-US" w:eastAsia="zh-CN"/>
              </w:rPr>
              <w:t>1</w:t>
            </w:r>
            <w:r>
              <w:rPr>
                <w:rFonts w:hint="eastAsia" w:ascii="宋体" w:hAnsi="宋体" w:eastAsia="宋体" w:cs="Times New Roman"/>
                <w:bCs/>
                <w:color w:val="auto"/>
                <w:szCs w:val="21"/>
                <w:highlight w:val="none"/>
                <w:lang w:val="en-US" w:eastAsia="zh-CN"/>
              </w:rPr>
              <w:t>日</w:t>
            </w:r>
            <w:r>
              <w:rPr>
                <w:rFonts w:hint="eastAsia" w:ascii="宋体" w:hAnsi="宋体" w:cs="宋体"/>
                <w:color w:val="auto"/>
                <w:highlight w:val="none"/>
              </w:rPr>
              <w:t>至投标截止时间止，</w:t>
            </w:r>
            <w:r>
              <w:rPr>
                <w:rFonts w:hint="eastAsia" w:ascii="宋体" w:hAnsi="宋体" w:eastAsia="宋体" w:cs="Times New Roman"/>
                <w:bCs/>
                <w:color w:val="auto"/>
                <w:szCs w:val="21"/>
                <w:highlight w:val="none"/>
                <w:lang w:val="en-US" w:eastAsia="zh-CN"/>
              </w:rPr>
              <w:t>获得过</w:t>
            </w:r>
            <w:r>
              <w:rPr>
                <w:rFonts w:hint="eastAsia" w:ascii="宋体" w:hAnsi="宋体" w:eastAsia="宋体" w:cs="宋体"/>
                <w:color w:val="auto"/>
                <w:highlight w:val="none"/>
                <w:lang w:val="en-US" w:eastAsia="zh-CN"/>
              </w:rPr>
              <w:t>建筑装修装饰工程类</w:t>
            </w:r>
            <w:r>
              <w:rPr>
                <w:rFonts w:hint="eastAsia" w:ascii="宋体" w:hAnsi="宋体" w:eastAsia="宋体" w:cs="Times New Roman"/>
                <w:bCs/>
                <w:color w:val="auto"/>
                <w:szCs w:val="21"/>
                <w:highlight w:val="none"/>
                <w:lang w:val="en-US" w:eastAsia="zh-CN"/>
              </w:rPr>
              <w:t>技术创新</w:t>
            </w:r>
            <w:r>
              <w:rPr>
                <w:rFonts w:hint="default" w:ascii="宋体" w:hAnsi="宋体" w:eastAsia="宋体" w:cs="Times New Roman"/>
                <w:bCs/>
                <w:color w:val="auto"/>
                <w:szCs w:val="21"/>
                <w:highlight w:val="none"/>
                <w:lang w:val="en-US" w:eastAsia="zh-CN"/>
              </w:rPr>
              <w:t>QC</w:t>
            </w:r>
            <w:r>
              <w:rPr>
                <w:rFonts w:hint="eastAsia" w:ascii="宋体" w:hAnsi="宋体" w:eastAsia="宋体" w:cs="Times New Roman"/>
                <w:bCs/>
                <w:color w:val="auto"/>
                <w:szCs w:val="21"/>
                <w:highlight w:val="none"/>
                <w:lang w:val="en-US" w:eastAsia="zh-CN"/>
              </w:rPr>
              <w:t>成果（部优以上）</w:t>
            </w:r>
            <w:r>
              <w:rPr>
                <w:rFonts w:hint="eastAsia" w:ascii="宋体" w:hAnsi="宋体" w:eastAsia="宋体" w:cs="宋体"/>
                <w:color w:val="auto"/>
                <w:highlight w:val="none"/>
                <w:lang w:val="en-US" w:eastAsia="zh-CN"/>
              </w:rPr>
              <w:t>的：每项4.5分，最多得</w:t>
            </w:r>
            <w:r>
              <w:rPr>
                <w:rFonts w:hint="eastAsia" w:ascii="宋体" w:hAnsi="宋体" w:cs="宋体"/>
                <w:color w:val="auto"/>
                <w:highlight w:val="none"/>
                <w:lang w:val="en-US" w:eastAsia="zh-CN"/>
              </w:rPr>
              <w:t>9分。</w:t>
            </w:r>
          </w:p>
          <w:p>
            <w:pPr>
              <w:keepNext w:val="0"/>
              <w:keepLines w:val="0"/>
              <w:pageBreakBefore w:val="0"/>
              <w:tabs>
                <w:tab w:val="left" w:pos="3570"/>
              </w:tabs>
              <w:kinsoku/>
              <w:wordWrap/>
              <w:overflowPunct/>
              <w:topLinePunct w:val="0"/>
              <w:bidi w:val="0"/>
              <w:spacing w:line="288" w:lineRule="auto"/>
              <w:jc w:val="left"/>
              <w:textAlignment w:val="auto"/>
              <w:rPr>
                <w:rFonts w:hint="eastAsia" w:ascii="宋体" w:hAnsi="宋体" w:eastAsia="宋体"/>
                <w:color w:val="auto"/>
                <w:kern w:val="0"/>
                <w:sz w:val="20"/>
                <w:szCs w:val="20"/>
                <w:highlight w:val="none"/>
                <w:lang w:val="zh-CN" w:eastAsia="zh-CN" w:bidi="ar-SA"/>
              </w:rPr>
            </w:pPr>
            <w:r>
              <w:rPr>
                <w:rFonts w:hint="eastAsia" w:ascii="宋体" w:hAnsi="宋体" w:eastAsia="宋体" w:cs="Times New Roman"/>
                <w:bCs/>
                <w:color w:val="auto"/>
                <w:kern w:val="2"/>
                <w:sz w:val="20"/>
                <w:szCs w:val="20"/>
                <w:highlight w:val="none"/>
                <w:lang w:val="zh-CN" w:eastAsia="zh-CN" w:bidi="ar-SA"/>
              </w:rPr>
              <w:t>注：</w:t>
            </w:r>
            <w:r>
              <w:rPr>
                <w:rFonts w:hint="eastAsia" w:ascii="宋体" w:hAnsi="宋体" w:eastAsia="宋体" w:cs="Times New Roman"/>
                <w:bCs/>
                <w:color w:val="auto"/>
                <w:kern w:val="2"/>
                <w:sz w:val="20"/>
                <w:szCs w:val="20"/>
                <w:highlight w:val="none"/>
                <w:lang w:val="en-US" w:eastAsia="zh-CN" w:bidi="ar-SA"/>
              </w:rPr>
              <w:t>技术创新QC成果（部优以上）取自广州市住建行业信用管理平台</w:t>
            </w:r>
            <w:r>
              <w:rPr>
                <w:rFonts w:hint="eastAsia" w:cs="Times New Roman"/>
                <w:bCs/>
                <w:color w:val="auto"/>
                <w:kern w:val="2"/>
                <w:sz w:val="20"/>
                <w:szCs w:val="20"/>
                <w:highlight w:val="none"/>
                <w:lang w:val="en-US" w:eastAsia="zh-CN" w:bidi="ar-SA"/>
              </w:rPr>
              <w:t>。</w:t>
            </w:r>
            <w:r>
              <w:rPr>
                <w:rFonts w:hint="eastAsia" w:ascii="宋体" w:hAnsi="宋体" w:cs="宋体"/>
                <w:color w:val="auto"/>
                <w:kern w:val="0"/>
                <w:sz w:val="20"/>
                <w:szCs w:val="20"/>
                <w:highlight w:val="none"/>
              </w:rPr>
              <w:t>①</w:t>
            </w:r>
            <w:r>
              <w:rPr>
                <w:rFonts w:hint="eastAsia" w:ascii="宋体" w:hAnsi="宋体" w:eastAsia="宋体" w:cs="Times New Roman"/>
                <w:bCs/>
                <w:color w:val="auto"/>
                <w:kern w:val="2"/>
                <w:sz w:val="20"/>
                <w:szCs w:val="20"/>
                <w:highlight w:val="none"/>
                <w:lang w:val="en-US" w:eastAsia="zh-CN" w:bidi="ar-SA"/>
              </w:rPr>
              <w:t>投标人须提供广州市住建行业信用管理平台的网页信息截图（网页信息截图须能清晰显示带有“住建行业信用管理平台”名称，并至少包含“项目基本信息”、“奖项信息”等信息）及获奖证书上传件，获奖证书上须有投标人名称。平台</w:t>
            </w:r>
            <w:r>
              <w:rPr>
                <w:rFonts w:hint="eastAsia" w:cs="Times New Roman"/>
                <w:bCs/>
                <w:color w:val="auto"/>
                <w:kern w:val="2"/>
                <w:sz w:val="20"/>
                <w:szCs w:val="20"/>
                <w:highlight w:val="none"/>
                <w:lang w:val="en-US" w:eastAsia="zh-CN" w:bidi="ar-SA"/>
              </w:rPr>
              <w:t>信息截图的工程规模须含有</w:t>
            </w:r>
            <w:r>
              <w:rPr>
                <w:rFonts w:hint="eastAsia" w:ascii="宋体" w:hAnsi="宋体" w:eastAsia="宋体" w:cs="Times New Roman"/>
                <w:bCs/>
                <w:color w:val="auto"/>
                <w:kern w:val="2"/>
                <w:sz w:val="20"/>
                <w:szCs w:val="20"/>
                <w:highlight w:val="none"/>
                <w:lang w:val="en-US" w:eastAsia="zh-CN" w:bidi="ar-SA"/>
              </w:rPr>
              <w:t>“广州市住建行业信用管理平台—工程规模—建筑工程（原房屋建筑工程）&gt;建筑装修装饰工程&gt;”类的项目</w:t>
            </w:r>
            <w:r>
              <w:rPr>
                <w:rFonts w:hint="eastAsia" w:cs="Times New Roman"/>
                <w:bCs/>
                <w:color w:val="auto"/>
                <w:kern w:val="2"/>
                <w:sz w:val="20"/>
                <w:szCs w:val="20"/>
                <w:highlight w:val="none"/>
                <w:lang w:val="en-US" w:eastAsia="zh-CN" w:bidi="ar-SA"/>
              </w:rPr>
              <w:t>。</w:t>
            </w:r>
            <w:r>
              <w:rPr>
                <w:rFonts w:hint="eastAsia" w:ascii="宋体" w:hAnsi="宋体" w:cs="宋体"/>
                <w:color w:val="auto"/>
                <w:kern w:val="0"/>
                <w:sz w:val="20"/>
                <w:szCs w:val="20"/>
                <w:highlight w:val="none"/>
              </w:rPr>
              <w:t>②</w:t>
            </w:r>
            <w:r>
              <w:rPr>
                <w:rFonts w:hint="eastAsia" w:ascii="宋体" w:hAnsi="宋体" w:eastAsia="宋体" w:cs="Times New Roman"/>
                <w:bCs/>
                <w:color w:val="auto"/>
                <w:kern w:val="2"/>
                <w:sz w:val="20"/>
                <w:szCs w:val="20"/>
                <w:highlight w:val="none"/>
                <w:lang w:val="en-US" w:eastAsia="zh-CN" w:bidi="ar-SA"/>
              </w:rPr>
              <w:t>技术创新</w:t>
            </w:r>
            <w:r>
              <w:rPr>
                <w:rFonts w:hint="default" w:ascii="宋体" w:hAnsi="宋体" w:eastAsia="宋体" w:cs="Times New Roman"/>
                <w:bCs/>
                <w:color w:val="auto"/>
                <w:kern w:val="2"/>
                <w:sz w:val="20"/>
                <w:szCs w:val="20"/>
                <w:highlight w:val="none"/>
                <w:lang w:val="en-US" w:eastAsia="zh-CN" w:bidi="ar-SA"/>
              </w:rPr>
              <w:t>QC</w:t>
            </w:r>
            <w:r>
              <w:rPr>
                <w:rFonts w:hint="eastAsia" w:ascii="宋体" w:hAnsi="宋体" w:eastAsia="宋体" w:cs="Times New Roman"/>
                <w:bCs/>
                <w:color w:val="auto"/>
                <w:kern w:val="2"/>
                <w:sz w:val="20"/>
                <w:szCs w:val="20"/>
                <w:highlight w:val="none"/>
                <w:lang w:val="en-US" w:eastAsia="zh-CN" w:bidi="ar-SA"/>
              </w:rPr>
              <w:t>成果奖</w:t>
            </w:r>
            <w:r>
              <w:rPr>
                <w:rFonts w:hint="eastAsia" w:cs="Times New Roman"/>
                <w:bCs/>
                <w:color w:val="auto"/>
                <w:kern w:val="2"/>
                <w:sz w:val="20"/>
                <w:szCs w:val="20"/>
                <w:highlight w:val="none"/>
                <w:lang w:val="en-US" w:eastAsia="zh-CN" w:bidi="ar-SA"/>
              </w:rPr>
              <w:t>的</w:t>
            </w:r>
            <w:r>
              <w:rPr>
                <w:rFonts w:hint="eastAsia" w:ascii="宋体" w:hAnsi="宋体" w:eastAsia="宋体" w:cs="Times New Roman"/>
                <w:bCs/>
                <w:color w:val="auto"/>
                <w:kern w:val="2"/>
                <w:sz w:val="20"/>
                <w:szCs w:val="20"/>
                <w:highlight w:val="none"/>
                <w:lang w:val="en-US" w:eastAsia="zh-CN" w:bidi="ar-SA"/>
              </w:rPr>
              <w:t>获奖证书上的课题名称或成果名称</w:t>
            </w:r>
            <w:r>
              <w:rPr>
                <w:rFonts w:hint="eastAsia" w:cs="Times New Roman"/>
                <w:bCs/>
                <w:color w:val="auto"/>
                <w:kern w:val="2"/>
                <w:sz w:val="20"/>
                <w:szCs w:val="20"/>
                <w:highlight w:val="none"/>
                <w:lang w:val="en-US" w:eastAsia="zh-CN" w:bidi="ar-SA"/>
              </w:rPr>
              <w:t>等</w:t>
            </w:r>
            <w:r>
              <w:rPr>
                <w:rFonts w:hint="eastAsia" w:ascii="宋体" w:hAnsi="宋体" w:eastAsia="宋体" w:cs="Times New Roman"/>
                <w:bCs/>
                <w:color w:val="auto"/>
                <w:kern w:val="2"/>
                <w:sz w:val="20"/>
                <w:szCs w:val="20"/>
                <w:highlight w:val="none"/>
                <w:lang w:val="en-US" w:eastAsia="zh-CN" w:bidi="ar-SA"/>
              </w:rPr>
              <w:t>须含有建筑装修装饰工程相关的内容（或工艺）</w:t>
            </w:r>
            <w:r>
              <w:rPr>
                <w:rFonts w:hint="eastAsia" w:cs="Times New Roman"/>
                <w:bCs/>
                <w:color w:val="auto"/>
                <w:kern w:val="2"/>
                <w:sz w:val="20"/>
                <w:szCs w:val="20"/>
                <w:highlight w:val="none"/>
                <w:lang w:val="en-US" w:eastAsia="zh-CN" w:bidi="ar-SA"/>
              </w:rPr>
              <w:t>，</w:t>
            </w:r>
            <w:r>
              <w:rPr>
                <w:rFonts w:hint="eastAsia" w:ascii="宋体" w:hAnsi="宋体" w:eastAsia="宋体" w:cs="Times New Roman"/>
                <w:bCs/>
                <w:color w:val="auto"/>
                <w:kern w:val="2"/>
                <w:sz w:val="20"/>
                <w:szCs w:val="20"/>
                <w:highlight w:val="none"/>
                <w:lang w:val="en-US" w:eastAsia="zh-CN" w:bidi="ar-SA"/>
              </w:rPr>
              <w:t>或提供的施工合同的</w:t>
            </w:r>
            <w:r>
              <w:rPr>
                <w:rFonts w:hint="eastAsia" w:cs="Times New Roman"/>
                <w:bCs/>
                <w:color w:val="auto"/>
                <w:kern w:val="2"/>
                <w:sz w:val="20"/>
                <w:szCs w:val="20"/>
                <w:highlight w:val="none"/>
                <w:lang w:val="en-US" w:eastAsia="zh-CN" w:bidi="ar-SA"/>
              </w:rPr>
              <w:t>施工</w:t>
            </w:r>
            <w:r>
              <w:rPr>
                <w:rFonts w:hint="eastAsia" w:ascii="宋体" w:hAnsi="宋体" w:eastAsia="宋体" w:cs="Times New Roman"/>
                <w:bCs/>
                <w:color w:val="auto"/>
                <w:kern w:val="2"/>
                <w:sz w:val="20"/>
                <w:szCs w:val="20"/>
                <w:highlight w:val="none"/>
                <w:lang w:val="en-US" w:eastAsia="zh-CN" w:bidi="ar-SA"/>
              </w:rPr>
              <w:t>内容</w:t>
            </w:r>
            <w:r>
              <w:rPr>
                <w:rFonts w:hint="eastAsia" w:cs="Times New Roman"/>
                <w:bCs/>
                <w:color w:val="auto"/>
                <w:kern w:val="2"/>
                <w:sz w:val="20"/>
                <w:szCs w:val="20"/>
                <w:highlight w:val="none"/>
                <w:lang w:val="en-US" w:eastAsia="zh-CN" w:bidi="ar-SA"/>
              </w:rPr>
              <w:t>含有</w:t>
            </w:r>
            <w:r>
              <w:rPr>
                <w:rFonts w:hint="eastAsia" w:ascii="宋体" w:hAnsi="宋体" w:eastAsia="宋体" w:cs="Times New Roman"/>
                <w:bCs/>
                <w:color w:val="auto"/>
                <w:kern w:val="2"/>
                <w:sz w:val="20"/>
                <w:szCs w:val="20"/>
                <w:highlight w:val="none"/>
                <w:lang w:val="en-US" w:eastAsia="zh-CN" w:bidi="ar-SA"/>
              </w:rPr>
              <w:t>建筑装修装饰工程相关的内容</w:t>
            </w:r>
            <w:r>
              <w:rPr>
                <w:rFonts w:hint="eastAsia" w:cs="Times New Roman"/>
                <w:bCs/>
                <w:color w:val="auto"/>
                <w:kern w:val="2"/>
                <w:sz w:val="20"/>
                <w:szCs w:val="20"/>
                <w:highlight w:val="none"/>
                <w:lang w:val="en-US" w:eastAsia="zh-CN" w:bidi="ar-SA"/>
              </w:rPr>
              <w:t>，</w:t>
            </w:r>
            <w:r>
              <w:rPr>
                <w:rFonts w:hint="eastAsia" w:cs="宋体"/>
                <w:color w:val="auto"/>
                <w:highlight w:val="none"/>
                <w:lang w:val="en-US" w:eastAsia="zh-CN"/>
              </w:rPr>
              <w:t>均符合要求</w:t>
            </w:r>
            <w:r>
              <w:rPr>
                <w:rFonts w:hint="eastAsia" w:ascii="宋体" w:hAnsi="宋体" w:eastAsia="宋体" w:cs="Times New Roman"/>
                <w:bCs/>
                <w:color w:val="auto"/>
                <w:kern w:val="2"/>
                <w:sz w:val="20"/>
                <w:szCs w:val="20"/>
                <w:highlight w:val="none"/>
                <w:lang w:val="en-US" w:eastAsia="zh-CN" w:bidi="ar-SA"/>
              </w:rPr>
              <w:t>。其他非建筑装修装饰工程类</w:t>
            </w:r>
            <w:r>
              <w:rPr>
                <w:rFonts w:hint="eastAsia" w:cs="Times New Roman"/>
                <w:bCs/>
                <w:color w:val="auto"/>
                <w:kern w:val="2"/>
                <w:sz w:val="20"/>
                <w:szCs w:val="20"/>
                <w:highlight w:val="none"/>
                <w:lang w:val="en-US" w:eastAsia="zh-CN" w:bidi="ar-SA"/>
              </w:rPr>
              <w:t>成</w:t>
            </w:r>
            <w:r>
              <w:rPr>
                <w:rFonts w:hint="eastAsia" w:cs="Times New Roman"/>
                <w:b w:val="0"/>
                <w:bCs/>
                <w:color w:val="auto"/>
                <w:kern w:val="2"/>
                <w:sz w:val="20"/>
                <w:szCs w:val="20"/>
                <w:highlight w:val="none"/>
                <w:lang w:val="en-US" w:eastAsia="zh-CN" w:bidi="ar-SA"/>
              </w:rPr>
              <w:t>果</w:t>
            </w:r>
            <w:r>
              <w:rPr>
                <w:rFonts w:hint="eastAsia" w:ascii="宋体" w:hAnsi="宋体" w:eastAsia="宋体" w:cs="Times New Roman"/>
                <w:b w:val="0"/>
                <w:bCs/>
                <w:color w:val="auto"/>
                <w:kern w:val="2"/>
                <w:sz w:val="20"/>
                <w:szCs w:val="20"/>
                <w:highlight w:val="none"/>
                <w:lang w:val="en-US" w:eastAsia="zh-CN" w:bidi="ar-SA"/>
              </w:rPr>
              <w:t>（如：路桥工程</w:t>
            </w:r>
            <w:r>
              <w:rPr>
                <w:rFonts w:hint="eastAsia" w:cs="Times New Roman"/>
                <w:b w:val="0"/>
                <w:bCs/>
                <w:color w:val="auto"/>
                <w:kern w:val="2"/>
                <w:sz w:val="20"/>
                <w:szCs w:val="20"/>
                <w:highlight w:val="none"/>
                <w:lang w:val="en-US" w:eastAsia="zh-CN" w:bidi="ar-SA"/>
              </w:rPr>
              <w:t>、</w:t>
            </w:r>
            <w:r>
              <w:rPr>
                <w:rFonts w:hint="eastAsia" w:ascii="宋体" w:hAnsi="宋体" w:eastAsia="宋体" w:cs="Times New Roman"/>
                <w:b w:val="0"/>
                <w:bCs/>
                <w:color w:val="auto"/>
                <w:kern w:val="2"/>
                <w:sz w:val="20"/>
                <w:szCs w:val="20"/>
                <w:highlight w:val="none"/>
                <w:lang w:val="en-US" w:eastAsia="zh-CN" w:bidi="ar-SA"/>
              </w:rPr>
              <w:t>铁路工程</w:t>
            </w:r>
            <w:r>
              <w:rPr>
                <w:rFonts w:hint="eastAsia" w:cs="Times New Roman"/>
                <w:b w:val="0"/>
                <w:bCs/>
                <w:color w:val="auto"/>
                <w:kern w:val="2"/>
                <w:sz w:val="20"/>
                <w:szCs w:val="20"/>
                <w:highlight w:val="none"/>
                <w:lang w:val="en-US" w:eastAsia="zh-CN" w:bidi="ar-SA"/>
              </w:rPr>
              <w:t>、</w:t>
            </w:r>
            <w:r>
              <w:rPr>
                <w:rFonts w:hint="eastAsia" w:ascii="宋体" w:hAnsi="宋体" w:eastAsia="宋体" w:cs="Times New Roman"/>
                <w:b w:val="0"/>
                <w:bCs/>
                <w:color w:val="auto"/>
                <w:kern w:val="2"/>
                <w:sz w:val="20"/>
                <w:szCs w:val="20"/>
                <w:highlight w:val="none"/>
                <w:lang w:val="en-US" w:eastAsia="zh-CN" w:bidi="ar-SA"/>
              </w:rPr>
              <w:t>水利工程</w:t>
            </w:r>
            <w:r>
              <w:rPr>
                <w:rFonts w:hint="eastAsia" w:cs="Times New Roman"/>
                <w:b w:val="0"/>
                <w:bCs/>
                <w:color w:val="auto"/>
                <w:kern w:val="2"/>
                <w:sz w:val="20"/>
                <w:szCs w:val="20"/>
                <w:highlight w:val="none"/>
                <w:lang w:val="en-US" w:eastAsia="zh-CN" w:bidi="ar-SA"/>
              </w:rPr>
              <w:t>、</w:t>
            </w:r>
            <w:r>
              <w:rPr>
                <w:rFonts w:hint="eastAsia" w:ascii="宋体" w:hAnsi="宋体" w:eastAsia="宋体" w:cs="Times New Roman"/>
                <w:b w:val="0"/>
                <w:bCs/>
                <w:color w:val="auto"/>
                <w:kern w:val="2"/>
                <w:sz w:val="20"/>
                <w:szCs w:val="20"/>
                <w:highlight w:val="none"/>
                <w:lang w:val="en-US" w:eastAsia="zh-CN" w:bidi="ar-SA"/>
              </w:rPr>
              <w:t>电力工程</w:t>
            </w:r>
            <w:r>
              <w:rPr>
                <w:rFonts w:hint="eastAsia" w:cs="Times New Roman"/>
                <w:b w:val="0"/>
                <w:bCs/>
                <w:color w:val="auto"/>
                <w:kern w:val="2"/>
                <w:sz w:val="20"/>
                <w:szCs w:val="20"/>
                <w:highlight w:val="none"/>
                <w:lang w:val="en-US" w:eastAsia="zh-CN" w:bidi="ar-SA"/>
              </w:rPr>
              <w:t>、</w:t>
            </w:r>
            <w:r>
              <w:rPr>
                <w:rFonts w:hint="eastAsia" w:ascii="宋体" w:hAnsi="宋体" w:eastAsia="宋体" w:cs="Times New Roman"/>
                <w:b w:val="0"/>
                <w:bCs/>
                <w:color w:val="auto"/>
                <w:kern w:val="2"/>
                <w:sz w:val="20"/>
                <w:szCs w:val="20"/>
                <w:highlight w:val="none"/>
                <w:lang w:val="en-US" w:eastAsia="zh-CN" w:bidi="ar-SA"/>
              </w:rPr>
              <w:t>化工工程</w:t>
            </w:r>
            <w:r>
              <w:rPr>
                <w:rFonts w:hint="eastAsia" w:cs="Times New Roman"/>
                <w:b w:val="0"/>
                <w:bCs/>
                <w:color w:val="auto"/>
                <w:kern w:val="2"/>
                <w:sz w:val="20"/>
                <w:szCs w:val="20"/>
                <w:highlight w:val="none"/>
                <w:lang w:val="en-US" w:eastAsia="zh-CN" w:bidi="ar-SA"/>
              </w:rPr>
              <w:t>、</w:t>
            </w:r>
            <w:r>
              <w:rPr>
                <w:rFonts w:hint="eastAsia" w:ascii="宋体" w:hAnsi="宋体" w:eastAsia="宋体" w:cs="Times New Roman"/>
                <w:b w:val="0"/>
                <w:bCs/>
                <w:color w:val="auto"/>
                <w:kern w:val="2"/>
                <w:sz w:val="20"/>
                <w:szCs w:val="20"/>
                <w:highlight w:val="none"/>
                <w:lang w:val="en-US" w:eastAsia="zh-CN" w:bidi="ar-SA"/>
              </w:rPr>
              <w:t>冶金工程</w:t>
            </w:r>
            <w:r>
              <w:rPr>
                <w:rFonts w:hint="eastAsia" w:cs="Times New Roman"/>
                <w:b w:val="0"/>
                <w:bCs/>
                <w:color w:val="auto"/>
                <w:kern w:val="2"/>
                <w:sz w:val="20"/>
                <w:szCs w:val="20"/>
                <w:highlight w:val="none"/>
                <w:lang w:val="en-US" w:eastAsia="zh-CN" w:bidi="ar-SA"/>
              </w:rPr>
              <w:t>、</w:t>
            </w:r>
            <w:r>
              <w:rPr>
                <w:rFonts w:hint="eastAsia" w:ascii="宋体" w:hAnsi="宋体" w:eastAsia="宋体" w:cs="Times New Roman"/>
                <w:b w:val="0"/>
                <w:bCs/>
                <w:color w:val="auto"/>
                <w:kern w:val="2"/>
                <w:sz w:val="20"/>
                <w:szCs w:val="20"/>
                <w:highlight w:val="none"/>
                <w:lang w:val="en-US" w:eastAsia="zh-CN" w:bidi="ar-SA"/>
              </w:rPr>
              <w:t>市政工程、</w:t>
            </w:r>
            <w:r>
              <w:rPr>
                <w:rFonts w:hint="eastAsia" w:cs="Times New Roman"/>
                <w:b w:val="0"/>
                <w:bCs/>
                <w:color w:val="auto"/>
                <w:kern w:val="2"/>
                <w:sz w:val="20"/>
                <w:szCs w:val="20"/>
                <w:highlight w:val="none"/>
                <w:lang w:val="en-US" w:eastAsia="zh-CN" w:bidi="ar-SA"/>
              </w:rPr>
              <w:t>建筑工程中除装修装饰工程以外的其他专业工程等</w:t>
            </w:r>
            <w:r>
              <w:rPr>
                <w:rFonts w:hint="eastAsia" w:ascii="宋体" w:hAnsi="宋体" w:eastAsia="宋体" w:cs="Times New Roman"/>
                <w:b w:val="0"/>
                <w:bCs/>
                <w:color w:val="auto"/>
                <w:kern w:val="2"/>
                <w:sz w:val="20"/>
                <w:szCs w:val="20"/>
                <w:highlight w:val="none"/>
                <w:lang w:val="en-US" w:eastAsia="zh-CN" w:bidi="ar-SA"/>
              </w:rPr>
              <w:t>）</w:t>
            </w:r>
            <w:r>
              <w:rPr>
                <w:rFonts w:hint="eastAsia" w:ascii="宋体" w:hAnsi="宋体" w:eastAsia="宋体" w:cs="Times New Roman"/>
                <w:bCs/>
                <w:color w:val="auto"/>
                <w:kern w:val="2"/>
                <w:sz w:val="20"/>
                <w:szCs w:val="20"/>
                <w:highlight w:val="none"/>
                <w:lang w:val="en-US" w:eastAsia="zh-CN" w:bidi="ar-SA"/>
              </w:rPr>
              <w:t>不参与计分。获奖证书上须有该投标人名称。时间以获奖证书的发证时间为准。不符合上述条件或上述资料相关信息不一致或提供的资料不齐全的，该获奖不予评审。</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704" w:hRule="atLeast"/>
        </w:trPr>
        <w:tc>
          <w:tcPr>
            <w:tcW w:w="804" w:type="dxa"/>
            <w:vMerge w:val="continue"/>
            <w:shd w:val="clear" w:color="auto" w:fill="FFFFFF"/>
            <w:noWrap w:val="0"/>
            <w:vAlign w:val="center"/>
          </w:tcPr>
          <w:p>
            <w:pPr>
              <w:keepNext w:val="0"/>
              <w:keepLines w:val="0"/>
              <w:pageBreakBefore w:val="0"/>
              <w:tabs>
                <w:tab w:val="left" w:pos="3570"/>
              </w:tabs>
              <w:kinsoku/>
              <w:wordWrap/>
              <w:overflowPunct/>
              <w:topLinePunct w:val="0"/>
              <w:bidi w:val="0"/>
              <w:spacing w:line="240" w:lineRule="auto"/>
              <w:jc w:val="center"/>
              <w:textAlignment w:val="auto"/>
              <w:rPr>
                <w:rFonts w:ascii="宋体" w:hAnsi="宋体" w:cs="宋体"/>
                <w:color w:val="auto"/>
                <w:sz w:val="20"/>
                <w:szCs w:val="20"/>
                <w:highlight w:val="none"/>
              </w:rPr>
            </w:pPr>
          </w:p>
        </w:tc>
        <w:tc>
          <w:tcPr>
            <w:tcW w:w="674" w:type="dxa"/>
            <w:vMerge w:val="continue"/>
            <w:shd w:val="clear" w:color="auto" w:fill="FFFFFF"/>
            <w:noWrap w:val="0"/>
            <w:vAlign w:val="center"/>
          </w:tcPr>
          <w:p>
            <w:pPr>
              <w:keepNext w:val="0"/>
              <w:keepLines w:val="0"/>
              <w:pageBreakBefore w:val="0"/>
              <w:tabs>
                <w:tab w:val="left" w:pos="3570"/>
              </w:tabs>
              <w:kinsoku/>
              <w:wordWrap/>
              <w:overflowPunct/>
              <w:topLinePunct w:val="0"/>
              <w:bidi w:val="0"/>
              <w:spacing w:line="240" w:lineRule="auto"/>
              <w:jc w:val="center"/>
              <w:textAlignment w:val="auto"/>
              <w:rPr>
                <w:rFonts w:ascii="宋体" w:hAnsi="宋体"/>
                <w:b/>
                <w:bCs/>
                <w:color w:val="auto"/>
                <w:kern w:val="0"/>
                <w:sz w:val="20"/>
                <w:szCs w:val="20"/>
                <w:highlight w:val="none"/>
                <w:lang w:val="zh-CN"/>
              </w:rPr>
            </w:pPr>
          </w:p>
        </w:tc>
        <w:tc>
          <w:tcPr>
            <w:tcW w:w="1310" w:type="dxa"/>
            <w:gridSpan w:val="2"/>
            <w:shd w:val="clear" w:color="auto" w:fill="FFFFFF"/>
            <w:noWrap w:val="0"/>
            <w:vAlign w:val="center"/>
          </w:tcPr>
          <w:p>
            <w:pPr>
              <w:keepNext w:val="0"/>
              <w:keepLines w:val="0"/>
              <w:pageBreakBefore w:val="0"/>
              <w:tabs>
                <w:tab w:val="left" w:pos="3570"/>
              </w:tabs>
              <w:kinsoku/>
              <w:wordWrap/>
              <w:overflowPunct/>
              <w:topLinePunct w:val="0"/>
              <w:bidi w:val="0"/>
              <w:spacing w:line="240" w:lineRule="auto"/>
              <w:jc w:val="center"/>
              <w:textAlignment w:val="auto"/>
              <w:rPr>
                <w:rFonts w:ascii="宋体" w:hAnsi="宋体"/>
                <w:color w:val="auto"/>
                <w:kern w:val="0"/>
                <w:sz w:val="20"/>
                <w:szCs w:val="20"/>
                <w:highlight w:val="none"/>
                <w:lang w:val="zh-CN"/>
              </w:rPr>
            </w:pPr>
            <w:r>
              <w:rPr>
                <w:rFonts w:hint="eastAsia" w:ascii="宋体" w:hAnsi="宋体"/>
                <w:color w:val="auto"/>
                <w:kern w:val="0"/>
                <w:sz w:val="20"/>
                <w:szCs w:val="20"/>
                <w:highlight w:val="none"/>
                <w:lang w:val="zh-CN"/>
              </w:rPr>
              <w:t>工程奖项</w:t>
            </w:r>
          </w:p>
        </w:tc>
        <w:tc>
          <w:tcPr>
            <w:tcW w:w="819" w:type="dxa"/>
            <w:shd w:val="clear" w:color="auto" w:fill="FFFFFF"/>
            <w:noWrap w:val="0"/>
            <w:vAlign w:val="center"/>
          </w:tcPr>
          <w:p>
            <w:pPr>
              <w:pStyle w:val="11"/>
              <w:keepNext w:val="0"/>
              <w:keepLines w:val="0"/>
              <w:pageBreakBefore w:val="0"/>
              <w:tabs>
                <w:tab w:val="left" w:pos="3570"/>
              </w:tabs>
              <w:kinsoku/>
              <w:wordWrap/>
              <w:overflowPunct/>
              <w:topLinePunct w:val="0"/>
              <w:bidi w:val="0"/>
              <w:spacing w:line="240" w:lineRule="auto"/>
              <w:jc w:val="center"/>
              <w:textAlignment w:val="auto"/>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en-US" w:eastAsia="zh-CN"/>
              </w:rPr>
              <w:t>6</w:t>
            </w:r>
          </w:p>
        </w:tc>
        <w:tc>
          <w:tcPr>
            <w:tcW w:w="10977" w:type="dxa"/>
            <w:shd w:val="clear" w:color="auto" w:fill="FFFFFF"/>
            <w:noWrap w:val="0"/>
            <w:vAlign w:val="center"/>
          </w:tcPr>
          <w:p>
            <w:pPr>
              <w:keepNext w:val="0"/>
              <w:keepLines w:val="0"/>
              <w:pageBreakBefore w:val="0"/>
              <w:tabs>
                <w:tab w:val="left" w:pos="3570"/>
              </w:tabs>
              <w:kinsoku/>
              <w:wordWrap/>
              <w:overflowPunct/>
              <w:topLinePunct w:val="0"/>
              <w:bidi w:val="0"/>
              <w:spacing w:line="288" w:lineRule="auto"/>
              <w:jc w:val="left"/>
              <w:textAlignment w:val="auto"/>
              <w:rPr>
                <w:rFonts w:ascii="宋体" w:hAnsi="宋体"/>
                <w:color w:val="auto"/>
                <w:kern w:val="0"/>
                <w:sz w:val="20"/>
                <w:szCs w:val="20"/>
                <w:highlight w:val="none"/>
                <w:lang w:val="zh-CN"/>
              </w:rPr>
            </w:pPr>
            <w:r>
              <w:rPr>
                <w:rFonts w:hint="eastAsia" w:ascii="宋体" w:hAnsi="宋体"/>
                <w:color w:val="auto"/>
                <w:kern w:val="0"/>
                <w:sz w:val="20"/>
                <w:szCs w:val="20"/>
                <w:highlight w:val="none"/>
                <w:lang w:val="zh-CN"/>
              </w:rPr>
              <w:t>投标人自20</w:t>
            </w:r>
            <w:r>
              <w:rPr>
                <w:rFonts w:ascii="宋体" w:hAnsi="宋体"/>
                <w:color w:val="auto"/>
                <w:kern w:val="0"/>
                <w:sz w:val="20"/>
                <w:szCs w:val="20"/>
                <w:highlight w:val="none"/>
                <w:lang w:val="zh-CN"/>
              </w:rPr>
              <w:t>2</w:t>
            </w:r>
            <w:r>
              <w:rPr>
                <w:rFonts w:hint="eastAsia" w:ascii="宋体" w:hAnsi="宋体"/>
                <w:color w:val="auto"/>
                <w:kern w:val="0"/>
                <w:sz w:val="20"/>
                <w:szCs w:val="20"/>
                <w:highlight w:val="none"/>
                <w:lang w:val="en-US" w:eastAsia="zh-CN"/>
              </w:rPr>
              <w:t>1</w:t>
            </w:r>
            <w:r>
              <w:rPr>
                <w:rFonts w:hint="eastAsia" w:ascii="宋体" w:hAnsi="宋体"/>
                <w:color w:val="auto"/>
                <w:kern w:val="0"/>
                <w:sz w:val="20"/>
                <w:szCs w:val="20"/>
                <w:highlight w:val="none"/>
                <w:lang w:val="zh-CN"/>
              </w:rPr>
              <w:t>年1月1日至投标截止时间止，完成的建筑装修装饰类工程获得过质量奖项的：</w:t>
            </w:r>
          </w:p>
          <w:p>
            <w:pPr>
              <w:keepNext w:val="0"/>
              <w:keepLines w:val="0"/>
              <w:pageBreakBefore w:val="0"/>
              <w:tabs>
                <w:tab w:val="left" w:pos="3570"/>
              </w:tabs>
              <w:kinsoku/>
              <w:wordWrap/>
              <w:overflowPunct/>
              <w:topLinePunct w:val="0"/>
              <w:bidi w:val="0"/>
              <w:spacing w:line="288" w:lineRule="auto"/>
              <w:jc w:val="left"/>
              <w:textAlignment w:val="auto"/>
              <w:rPr>
                <w:rFonts w:hint="eastAsia" w:ascii="宋体" w:hAnsi="宋体"/>
                <w:color w:val="auto"/>
                <w:kern w:val="0"/>
                <w:sz w:val="20"/>
                <w:szCs w:val="20"/>
                <w:highlight w:val="none"/>
                <w:lang w:val="zh-CN"/>
              </w:rPr>
            </w:pPr>
            <w:r>
              <w:rPr>
                <w:rFonts w:hint="eastAsia" w:ascii="宋体" w:hAnsi="宋体"/>
                <w:color w:val="auto"/>
                <w:kern w:val="0"/>
                <w:sz w:val="20"/>
                <w:szCs w:val="20"/>
                <w:highlight w:val="none"/>
                <w:lang w:val="zh-CN"/>
              </w:rPr>
              <w:t>（1）国家级奖项每个得</w:t>
            </w:r>
            <w:r>
              <w:rPr>
                <w:rFonts w:hint="eastAsia" w:ascii="宋体" w:hAnsi="宋体"/>
                <w:color w:val="auto"/>
                <w:kern w:val="0"/>
                <w:sz w:val="20"/>
                <w:szCs w:val="20"/>
                <w:highlight w:val="none"/>
                <w:lang w:val="en-US" w:eastAsia="zh-CN"/>
              </w:rPr>
              <w:t>3</w:t>
            </w:r>
            <w:r>
              <w:rPr>
                <w:rFonts w:hint="eastAsia" w:ascii="宋体" w:hAnsi="宋体"/>
                <w:color w:val="auto"/>
                <w:kern w:val="0"/>
                <w:sz w:val="20"/>
                <w:szCs w:val="20"/>
                <w:highlight w:val="none"/>
                <w:lang w:val="zh-CN"/>
              </w:rPr>
              <w:t>分，最多得</w:t>
            </w:r>
            <w:r>
              <w:rPr>
                <w:rFonts w:hint="eastAsia" w:ascii="宋体" w:hAnsi="宋体"/>
                <w:color w:val="auto"/>
                <w:kern w:val="0"/>
                <w:sz w:val="20"/>
                <w:szCs w:val="20"/>
                <w:highlight w:val="none"/>
                <w:lang w:val="en-US" w:eastAsia="zh-CN"/>
              </w:rPr>
              <w:t>6</w:t>
            </w:r>
            <w:r>
              <w:rPr>
                <w:rFonts w:hint="eastAsia" w:ascii="宋体" w:hAnsi="宋体"/>
                <w:color w:val="auto"/>
                <w:kern w:val="0"/>
                <w:sz w:val="20"/>
                <w:szCs w:val="20"/>
                <w:highlight w:val="none"/>
                <w:lang w:val="zh-CN"/>
              </w:rPr>
              <w:t>分；</w:t>
            </w:r>
          </w:p>
          <w:p>
            <w:pPr>
              <w:keepNext w:val="0"/>
              <w:keepLines w:val="0"/>
              <w:pageBreakBefore w:val="0"/>
              <w:tabs>
                <w:tab w:val="left" w:pos="3570"/>
              </w:tabs>
              <w:kinsoku/>
              <w:wordWrap/>
              <w:overflowPunct/>
              <w:topLinePunct w:val="0"/>
              <w:bidi w:val="0"/>
              <w:spacing w:line="288" w:lineRule="auto"/>
              <w:jc w:val="left"/>
              <w:textAlignment w:val="auto"/>
              <w:rPr>
                <w:rFonts w:hint="eastAsia" w:ascii="宋体" w:hAnsi="宋体"/>
                <w:color w:val="auto"/>
                <w:kern w:val="0"/>
                <w:sz w:val="20"/>
                <w:szCs w:val="20"/>
                <w:highlight w:val="none"/>
                <w:lang w:val="zh-CN"/>
              </w:rPr>
            </w:pPr>
            <w:r>
              <w:rPr>
                <w:rFonts w:hint="eastAsia" w:ascii="宋体" w:hAnsi="宋体"/>
                <w:color w:val="auto"/>
                <w:kern w:val="0"/>
                <w:sz w:val="20"/>
                <w:szCs w:val="20"/>
                <w:highlight w:val="none"/>
                <w:lang w:val="zh-CN"/>
              </w:rPr>
              <w:t>（2）省级奖项每个得</w:t>
            </w:r>
            <w:r>
              <w:rPr>
                <w:rFonts w:ascii="宋体" w:hAnsi="宋体"/>
                <w:color w:val="auto"/>
                <w:kern w:val="0"/>
                <w:sz w:val="20"/>
                <w:szCs w:val="20"/>
                <w:highlight w:val="none"/>
                <w:lang w:val="zh-CN"/>
              </w:rPr>
              <w:t>1</w:t>
            </w:r>
            <w:r>
              <w:rPr>
                <w:rFonts w:hint="eastAsia"/>
                <w:color w:val="auto"/>
                <w:kern w:val="0"/>
                <w:sz w:val="20"/>
                <w:szCs w:val="20"/>
                <w:highlight w:val="none"/>
                <w:lang w:val="en-US" w:eastAsia="zh-CN"/>
              </w:rPr>
              <w:t>.5</w:t>
            </w:r>
            <w:r>
              <w:rPr>
                <w:rFonts w:hint="eastAsia" w:ascii="宋体" w:hAnsi="宋体"/>
                <w:color w:val="auto"/>
                <w:kern w:val="0"/>
                <w:sz w:val="20"/>
                <w:szCs w:val="20"/>
                <w:highlight w:val="none"/>
                <w:lang w:val="zh-CN"/>
              </w:rPr>
              <w:t>分，最多得</w:t>
            </w:r>
            <w:r>
              <w:rPr>
                <w:rFonts w:hint="eastAsia" w:ascii="宋体" w:hAnsi="宋体"/>
                <w:color w:val="auto"/>
                <w:kern w:val="0"/>
                <w:sz w:val="20"/>
                <w:szCs w:val="20"/>
                <w:highlight w:val="none"/>
                <w:lang w:val="en-US" w:eastAsia="zh-CN"/>
              </w:rPr>
              <w:t>3</w:t>
            </w:r>
            <w:r>
              <w:rPr>
                <w:rFonts w:hint="eastAsia" w:ascii="宋体" w:hAnsi="宋体"/>
                <w:color w:val="auto"/>
                <w:kern w:val="0"/>
                <w:sz w:val="20"/>
                <w:szCs w:val="20"/>
                <w:highlight w:val="none"/>
                <w:lang w:val="zh-CN"/>
              </w:rPr>
              <w:t>分；</w:t>
            </w:r>
          </w:p>
          <w:p>
            <w:pPr>
              <w:keepNext w:val="0"/>
              <w:keepLines w:val="0"/>
              <w:pageBreakBefore w:val="0"/>
              <w:tabs>
                <w:tab w:val="left" w:pos="3570"/>
              </w:tabs>
              <w:kinsoku/>
              <w:wordWrap/>
              <w:overflowPunct/>
              <w:topLinePunct w:val="0"/>
              <w:bidi w:val="0"/>
              <w:spacing w:line="288" w:lineRule="auto"/>
              <w:jc w:val="left"/>
              <w:textAlignment w:val="auto"/>
              <w:rPr>
                <w:rFonts w:hint="eastAsia" w:ascii="宋体" w:hAnsi="宋体"/>
                <w:color w:val="auto"/>
                <w:kern w:val="0"/>
                <w:sz w:val="20"/>
                <w:szCs w:val="20"/>
                <w:highlight w:val="none"/>
                <w:lang w:val="zh-CN"/>
              </w:rPr>
            </w:pPr>
            <w:r>
              <w:rPr>
                <w:rFonts w:hint="eastAsia" w:ascii="宋体" w:hAnsi="宋体"/>
                <w:color w:val="auto"/>
                <w:kern w:val="0"/>
                <w:sz w:val="20"/>
                <w:szCs w:val="20"/>
                <w:highlight w:val="none"/>
                <w:lang w:val="zh-CN"/>
              </w:rPr>
              <w:t>（3）市级奖项每个得</w:t>
            </w:r>
            <w:r>
              <w:rPr>
                <w:rFonts w:ascii="宋体" w:hAnsi="宋体"/>
                <w:color w:val="auto"/>
                <w:kern w:val="0"/>
                <w:sz w:val="20"/>
                <w:szCs w:val="20"/>
                <w:highlight w:val="none"/>
                <w:lang w:val="zh-CN"/>
              </w:rPr>
              <w:t>0.5</w:t>
            </w:r>
            <w:r>
              <w:rPr>
                <w:rFonts w:hint="eastAsia" w:ascii="宋体" w:hAnsi="宋体"/>
                <w:color w:val="auto"/>
                <w:kern w:val="0"/>
                <w:sz w:val="20"/>
                <w:szCs w:val="20"/>
                <w:highlight w:val="none"/>
                <w:lang w:val="zh-CN"/>
              </w:rPr>
              <w:t>分，最多得</w:t>
            </w:r>
            <w:r>
              <w:rPr>
                <w:rFonts w:hint="eastAsia" w:ascii="宋体" w:hAnsi="宋体"/>
                <w:color w:val="auto"/>
                <w:kern w:val="0"/>
                <w:sz w:val="20"/>
                <w:szCs w:val="20"/>
                <w:highlight w:val="none"/>
                <w:lang w:val="en-US" w:eastAsia="zh-CN"/>
              </w:rPr>
              <w:t>1</w:t>
            </w:r>
            <w:r>
              <w:rPr>
                <w:rFonts w:hint="eastAsia" w:ascii="宋体" w:hAnsi="宋体"/>
                <w:color w:val="auto"/>
                <w:kern w:val="0"/>
                <w:sz w:val="20"/>
                <w:szCs w:val="20"/>
                <w:highlight w:val="none"/>
                <w:lang w:val="zh-CN"/>
              </w:rPr>
              <w:t>分；</w:t>
            </w:r>
          </w:p>
          <w:p>
            <w:pPr>
              <w:keepNext w:val="0"/>
              <w:keepLines w:val="0"/>
              <w:pageBreakBefore w:val="0"/>
              <w:tabs>
                <w:tab w:val="left" w:pos="3570"/>
              </w:tabs>
              <w:kinsoku/>
              <w:wordWrap/>
              <w:overflowPunct/>
              <w:topLinePunct w:val="0"/>
              <w:bidi w:val="0"/>
              <w:spacing w:line="288" w:lineRule="auto"/>
              <w:jc w:val="left"/>
              <w:textAlignment w:val="auto"/>
              <w:rPr>
                <w:rFonts w:ascii="宋体" w:hAnsi="宋体"/>
                <w:color w:val="auto"/>
                <w:kern w:val="0"/>
                <w:sz w:val="20"/>
                <w:szCs w:val="20"/>
                <w:highlight w:val="none"/>
                <w:lang w:val="zh-CN"/>
              </w:rPr>
            </w:pPr>
            <w:r>
              <w:rPr>
                <w:rFonts w:hint="eastAsia" w:ascii="宋体" w:hAnsi="宋体"/>
                <w:color w:val="auto"/>
                <w:kern w:val="0"/>
                <w:sz w:val="20"/>
                <w:szCs w:val="20"/>
                <w:highlight w:val="none"/>
                <w:lang w:val="zh-CN"/>
              </w:rPr>
              <w:t>以上各项累计最高得</w:t>
            </w:r>
            <w:r>
              <w:rPr>
                <w:rFonts w:hint="eastAsia" w:ascii="宋体" w:hAnsi="宋体"/>
                <w:color w:val="auto"/>
                <w:kern w:val="0"/>
                <w:sz w:val="20"/>
                <w:szCs w:val="20"/>
                <w:highlight w:val="none"/>
                <w:lang w:val="en-US" w:eastAsia="zh-CN"/>
              </w:rPr>
              <w:t>6</w:t>
            </w:r>
            <w:r>
              <w:rPr>
                <w:rFonts w:hint="eastAsia" w:ascii="宋体" w:hAnsi="宋体"/>
                <w:color w:val="auto"/>
                <w:kern w:val="0"/>
                <w:sz w:val="20"/>
                <w:szCs w:val="20"/>
                <w:highlight w:val="none"/>
                <w:lang w:val="zh-CN"/>
              </w:rPr>
              <w:t>分。</w:t>
            </w:r>
          </w:p>
          <w:p>
            <w:pPr>
              <w:keepNext w:val="0"/>
              <w:keepLines w:val="0"/>
              <w:pageBreakBefore w:val="0"/>
              <w:tabs>
                <w:tab w:val="left" w:pos="3570"/>
              </w:tabs>
              <w:kinsoku/>
              <w:wordWrap/>
              <w:overflowPunct/>
              <w:topLinePunct w:val="0"/>
              <w:bidi w:val="0"/>
              <w:spacing w:line="288" w:lineRule="auto"/>
              <w:jc w:val="left"/>
              <w:textAlignment w:val="auto"/>
              <w:rPr>
                <w:rFonts w:hint="eastAsia" w:ascii="宋体" w:hAnsi="宋体" w:cs="宋体"/>
                <w:color w:val="auto"/>
                <w:kern w:val="0"/>
                <w:sz w:val="20"/>
                <w:szCs w:val="20"/>
                <w:highlight w:val="none"/>
              </w:rPr>
            </w:pPr>
            <w:r>
              <w:rPr>
                <w:rFonts w:hint="eastAsia" w:ascii="宋体" w:hAnsi="宋体"/>
                <w:color w:val="auto"/>
                <w:kern w:val="0"/>
                <w:sz w:val="20"/>
                <w:szCs w:val="20"/>
                <w:highlight w:val="none"/>
                <w:lang w:val="zh-CN"/>
              </w:rPr>
              <w:t>注：</w:t>
            </w:r>
            <w:r>
              <w:rPr>
                <w:rFonts w:hint="eastAsia" w:ascii="宋体" w:hAnsi="宋体" w:cs="宋体"/>
                <w:color w:val="auto"/>
                <w:kern w:val="0"/>
                <w:sz w:val="20"/>
                <w:szCs w:val="20"/>
                <w:highlight w:val="none"/>
              </w:rPr>
              <w:t>（1）获奖信息可取自</w:t>
            </w:r>
            <w:r>
              <w:rPr>
                <w:rFonts w:hint="eastAsia" w:ascii="宋体" w:hAnsi="宋体"/>
                <w:color w:val="auto"/>
                <w:sz w:val="20"/>
                <w:szCs w:val="20"/>
                <w:highlight w:val="none"/>
                <w:shd w:val="clear" w:color="auto" w:fill="FFFFFF"/>
              </w:rPr>
              <w:t>广州市住建行业信用管理平台</w:t>
            </w:r>
            <w:r>
              <w:rPr>
                <w:rFonts w:hint="eastAsia" w:ascii="宋体" w:hAnsi="宋体" w:cs="宋体"/>
                <w:color w:val="auto"/>
                <w:kern w:val="0"/>
                <w:sz w:val="20"/>
                <w:szCs w:val="20"/>
                <w:highlight w:val="none"/>
              </w:rPr>
              <w:t>或以投标人所提供的获奖证书</w:t>
            </w:r>
            <w:r>
              <w:rPr>
                <w:rFonts w:hint="eastAsia" w:ascii="宋体" w:hAnsi="宋体"/>
                <w:color w:val="auto"/>
                <w:kern w:val="0"/>
                <w:sz w:val="20"/>
                <w:szCs w:val="20"/>
                <w:highlight w:val="none"/>
              </w:rPr>
              <w:t>原件扫描件</w:t>
            </w:r>
            <w:r>
              <w:rPr>
                <w:rFonts w:hint="eastAsia" w:ascii="宋体" w:hAnsi="宋体" w:cs="宋体"/>
                <w:color w:val="auto"/>
                <w:kern w:val="0"/>
                <w:sz w:val="20"/>
                <w:szCs w:val="20"/>
                <w:highlight w:val="none"/>
              </w:rPr>
              <w:t>为准。</w:t>
            </w:r>
          </w:p>
          <w:p>
            <w:pPr>
              <w:keepNext w:val="0"/>
              <w:keepLines w:val="0"/>
              <w:pageBreakBefore w:val="0"/>
              <w:tabs>
                <w:tab w:val="left" w:pos="3570"/>
              </w:tabs>
              <w:kinsoku/>
              <w:wordWrap/>
              <w:overflowPunct/>
              <w:topLinePunct w:val="0"/>
              <w:bidi w:val="0"/>
              <w:spacing w:line="288" w:lineRule="auto"/>
              <w:jc w:val="left"/>
              <w:textAlignment w:val="auto"/>
              <w:rPr>
                <w:rFonts w:ascii="宋体" w:hAnsi="宋体" w:cs="宋体"/>
                <w:color w:val="auto"/>
                <w:kern w:val="0"/>
                <w:sz w:val="20"/>
                <w:szCs w:val="20"/>
                <w:highlight w:val="none"/>
              </w:rPr>
            </w:pPr>
            <w:r>
              <w:rPr>
                <w:rFonts w:hint="eastAsia" w:ascii="宋体" w:hAnsi="宋体" w:cs="宋体"/>
                <w:color w:val="auto"/>
                <w:kern w:val="0"/>
                <w:sz w:val="20"/>
                <w:szCs w:val="20"/>
                <w:highlight w:val="none"/>
              </w:rPr>
              <w:t>①取自平台的，投标人须提供在广州市住建行业信用管理平台的网页信息截图（网页信息截图须能清晰显示带有“住建行业信用管理平台”名称，并至少包含“项目基本信息”、“奖项信息”等信息），不提供网页信息截图的业绩不予评审。评标委员会的评审以投标截止时间在平台内业绩上传件为依据（投标</w:t>
            </w:r>
            <w:r>
              <w:rPr>
                <w:rFonts w:hint="eastAsia" w:ascii="宋体" w:hAnsi="宋体" w:cs="宋体"/>
                <w:color w:val="auto"/>
                <w:kern w:val="0"/>
                <w:sz w:val="20"/>
                <w:szCs w:val="20"/>
                <w:highlight w:val="none"/>
                <w:lang w:eastAsia="zh-CN"/>
              </w:rPr>
              <w:t>阶段在</w:t>
            </w:r>
            <w:r>
              <w:rPr>
                <w:rFonts w:hint="eastAsia" w:ascii="宋体" w:hAnsi="宋体"/>
                <w:color w:val="auto"/>
                <w:kern w:val="0"/>
                <w:sz w:val="20"/>
                <w:szCs w:val="20"/>
                <w:highlight w:val="none"/>
                <w:lang w:val="zh-CN"/>
              </w:rPr>
              <w:t>投标文件中不需重复提交相关业绩上传件</w:t>
            </w:r>
            <w:r>
              <w:rPr>
                <w:rFonts w:hint="eastAsia" w:ascii="宋体" w:hAnsi="宋体" w:cs="宋体"/>
                <w:color w:val="auto"/>
                <w:kern w:val="0"/>
                <w:sz w:val="20"/>
                <w:szCs w:val="20"/>
                <w:highlight w:val="none"/>
              </w:rPr>
              <w:t>）。用于本项目投标的获奖业绩，在平台中“工程对应的企业资质”栏中须登记有与本项目要求相对应的资质（具体资质要求：</w:t>
            </w:r>
            <w:r>
              <w:rPr>
                <w:rFonts w:hint="eastAsia" w:ascii="宋体" w:hAnsi="宋体"/>
                <w:b w:val="0"/>
                <w:bCs/>
                <w:color w:val="auto"/>
                <w:sz w:val="20"/>
                <w:szCs w:val="20"/>
                <w:highlight w:val="none"/>
                <w:lang w:val="en-US" w:eastAsia="zh-CN"/>
              </w:rPr>
              <w:t>建筑装修装饰工程</w:t>
            </w:r>
            <w:r>
              <w:rPr>
                <w:rFonts w:hint="eastAsia" w:ascii="宋体" w:hAnsi="宋体" w:cs="宋体"/>
                <w:color w:val="auto"/>
                <w:kern w:val="0"/>
                <w:sz w:val="20"/>
                <w:szCs w:val="20"/>
                <w:highlight w:val="none"/>
              </w:rPr>
              <w:t>）。</w:t>
            </w:r>
          </w:p>
          <w:p>
            <w:pPr>
              <w:keepNext w:val="0"/>
              <w:keepLines w:val="0"/>
              <w:pageBreakBefore w:val="0"/>
              <w:tabs>
                <w:tab w:val="left" w:pos="3570"/>
              </w:tabs>
              <w:kinsoku/>
              <w:wordWrap/>
              <w:overflowPunct/>
              <w:topLinePunct w:val="0"/>
              <w:bidi w:val="0"/>
              <w:spacing w:line="288" w:lineRule="auto"/>
              <w:jc w:val="left"/>
              <w:textAlignment w:val="auto"/>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②取自获奖证书</w:t>
            </w:r>
            <w:r>
              <w:rPr>
                <w:rFonts w:hint="eastAsia" w:ascii="宋体" w:hAnsi="宋体"/>
                <w:color w:val="auto"/>
                <w:kern w:val="0"/>
                <w:sz w:val="20"/>
                <w:szCs w:val="20"/>
                <w:highlight w:val="none"/>
              </w:rPr>
              <w:t>原件扫描件</w:t>
            </w:r>
            <w:r>
              <w:rPr>
                <w:rFonts w:hint="eastAsia" w:ascii="宋体" w:hAnsi="宋体" w:cs="宋体"/>
                <w:color w:val="auto"/>
                <w:kern w:val="0"/>
                <w:sz w:val="20"/>
                <w:szCs w:val="20"/>
                <w:highlight w:val="none"/>
              </w:rPr>
              <w:t>的，投标人须提供获奖证书原件彩色扫描件，并同时提供获奖业绩的中标通知书(或免招标证明文件)、施工合同(不含补充合同)、竣工验收文件(验收文件至少具有建设单位、设计、施工和监理单位盖章)、竣工验收备案证明文件(备案证明须具有建设行政主管部门盖章确认)原件彩色扫描件及该获奖工程在“全国建筑市场监管公共服务平台”的网页信息截图（网页信息截图须显示工程信息并具备中标信息、施工许可证、施工合同及竣工验收备案环节登记单位信息）并加盖投标</w:t>
            </w:r>
            <w:r>
              <w:rPr>
                <w:rFonts w:hint="eastAsia" w:ascii="宋体" w:hAnsi="宋体" w:cs="宋体"/>
                <w:color w:val="auto"/>
                <w:kern w:val="0"/>
                <w:sz w:val="20"/>
                <w:szCs w:val="20"/>
                <w:highlight w:val="none"/>
                <w:lang w:val="en-US" w:eastAsia="zh-CN"/>
              </w:rPr>
              <w:t>人</w:t>
            </w:r>
            <w:r>
              <w:rPr>
                <w:rFonts w:hint="eastAsia" w:ascii="宋体" w:hAnsi="宋体" w:cs="宋体"/>
                <w:color w:val="auto"/>
                <w:kern w:val="0"/>
                <w:sz w:val="20"/>
                <w:szCs w:val="20"/>
                <w:highlight w:val="none"/>
              </w:rPr>
              <w:t>电子印章。不符合上述条件或上述资料相关信息不一致或提供的资料不齐全的获奖业绩</w:t>
            </w:r>
            <w:r>
              <w:rPr>
                <w:rFonts w:hint="eastAsia" w:cs="宋体"/>
                <w:color w:val="auto"/>
                <w:kern w:val="0"/>
                <w:sz w:val="20"/>
                <w:szCs w:val="20"/>
                <w:highlight w:val="none"/>
                <w:lang w:eastAsia="zh-CN"/>
              </w:rPr>
              <w:t>，</w:t>
            </w:r>
            <w:r>
              <w:rPr>
                <w:rFonts w:hint="eastAsia" w:ascii="宋体" w:hAnsi="宋体" w:cs="宋体"/>
                <w:color w:val="auto"/>
                <w:kern w:val="0"/>
                <w:sz w:val="20"/>
                <w:szCs w:val="20"/>
                <w:highlight w:val="none"/>
              </w:rPr>
              <w:t>不予评审。</w:t>
            </w:r>
          </w:p>
          <w:p>
            <w:pPr>
              <w:keepNext w:val="0"/>
              <w:keepLines w:val="0"/>
              <w:pageBreakBefore w:val="0"/>
              <w:tabs>
                <w:tab w:val="left" w:pos="3570"/>
              </w:tabs>
              <w:kinsoku/>
              <w:wordWrap/>
              <w:overflowPunct/>
              <w:topLinePunct w:val="0"/>
              <w:bidi w:val="0"/>
              <w:spacing w:line="288" w:lineRule="auto"/>
              <w:jc w:val="left"/>
              <w:textAlignment w:val="auto"/>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（2）获奖时间以发证时间为准。</w:t>
            </w:r>
          </w:p>
          <w:p>
            <w:pPr>
              <w:keepNext w:val="0"/>
              <w:keepLines w:val="0"/>
              <w:pageBreakBefore w:val="0"/>
              <w:tabs>
                <w:tab w:val="left" w:pos="3570"/>
              </w:tabs>
              <w:kinsoku/>
              <w:wordWrap/>
              <w:overflowPunct/>
              <w:topLinePunct w:val="0"/>
              <w:bidi w:val="0"/>
              <w:spacing w:line="288" w:lineRule="auto"/>
              <w:jc w:val="left"/>
              <w:textAlignment w:val="auto"/>
              <w:rPr>
                <w:rFonts w:hint="eastAsia" w:ascii="宋体" w:hAnsi="宋体"/>
                <w:color w:val="auto"/>
                <w:sz w:val="20"/>
                <w:szCs w:val="20"/>
                <w:highlight w:val="none"/>
              </w:rPr>
            </w:pPr>
            <w:r>
              <w:rPr>
                <w:rFonts w:hint="eastAsia" w:ascii="宋体" w:hAnsi="宋体" w:cs="宋体"/>
                <w:color w:val="auto"/>
                <w:kern w:val="0"/>
                <w:sz w:val="20"/>
                <w:szCs w:val="20"/>
                <w:highlight w:val="none"/>
              </w:rPr>
              <w:t>（3）国家级质量奖项包括：</w:t>
            </w:r>
            <w:r>
              <w:rPr>
                <w:rFonts w:hint="eastAsia" w:ascii="宋体" w:hAnsi="宋体"/>
                <w:color w:val="auto"/>
                <w:kern w:val="0"/>
                <w:sz w:val="20"/>
                <w:szCs w:val="20"/>
                <w:highlight w:val="none"/>
              </w:rPr>
              <w:t>中国建设工程</w:t>
            </w:r>
            <w:r>
              <w:rPr>
                <w:rFonts w:hint="eastAsia" w:ascii="宋体" w:hAnsi="宋体" w:cs="宋体"/>
                <w:color w:val="auto"/>
                <w:kern w:val="0"/>
                <w:sz w:val="20"/>
                <w:szCs w:val="20"/>
                <w:highlight w:val="none"/>
              </w:rPr>
              <w:t>鲁班奖、中国土木工程詹天佑奖、国家优质工程金质奖、国家优质工程奖、中国（全国）建筑工程装饰奖</w:t>
            </w:r>
            <w:r>
              <w:rPr>
                <w:rFonts w:hint="eastAsia" w:ascii="宋体" w:hAnsi="宋体" w:cs="Arial"/>
                <w:color w:val="auto"/>
                <w:sz w:val="20"/>
                <w:szCs w:val="20"/>
                <w:highlight w:val="none"/>
              </w:rPr>
              <w:t>（不含设计、幕墙获奖）</w:t>
            </w:r>
            <w:r>
              <w:rPr>
                <w:rFonts w:hint="eastAsia" w:ascii="宋体" w:hAnsi="宋体" w:cs="Arial"/>
                <w:color w:val="auto"/>
                <w:sz w:val="20"/>
                <w:szCs w:val="20"/>
                <w:highlight w:val="none"/>
                <w:lang w:eastAsia="zh-CN"/>
              </w:rPr>
              <w:t>，</w:t>
            </w:r>
            <w:r>
              <w:rPr>
                <w:rFonts w:hint="eastAsia" w:cs="宋体"/>
                <w:b w:val="0"/>
                <w:bCs w:val="0"/>
                <w:color w:val="auto"/>
                <w:sz w:val="20"/>
                <w:szCs w:val="20"/>
                <w:highlight w:val="none"/>
              </w:rPr>
              <w:t>不包含技术创新QC成果及技术应用奖</w:t>
            </w:r>
            <w:r>
              <w:rPr>
                <w:rFonts w:hint="eastAsia"/>
                <w:b w:val="0"/>
                <w:bCs w:val="0"/>
                <w:color w:val="auto"/>
                <w:sz w:val="20"/>
                <w:szCs w:val="20"/>
                <w:highlight w:val="none"/>
              </w:rPr>
              <w:t>、科技类或技术类奖</w:t>
            </w:r>
            <w:r>
              <w:rPr>
                <w:rFonts w:hint="eastAsia" w:ascii="宋体" w:hAnsi="宋体" w:cs="宋体"/>
                <w:color w:val="auto"/>
                <w:kern w:val="0"/>
                <w:sz w:val="20"/>
                <w:szCs w:val="20"/>
                <w:highlight w:val="none"/>
              </w:rPr>
              <w:t>；</w:t>
            </w:r>
            <w:r>
              <w:rPr>
                <w:rFonts w:hint="eastAsia" w:ascii="宋体" w:hAnsi="宋体"/>
                <w:color w:val="auto"/>
                <w:sz w:val="20"/>
                <w:szCs w:val="20"/>
                <w:highlight w:val="none"/>
              </w:rPr>
              <w:t>省市级质量奖项指</w:t>
            </w:r>
            <w:r>
              <w:rPr>
                <w:rFonts w:hint="eastAsia" w:ascii="宋体" w:hAnsi="宋体" w:cs="宋体"/>
                <w:color w:val="auto"/>
                <w:kern w:val="0"/>
                <w:sz w:val="20"/>
                <w:szCs w:val="20"/>
                <w:highlight w:val="none"/>
              </w:rPr>
              <w:t>省、市级行政主管部门或行业协会颁发的工程质量方面的奖项（行业协会须在民政部门备案）。只计算建筑装修装饰工程获奖得分，非建筑装修装饰类工程项目获奖不得分。</w:t>
            </w:r>
            <w:r>
              <w:rPr>
                <w:rFonts w:hint="eastAsia" w:ascii="宋体" w:hAnsi="宋体"/>
                <w:color w:val="auto"/>
                <w:sz w:val="20"/>
                <w:szCs w:val="20"/>
                <w:highlight w:val="none"/>
              </w:rPr>
              <w:t>不符合上述条件不得分。</w:t>
            </w:r>
          </w:p>
          <w:p>
            <w:pPr>
              <w:keepNext w:val="0"/>
              <w:keepLines w:val="0"/>
              <w:pageBreakBefore w:val="0"/>
              <w:tabs>
                <w:tab w:val="left" w:pos="3570"/>
              </w:tabs>
              <w:kinsoku/>
              <w:wordWrap/>
              <w:overflowPunct/>
              <w:topLinePunct w:val="0"/>
              <w:bidi w:val="0"/>
              <w:spacing w:line="288" w:lineRule="auto"/>
              <w:jc w:val="left"/>
              <w:textAlignment w:val="auto"/>
              <w:rPr>
                <w:rFonts w:hint="eastAsia"/>
                <w:color w:val="auto"/>
                <w:sz w:val="20"/>
                <w:szCs w:val="20"/>
                <w:highlight w:val="none"/>
                <w:lang w:val="zh-CN"/>
              </w:rPr>
            </w:pPr>
            <w:r>
              <w:rPr>
                <w:rFonts w:hint="eastAsia" w:ascii="宋体" w:hAnsi="宋体" w:cs="宋体"/>
                <w:color w:val="auto"/>
                <w:kern w:val="0"/>
                <w:sz w:val="20"/>
                <w:szCs w:val="20"/>
                <w:highlight w:val="none"/>
              </w:rPr>
              <w:t>（4）同一工程项目同时获得多个奖项的，只计算一次最高级别的奖项得分。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6" w:hRule="atLeast"/>
        </w:trPr>
        <w:tc>
          <w:tcPr>
            <w:tcW w:w="804" w:type="dxa"/>
            <w:vMerge w:val="continue"/>
            <w:shd w:val="clear" w:color="auto" w:fill="FFFFFF"/>
            <w:noWrap w:val="0"/>
            <w:vAlign w:val="center"/>
          </w:tcPr>
          <w:p>
            <w:pPr>
              <w:keepNext w:val="0"/>
              <w:keepLines w:val="0"/>
              <w:pageBreakBefore w:val="0"/>
              <w:tabs>
                <w:tab w:val="left" w:pos="3570"/>
              </w:tabs>
              <w:kinsoku/>
              <w:wordWrap/>
              <w:overflowPunct/>
              <w:topLinePunct w:val="0"/>
              <w:bidi w:val="0"/>
              <w:spacing w:line="240" w:lineRule="auto"/>
              <w:jc w:val="center"/>
              <w:textAlignment w:val="auto"/>
              <w:rPr>
                <w:rFonts w:ascii="宋体" w:hAnsi="宋体" w:cs="宋体"/>
                <w:color w:val="auto"/>
                <w:sz w:val="20"/>
                <w:szCs w:val="20"/>
                <w:highlight w:val="none"/>
              </w:rPr>
            </w:pPr>
          </w:p>
        </w:tc>
        <w:tc>
          <w:tcPr>
            <w:tcW w:w="674" w:type="dxa"/>
            <w:vMerge w:val="continue"/>
            <w:shd w:val="clear" w:color="auto" w:fill="FFFFFF"/>
            <w:noWrap w:val="0"/>
            <w:vAlign w:val="center"/>
          </w:tcPr>
          <w:p>
            <w:pPr>
              <w:keepNext w:val="0"/>
              <w:keepLines w:val="0"/>
              <w:pageBreakBefore w:val="0"/>
              <w:tabs>
                <w:tab w:val="left" w:pos="3570"/>
              </w:tabs>
              <w:kinsoku/>
              <w:wordWrap/>
              <w:overflowPunct/>
              <w:topLinePunct w:val="0"/>
              <w:bidi w:val="0"/>
              <w:snapToGrid w:val="0"/>
              <w:spacing w:line="240" w:lineRule="auto"/>
              <w:ind w:left="-53" w:leftChars="-25" w:right="-53" w:rightChars="-25"/>
              <w:jc w:val="center"/>
              <w:textAlignment w:val="auto"/>
              <w:rPr>
                <w:rFonts w:hint="eastAsia" w:ascii="宋体" w:hAnsi="宋体" w:cs="宋体"/>
                <w:b/>
                <w:bCs/>
                <w:color w:val="auto"/>
                <w:sz w:val="20"/>
                <w:szCs w:val="20"/>
                <w:highlight w:val="none"/>
              </w:rPr>
            </w:pPr>
          </w:p>
        </w:tc>
        <w:tc>
          <w:tcPr>
            <w:tcW w:w="1310" w:type="dxa"/>
            <w:gridSpan w:val="2"/>
            <w:shd w:val="clear" w:color="auto" w:fill="FFFFFF"/>
            <w:noWrap w:val="0"/>
            <w:vAlign w:val="center"/>
          </w:tcPr>
          <w:p>
            <w:pPr>
              <w:keepNext w:val="0"/>
              <w:keepLines w:val="0"/>
              <w:pageBreakBefore w:val="0"/>
              <w:tabs>
                <w:tab w:val="left" w:pos="3570"/>
              </w:tabs>
              <w:kinsoku/>
              <w:wordWrap/>
              <w:overflowPunct/>
              <w:topLinePunct w:val="0"/>
              <w:bidi w:val="0"/>
              <w:snapToGrid w:val="0"/>
              <w:spacing w:line="240" w:lineRule="auto"/>
              <w:ind w:left="-53" w:leftChars="-25" w:right="-53" w:rightChars="-25"/>
              <w:jc w:val="center"/>
              <w:textAlignment w:val="auto"/>
              <w:rPr>
                <w:rFonts w:hint="eastAsia" w:ascii="宋体" w:hAnsi="宋体" w:cs="宋体"/>
                <w:color w:val="auto"/>
                <w:sz w:val="20"/>
                <w:szCs w:val="20"/>
                <w:highlight w:val="none"/>
              </w:rPr>
            </w:pPr>
            <w:r>
              <w:rPr>
                <w:rFonts w:hint="eastAsia" w:ascii="宋体" w:hAnsi="宋体" w:cs="宋体"/>
                <w:color w:val="auto"/>
                <w:sz w:val="20"/>
                <w:szCs w:val="20"/>
                <w:highlight w:val="none"/>
              </w:rPr>
              <w:t>第三方评价</w:t>
            </w:r>
          </w:p>
        </w:tc>
        <w:tc>
          <w:tcPr>
            <w:tcW w:w="819" w:type="dxa"/>
            <w:shd w:val="clear" w:color="auto" w:fill="FFFFFF"/>
            <w:noWrap w:val="0"/>
            <w:vAlign w:val="center"/>
          </w:tcPr>
          <w:p>
            <w:pPr>
              <w:pStyle w:val="11"/>
              <w:keepNext w:val="0"/>
              <w:keepLines w:val="0"/>
              <w:pageBreakBefore w:val="0"/>
              <w:tabs>
                <w:tab w:val="left" w:pos="3570"/>
              </w:tabs>
              <w:kinsoku/>
              <w:wordWrap/>
              <w:overflowPunct/>
              <w:topLinePunct w:val="0"/>
              <w:bidi w:val="0"/>
              <w:spacing w:line="240" w:lineRule="auto"/>
              <w:jc w:val="center"/>
              <w:textAlignment w:val="auto"/>
              <w:rPr>
                <w:rFonts w:hint="eastAsia" w:ascii="宋体" w:hAnsi="宋体" w:eastAsia="宋体" w:cs="宋体"/>
                <w:color w:val="auto"/>
                <w:sz w:val="20"/>
                <w:szCs w:val="20"/>
                <w:highlight w:val="none"/>
                <w:lang w:eastAsia="zh-CN"/>
              </w:rPr>
            </w:pPr>
            <w:r>
              <w:rPr>
                <w:rFonts w:hint="eastAsia" w:hAnsi="宋体" w:cs="宋体"/>
                <w:color w:val="auto"/>
                <w:sz w:val="20"/>
                <w:szCs w:val="20"/>
                <w:highlight w:val="none"/>
                <w:lang w:val="en-US" w:eastAsia="zh-CN"/>
              </w:rPr>
              <w:t>3</w:t>
            </w:r>
          </w:p>
        </w:tc>
        <w:tc>
          <w:tcPr>
            <w:tcW w:w="10977" w:type="dxa"/>
            <w:shd w:val="clear" w:color="auto" w:fill="FFFFFF"/>
            <w:noWrap w:val="0"/>
            <w:vAlign w:val="center"/>
          </w:tcPr>
          <w:p>
            <w:pPr>
              <w:keepNext w:val="0"/>
              <w:keepLines w:val="0"/>
              <w:pageBreakBefore w:val="0"/>
              <w:widowControl/>
              <w:tabs>
                <w:tab w:val="left" w:pos="3570"/>
              </w:tabs>
              <w:kinsoku/>
              <w:wordWrap/>
              <w:overflowPunct/>
              <w:topLinePunct w:val="0"/>
              <w:bidi w:val="0"/>
              <w:adjustRightInd w:val="0"/>
              <w:snapToGrid w:val="0"/>
              <w:spacing w:line="288" w:lineRule="auto"/>
              <w:jc w:val="left"/>
              <w:textAlignment w:val="auto"/>
              <w:rPr>
                <w:rFonts w:hint="default" w:ascii="宋体" w:hAnsi="宋体" w:eastAsia="宋体"/>
                <w:color w:val="auto"/>
                <w:sz w:val="20"/>
                <w:szCs w:val="20"/>
                <w:highlight w:val="none"/>
                <w:lang w:val="en-US" w:eastAsia="zh-CN"/>
              </w:rPr>
            </w:pPr>
            <w:r>
              <w:rPr>
                <w:rFonts w:hint="eastAsia" w:ascii="宋体" w:hAnsi="宋体" w:cs="宋体"/>
                <w:color w:val="auto"/>
                <w:sz w:val="20"/>
                <w:szCs w:val="20"/>
                <w:highlight w:val="none"/>
              </w:rPr>
              <w:t>投标人截止至2022年度（须包含2022年度），连续</w:t>
            </w:r>
            <w:r>
              <w:rPr>
                <w:rFonts w:hint="eastAsia" w:ascii="宋体" w:hAnsi="宋体" w:cs="宋体"/>
                <w:color w:val="auto"/>
                <w:sz w:val="20"/>
                <w:szCs w:val="20"/>
                <w:highlight w:val="none"/>
                <w:lang w:val="en-US" w:eastAsia="zh-CN"/>
              </w:rPr>
              <w:t>5</w:t>
            </w:r>
            <w:r>
              <w:rPr>
                <w:rFonts w:hint="eastAsia" w:ascii="宋体" w:hAnsi="宋体" w:cs="宋体"/>
                <w:color w:val="auto"/>
                <w:sz w:val="20"/>
                <w:szCs w:val="20"/>
                <w:highlight w:val="none"/>
              </w:rPr>
              <w:t>个</w:t>
            </w:r>
            <w:r>
              <w:rPr>
                <w:rFonts w:hint="eastAsia" w:ascii="宋体" w:hAnsi="宋体" w:cs="宋体"/>
                <w:color w:val="auto"/>
                <w:sz w:val="20"/>
                <w:szCs w:val="20"/>
                <w:highlight w:val="none"/>
                <w:lang w:eastAsia="zh-CN"/>
              </w:rPr>
              <w:t>以上（不含本数）</w:t>
            </w:r>
            <w:r>
              <w:rPr>
                <w:rFonts w:hint="eastAsia" w:ascii="宋体" w:hAnsi="宋体" w:cs="宋体"/>
                <w:color w:val="auto"/>
                <w:sz w:val="20"/>
                <w:szCs w:val="20"/>
                <w:highlight w:val="none"/>
              </w:rPr>
              <w:t>年度获得“纳税信用A级纳税人”称号的，得</w:t>
            </w:r>
            <w:r>
              <w:rPr>
                <w:rFonts w:hint="eastAsia" w:cs="宋体"/>
                <w:color w:val="auto"/>
                <w:sz w:val="20"/>
                <w:szCs w:val="20"/>
                <w:highlight w:val="none"/>
                <w:lang w:val="en-US" w:eastAsia="zh-CN"/>
              </w:rPr>
              <w:t>3</w:t>
            </w:r>
            <w:r>
              <w:rPr>
                <w:rFonts w:hint="eastAsia" w:ascii="宋体" w:hAnsi="宋体" w:cs="宋体"/>
                <w:color w:val="auto"/>
                <w:sz w:val="20"/>
                <w:szCs w:val="20"/>
                <w:highlight w:val="none"/>
              </w:rPr>
              <w:t>分；连续</w:t>
            </w:r>
            <w:r>
              <w:rPr>
                <w:rFonts w:ascii="宋体" w:hAnsi="宋体" w:cs="宋体"/>
                <w:color w:val="auto"/>
                <w:sz w:val="20"/>
                <w:szCs w:val="20"/>
                <w:highlight w:val="none"/>
              </w:rPr>
              <w:t>4</w:t>
            </w:r>
            <w:r>
              <w:rPr>
                <w:rFonts w:hint="eastAsia" w:ascii="宋体" w:hAnsi="宋体" w:cs="宋体"/>
                <w:color w:val="auto"/>
                <w:sz w:val="20"/>
                <w:szCs w:val="20"/>
                <w:highlight w:val="none"/>
              </w:rPr>
              <w:t>-</w:t>
            </w:r>
            <w:r>
              <w:rPr>
                <w:rFonts w:ascii="宋体" w:hAnsi="宋体" w:cs="宋体"/>
                <w:color w:val="auto"/>
                <w:sz w:val="20"/>
                <w:szCs w:val="20"/>
                <w:highlight w:val="none"/>
              </w:rPr>
              <w:t>5</w:t>
            </w:r>
            <w:r>
              <w:rPr>
                <w:rFonts w:hint="eastAsia" w:ascii="宋体" w:hAnsi="宋体" w:cs="宋体"/>
                <w:color w:val="auto"/>
                <w:sz w:val="20"/>
                <w:szCs w:val="20"/>
                <w:highlight w:val="none"/>
              </w:rPr>
              <w:t>个</w:t>
            </w:r>
            <w:r>
              <w:rPr>
                <w:rFonts w:hint="eastAsia" w:ascii="宋体" w:hAnsi="宋体" w:cs="宋体"/>
                <w:color w:val="auto"/>
                <w:sz w:val="20"/>
                <w:szCs w:val="20"/>
                <w:highlight w:val="none"/>
                <w:lang w:eastAsia="zh-CN"/>
              </w:rPr>
              <w:t>（含本数）</w:t>
            </w:r>
            <w:r>
              <w:rPr>
                <w:rFonts w:hint="eastAsia" w:ascii="宋体" w:hAnsi="宋体" w:cs="宋体"/>
                <w:color w:val="auto"/>
                <w:sz w:val="20"/>
                <w:szCs w:val="20"/>
                <w:highlight w:val="none"/>
              </w:rPr>
              <w:t>年度获得“纳税信用A级纳税人”称号的，得</w:t>
            </w:r>
            <w:r>
              <w:rPr>
                <w:rFonts w:hint="eastAsia" w:cs="宋体"/>
                <w:color w:val="auto"/>
                <w:sz w:val="20"/>
                <w:szCs w:val="20"/>
                <w:highlight w:val="none"/>
                <w:lang w:val="en-US" w:eastAsia="zh-CN"/>
              </w:rPr>
              <w:t>2</w:t>
            </w:r>
            <w:r>
              <w:rPr>
                <w:rFonts w:hint="eastAsia" w:ascii="宋体" w:hAnsi="宋体" w:cs="宋体"/>
                <w:color w:val="auto"/>
                <w:sz w:val="20"/>
                <w:szCs w:val="20"/>
                <w:highlight w:val="none"/>
              </w:rPr>
              <w:t>分；获得</w:t>
            </w:r>
            <w:r>
              <w:rPr>
                <w:rFonts w:ascii="宋体" w:hAnsi="宋体" w:cs="宋体"/>
                <w:color w:val="auto"/>
                <w:sz w:val="20"/>
                <w:szCs w:val="20"/>
                <w:highlight w:val="none"/>
              </w:rPr>
              <w:t>2</w:t>
            </w:r>
            <w:r>
              <w:rPr>
                <w:rFonts w:hint="eastAsia" w:ascii="宋体" w:hAnsi="宋体" w:cs="宋体"/>
                <w:color w:val="auto"/>
                <w:sz w:val="20"/>
                <w:szCs w:val="20"/>
                <w:highlight w:val="none"/>
              </w:rPr>
              <w:t>-</w:t>
            </w:r>
            <w:r>
              <w:rPr>
                <w:rFonts w:ascii="宋体" w:hAnsi="宋体" w:cs="宋体"/>
                <w:color w:val="auto"/>
                <w:sz w:val="20"/>
                <w:szCs w:val="20"/>
                <w:highlight w:val="none"/>
              </w:rPr>
              <w:t>3</w:t>
            </w:r>
            <w:r>
              <w:rPr>
                <w:rFonts w:hint="eastAsia" w:ascii="宋体" w:hAnsi="宋体" w:cs="宋体"/>
                <w:color w:val="auto"/>
                <w:sz w:val="20"/>
                <w:szCs w:val="20"/>
                <w:highlight w:val="none"/>
              </w:rPr>
              <w:t>个</w:t>
            </w:r>
            <w:r>
              <w:rPr>
                <w:rFonts w:hint="eastAsia" w:ascii="宋体" w:hAnsi="宋体" w:cs="宋体"/>
                <w:color w:val="auto"/>
                <w:sz w:val="20"/>
                <w:szCs w:val="20"/>
                <w:highlight w:val="none"/>
                <w:lang w:eastAsia="zh-CN"/>
              </w:rPr>
              <w:t>（含本数）</w:t>
            </w:r>
            <w:r>
              <w:rPr>
                <w:rFonts w:hint="eastAsia" w:ascii="宋体" w:hAnsi="宋体" w:cs="宋体"/>
                <w:color w:val="auto"/>
                <w:sz w:val="20"/>
                <w:szCs w:val="20"/>
                <w:highlight w:val="none"/>
              </w:rPr>
              <w:t>年度“纳税信用A级纳税人”称号的，得</w:t>
            </w:r>
            <w:r>
              <w:rPr>
                <w:rFonts w:hint="eastAsia" w:cs="宋体"/>
                <w:color w:val="auto"/>
                <w:sz w:val="20"/>
                <w:szCs w:val="20"/>
                <w:highlight w:val="none"/>
                <w:lang w:val="en-US" w:eastAsia="zh-CN"/>
              </w:rPr>
              <w:t>1</w:t>
            </w:r>
            <w:r>
              <w:rPr>
                <w:rFonts w:hint="eastAsia" w:ascii="宋体" w:hAnsi="宋体" w:cs="宋体"/>
                <w:color w:val="auto"/>
                <w:sz w:val="20"/>
                <w:szCs w:val="20"/>
                <w:highlight w:val="none"/>
              </w:rPr>
              <w:t>分；获得</w:t>
            </w:r>
            <w:r>
              <w:rPr>
                <w:rFonts w:ascii="宋体" w:hAnsi="宋体" w:cs="宋体"/>
                <w:color w:val="auto"/>
                <w:sz w:val="20"/>
                <w:szCs w:val="20"/>
                <w:highlight w:val="none"/>
              </w:rPr>
              <w:t>1</w:t>
            </w:r>
            <w:r>
              <w:rPr>
                <w:rFonts w:hint="eastAsia" w:ascii="宋体" w:hAnsi="宋体" w:cs="宋体"/>
                <w:color w:val="auto"/>
                <w:sz w:val="20"/>
                <w:szCs w:val="20"/>
                <w:highlight w:val="none"/>
              </w:rPr>
              <w:t>个</w:t>
            </w:r>
            <w:r>
              <w:rPr>
                <w:rFonts w:hint="eastAsia" w:ascii="宋体" w:hAnsi="宋体" w:cs="宋体"/>
                <w:color w:val="auto"/>
                <w:sz w:val="20"/>
                <w:szCs w:val="20"/>
                <w:highlight w:val="none"/>
                <w:lang w:eastAsia="zh-CN"/>
              </w:rPr>
              <w:t>（含本数）</w:t>
            </w:r>
            <w:r>
              <w:rPr>
                <w:rFonts w:hint="eastAsia" w:ascii="宋体" w:hAnsi="宋体" w:cs="宋体"/>
                <w:color w:val="auto"/>
                <w:sz w:val="20"/>
                <w:szCs w:val="20"/>
                <w:highlight w:val="none"/>
              </w:rPr>
              <w:t>年度“纳税信用A级纳税人”称号的，得0.</w:t>
            </w:r>
            <w:r>
              <w:rPr>
                <w:rFonts w:hint="eastAsia" w:cs="宋体"/>
                <w:color w:val="auto"/>
                <w:sz w:val="20"/>
                <w:szCs w:val="20"/>
                <w:highlight w:val="none"/>
                <w:lang w:val="en-US" w:eastAsia="zh-CN"/>
              </w:rPr>
              <w:t>5</w:t>
            </w:r>
            <w:r>
              <w:rPr>
                <w:rFonts w:hint="eastAsia" w:ascii="宋体" w:hAnsi="宋体" w:cs="宋体"/>
                <w:color w:val="auto"/>
                <w:sz w:val="20"/>
                <w:szCs w:val="20"/>
                <w:highlight w:val="none"/>
              </w:rPr>
              <w:t>分</w:t>
            </w:r>
            <w:r>
              <w:rPr>
                <w:rFonts w:hint="eastAsia" w:ascii="宋体" w:hAnsi="宋体"/>
                <w:color w:val="auto"/>
                <w:sz w:val="20"/>
                <w:szCs w:val="20"/>
                <w:highlight w:val="none"/>
              </w:rPr>
              <w:t>。</w:t>
            </w:r>
            <w:r>
              <w:rPr>
                <w:rFonts w:hint="eastAsia" w:ascii="宋体" w:hAnsi="宋体" w:eastAsia="宋体" w:cs="Times New Roman"/>
                <w:color w:val="auto"/>
                <w:sz w:val="20"/>
                <w:szCs w:val="20"/>
                <w:highlight w:val="none"/>
                <w:lang w:val="en-US" w:eastAsia="zh-CN"/>
              </w:rPr>
              <w:t>不满足上述情况的，不得分。</w:t>
            </w:r>
          </w:p>
          <w:p>
            <w:pPr>
              <w:keepNext w:val="0"/>
              <w:keepLines w:val="0"/>
              <w:pageBreakBefore w:val="0"/>
              <w:widowControl/>
              <w:tabs>
                <w:tab w:val="left" w:pos="3570"/>
              </w:tabs>
              <w:kinsoku/>
              <w:wordWrap/>
              <w:overflowPunct/>
              <w:topLinePunct w:val="0"/>
              <w:bidi w:val="0"/>
              <w:adjustRightInd w:val="0"/>
              <w:snapToGrid w:val="0"/>
              <w:spacing w:line="288" w:lineRule="auto"/>
              <w:jc w:val="left"/>
              <w:textAlignment w:val="auto"/>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注：</w:t>
            </w:r>
            <w:r>
              <w:rPr>
                <w:rFonts w:hint="eastAsia" w:ascii="宋体" w:hAnsi="宋体"/>
                <w:color w:val="auto"/>
                <w:sz w:val="20"/>
                <w:szCs w:val="20"/>
                <w:highlight w:val="none"/>
              </w:rPr>
              <w:t>“纳税信用等级”以省级（含直辖市）或以上税务局官网的“纳税信用A级纳税人名单公布栏”查询结果为准，须同时提交“纳税信用A级纳税人名单公布栏”查询结果(查询结果不包括子公司、分公司及分支机构)的网页截图和税务机关颁发的证书扫描件并加盖投标人电子印章。须含最新评审年度（2022年度）。不符合条件或无提供查询结果网页截图或无提供证书扫描件或无加盖投标人企业电子印章的不计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113" w:hRule="atLeast"/>
        </w:trPr>
        <w:tc>
          <w:tcPr>
            <w:tcW w:w="2788" w:type="dxa"/>
            <w:gridSpan w:val="4"/>
            <w:shd w:val="clear" w:color="auto" w:fill="FFFFFF"/>
            <w:noWrap w:val="0"/>
            <w:vAlign w:val="center"/>
          </w:tcPr>
          <w:p>
            <w:pPr>
              <w:keepNext w:val="0"/>
              <w:keepLines w:val="0"/>
              <w:pageBreakBefore w:val="0"/>
              <w:widowControl/>
              <w:tabs>
                <w:tab w:val="left" w:pos="3570"/>
              </w:tabs>
              <w:kinsoku/>
              <w:wordWrap/>
              <w:overflowPunct/>
              <w:topLinePunct w:val="0"/>
              <w:bidi w:val="0"/>
              <w:adjustRightInd w:val="0"/>
              <w:spacing w:line="240" w:lineRule="auto"/>
              <w:jc w:val="center"/>
              <w:textAlignment w:val="auto"/>
              <w:rPr>
                <w:rFonts w:ascii="宋体" w:hAnsi="宋体"/>
                <w:color w:val="auto"/>
                <w:sz w:val="20"/>
                <w:szCs w:val="20"/>
                <w:highlight w:val="none"/>
              </w:rPr>
            </w:pPr>
            <w:r>
              <w:rPr>
                <w:rFonts w:hint="eastAsia" w:ascii="宋体" w:hAnsi="宋体"/>
                <w:color w:val="auto"/>
                <w:sz w:val="20"/>
                <w:szCs w:val="20"/>
                <w:highlight w:val="none"/>
              </w:rPr>
              <w:t xml:space="preserve">合 </w:t>
            </w:r>
            <w:r>
              <w:rPr>
                <w:rFonts w:ascii="宋体" w:hAnsi="宋体"/>
                <w:color w:val="auto"/>
                <w:sz w:val="20"/>
                <w:szCs w:val="20"/>
                <w:highlight w:val="none"/>
              </w:rPr>
              <w:t xml:space="preserve"> </w:t>
            </w:r>
            <w:r>
              <w:rPr>
                <w:rFonts w:hint="eastAsia" w:ascii="宋体" w:hAnsi="宋体"/>
                <w:color w:val="auto"/>
                <w:sz w:val="20"/>
                <w:szCs w:val="20"/>
                <w:highlight w:val="none"/>
              </w:rPr>
              <w:t>计</w:t>
            </w:r>
          </w:p>
        </w:tc>
        <w:tc>
          <w:tcPr>
            <w:tcW w:w="819" w:type="dxa"/>
            <w:shd w:val="clear" w:color="auto" w:fill="FFFFFF"/>
            <w:noWrap w:val="0"/>
            <w:vAlign w:val="center"/>
          </w:tcPr>
          <w:p>
            <w:pPr>
              <w:keepNext w:val="0"/>
              <w:keepLines w:val="0"/>
              <w:pageBreakBefore w:val="0"/>
              <w:widowControl/>
              <w:tabs>
                <w:tab w:val="left" w:pos="3570"/>
              </w:tabs>
              <w:kinsoku/>
              <w:wordWrap/>
              <w:overflowPunct/>
              <w:topLinePunct w:val="0"/>
              <w:bidi w:val="0"/>
              <w:spacing w:line="240" w:lineRule="auto"/>
              <w:jc w:val="center"/>
              <w:textAlignment w:val="auto"/>
              <w:rPr>
                <w:rFonts w:ascii="宋体" w:hAnsi="宋体"/>
                <w:color w:val="auto"/>
                <w:sz w:val="20"/>
                <w:szCs w:val="20"/>
                <w:highlight w:val="none"/>
              </w:rPr>
            </w:pPr>
            <w:r>
              <w:rPr>
                <w:rFonts w:ascii="宋体" w:hAnsi="宋体"/>
                <w:color w:val="auto"/>
                <w:sz w:val="20"/>
                <w:szCs w:val="20"/>
                <w:highlight w:val="none"/>
              </w:rPr>
              <w:t>100</w:t>
            </w:r>
            <w:r>
              <w:rPr>
                <w:rFonts w:hint="eastAsia" w:ascii="宋体" w:hAnsi="宋体" w:cs="宋体"/>
                <w:color w:val="auto"/>
                <w:sz w:val="20"/>
                <w:szCs w:val="20"/>
                <w:highlight w:val="none"/>
              </w:rPr>
              <w:t>分</w:t>
            </w:r>
          </w:p>
        </w:tc>
        <w:tc>
          <w:tcPr>
            <w:tcW w:w="10977" w:type="dxa"/>
            <w:shd w:val="clear" w:color="auto" w:fill="FFFFFF"/>
            <w:noWrap w:val="0"/>
            <w:vAlign w:val="center"/>
          </w:tcPr>
          <w:p>
            <w:pPr>
              <w:keepNext w:val="0"/>
              <w:keepLines w:val="0"/>
              <w:pageBreakBefore w:val="0"/>
              <w:tabs>
                <w:tab w:val="left" w:pos="3570"/>
              </w:tabs>
              <w:kinsoku/>
              <w:wordWrap/>
              <w:overflowPunct/>
              <w:topLinePunct w:val="0"/>
              <w:bidi w:val="0"/>
              <w:adjustRightInd w:val="0"/>
              <w:spacing w:line="240" w:lineRule="auto"/>
              <w:jc w:val="center"/>
              <w:textAlignment w:val="auto"/>
              <w:rPr>
                <w:rFonts w:ascii="宋体" w:hAnsi="宋体"/>
                <w:color w:val="auto"/>
                <w:sz w:val="20"/>
                <w:szCs w:val="20"/>
                <w:highlight w:val="none"/>
              </w:rPr>
            </w:pPr>
          </w:p>
        </w:tc>
      </w:tr>
    </w:tbl>
    <w:p>
      <w:pPr>
        <w:tabs>
          <w:tab w:val="left" w:pos="3570"/>
        </w:tabs>
        <w:spacing w:line="240" w:lineRule="auto"/>
        <w:ind w:firstLine="402" w:firstLineChars="200"/>
        <w:rPr>
          <w:rFonts w:hint="eastAsia" w:ascii="宋体" w:hAnsi="宋体"/>
          <w:b/>
          <w:bCs w:val="0"/>
          <w:color w:val="auto"/>
          <w:sz w:val="20"/>
          <w:szCs w:val="20"/>
          <w:highlight w:val="none"/>
          <w:lang w:eastAsia="zh-CN"/>
        </w:rPr>
      </w:pPr>
      <w:r>
        <w:rPr>
          <w:rFonts w:hint="eastAsia" w:ascii="宋体" w:hAnsi="宋体"/>
          <w:b/>
          <w:bCs w:val="0"/>
          <w:color w:val="auto"/>
          <w:sz w:val="20"/>
          <w:szCs w:val="20"/>
          <w:highlight w:val="none"/>
          <w:lang w:eastAsia="zh-CN"/>
        </w:rPr>
        <w:t>注：</w:t>
      </w:r>
    </w:p>
    <w:p>
      <w:pPr>
        <w:tabs>
          <w:tab w:val="left" w:pos="3570"/>
        </w:tabs>
        <w:spacing w:line="240" w:lineRule="auto"/>
        <w:ind w:firstLine="402" w:firstLineChars="200"/>
        <w:rPr>
          <w:rFonts w:hint="eastAsia"/>
          <w:color w:val="auto"/>
          <w:sz w:val="20"/>
          <w:szCs w:val="20"/>
          <w:highlight w:val="none"/>
        </w:rPr>
      </w:pPr>
      <w:r>
        <w:rPr>
          <w:rFonts w:hint="eastAsia" w:ascii="宋体" w:hAnsi="宋体"/>
          <w:b/>
          <w:bCs w:val="0"/>
          <w:color w:val="auto"/>
          <w:sz w:val="20"/>
          <w:szCs w:val="20"/>
          <w:highlight w:val="none"/>
          <w:lang w:val="en-US" w:eastAsia="zh-CN"/>
        </w:rPr>
        <w:t>1、</w:t>
      </w:r>
      <w:r>
        <w:rPr>
          <w:rFonts w:hint="eastAsia" w:ascii="宋体" w:hAnsi="宋体"/>
          <w:b/>
          <w:bCs w:val="0"/>
          <w:color w:val="auto"/>
          <w:kern w:val="0"/>
          <w:sz w:val="20"/>
          <w:szCs w:val="20"/>
          <w:highlight w:val="none"/>
          <w:lang w:val="zh-CN"/>
        </w:rPr>
        <w:t>项目管理机构：</w:t>
      </w:r>
      <w:r>
        <w:rPr>
          <w:rFonts w:hint="eastAsia" w:ascii="宋体" w:hAnsi="宋体"/>
          <w:color w:val="auto"/>
          <w:kern w:val="0"/>
          <w:sz w:val="20"/>
          <w:szCs w:val="20"/>
          <w:highlight w:val="none"/>
          <w:lang w:val="zh-CN"/>
        </w:rPr>
        <w:t>（</w:t>
      </w:r>
      <w:r>
        <w:rPr>
          <w:rFonts w:hint="eastAsia" w:ascii="宋体" w:hAnsi="宋体"/>
          <w:color w:val="auto"/>
          <w:kern w:val="0"/>
          <w:sz w:val="20"/>
          <w:szCs w:val="20"/>
          <w:highlight w:val="none"/>
          <w:lang w:val="en-US" w:eastAsia="zh-CN"/>
        </w:rPr>
        <w:t>1</w:t>
      </w:r>
      <w:r>
        <w:rPr>
          <w:rFonts w:hint="eastAsia" w:ascii="宋体" w:hAnsi="宋体"/>
          <w:color w:val="auto"/>
          <w:kern w:val="0"/>
          <w:sz w:val="20"/>
          <w:szCs w:val="20"/>
          <w:highlight w:val="none"/>
          <w:lang w:val="zh-CN"/>
        </w:rPr>
        <w:t>）</w:t>
      </w:r>
      <w:r>
        <w:rPr>
          <w:rFonts w:hint="eastAsia"/>
          <w:color w:val="auto"/>
          <w:sz w:val="20"/>
          <w:szCs w:val="20"/>
          <w:highlight w:val="none"/>
        </w:rPr>
        <w:t>所有人员须提供相应证书和</w:t>
      </w:r>
      <w:r>
        <w:rPr>
          <w:rFonts w:hint="eastAsia" w:ascii="宋体" w:hAnsi="宋体" w:eastAsia="宋体" w:cs="宋体"/>
          <w:color w:val="auto"/>
          <w:sz w:val="20"/>
          <w:szCs w:val="20"/>
          <w:highlight w:val="none"/>
        </w:rPr>
        <w:t>近一个月（20</w:t>
      </w:r>
      <w:r>
        <w:rPr>
          <w:rFonts w:hint="eastAsia" w:ascii="宋体" w:hAnsi="宋体" w:eastAsia="宋体" w:cs="宋体"/>
          <w:color w:val="auto"/>
          <w:sz w:val="20"/>
          <w:szCs w:val="20"/>
          <w:highlight w:val="none"/>
          <w:lang w:val="en-US" w:eastAsia="zh-CN"/>
        </w:rPr>
        <w:t>24</w:t>
      </w:r>
      <w:r>
        <w:rPr>
          <w:rFonts w:hint="eastAsia" w:ascii="宋体" w:hAnsi="宋体" w:eastAsia="宋体" w:cs="宋体"/>
          <w:color w:val="auto"/>
          <w:sz w:val="20"/>
          <w:szCs w:val="20"/>
          <w:highlight w:val="none"/>
        </w:rPr>
        <w:t>年</w:t>
      </w:r>
      <w:r>
        <w:rPr>
          <w:rFonts w:hint="eastAsia" w:ascii="宋体" w:hAnsi="宋体" w:cs="宋体"/>
          <w:color w:val="auto"/>
          <w:sz w:val="20"/>
          <w:szCs w:val="20"/>
          <w:highlight w:val="none"/>
          <w:lang w:val="en-US" w:eastAsia="zh-CN"/>
        </w:rPr>
        <w:t>3</w:t>
      </w:r>
      <w:r>
        <w:rPr>
          <w:rFonts w:hint="eastAsia" w:ascii="宋体" w:hAnsi="宋体" w:eastAsia="宋体" w:cs="宋体"/>
          <w:color w:val="auto"/>
          <w:sz w:val="20"/>
          <w:szCs w:val="20"/>
          <w:highlight w:val="none"/>
        </w:rPr>
        <w:t>月）在投标单位缴纳社保的证明材料扫描件并加盖投标人企业电子印章</w:t>
      </w:r>
      <w:r>
        <w:rPr>
          <w:rFonts w:hint="eastAsia"/>
          <w:color w:val="auto"/>
          <w:sz w:val="20"/>
          <w:szCs w:val="20"/>
          <w:highlight w:val="none"/>
        </w:rPr>
        <w:t>。上述人员岗位不能相互兼任。</w:t>
      </w:r>
    </w:p>
    <w:p>
      <w:pPr>
        <w:tabs>
          <w:tab w:val="left" w:pos="3570"/>
        </w:tabs>
        <w:spacing w:line="240" w:lineRule="auto"/>
        <w:ind w:firstLine="400" w:firstLineChars="200"/>
        <w:rPr>
          <w:rFonts w:hint="eastAsia" w:ascii="宋体" w:hAnsi="宋体" w:eastAsia="宋体" w:cs="宋体"/>
          <w:b w:val="0"/>
          <w:bCs w:val="0"/>
          <w:color w:val="auto"/>
          <w:kern w:val="0"/>
          <w:sz w:val="20"/>
          <w:szCs w:val="20"/>
          <w:highlight w:val="none"/>
          <w:u w:val="none"/>
        </w:rPr>
      </w:pPr>
      <w:r>
        <w:rPr>
          <w:rFonts w:hint="eastAsia" w:ascii="宋体" w:hAnsi="宋体" w:eastAsia="宋体" w:cs="宋体"/>
          <w:color w:val="auto"/>
          <w:sz w:val="20"/>
          <w:szCs w:val="20"/>
          <w:highlight w:val="none"/>
        </w:rPr>
        <w:t>（</w:t>
      </w:r>
      <w:r>
        <w:rPr>
          <w:rFonts w:hint="eastAsia" w:ascii="宋体" w:hAnsi="宋体" w:cs="宋体"/>
          <w:color w:val="auto"/>
          <w:sz w:val="20"/>
          <w:szCs w:val="20"/>
          <w:highlight w:val="none"/>
          <w:lang w:val="en-US" w:eastAsia="zh-CN"/>
        </w:rPr>
        <w:t>2</w:t>
      </w:r>
      <w:r>
        <w:rPr>
          <w:rFonts w:hint="eastAsia" w:ascii="宋体" w:hAnsi="宋体" w:eastAsia="宋体" w:cs="宋体"/>
          <w:color w:val="auto"/>
          <w:sz w:val="20"/>
          <w:szCs w:val="20"/>
          <w:highlight w:val="none"/>
        </w:rPr>
        <w:t>）</w:t>
      </w:r>
      <w:r>
        <w:rPr>
          <w:rFonts w:hint="eastAsia" w:ascii="宋体" w:hAnsi="宋体" w:cs="宋体"/>
          <w:color w:val="auto"/>
          <w:sz w:val="20"/>
          <w:szCs w:val="20"/>
          <w:highlight w:val="none"/>
          <w:lang w:eastAsia="zh-CN"/>
        </w:rPr>
        <w:t>人员</w:t>
      </w:r>
      <w:r>
        <w:rPr>
          <w:rFonts w:hint="eastAsia" w:ascii="宋体" w:hAnsi="宋体" w:cs="宋体"/>
          <w:color w:val="auto"/>
          <w:kern w:val="0"/>
          <w:sz w:val="20"/>
          <w:szCs w:val="20"/>
          <w:highlight w:val="none"/>
        </w:rPr>
        <w:t>年</w:t>
      </w:r>
      <w:r>
        <w:rPr>
          <w:rFonts w:hint="eastAsia" w:ascii="宋体" w:hAnsi="宋体" w:cs="宋体"/>
          <w:b w:val="0"/>
          <w:bCs w:val="0"/>
          <w:color w:val="auto"/>
          <w:kern w:val="0"/>
          <w:sz w:val="20"/>
          <w:szCs w:val="20"/>
          <w:highlight w:val="none"/>
        </w:rPr>
        <w:t>限</w:t>
      </w:r>
      <w:r>
        <w:rPr>
          <w:rFonts w:hint="eastAsia" w:ascii="宋体" w:hAnsi="宋体" w:cs="宋体"/>
          <w:b w:val="0"/>
          <w:bCs w:val="0"/>
          <w:color w:val="auto"/>
          <w:kern w:val="0"/>
          <w:sz w:val="20"/>
          <w:szCs w:val="20"/>
          <w:highlight w:val="none"/>
          <w:u w:val="none"/>
          <w:lang w:eastAsia="zh-CN"/>
        </w:rPr>
        <w:t>要求：</w:t>
      </w:r>
      <w:r>
        <w:rPr>
          <w:rFonts w:hint="eastAsia" w:ascii="宋体" w:hAnsi="宋体" w:eastAsia="宋体" w:cs="宋体"/>
          <w:b w:val="0"/>
          <w:bCs w:val="0"/>
          <w:color w:val="auto"/>
          <w:kern w:val="0"/>
          <w:sz w:val="20"/>
          <w:szCs w:val="20"/>
          <w:highlight w:val="none"/>
          <w:u w:val="none"/>
          <w:lang w:eastAsia="zh-CN"/>
        </w:rPr>
        <w:t>要求</w:t>
      </w:r>
      <w:r>
        <w:rPr>
          <w:rFonts w:hint="eastAsia" w:ascii="宋体" w:hAnsi="宋体" w:eastAsia="宋体" w:cs="宋体"/>
          <w:b w:val="0"/>
          <w:bCs w:val="0"/>
          <w:color w:val="auto"/>
          <w:kern w:val="0"/>
          <w:sz w:val="20"/>
          <w:szCs w:val="20"/>
          <w:highlight w:val="none"/>
          <w:u w:val="none"/>
        </w:rPr>
        <w:t>取得职称年限</w:t>
      </w:r>
      <w:r>
        <w:rPr>
          <w:rFonts w:hint="eastAsia" w:ascii="宋体" w:hAnsi="宋体" w:cs="宋体"/>
          <w:b w:val="0"/>
          <w:bCs w:val="0"/>
          <w:color w:val="auto"/>
          <w:kern w:val="0"/>
          <w:sz w:val="20"/>
          <w:szCs w:val="20"/>
          <w:highlight w:val="none"/>
          <w:u w:val="none"/>
          <w:lang w:eastAsia="zh-CN"/>
        </w:rPr>
        <w:t>的</w:t>
      </w:r>
      <w:r>
        <w:rPr>
          <w:rFonts w:hint="eastAsia" w:ascii="宋体" w:hAnsi="宋体" w:eastAsia="宋体" w:cs="宋体"/>
          <w:b w:val="0"/>
          <w:bCs w:val="0"/>
          <w:color w:val="auto"/>
          <w:kern w:val="0"/>
          <w:sz w:val="20"/>
          <w:szCs w:val="20"/>
          <w:highlight w:val="none"/>
          <w:u w:val="none"/>
        </w:rPr>
        <w:t>以职称</w:t>
      </w:r>
      <w:r>
        <w:rPr>
          <w:rFonts w:hint="eastAsia" w:ascii="宋体" w:hAnsi="宋体" w:eastAsia="宋体" w:cs="宋体"/>
          <w:b w:val="0"/>
          <w:bCs w:val="0"/>
          <w:color w:val="auto"/>
          <w:kern w:val="0"/>
          <w:sz w:val="20"/>
          <w:szCs w:val="20"/>
          <w:highlight w:val="none"/>
          <w:u w:val="none"/>
          <w:lang w:val="en-US" w:eastAsia="zh-CN"/>
        </w:rPr>
        <w:t>证书</w:t>
      </w:r>
      <w:r>
        <w:rPr>
          <w:rFonts w:hint="eastAsia" w:ascii="宋体" w:hAnsi="宋体" w:eastAsia="宋体" w:cs="宋体"/>
          <w:b w:val="0"/>
          <w:bCs w:val="0"/>
          <w:color w:val="auto"/>
          <w:kern w:val="0"/>
          <w:sz w:val="20"/>
          <w:szCs w:val="20"/>
          <w:highlight w:val="none"/>
          <w:u w:val="none"/>
        </w:rPr>
        <w:t>发证时间开始计算。</w:t>
      </w:r>
    </w:p>
    <w:p>
      <w:pPr>
        <w:spacing w:line="240" w:lineRule="auto"/>
        <w:ind w:firstLine="404" w:firstLineChars="202"/>
        <w:rPr>
          <w:rFonts w:hint="eastAsia" w:ascii="Times New Roman" w:hAnsi="Times New Roman" w:cs="Times New Roman"/>
          <w:color w:val="auto"/>
          <w:sz w:val="20"/>
          <w:szCs w:val="20"/>
          <w:highlight w:val="none"/>
        </w:rPr>
      </w:pPr>
      <w:r>
        <w:rPr>
          <w:rFonts w:hint="eastAsia" w:ascii="宋体" w:hAnsi="宋体" w:eastAsia="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lang w:val="en-US" w:eastAsia="zh-CN"/>
        </w:rPr>
        <w:t>3）</w:t>
      </w:r>
      <w:r>
        <w:rPr>
          <w:rFonts w:hint="eastAsia"/>
          <w:color w:val="auto"/>
          <w:sz w:val="20"/>
          <w:szCs w:val="20"/>
          <w:highlight w:val="none"/>
        </w:rPr>
        <w:t>项目负责人或技术负责</w:t>
      </w:r>
      <w:r>
        <w:rPr>
          <w:rFonts w:hint="eastAsia" w:ascii="Times New Roman" w:hAnsi="Times New Roman" w:cs="Times New Roman"/>
          <w:color w:val="auto"/>
          <w:sz w:val="20"/>
          <w:szCs w:val="20"/>
          <w:highlight w:val="none"/>
        </w:rPr>
        <w:t>人</w:t>
      </w:r>
      <w:r>
        <w:rPr>
          <w:rFonts w:hint="eastAsia" w:ascii="Times New Roman" w:hAnsi="Times New Roman" w:cs="Times New Roman"/>
          <w:color w:val="auto"/>
          <w:sz w:val="20"/>
          <w:szCs w:val="20"/>
          <w:highlight w:val="none"/>
          <w:lang w:eastAsia="zh-CN"/>
        </w:rPr>
        <w:t>的</w:t>
      </w:r>
      <w:r>
        <w:rPr>
          <w:rFonts w:hint="eastAsia" w:ascii="Times New Roman" w:hAnsi="Times New Roman" w:cs="Times New Roman"/>
          <w:color w:val="auto"/>
          <w:sz w:val="20"/>
          <w:szCs w:val="20"/>
          <w:highlight w:val="none"/>
        </w:rPr>
        <w:t>业绩取自广州市住建行业信用管理平台，须提供广州市住建行业信用管理平台网页信息</w:t>
      </w:r>
      <w:r>
        <w:rPr>
          <w:rFonts w:hint="eastAsia" w:ascii="Times New Roman" w:hAnsi="Times New Roman" w:cs="Times New Roman"/>
          <w:color w:val="auto"/>
          <w:sz w:val="20"/>
          <w:szCs w:val="20"/>
          <w:highlight w:val="none"/>
          <w:lang w:val="zh-TW"/>
        </w:rPr>
        <w:t>截图（</w:t>
      </w:r>
      <w:r>
        <w:rPr>
          <w:rFonts w:hint="eastAsia" w:ascii="Times New Roman" w:hAnsi="Times New Roman" w:cs="Times New Roman"/>
          <w:color w:val="auto"/>
          <w:sz w:val="20"/>
          <w:szCs w:val="20"/>
          <w:highlight w:val="none"/>
        </w:rPr>
        <w:t>截图应至少显示有</w:t>
      </w:r>
      <w:r>
        <w:rPr>
          <w:rFonts w:hint="eastAsia" w:ascii="Times New Roman" w:hAnsi="Times New Roman" w:cs="Times New Roman"/>
          <w:color w:val="auto"/>
          <w:sz w:val="20"/>
          <w:szCs w:val="20"/>
          <w:highlight w:val="none"/>
          <w:lang w:val="zh-TW"/>
        </w:rPr>
        <w:t>广州市住建行业信用管理平台中的“项目基本信息”、“工程规模”、“验收材料”、“工程对应的企业资质”栏）</w:t>
      </w:r>
      <w:r>
        <w:rPr>
          <w:rFonts w:hint="eastAsia" w:ascii="Times New Roman" w:hAnsi="Times New Roman" w:cs="Times New Roman"/>
          <w:color w:val="auto"/>
          <w:sz w:val="20"/>
          <w:szCs w:val="20"/>
          <w:highlight w:val="none"/>
        </w:rPr>
        <w:t>及</w:t>
      </w:r>
      <w:r>
        <w:rPr>
          <w:rFonts w:hint="eastAsia" w:ascii="Times New Roman" w:hAnsi="Times New Roman" w:cs="Times New Roman"/>
          <w:color w:val="auto"/>
          <w:sz w:val="20"/>
          <w:szCs w:val="20"/>
          <w:highlight w:val="none"/>
          <w:lang w:eastAsia="zh-CN"/>
        </w:rPr>
        <w:t>验收</w:t>
      </w:r>
      <w:r>
        <w:rPr>
          <w:rFonts w:hint="eastAsia" w:ascii="Times New Roman" w:hAnsi="Times New Roman" w:cs="Times New Roman"/>
          <w:color w:val="auto"/>
          <w:sz w:val="20"/>
          <w:szCs w:val="20"/>
          <w:highlight w:val="none"/>
        </w:rPr>
        <w:t>资料上传件，完成时间以平台中项目业绩页面的“验收资料”栏中的竣工验收日期所记录的日期为准，业绩</w:t>
      </w:r>
      <w:r>
        <w:rPr>
          <w:rFonts w:hint="eastAsia" w:ascii="Times New Roman" w:hAnsi="Times New Roman" w:cs="Times New Roman"/>
          <w:color w:val="auto"/>
          <w:sz w:val="20"/>
          <w:szCs w:val="20"/>
          <w:highlight w:val="none"/>
          <w:lang w:eastAsia="zh-CN"/>
        </w:rPr>
        <w:t>的</w:t>
      </w:r>
      <w:r>
        <w:rPr>
          <w:rFonts w:hint="eastAsia" w:ascii="Times New Roman" w:hAnsi="Times New Roman" w:cs="Times New Roman"/>
          <w:color w:val="auto"/>
          <w:sz w:val="20"/>
          <w:szCs w:val="20"/>
          <w:highlight w:val="none"/>
        </w:rPr>
        <w:t>验收资料上传件须体现有该人员的名字</w:t>
      </w:r>
      <w:r>
        <w:rPr>
          <w:rFonts w:hint="eastAsia" w:ascii="Times New Roman" w:hAnsi="Times New Roman" w:cs="Times New Roman"/>
          <w:color w:val="auto"/>
          <w:sz w:val="20"/>
          <w:szCs w:val="20"/>
          <w:highlight w:val="none"/>
          <w:lang w:eastAsia="zh-CN"/>
        </w:rPr>
        <w:t>及相</w:t>
      </w:r>
      <w:r>
        <w:rPr>
          <w:rFonts w:hint="eastAsia" w:ascii="Times New Roman" w:hAnsi="Times New Roman" w:cs="Times New Roman"/>
          <w:color w:val="auto"/>
          <w:sz w:val="20"/>
          <w:szCs w:val="20"/>
          <w:highlight w:val="none"/>
        </w:rPr>
        <w:t>应职位。业绩在平台中“工程对应的企业资质”栏中须登记有与本项目要求相对应的资质（具体资质要求：建筑装修装饰工程）。若平台中项目业绩页面的“工程对应的企业资质”栏中没有登记与本项目要求相对应的“建筑装修装饰工程”</w:t>
      </w:r>
      <w:r>
        <w:rPr>
          <w:rFonts w:hint="eastAsia" w:ascii="Times New Roman" w:hAnsi="Times New Roman" w:cs="Times New Roman"/>
          <w:color w:val="auto"/>
          <w:sz w:val="20"/>
          <w:szCs w:val="20"/>
          <w:highlight w:val="none"/>
          <w:lang w:eastAsia="zh-CN"/>
        </w:rPr>
        <w:t>资质或</w:t>
      </w:r>
      <w:r>
        <w:rPr>
          <w:rFonts w:hint="eastAsia" w:ascii="Times New Roman" w:hAnsi="Times New Roman" w:cs="Times New Roman"/>
          <w:color w:val="auto"/>
          <w:sz w:val="20"/>
          <w:szCs w:val="20"/>
          <w:highlight w:val="none"/>
        </w:rPr>
        <w:t>不符合上述条件</w:t>
      </w:r>
      <w:r>
        <w:rPr>
          <w:rFonts w:hint="eastAsia" w:ascii="Times New Roman" w:hAnsi="Times New Roman" w:cs="Times New Roman"/>
          <w:color w:val="auto"/>
          <w:sz w:val="20"/>
          <w:szCs w:val="20"/>
          <w:highlight w:val="none"/>
          <w:lang w:eastAsia="zh-CN"/>
        </w:rPr>
        <w:t>的</w:t>
      </w:r>
      <w:r>
        <w:rPr>
          <w:rFonts w:hint="eastAsia" w:ascii="Times New Roman" w:hAnsi="Times New Roman" w:cs="Times New Roman"/>
          <w:color w:val="auto"/>
          <w:sz w:val="20"/>
          <w:szCs w:val="20"/>
          <w:highlight w:val="none"/>
        </w:rPr>
        <w:t>，则该业绩不参与计分。</w:t>
      </w:r>
      <w:r>
        <w:rPr>
          <w:rFonts w:ascii="宋体" w:hAnsi="宋体" w:cs="宋体"/>
          <w:strike w:val="0"/>
          <w:color w:val="auto"/>
          <w:szCs w:val="21"/>
          <w:highlight w:val="none"/>
        </w:rPr>
        <w:t>“建筑工程类”技术职称是指包含建筑施工管理、建筑施工、施工管理、工程管理、建筑工程造价、建筑生产技术管理</w:t>
      </w:r>
      <w:r>
        <w:rPr>
          <w:rFonts w:hint="eastAsia" w:ascii="宋体" w:hAnsi="宋体" w:cs="宋体"/>
          <w:strike w:val="0"/>
          <w:color w:val="auto"/>
          <w:szCs w:val="21"/>
          <w:highlight w:val="none"/>
        </w:rPr>
        <w:t>、土木工程</w:t>
      </w:r>
      <w:r>
        <w:rPr>
          <w:rFonts w:ascii="宋体" w:hAnsi="宋体" w:cs="宋体"/>
          <w:strike w:val="0"/>
          <w:color w:val="auto"/>
          <w:szCs w:val="21"/>
          <w:highlight w:val="none"/>
        </w:rPr>
        <w:t>等工程项目建设所涉及的相关专业的技术职称。</w:t>
      </w:r>
      <w:bookmarkStart w:id="60" w:name="_GoBack"/>
      <w:bookmarkEnd w:id="60"/>
    </w:p>
    <w:p>
      <w:pPr>
        <w:tabs>
          <w:tab w:val="left" w:pos="3570"/>
        </w:tabs>
        <w:spacing w:line="240" w:lineRule="auto"/>
        <w:ind w:firstLine="402" w:firstLineChars="200"/>
        <w:rPr>
          <w:rFonts w:hint="eastAsia" w:ascii="宋体" w:hAnsi="宋体"/>
          <w:b/>
          <w:bCs w:val="0"/>
          <w:color w:val="auto"/>
          <w:szCs w:val="21"/>
          <w:highlight w:val="none"/>
        </w:rPr>
      </w:pPr>
      <w:r>
        <w:rPr>
          <w:rFonts w:hint="eastAsia" w:ascii="宋体" w:hAnsi="宋体"/>
          <w:b/>
          <w:bCs w:val="0"/>
          <w:color w:val="auto"/>
          <w:sz w:val="20"/>
          <w:szCs w:val="20"/>
          <w:highlight w:val="none"/>
          <w:lang w:val="en-US" w:eastAsia="zh-CN"/>
        </w:rPr>
        <w:t>2</w:t>
      </w:r>
      <w:r>
        <w:rPr>
          <w:rFonts w:hint="eastAsia" w:ascii="宋体" w:hAnsi="宋体"/>
          <w:b/>
          <w:bCs w:val="0"/>
          <w:color w:val="auto"/>
          <w:sz w:val="20"/>
          <w:szCs w:val="20"/>
          <w:highlight w:val="none"/>
        </w:rPr>
        <w:t>、本表按百分制评分，所有评委的总分汇总后的算术平均值为投标人的最终得分。分数出现小数点，保留小数点后二位小数，第三位小数四舍五入。投标人满足多个档次的，按最高档得分。</w:t>
      </w:r>
    </w:p>
    <w:p>
      <w:pPr>
        <w:pStyle w:val="24"/>
        <w:tabs>
          <w:tab w:val="left" w:pos="3570"/>
        </w:tabs>
        <w:ind w:firstLine="400"/>
        <w:rPr>
          <w:rFonts w:hint="eastAsia"/>
          <w:color w:val="auto"/>
          <w:highlight w:val="none"/>
        </w:rPr>
      </w:pPr>
    </w:p>
    <w:p>
      <w:pPr>
        <w:pStyle w:val="24"/>
        <w:tabs>
          <w:tab w:val="left" w:pos="3570"/>
        </w:tabs>
        <w:ind w:firstLine="400"/>
        <w:rPr>
          <w:rFonts w:hint="eastAsia"/>
          <w:color w:val="auto"/>
          <w:highlight w:val="none"/>
        </w:rPr>
      </w:pPr>
    </w:p>
    <w:p>
      <w:pPr>
        <w:rPr>
          <w:rFonts w:hint="eastAsia" w:ascii="宋体" w:hAnsi="宋体"/>
          <w:color w:val="auto"/>
          <w:sz w:val="24"/>
          <w:szCs w:val="24"/>
          <w:highlight w:val="none"/>
        </w:rPr>
      </w:pPr>
      <w:r>
        <w:rPr>
          <w:rFonts w:hint="eastAsia" w:ascii="宋体" w:hAnsi="宋体"/>
          <w:color w:val="auto"/>
          <w:sz w:val="24"/>
          <w:szCs w:val="24"/>
          <w:highlight w:val="none"/>
        </w:rPr>
        <w:br w:type="page"/>
      </w:r>
    </w:p>
    <w:p>
      <w:pPr>
        <w:tabs>
          <w:tab w:val="left" w:pos="3570"/>
        </w:tabs>
        <w:jc w:val="both"/>
        <w:rPr>
          <w:rFonts w:hint="eastAsia" w:ascii="宋体" w:hAnsi="宋体"/>
          <w:b/>
          <w:color w:val="auto"/>
          <w:sz w:val="30"/>
          <w:szCs w:val="30"/>
          <w:highlight w:val="none"/>
        </w:rPr>
      </w:pPr>
      <w:r>
        <w:rPr>
          <w:rFonts w:hint="eastAsia" w:ascii="宋体" w:hAnsi="宋体"/>
          <w:color w:val="auto"/>
          <w:sz w:val="24"/>
          <w:szCs w:val="24"/>
          <w:highlight w:val="none"/>
        </w:rPr>
        <w:t>附表四</w:t>
      </w:r>
      <w:r>
        <w:rPr>
          <w:rFonts w:hint="eastAsia" w:ascii="宋体" w:hAnsi="宋体"/>
          <w:color w:val="auto"/>
          <w:sz w:val="24"/>
          <w:szCs w:val="24"/>
          <w:highlight w:val="none"/>
          <w:lang w:val="en-US" w:eastAsia="zh-CN"/>
        </w:rPr>
        <w:t>附件</w:t>
      </w:r>
      <w:r>
        <w:rPr>
          <w:rFonts w:hint="eastAsia" w:ascii="宋体" w:hAnsi="宋体"/>
          <w:color w:val="auto"/>
          <w:sz w:val="24"/>
          <w:szCs w:val="24"/>
          <w:highlight w:val="none"/>
        </w:rPr>
        <w:t>：</w:t>
      </w:r>
    </w:p>
    <w:p>
      <w:pPr>
        <w:tabs>
          <w:tab w:val="left" w:pos="3570"/>
        </w:tabs>
        <w:jc w:val="center"/>
        <w:rPr>
          <w:rFonts w:hint="eastAsia" w:ascii="宋体" w:hAnsi="宋体"/>
          <w:b/>
          <w:color w:val="auto"/>
          <w:sz w:val="30"/>
          <w:szCs w:val="30"/>
          <w:highlight w:val="none"/>
        </w:rPr>
      </w:pPr>
      <w:r>
        <w:rPr>
          <w:rFonts w:hint="eastAsia" w:ascii="宋体" w:hAnsi="宋体"/>
          <w:b/>
          <w:color w:val="auto"/>
          <w:sz w:val="30"/>
          <w:szCs w:val="30"/>
          <w:highlight w:val="none"/>
        </w:rPr>
        <w:t>《</w:t>
      </w:r>
      <w:r>
        <w:rPr>
          <w:rFonts w:hint="eastAsia" w:ascii="宋体" w:hAnsi="宋体" w:cs="宋体"/>
          <w:b/>
          <w:color w:val="auto"/>
          <w:sz w:val="30"/>
          <w:szCs w:val="30"/>
          <w:highlight w:val="none"/>
        </w:rPr>
        <w:t>项目管理机构人员配置要求表</w:t>
      </w:r>
      <w:r>
        <w:rPr>
          <w:rFonts w:hint="eastAsia" w:ascii="宋体" w:hAnsi="宋体"/>
          <w:b/>
          <w:color w:val="auto"/>
          <w:sz w:val="30"/>
          <w:szCs w:val="30"/>
          <w:highlight w:val="none"/>
        </w:rPr>
        <w:t>》</w:t>
      </w:r>
    </w:p>
    <w:tbl>
      <w:tblPr>
        <w:tblStyle w:val="25"/>
        <w:tblW w:w="14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855"/>
        <w:gridCol w:w="7637"/>
        <w:gridCol w:w="4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88" w:type="dxa"/>
            <w:noWrap w:val="0"/>
            <w:vAlign w:val="center"/>
          </w:tcPr>
          <w:p>
            <w:pPr>
              <w:widowControl/>
              <w:tabs>
                <w:tab w:val="left" w:pos="3570"/>
              </w:tabs>
              <w:snapToGrid w:val="0"/>
              <w:spacing w:before="46" w:beforeLines="15" w:after="46" w:afterLines="15" w:line="240" w:lineRule="exact"/>
              <w:jc w:val="center"/>
              <w:rPr>
                <w:rFonts w:ascii="宋体" w:hAnsi="宋体" w:cs="宋体"/>
                <w:b/>
                <w:color w:val="auto"/>
                <w:kern w:val="0"/>
                <w:highlight w:val="none"/>
              </w:rPr>
            </w:pPr>
            <w:r>
              <w:rPr>
                <w:rFonts w:hint="eastAsia" w:ascii="宋体" w:hAnsi="宋体" w:cs="宋体"/>
                <w:b/>
                <w:color w:val="auto"/>
                <w:kern w:val="0"/>
                <w:highlight w:val="none"/>
              </w:rPr>
              <w:t>项目管理团队</w:t>
            </w:r>
          </w:p>
        </w:tc>
        <w:tc>
          <w:tcPr>
            <w:tcW w:w="855" w:type="dxa"/>
            <w:noWrap w:val="0"/>
            <w:vAlign w:val="center"/>
          </w:tcPr>
          <w:p>
            <w:pPr>
              <w:widowControl/>
              <w:tabs>
                <w:tab w:val="left" w:pos="3570"/>
              </w:tabs>
              <w:snapToGrid w:val="0"/>
              <w:spacing w:before="46" w:beforeLines="15" w:after="46" w:afterLines="15" w:line="240" w:lineRule="exact"/>
              <w:jc w:val="center"/>
              <w:rPr>
                <w:rFonts w:hint="eastAsia" w:ascii="宋体" w:hAnsi="宋体" w:eastAsia="宋体" w:cs="宋体"/>
                <w:b/>
                <w:color w:val="auto"/>
                <w:kern w:val="0"/>
                <w:highlight w:val="none"/>
                <w:lang w:eastAsia="zh-CN"/>
              </w:rPr>
            </w:pPr>
            <w:r>
              <w:rPr>
                <w:rFonts w:hint="eastAsia" w:ascii="宋体" w:hAnsi="宋体" w:cs="宋体"/>
                <w:b/>
                <w:color w:val="auto"/>
                <w:kern w:val="0"/>
                <w:highlight w:val="none"/>
              </w:rPr>
              <w:t>最低人</w:t>
            </w:r>
            <w:r>
              <w:rPr>
                <w:rFonts w:hint="eastAsia" w:ascii="宋体" w:hAnsi="宋体" w:cs="宋体"/>
                <w:b/>
                <w:color w:val="auto"/>
                <w:kern w:val="0"/>
                <w:highlight w:val="none"/>
                <w:lang w:eastAsia="zh-CN"/>
              </w:rPr>
              <w:t>员数量</w:t>
            </w:r>
          </w:p>
        </w:tc>
        <w:tc>
          <w:tcPr>
            <w:tcW w:w="7637" w:type="dxa"/>
            <w:noWrap w:val="0"/>
            <w:vAlign w:val="center"/>
          </w:tcPr>
          <w:p>
            <w:pPr>
              <w:widowControl/>
              <w:tabs>
                <w:tab w:val="left" w:pos="3570"/>
              </w:tabs>
              <w:snapToGrid w:val="0"/>
              <w:spacing w:before="46" w:beforeLines="15" w:after="46" w:afterLines="15" w:line="240" w:lineRule="exact"/>
              <w:jc w:val="center"/>
              <w:rPr>
                <w:rFonts w:ascii="宋体" w:hAnsi="宋体" w:cs="宋体"/>
                <w:b/>
                <w:color w:val="auto"/>
                <w:kern w:val="0"/>
                <w:highlight w:val="none"/>
              </w:rPr>
            </w:pPr>
            <w:r>
              <w:rPr>
                <w:rFonts w:hint="eastAsia" w:ascii="宋体" w:hAnsi="宋体" w:cs="宋体"/>
                <w:b/>
                <w:color w:val="auto"/>
                <w:kern w:val="0"/>
                <w:szCs w:val="21"/>
                <w:highlight w:val="none"/>
              </w:rPr>
              <w:t>基本任职条件</w:t>
            </w:r>
          </w:p>
        </w:tc>
        <w:tc>
          <w:tcPr>
            <w:tcW w:w="4344" w:type="dxa"/>
            <w:noWrap w:val="0"/>
            <w:vAlign w:val="center"/>
          </w:tcPr>
          <w:p>
            <w:pPr>
              <w:widowControl/>
              <w:tabs>
                <w:tab w:val="left" w:pos="3570"/>
              </w:tabs>
              <w:snapToGrid w:val="0"/>
              <w:spacing w:before="46" w:beforeLines="15" w:after="46" w:afterLines="15" w:line="240" w:lineRule="exact"/>
              <w:jc w:val="center"/>
              <w:rPr>
                <w:rFonts w:hint="eastAsia" w:ascii="宋体" w:hAnsi="宋体" w:eastAsia="宋体" w:cs="宋体"/>
                <w:b/>
                <w:color w:val="auto"/>
                <w:kern w:val="0"/>
                <w:highlight w:val="none"/>
                <w:lang w:eastAsia="zh-CN"/>
              </w:rPr>
            </w:pPr>
            <w:r>
              <w:rPr>
                <w:rFonts w:hint="eastAsia" w:ascii="宋体" w:hAnsi="宋体" w:cs="宋体"/>
                <w:b/>
                <w:color w:val="auto"/>
                <w:kern w:val="0"/>
                <w:highlight w:val="none"/>
              </w:rPr>
              <w:t>备注</w:t>
            </w:r>
            <w:r>
              <w:rPr>
                <w:rFonts w:hint="eastAsia" w:ascii="宋体" w:hAnsi="宋体" w:cs="宋体"/>
                <w:b/>
                <w:color w:val="auto"/>
                <w:kern w:val="0"/>
                <w:highlight w:val="none"/>
                <w:lang w:eastAsia="zh-CN"/>
              </w:rPr>
              <w:t>（须提交的资料）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8" w:type="dxa"/>
            <w:noWrap w:val="0"/>
            <w:vAlign w:val="center"/>
          </w:tcPr>
          <w:p>
            <w:pPr>
              <w:widowControl/>
              <w:tabs>
                <w:tab w:val="left" w:pos="3570"/>
              </w:tabs>
              <w:snapToGrid w:val="0"/>
              <w:spacing w:before="93" w:beforeLines="30" w:after="93" w:afterLines="30" w:line="240" w:lineRule="exact"/>
              <w:ind w:left="-48" w:leftChars="-23"/>
              <w:jc w:val="center"/>
              <w:rPr>
                <w:rFonts w:ascii="宋体" w:hAnsi="宋体" w:cs="宋体"/>
                <w:color w:val="auto"/>
                <w:kern w:val="0"/>
                <w:highlight w:val="none"/>
              </w:rPr>
            </w:pPr>
            <w:r>
              <w:rPr>
                <w:rFonts w:hint="eastAsia" w:ascii="宋体" w:hAnsi="宋体" w:cs="宋体"/>
                <w:color w:val="auto"/>
                <w:kern w:val="0"/>
                <w:highlight w:val="none"/>
              </w:rPr>
              <w:t>项目负责人</w:t>
            </w:r>
          </w:p>
        </w:tc>
        <w:tc>
          <w:tcPr>
            <w:tcW w:w="855" w:type="dxa"/>
            <w:noWrap w:val="0"/>
            <w:vAlign w:val="center"/>
          </w:tcPr>
          <w:p>
            <w:pPr>
              <w:widowControl/>
              <w:tabs>
                <w:tab w:val="left" w:pos="3570"/>
              </w:tabs>
              <w:snapToGrid w:val="0"/>
              <w:spacing w:before="93" w:beforeLines="30" w:after="93" w:afterLines="30" w:line="240" w:lineRule="exact"/>
              <w:ind w:left="-48" w:leftChars="-23"/>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1人</w:t>
            </w:r>
          </w:p>
        </w:tc>
        <w:tc>
          <w:tcPr>
            <w:tcW w:w="7637" w:type="dxa"/>
            <w:noWrap w:val="0"/>
            <w:vAlign w:val="center"/>
          </w:tcPr>
          <w:p>
            <w:pPr>
              <w:widowControl/>
              <w:tabs>
                <w:tab w:val="left" w:pos="3570"/>
              </w:tabs>
              <w:snapToGrid w:val="0"/>
              <w:spacing w:before="140" w:beforeLines="45" w:after="140" w:afterLines="45" w:line="240" w:lineRule="exact"/>
              <w:ind w:left="-48" w:leftChars="-23"/>
              <w:rPr>
                <w:rFonts w:hint="eastAsia" w:ascii="宋体" w:hAnsi="宋体" w:eastAsia="宋体" w:cs="宋体"/>
                <w:color w:val="auto"/>
                <w:kern w:val="0"/>
                <w:highlight w:val="none"/>
                <w:lang w:eastAsia="zh-CN"/>
              </w:rPr>
            </w:pPr>
            <w:r>
              <w:rPr>
                <w:rFonts w:hint="eastAsia" w:ascii="宋体" w:hAnsi="宋体" w:cs="宋体"/>
                <w:color w:val="auto"/>
                <w:kern w:val="0"/>
                <w:highlight w:val="none"/>
              </w:rPr>
              <w:t>按招标公告要求</w:t>
            </w:r>
          </w:p>
        </w:tc>
        <w:tc>
          <w:tcPr>
            <w:tcW w:w="4344" w:type="dxa"/>
            <w:noWrap w:val="0"/>
            <w:vAlign w:val="center"/>
          </w:tcPr>
          <w:p>
            <w:pPr>
              <w:widowControl/>
              <w:tabs>
                <w:tab w:val="left" w:pos="3570"/>
              </w:tabs>
              <w:snapToGrid w:val="0"/>
              <w:spacing w:before="109" w:beforeLines="35" w:after="109" w:afterLines="35" w:line="240" w:lineRule="exact"/>
              <w:rPr>
                <w:rFonts w:ascii="宋体" w:hAnsi="宋体" w:cs="宋体"/>
                <w:color w:val="auto"/>
                <w:kern w:val="0"/>
                <w:highlight w:val="none"/>
              </w:rPr>
            </w:pPr>
            <w:r>
              <w:rPr>
                <w:rFonts w:hint="eastAsia" w:ascii="宋体" w:hAnsi="宋体" w:cs="宋体"/>
                <w:color w:val="auto"/>
                <w:kern w:val="0"/>
                <w:highlight w:val="none"/>
              </w:rPr>
              <w:t>按招标公告要求提供的资料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8" w:type="dxa"/>
            <w:noWrap w:val="0"/>
            <w:vAlign w:val="center"/>
          </w:tcPr>
          <w:p>
            <w:pPr>
              <w:widowControl/>
              <w:tabs>
                <w:tab w:val="left" w:pos="3570"/>
              </w:tabs>
              <w:snapToGrid w:val="0"/>
              <w:spacing w:before="93" w:beforeLines="30" w:after="93" w:afterLines="30" w:line="240" w:lineRule="exact"/>
              <w:ind w:left="-48" w:leftChars="-23"/>
              <w:jc w:val="center"/>
              <w:rPr>
                <w:rFonts w:ascii="宋体" w:hAnsi="宋体" w:cs="宋体"/>
                <w:color w:val="auto"/>
                <w:kern w:val="0"/>
                <w:highlight w:val="none"/>
              </w:rPr>
            </w:pPr>
            <w:r>
              <w:rPr>
                <w:rFonts w:hint="eastAsia" w:ascii="宋体" w:hAnsi="宋体" w:cs="宋体"/>
                <w:color w:val="auto"/>
                <w:kern w:val="0"/>
                <w:highlight w:val="none"/>
              </w:rPr>
              <w:t>技术负责人</w:t>
            </w:r>
          </w:p>
        </w:tc>
        <w:tc>
          <w:tcPr>
            <w:tcW w:w="855" w:type="dxa"/>
            <w:noWrap w:val="0"/>
            <w:vAlign w:val="center"/>
          </w:tcPr>
          <w:p>
            <w:pPr>
              <w:widowControl/>
              <w:tabs>
                <w:tab w:val="left" w:pos="3570"/>
              </w:tabs>
              <w:snapToGrid w:val="0"/>
              <w:spacing w:before="93" w:beforeLines="30" w:after="93" w:afterLines="30" w:line="240" w:lineRule="exact"/>
              <w:ind w:left="-48" w:leftChars="-23"/>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1人</w:t>
            </w:r>
          </w:p>
        </w:tc>
        <w:tc>
          <w:tcPr>
            <w:tcW w:w="7637" w:type="dxa"/>
            <w:noWrap w:val="0"/>
            <w:vAlign w:val="center"/>
          </w:tcPr>
          <w:p>
            <w:pPr>
              <w:widowControl/>
              <w:tabs>
                <w:tab w:val="left" w:pos="3570"/>
              </w:tabs>
              <w:snapToGrid w:val="0"/>
              <w:spacing w:before="140" w:beforeLines="45" w:after="140" w:afterLines="45" w:line="240" w:lineRule="exact"/>
              <w:ind w:left="-48" w:leftChars="-23"/>
              <w:rPr>
                <w:rFonts w:hint="eastAsia" w:ascii="宋体" w:hAnsi="宋体" w:eastAsia="宋体" w:cs="宋体"/>
                <w:color w:val="auto"/>
                <w:kern w:val="0"/>
                <w:highlight w:val="none"/>
                <w:lang w:eastAsia="zh-CN"/>
              </w:rPr>
            </w:pPr>
            <w:r>
              <w:rPr>
                <w:rFonts w:hint="eastAsia" w:ascii="宋体" w:hAnsi="宋体" w:cs="宋体"/>
                <w:color w:val="auto"/>
                <w:kern w:val="0"/>
                <w:highlight w:val="none"/>
              </w:rPr>
              <w:t>按招标公告要求</w:t>
            </w:r>
          </w:p>
        </w:tc>
        <w:tc>
          <w:tcPr>
            <w:tcW w:w="4344" w:type="dxa"/>
            <w:noWrap w:val="0"/>
            <w:vAlign w:val="center"/>
          </w:tcPr>
          <w:p>
            <w:pPr>
              <w:widowControl/>
              <w:tabs>
                <w:tab w:val="left" w:pos="3570"/>
              </w:tabs>
              <w:snapToGrid w:val="0"/>
              <w:spacing w:before="109" w:beforeLines="35" w:after="109" w:afterLines="35" w:line="240" w:lineRule="exact"/>
              <w:rPr>
                <w:rFonts w:ascii="宋体" w:hAnsi="宋体" w:cs="宋体"/>
                <w:color w:val="auto"/>
                <w:kern w:val="0"/>
                <w:highlight w:val="none"/>
              </w:rPr>
            </w:pPr>
            <w:r>
              <w:rPr>
                <w:rFonts w:hint="eastAsia" w:ascii="宋体" w:hAnsi="宋体" w:cs="宋体"/>
                <w:color w:val="auto"/>
                <w:kern w:val="0"/>
                <w:highlight w:val="none"/>
              </w:rPr>
              <w:t>按招标公告要求提供的资料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688" w:type="dxa"/>
            <w:noWrap w:val="0"/>
            <w:vAlign w:val="center"/>
          </w:tcPr>
          <w:p>
            <w:pPr>
              <w:widowControl/>
              <w:tabs>
                <w:tab w:val="left" w:pos="3570"/>
              </w:tabs>
              <w:snapToGrid w:val="0"/>
              <w:spacing w:before="93" w:beforeLines="30" w:after="93" w:afterLines="30" w:line="240" w:lineRule="exact"/>
              <w:ind w:left="-48" w:leftChars="-23"/>
              <w:jc w:val="center"/>
              <w:rPr>
                <w:rFonts w:ascii="宋体" w:hAnsi="宋体" w:cs="宋体"/>
                <w:color w:val="auto"/>
                <w:kern w:val="0"/>
                <w:highlight w:val="none"/>
              </w:rPr>
            </w:pPr>
            <w:r>
              <w:rPr>
                <w:rFonts w:hint="eastAsia" w:ascii="宋体" w:hAnsi="宋体" w:cs="宋体"/>
                <w:color w:val="auto"/>
                <w:kern w:val="0"/>
                <w:highlight w:val="none"/>
              </w:rPr>
              <w:t>造价负责人</w:t>
            </w:r>
          </w:p>
        </w:tc>
        <w:tc>
          <w:tcPr>
            <w:tcW w:w="855" w:type="dxa"/>
            <w:noWrap w:val="0"/>
            <w:vAlign w:val="center"/>
          </w:tcPr>
          <w:p>
            <w:pPr>
              <w:widowControl/>
              <w:tabs>
                <w:tab w:val="left" w:pos="3570"/>
              </w:tabs>
              <w:snapToGrid w:val="0"/>
              <w:spacing w:before="93" w:beforeLines="30" w:after="93" w:afterLines="30" w:line="240" w:lineRule="exact"/>
              <w:ind w:left="-48" w:leftChars="-23"/>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1人</w:t>
            </w:r>
          </w:p>
        </w:tc>
        <w:tc>
          <w:tcPr>
            <w:tcW w:w="7637" w:type="dxa"/>
            <w:noWrap w:val="0"/>
            <w:vAlign w:val="center"/>
          </w:tcPr>
          <w:p>
            <w:pPr>
              <w:widowControl/>
              <w:tabs>
                <w:tab w:val="left" w:pos="3570"/>
              </w:tabs>
              <w:snapToGrid w:val="0"/>
              <w:spacing w:before="140" w:beforeLines="45" w:after="140" w:afterLines="45" w:line="240" w:lineRule="exact"/>
              <w:ind w:left="-48" w:leftChars="-23"/>
              <w:rPr>
                <w:rFonts w:ascii="宋体" w:hAnsi="宋体" w:cs="宋体"/>
                <w:color w:val="auto"/>
                <w:kern w:val="0"/>
                <w:highlight w:val="none"/>
              </w:rPr>
            </w:pPr>
            <w:r>
              <w:rPr>
                <w:rFonts w:hint="eastAsia" w:ascii="宋体" w:hAnsi="宋体" w:eastAsia="宋体" w:cs="宋体"/>
                <w:color w:val="auto"/>
                <w:kern w:val="0"/>
                <w:highlight w:val="none"/>
                <w:lang w:val="en-US" w:eastAsia="zh-CN"/>
              </w:rPr>
              <w:t>具有</w:t>
            </w:r>
            <w:r>
              <w:rPr>
                <w:rFonts w:hint="eastAsia" w:ascii="宋体" w:hAnsi="宋体" w:cs="宋体"/>
                <w:color w:val="auto"/>
                <w:kern w:val="0"/>
                <w:highlight w:val="none"/>
                <w:lang w:val="en-US" w:eastAsia="zh-CN"/>
              </w:rPr>
              <w:t>“</w:t>
            </w:r>
            <w:r>
              <w:rPr>
                <w:rFonts w:hint="eastAsia" w:ascii="宋体" w:hAnsi="宋体" w:eastAsia="宋体" w:cs="宋体"/>
                <w:color w:val="auto"/>
                <w:kern w:val="0"/>
                <w:highlight w:val="none"/>
                <w:lang w:val="en-US" w:eastAsia="zh-CN"/>
              </w:rPr>
              <w:t>土建</w:t>
            </w:r>
            <w:r>
              <w:rPr>
                <w:rFonts w:hint="eastAsia" w:ascii="宋体" w:hAnsi="宋体" w:cs="宋体"/>
                <w:color w:val="auto"/>
                <w:kern w:val="0"/>
                <w:highlight w:val="none"/>
                <w:lang w:val="en-US" w:eastAsia="zh-CN"/>
              </w:rPr>
              <w:t>”</w:t>
            </w:r>
            <w:r>
              <w:rPr>
                <w:rFonts w:hint="eastAsia" w:ascii="宋体" w:hAnsi="宋体" w:eastAsia="宋体" w:cs="宋体"/>
                <w:color w:val="auto"/>
                <w:kern w:val="0"/>
                <w:highlight w:val="none"/>
                <w:lang w:val="en-US" w:eastAsia="zh-CN"/>
              </w:rPr>
              <w:t>专业</w:t>
            </w:r>
            <w:r>
              <w:rPr>
                <w:rFonts w:hint="eastAsia" w:ascii="宋体" w:hAnsi="宋体" w:cs="宋体"/>
                <w:color w:val="auto"/>
                <w:kern w:val="0"/>
                <w:highlight w:val="none"/>
                <w:lang w:val="en-US" w:eastAsia="zh-CN"/>
              </w:rPr>
              <w:t>一</w:t>
            </w:r>
            <w:r>
              <w:rPr>
                <w:rFonts w:hint="eastAsia" w:ascii="宋体" w:hAnsi="宋体" w:eastAsia="宋体" w:cs="宋体"/>
                <w:color w:val="auto"/>
                <w:kern w:val="0"/>
                <w:highlight w:val="none"/>
                <w:lang w:val="en-US" w:eastAsia="zh-CN"/>
              </w:rPr>
              <w:t>级注册造价工程师证书</w:t>
            </w:r>
            <w:r>
              <w:rPr>
                <w:rFonts w:hint="eastAsia" w:ascii="宋体" w:hAnsi="宋体"/>
                <w:color w:val="auto"/>
                <w:highlight w:val="none"/>
              </w:rPr>
              <w:t>（或2020年新版证书启用前已注册成功且在有效期内的造价工程师注册证书）</w:t>
            </w:r>
            <w:r>
              <w:rPr>
                <w:rFonts w:hint="eastAsia" w:ascii="宋体" w:hAnsi="宋体" w:eastAsia="宋体" w:cs="宋体"/>
                <w:color w:val="auto"/>
                <w:kern w:val="0"/>
                <w:highlight w:val="none"/>
                <w:lang w:val="en-US" w:eastAsia="zh-CN"/>
              </w:rPr>
              <w:t>；</w:t>
            </w:r>
          </w:p>
        </w:tc>
        <w:tc>
          <w:tcPr>
            <w:tcW w:w="4344" w:type="dxa"/>
            <w:noWrap w:val="0"/>
            <w:vAlign w:val="center"/>
          </w:tcPr>
          <w:p>
            <w:pPr>
              <w:widowControl/>
              <w:tabs>
                <w:tab w:val="left" w:pos="3570"/>
              </w:tabs>
              <w:snapToGrid w:val="0"/>
              <w:spacing w:before="109" w:beforeLines="35" w:after="109" w:afterLines="35" w:line="240" w:lineRule="exact"/>
              <w:rPr>
                <w:rFonts w:ascii="宋体" w:hAnsi="宋体" w:cs="宋体"/>
                <w:color w:val="auto"/>
                <w:kern w:val="0"/>
                <w:highlight w:val="none"/>
              </w:rPr>
            </w:pPr>
            <w:r>
              <w:rPr>
                <w:rFonts w:hint="eastAsia" w:ascii="宋体" w:hAnsi="宋体" w:cs="宋体"/>
                <w:color w:val="auto"/>
                <w:kern w:val="0"/>
                <w:highlight w:val="none"/>
                <w:lang w:eastAsia="zh-CN"/>
              </w:rPr>
              <w:t>同时</w:t>
            </w:r>
            <w:r>
              <w:rPr>
                <w:rFonts w:hint="eastAsia" w:ascii="宋体" w:hAnsi="宋体" w:cs="宋体"/>
                <w:color w:val="auto"/>
                <w:kern w:val="0"/>
                <w:highlight w:val="none"/>
              </w:rPr>
              <w:t>提供造价工程师注册证书</w:t>
            </w:r>
            <w:r>
              <w:rPr>
                <w:rFonts w:hint="eastAsia" w:cs="宋体"/>
                <w:color w:val="auto"/>
                <w:kern w:val="0"/>
                <w:highlight w:val="none"/>
                <w:lang w:val="en-US" w:eastAsia="zh-CN"/>
              </w:rPr>
              <w:t>扫描件</w:t>
            </w:r>
            <w:r>
              <w:rPr>
                <w:rFonts w:hint="eastAsia" w:ascii="宋体" w:hAnsi="宋体" w:cs="宋体"/>
                <w:color w:val="auto"/>
                <w:kern w:val="0"/>
                <w:highlight w:val="none"/>
                <w:lang w:eastAsia="zh-CN"/>
              </w:rPr>
              <w:t>及</w:t>
            </w:r>
            <w:r>
              <w:rPr>
                <w:rFonts w:hint="eastAsia" w:ascii="宋体" w:hAnsi="宋体" w:cs="宋体"/>
                <w:color w:val="auto"/>
                <w:kern w:val="0"/>
                <w:szCs w:val="21"/>
                <w:highlight w:val="none"/>
              </w:rPr>
              <w:t>网页信息</w:t>
            </w:r>
            <w:r>
              <w:rPr>
                <w:rFonts w:hint="eastAsia" w:ascii="宋体" w:hAnsi="宋体" w:cs="宋体"/>
                <w:color w:val="auto"/>
                <w:kern w:val="0"/>
                <w:szCs w:val="21"/>
                <w:highlight w:val="none"/>
                <w:lang w:val="en-US" w:eastAsia="zh-CN"/>
              </w:rPr>
              <w:t>查询</w:t>
            </w:r>
            <w:r>
              <w:rPr>
                <w:rFonts w:hint="eastAsia" w:ascii="宋体" w:hAnsi="宋体" w:cs="宋体"/>
                <w:color w:val="auto"/>
                <w:kern w:val="0"/>
                <w:szCs w:val="21"/>
                <w:highlight w:val="none"/>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688" w:type="dxa"/>
            <w:noWrap w:val="0"/>
            <w:vAlign w:val="center"/>
          </w:tcPr>
          <w:p>
            <w:pPr>
              <w:widowControl/>
              <w:tabs>
                <w:tab w:val="left" w:pos="3570"/>
              </w:tabs>
              <w:snapToGrid w:val="0"/>
              <w:spacing w:before="93" w:beforeLines="30" w:after="93" w:afterLines="30" w:line="240" w:lineRule="exact"/>
              <w:ind w:left="-48" w:leftChars="-23"/>
              <w:jc w:val="center"/>
              <w:rPr>
                <w:rFonts w:ascii="宋体" w:hAnsi="宋体" w:eastAsia="宋体" w:cs="宋体"/>
                <w:color w:val="auto"/>
                <w:kern w:val="0"/>
                <w:sz w:val="21"/>
                <w:szCs w:val="22"/>
                <w:highlight w:val="none"/>
                <w:lang w:val="en-US" w:eastAsia="zh-CN" w:bidi="ar-SA"/>
              </w:rPr>
            </w:pPr>
            <w:r>
              <w:rPr>
                <w:rFonts w:hint="eastAsia" w:ascii="宋体" w:hAnsi="宋体" w:cs="宋体"/>
                <w:color w:val="auto"/>
                <w:kern w:val="0"/>
                <w:highlight w:val="none"/>
              </w:rPr>
              <w:t>安全负责人</w:t>
            </w:r>
          </w:p>
        </w:tc>
        <w:tc>
          <w:tcPr>
            <w:tcW w:w="855" w:type="dxa"/>
            <w:noWrap w:val="0"/>
            <w:vAlign w:val="center"/>
          </w:tcPr>
          <w:p>
            <w:pPr>
              <w:widowControl/>
              <w:tabs>
                <w:tab w:val="left" w:pos="3570"/>
              </w:tabs>
              <w:snapToGrid w:val="0"/>
              <w:spacing w:before="93" w:beforeLines="30" w:after="93" w:afterLines="30" w:line="240" w:lineRule="exact"/>
              <w:ind w:left="-48" w:leftChars="-23"/>
              <w:jc w:val="center"/>
              <w:rPr>
                <w:rFonts w:hint="eastAsia" w:ascii="宋体" w:hAnsi="宋体" w:eastAsia="宋体" w:cs="宋体"/>
                <w:color w:val="auto"/>
                <w:kern w:val="0"/>
                <w:sz w:val="21"/>
                <w:szCs w:val="22"/>
                <w:highlight w:val="none"/>
                <w:lang w:val="en-US" w:eastAsia="zh-CN" w:bidi="ar-SA"/>
              </w:rPr>
            </w:pPr>
            <w:r>
              <w:rPr>
                <w:rFonts w:hint="eastAsia" w:ascii="宋体" w:hAnsi="宋体" w:eastAsia="宋体" w:cs="宋体"/>
                <w:color w:val="auto"/>
                <w:kern w:val="0"/>
                <w:highlight w:val="none"/>
              </w:rPr>
              <w:t>1人</w:t>
            </w:r>
          </w:p>
        </w:tc>
        <w:tc>
          <w:tcPr>
            <w:tcW w:w="7637" w:type="dxa"/>
            <w:noWrap w:val="0"/>
            <w:vAlign w:val="center"/>
          </w:tcPr>
          <w:p>
            <w:pPr>
              <w:widowControl/>
              <w:tabs>
                <w:tab w:val="left" w:pos="3570"/>
              </w:tabs>
              <w:snapToGrid w:val="0"/>
              <w:spacing w:before="140" w:beforeLines="45" w:after="140" w:afterLines="45" w:line="240" w:lineRule="exact"/>
              <w:ind w:left="-48" w:leftChars="-23"/>
              <w:rPr>
                <w:rFonts w:ascii="宋体" w:hAnsi="宋体" w:eastAsia="宋体" w:cs="宋体"/>
                <w:color w:val="auto"/>
                <w:kern w:val="0"/>
                <w:sz w:val="21"/>
                <w:szCs w:val="22"/>
                <w:highlight w:val="none"/>
                <w:lang w:val="en-US" w:eastAsia="zh-CN" w:bidi="ar-SA"/>
              </w:rPr>
            </w:pPr>
            <w:r>
              <w:rPr>
                <w:rFonts w:hint="eastAsia" w:ascii="宋体" w:hAnsi="宋体" w:cs="宋体"/>
                <w:color w:val="auto"/>
                <w:kern w:val="0"/>
                <w:highlight w:val="none"/>
              </w:rPr>
              <w:t>具有</w:t>
            </w:r>
            <w:r>
              <w:rPr>
                <w:rFonts w:hint="eastAsia" w:ascii="宋体" w:hAnsi="宋体" w:eastAsia="宋体" w:cs="宋体"/>
                <w:color w:val="auto"/>
                <w:kern w:val="0"/>
                <w:highlight w:val="none"/>
                <w:lang w:val="en-US" w:eastAsia="zh-CN"/>
              </w:rPr>
              <w:t>“建筑施工安全”</w:t>
            </w:r>
            <w:r>
              <w:rPr>
                <w:rFonts w:hint="eastAsia" w:ascii="宋体" w:hAnsi="宋体" w:eastAsia="宋体" w:cs="宋体"/>
                <w:color w:val="auto"/>
                <w:kern w:val="0"/>
                <w:highlight w:val="none"/>
              </w:rPr>
              <w:t>专业注册安全工程师</w:t>
            </w:r>
            <w:r>
              <w:rPr>
                <w:rFonts w:hint="eastAsia" w:ascii="宋体" w:hAnsi="宋体" w:eastAsia="宋体" w:cs="宋体"/>
                <w:color w:val="auto"/>
                <w:highlight w:val="none"/>
              </w:rPr>
              <w:t>注册证书</w:t>
            </w:r>
            <w:r>
              <w:rPr>
                <w:rFonts w:hint="eastAsia" w:ascii="宋体" w:hAnsi="宋体" w:eastAsia="宋体" w:cs="宋体"/>
                <w:color w:val="auto"/>
                <w:kern w:val="0"/>
                <w:highlight w:val="none"/>
              </w:rPr>
              <w:t>(有效期内)</w:t>
            </w:r>
            <w:r>
              <w:rPr>
                <w:rFonts w:hint="eastAsia" w:ascii="宋体" w:hAnsi="宋体" w:eastAsia="宋体" w:cs="宋体"/>
                <w:color w:val="auto"/>
                <w:kern w:val="0"/>
                <w:highlight w:val="none"/>
                <w:lang w:val="en-US" w:eastAsia="zh-CN"/>
              </w:rPr>
              <w:t>；</w:t>
            </w:r>
          </w:p>
        </w:tc>
        <w:tc>
          <w:tcPr>
            <w:tcW w:w="4344" w:type="dxa"/>
            <w:noWrap w:val="0"/>
            <w:vAlign w:val="center"/>
          </w:tcPr>
          <w:p>
            <w:pPr>
              <w:widowControl/>
              <w:tabs>
                <w:tab w:val="left" w:pos="3570"/>
              </w:tabs>
              <w:snapToGrid w:val="0"/>
              <w:spacing w:before="109" w:beforeLines="35" w:after="109" w:afterLines="35" w:line="240" w:lineRule="exact"/>
              <w:rPr>
                <w:rFonts w:ascii="宋体" w:hAnsi="宋体" w:eastAsia="宋体" w:cs="宋体"/>
                <w:color w:val="auto"/>
                <w:kern w:val="0"/>
                <w:sz w:val="21"/>
                <w:szCs w:val="22"/>
                <w:highlight w:val="none"/>
                <w:lang w:val="en-US" w:eastAsia="zh-CN" w:bidi="ar-SA"/>
              </w:rPr>
            </w:pPr>
            <w:r>
              <w:rPr>
                <w:rFonts w:hint="eastAsia" w:ascii="宋体" w:hAnsi="宋体" w:cs="宋体"/>
                <w:color w:val="auto"/>
                <w:kern w:val="0"/>
                <w:highlight w:val="none"/>
                <w:lang w:eastAsia="zh-CN"/>
              </w:rPr>
              <w:t>同时</w:t>
            </w:r>
            <w:r>
              <w:rPr>
                <w:rFonts w:hint="eastAsia" w:ascii="宋体" w:hAnsi="宋体" w:cs="宋体"/>
                <w:color w:val="auto"/>
                <w:kern w:val="0"/>
                <w:highlight w:val="none"/>
              </w:rPr>
              <w:t>提供注册安全工程师</w:t>
            </w:r>
            <w:r>
              <w:rPr>
                <w:rFonts w:hint="eastAsia" w:ascii="宋体" w:hAnsi="宋体" w:eastAsia="宋体" w:cs="宋体"/>
                <w:color w:val="auto"/>
                <w:highlight w:val="none"/>
              </w:rPr>
              <w:t>注册证书</w:t>
            </w:r>
            <w:r>
              <w:rPr>
                <w:rFonts w:hint="eastAsia" w:cs="宋体"/>
                <w:color w:val="auto"/>
                <w:kern w:val="0"/>
                <w:highlight w:val="none"/>
                <w:lang w:val="en-US" w:eastAsia="zh-CN"/>
              </w:rPr>
              <w:t>扫描件</w:t>
            </w:r>
            <w:r>
              <w:rPr>
                <w:rFonts w:hint="eastAsia" w:ascii="宋体" w:hAnsi="宋体" w:cs="宋体"/>
                <w:color w:val="auto"/>
                <w:kern w:val="0"/>
                <w:highlight w:val="none"/>
                <w:lang w:eastAsia="zh-CN"/>
              </w:rPr>
              <w:t>及</w:t>
            </w:r>
            <w:r>
              <w:rPr>
                <w:rFonts w:hint="eastAsia" w:ascii="宋体" w:hAnsi="宋体" w:cs="宋体"/>
                <w:color w:val="auto"/>
                <w:kern w:val="0"/>
                <w:szCs w:val="21"/>
                <w:highlight w:val="none"/>
              </w:rPr>
              <w:t>网页信息</w:t>
            </w:r>
            <w:r>
              <w:rPr>
                <w:rFonts w:hint="eastAsia" w:ascii="宋体" w:hAnsi="宋体" w:cs="宋体"/>
                <w:color w:val="auto"/>
                <w:kern w:val="0"/>
                <w:szCs w:val="21"/>
                <w:highlight w:val="none"/>
                <w:lang w:val="en-US" w:eastAsia="zh-CN"/>
              </w:rPr>
              <w:t>查询</w:t>
            </w:r>
            <w:r>
              <w:rPr>
                <w:rFonts w:hint="eastAsia" w:ascii="宋体" w:hAnsi="宋体" w:cs="宋体"/>
                <w:color w:val="auto"/>
                <w:kern w:val="0"/>
                <w:szCs w:val="21"/>
                <w:highlight w:val="none"/>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8" w:type="dxa"/>
            <w:noWrap w:val="0"/>
            <w:vAlign w:val="center"/>
          </w:tcPr>
          <w:p>
            <w:pPr>
              <w:widowControl/>
              <w:tabs>
                <w:tab w:val="left" w:pos="3570"/>
              </w:tabs>
              <w:snapToGrid w:val="0"/>
              <w:spacing w:before="93" w:beforeLines="30" w:after="93" w:afterLines="30" w:line="240" w:lineRule="exact"/>
              <w:ind w:left="-48" w:leftChars="-23"/>
              <w:jc w:val="center"/>
              <w:rPr>
                <w:rFonts w:ascii="宋体" w:hAnsi="宋体" w:eastAsia="宋体" w:cs="宋体"/>
                <w:color w:val="auto"/>
                <w:kern w:val="0"/>
                <w:sz w:val="21"/>
                <w:szCs w:val="22"/>
                <w:highlight w:val="none"/>
                <w:lang w:val="en-US" w:eastAsia="zh-CN" w:bidi="ar-SA"/>
              </w:rPr>
            </w:pPr>
            <w:r>
              <w:rPr>
                <w:rFonts w:hint="eastAsia" w:ascii="宋体" w:hAnsi="宋体" w:cs="宋体"/>
                <w:color w:val="auto"/>
                <w:kern w:val="0"/>
                <w:highlight w:val="none"/>
              </w:rPr>
              <w:t>质量负责人</w:t>
            </w:r>
          </w:p>
        </w:tc>
        <w:tc>
          <w:tcPr>
            <w:tcW w:w="855" w:type="dxa"/>
            <w:noWrap w:val="0"/>
            <w:vAlign w:val="center"/>
          </w:tcPr>
          <w:p>
            <w:pPr>
              <w:widowControl/>
              <w:tabs>
                <w:tab w:val="left" w:pos="3570"/>
              </w:tabs>
              <w:snapToGrid w:val="0"/>
              <w:spacing w:before="93" w:beforeLines="30" w:after="93" w:afterLines="30" w:line="240" w:lineRule="exact"/>
              <w:ind w:left="-48" w:leftChars="-23"/>
              <w:jc w:val="center"/>
              <w:rPr>
                <w:rFonts w:hint="eastAsia" w:ascii="宋体" w:hAnsi="宋体" w:eastAsia="宋体" w:cs="宋体"/>
                <w:color w:val="auto"/>
                <w:kern w:val="0"/>
                <w:sz w:val="21"/>
                <w:szCs w:val="22"/>
                <w:highlight w:val="none"/>
                <w:lang w:val="en-US" w:eastAsia="zh-CN" w:bidi="ar-SA"/>
              </w:rPr>
            </w:pPr>
            <w:r>
              <w:rPr>
                <w:rFonts w:hint="eastAsia" w:ascii="宋体" w:hAnsi="宋体" w:eastAsia="宋体" w:cs="宋体"/>
                <w:color w:val="auto"/>
                <w:kern w:val="0"/>
                <w:highlight w:val="none"/>
              </w:rPr>
              <w:t>1人</w:t>
            </w:r>
          </w:p>
        </w:tc>
        <w:tc>
          <w:tcPr>
            <w:tcW w:w="7637" w:type="dxa"/>
            <w:noWrap w:val="0"/>
            <w:vAlign w:val="center"/>
          </w:tcPr>
          <w:p>
            <w:pPr>
              <w:widowControl/>
              <w:tabs>
                <w:tab w:val="left" w:pos="3570"/>
              </w:tabs>
              <w:snapToGrid w:val="0"/>
              <w:spacing w:before="140" w:beforeLines="45" w:after="140" w:afterLines="45" w:line="240" w:lineRule="exact"/>
              <w:ind w:left="-48" w:leftChars="-23"/>
              <w:rPr>
                <w:rFonts w:ascii="宋体" w:hAnsi="宋体" w:eastAsia="宋体" w:cs="宋体"/>
                <w:color w:val="auto"/>
                <w:kern w:val="0"/>
                <w:sz w:val="21"/>
                <w:szCs w:val="22"/>
                <w:highlight w:val="none"/>
                <w:lang w:val="en-US" w:eastAsia="zh-CN" w:bidi="ar-SA"/>
              </w:rPr>
            </w:pPr>
            <w:r>
              <w:rPr>
                <w:rFonts w:hint="eastAsia" w:ascii="宋体" w:hAnsi="宋体" w:cs="宋体"/>
                <w:color w:val="auto"/>
                <w:kern w:val="0"/>
                <w:sz w:val="21"/>
                <w:szCs w:val="21"/>
                <w:highlight w:val="none"/>
                <w:lang w:eastAsia="zh-CN"/>
              </w:rPr>
              <w:t>具有建筑</w:t>
            </w:r>
            <w:r>
              <w:rPr>
                <w:rFonts w:hint="eastAsia" w:cs="宋体"/>
                <w:color w:val="auto"/>
                <w:kern w:val="0"/>
                <w:sz w:val="21"/>
                <w:szCs w:val="21"/>
                <w:highlight w:val="none"/>
                <w:lang w:eastAsia="zh-CN"/>
              </w:rPr>
              <w:t>装饰施工</w:t>
            </w:r>
            <w:r>
              <w:rPr>
                <w:rFonts w:hint="eastAsia" w:ascii="宋体" w:hAnsi="宋体" w:cs="宋体"/>
                <w:color w:val="auto"/>
                <w:kern w:val="0"/>
                <w:sz w:val="21"/>
                <w:szCs w:val="21"/>
                <w:highlight w:val="none"/>
                <w:lang w:eastAsia="zh-CN"/>
              </w:rPr>
              <w:t>类专业高级工程师（或以上）职称；</w:t>
            </w:r>
          </w:p>
        </w:tc>
        <w:tc>
          <w:tcPr>
            <w:tcW w:w="4344" w:type="dxa"/>
            <w:noWrap w:val="0"/>
            <w:vAlign w:val="center"/>
          </w:tcPr>
          <w:p>
            <w:pPr>
              <w:widowControl/>
              <w:tabs>
                <w:tab w:val="left" w:pos="3570"/>
              </w:tabs>
              <w:snapToGrid w:val="0"/>
              <w:spacing w:before="109" w:beforeLines="35" w:after="109" w:afterLines="35" w:line="240" w:lineRule="exact"/>
              <w:rPr>
                <w:rFonts w:hint="eastAsia" w:ascii="宋体" w:hAnsi="宋体" w:eastAsia="宋体" w:cs="宋体"/>
                <w:color w:val="auto"/>
                <w:kern w:val="0"/>
                <w:sz w:val="21"/>
                <w:szCs w:val="22"/>
                <w:highlight w:val="none"/>
                <w:lang w:val="en-US" w:eastAsia="zh-CN" w:bidi="ar-SA"/>
              </w:rPr>
            </w:pPr>
            <w:r>
              <w:rPr>
                <w:rFonts w:hint="eastAsia" w:ascii="宋体" w:hAnsi="宋体" w:cs="宋体"/>
                <w:color w:val="auto"/>
                <w:kern w:val="0"/>
                <w:highlight w:val="none"/>
              </w:rPr>
              <w:t>提供职称证书</w:t>
            </w:r>
            <w:r>
              <w:rPr>
                <w:rFonts w:hint="eastAsia" w:cs="宋体"/>
                <w:color w:val="auto"/>
                <w:kern w:val="0"/>
                <w:highlight w:val="none"/>
                <w:lang w:val="en-US" w:eastAsia="zh-CN"/>
              </w:rPr>
              <w:t>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8" w:type="dxa"/>
            <w:noWrap w:val="0"/>
            <w:vAlign w:val="center"/>
          </w:tcPr>
          <w:p>
            <w:pPr>
              <w:tabs>
                <w:tab w:val="left" w:pos="3570"/>
              </w:tabs>
              <w:snapToGrid w:val="0"/>
              <w:spacing w:before="62" w:beforeLines="20" w:after="62" w:afterLines="20"/>
              <w:ind w:left="-61" w:leftChars="-29" w:right="-59" w:rightChars="-28"/>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深化设计负责人</w:t>
            </w:r>
          </w:p>
        </w:tc>
        <w:tc>
          <w:tcPr>
            <w:tcW w:w="855" w:type="dxa"/>
            <w:noWrap w:val="0"/>
            <w:vAlign w:val="center"/>
          </w:tcPr>
          <w:p>
            <w:pPr>
              <w:widowControl/>
              <w:tabs>
                <w:tab w:val="left" w:pos="3570"/>
              </w:tabs>
              <w:snapToGrid w:val="0"/>
              <w:spacing w:before="93" w:beforeLines="30" w:after="93" w:afterLines="30" w:line="240" w:lineRule="exact"/>
              <w:ind w:left="-48" w:leftChars="-23"/>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1人</w:t>
            </w:r>
          </w:p>
        </w:tc>
        <w:tc>
          <w:tcPr>
            <w:tcW w:w="7637" w:type="dxa"/>
            <w:noWrap w:val="0"/>
            <w:vAlign w:val="center"/>
          </w:tcPr>
          <w:p>
            <w:pPr>
              <w:widowControl/>
              <w:tabs>
                <w:tab w:val="left" w:pos="3570"/>
              </w:tabs>
              <w:snapToGrid w:val="0"/>
              <w:spacing w:before="140" w:beforeLines="45" w:after="140" w:afterLines="45" w:line="240" w:lineRule="exact"/>
              <w:ind w:left="-48" w:leftChars="-23"/>
              <w:rPr>
                <w:rFonts w:hint="eastAsia" w:ascii="宋体" w:hAnsi="宋体" w:eastAsia="宋体" w:cs="宋体"/>
                <w:color w:val="auto"/>
                <w:kern w:val="0"/>
                <w:highlight w:val="none"/>
                <w:lang w:val="en-US" w:eastAsia="zh-CN"/>
              </w:rPr>
            </w:pPr>
            <w:r>
              <w:rPr>
                <w:rFonts w:hint="eastAsia" w:ascii="宋体" w:hAnsi="宋体" w:cs="宋体"/>
                <w:color w:val="auto"/>
                <w:kern w:val="0"/>
                <w:sz w:val="21"/>
                <w:szCs w:val="21"/>
                <w:highlight w:val="none"/>
                <w:lang w:eastAsia="zh-CN"/>
              </w:rPr>
              <w:t>具有建筑</w:t>
            </w:r>
            <w:r>
              <w:rPr>
                <w:rFonts w:hint="eastAsia" w:cs="宋体"/>
                <w:color w:val="auto"/>
                <w:kern w:val="0"/>
                <w:sz w:val="21"/>
                <w:szCs w:val="21"/>
                <w:highlight w:val="none"/>
                <w:lang w:eastAsia="zh-CN"/>
              </w:rPr>
              <w:t>装饰设计</w:t>
            </w:r>
            <w:r>
              <w:rPr>
                <w:rFonts w:hint="eastAsia" w:ascii="宋体" w:hAnsi="宋体" w:cs="宋体"/>
                <w:color w:val="auto"/>
                <w:kern w:val="0"/>
                <w:sz w:val="21"/>
                <w:szCs w:val="21"/>
                <w:highlight w:val="none"/>
                <w:lang w:eastAsia="zh-CN"/>
              </w:rPr>
              <w:t>类专业高级工程师（或以上）职称；</w:t>
            </w:r>
          </w:p>
        </w:tc>
        <w:tc>
          <w:tcPr>
            <w:tcW w:w="4344" w:type="dxa"/>
            <w:noWrap w:val="0"/>
            <w:vAlign w:val="center"/>
          </w:tcPr>
          <w:p>
            <w:pPr>
              <w:widowControl/>
              <w:tabs>
                <w:tab w:val="left" w:pos="3570"/>
              </w:tabs>
              <w:snapToGrid w:val="0"/>
              <w:spacing w:before="109" w:beforeLines="35" w:after="109" w:afterLines="35" w:line="240" w:lineRule="exact"/>
              <w:rPr>
                <w:rFonts w:hint="eastAsia" w:ascii="宋体" w:hAnsi="宋体" w:eastAsia="宋体" w:cs="宋体"/>
                <w:color w:val="auto"/>
                <w:kern w:val="0"/>
                <w:sz w:val="21"/>
                <w:szCs w:val="22"/>
                <w:highlight w:val="none"/>
                <w:lang w:val="en-US" w:eastAsia="zh-CN" w:bidi="ar-SA"/>
              </w:rPr>
            </w:pPr>
            <w:r>
              <w:rPr>
                <w:rFonts w:hint="eastAsia" w:ascii="宋体" w:hAnsi="宋体" w:cs="宋体"/>
                <w:color w:val="auto"/>
                <w:kern w:val="0"/>
                <w:highlight w:val="none"/>
              </w:rPr>
              <w:t>提供职称证书</w:t>
            </w:r>
            <w:r>
              <w:rPr>
                <w:rFonts w:hint="eastAsia" w:cs="宋体"/>
                <w:color w:val="auto"/>
                <w:kern w:val="0"/>
                <w:highlight w:val="none"/>
                <w:lang w:val="en-US" w:eastAsia="zh-CN"/>
              </w:rPr>
              <w:t>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8" w:type="dxa"/>
            <w:noWrap w:val="0"/>
            <w:vAlign w:val="center"/>
          </w:tcPr>
          <w:p>
            <w:pPr>
              <w:tabs>
                <w:tab w:val="left" w:pos="3570"/>
              </w:tabs>
              <w:snapToGrid w:val="0"/>
              <w:spacing w:before="62" w:beforeLines="20" w:after="62" w:afterLines="20"/>
              <w:ind w:left="-61" w:leftChars="-29" w:right="-59" w:rightChars="-28"/>
              <w:jc w:val="center"/>
              <w:rPr>
                <w:rFonts w:hint="eastAsia" w:ascii="宋体" w:hAnsi="宋体" w:eastAsia="宋体" w:cs="宋体"/>
                <w:color w:val="auto"/>
                <w:kern w:val="2"/>
                <w:sz w:val="21"/>
                <w:szCs w:val="22"/>
                <w:highlight w:val="none"/>
                <w:lang w:val="en-US" w:eastAsia="zh-CN" w:bidi="ar-SA"/>
              </w:rPr>
            </w:pPr>
            <w:r>
              <w:rPr>
                <w:rFonts w:hint="eastAsia" w:ascii="宋体" w:hAnsi="宋体" w:cs="宋体"/>
                <w:color w:val="auto"/>
                <w:highlight w:val="none"/>
              </w:rPr>
              <w:t>装修</w:t>
            </w:r>
            <w:r>
              <w:rPr>
                <w:rFonts w:hint="eastAsia" w:ascii="宋体" w:hAnsi="宋体" w:cs="宋体"/>
                <w:color w:val="auto"/>
                <w:highlight w:val="none"/>
                <w:lang w:eastAsia="zh-CN"/>
              </w:rPr>
              <w:t>专业</w:t>
            </w:r>
            <w:r>
              <w:rPr>
                <w:rFonts w:hint="eastAsia" w:ascii="宋体" w:hAnsi="宋体" w:cs="宋体"/>
                <w:color w:val="auto"/>
                <w:highlight w:val="none"/>
              </w:rPr>
              <w:t>工程师</w:t>
            </w:r>
          </w:p>
        </w:tc>
        <w:tc>
          <w:tcPr>
            <w:tcW w:w="855" w:type="dxa"/>
            <w:noWrap w:val="0"/>
            <w:vAlign w:val="center"/>
          </w:tcPr>
          <w:p>
            <w:pPr>
              <w:widowControl/>
              <w:tabs>
                <w:tab w:val="left" w:pos="3570"/>
              </w:tabs>
              <w:snapToGrid w:val="0"/>
              <w:spacing w:before="93" w:beforeLines="30" w:after="93" w:afterLines="30" w:line="240" w:lineRule="exact"/>
              <w:ind w:left="-48" w:leftChars="-23"/>
              <w:jc w:val="center"/>
              <w:rPr>
                <w:rFonts w:hint="eastAsia" w:ascii="宋体" w:hAnsi="宋体" w:eastAsia="宋体" w:cs="宋体"/>
                <w:color w:val="auto"/>
                <w:kern w:val="0"/>
                <w:highlight w:val="none"/>
                <w:lang w:val="en-US" w:eastAsia="zh-CN"/>
              </w:rPr>
            </w:pPr>
            <w:r>
              <w:rPr>
                <w:rFonts w:hint="eastAsia" w:cs="宋体"/>
                <w:color w:val="auto"/>
                <w:kern w:val="0"/>
                <w:highlight w:val="none"/>
                <w:lang w:val="en-US" w:eastAsia="zh-CN"/>
              </w:rPr>
              <w:t>3</w:t>
            </w:r>
            <w:r>
              <w:rPr>
                <w:rFonts w:hint="eastAsia" w:ascii="宋体" w:hAnsi="宋体" w:eastAsia="宋体" w:cs="宋体"/>
                <w:color w:val="auto"/>
                <w:kern w:val="0"/>
                <w:highlight w:val="none"/>
              </w:rPr>
              <w:t>人</w:t>
            </w:r>
          </w:p>
        </w:tc>
        <w:tc>
          <w:tcPr>
            <w:tcW w:w="7637" w:type="dxa"/>
            <w:noWrap w:val="0"/>
            <w:vAlign w:val="center"/>
          </w:tcPr>
          <w:p>
            <w:pPr>
              <w:widowControl/>
              <w:tabs>
                <w:tab w:val="left" w:pos="3570"/>
              </w:tabs>
              <w:snapToGrid w:val="0"/>
              <w:spacing w:before="140" w:beforeLines="45" w:after="140" w:afterLines="45" w:line="240" w:lineRule="exact"/>
              <w:ind w:left="-48" w:leftChars="-23"/>
              <w:rPr>
                <w:rFonts w:hint="eastAsia" w:ascii="宋体" w:hAnsi="宋体" w:eastAsia="宋体" w:cs="宋体"/>
                <w:color w:val="auto"/>
                <w:kern w:val="0"/>
                <w:sz w:val="21"/>
                <w:szCs w:val="22"/>
                <w:highlight w:val="none"/>
                <w:lang w:val="en-US" w:eastAsia="zh-CN" w:bidi="ar-SA"/>
              </w:rPr>
            </w:pPr>
            <w:r>
              <w:rPr>
                <w:rFonts w:hint="eastAsia" w:ascii="宋体" w:hAnsi="宋体" w:cs="宋体"/>
                <w:color w:val="auto"/>
                <w:kern w:val="0"/>
                <w:sz w:val="21"/>
                <w:szCs w:val="21"/>
                <w:highlight w:val="none"/>
                <w:lang w:eastAsia="zh-CN"/>
              </w:rPr>
              <w:t>具有建筑</w:t>
            </w:r>
            <w:r>
              <w:rPr>
                <w:rFonts w:hint="eastAsia" w:cs="宋体"/>
                <w:color w:val="auto"/>
                <w:kern w:val="0"/>
                <w:sz w:val="21"/>
                <w:szCs w:val="21"/>
                <w:highlight w:val="none"/>
                <w:lang w:eastAsia="zh-CN"/>
              </w:rPr>
              <w:t>装饰施工</w:t>
            </w:r>
            <w:r>
              <w:rPr>
                <w:rFonts w:hint="eastAsia" w:ascii="宋体" w:hAnsi="宋体" w:cs="宋体"/>
                <w:color w:val="auto"/>
                <w:kern w:val="0"/>
                <w:sz w:val="21"/>
                <w:szCs w:val="21"/>
                <w:highlight w:val="none"/>
                <w:lang w:eastAsia="zh-CN"/>
              </w:rPr>
              <w:t>类专业高级工程师（或以上）职称</w:t>
            </w:r>
            <w:r>
              <w:rPr>
                <w:rFonts w:hint="eastAsia" w:ascii="宋体" w:hAnsi="宋体" w:eastAsia="宋体" w:cs="宋体"/>
                <w:color w:val="auto"/>
                <w:kern w:val="0"/>
                <w:highlight w:val="none"/>
                <w:lang w:val="en-US" w:eastAsia="zh-CN"/>
              </w:rPr>
              <w:t>；</w:t>
            </w:r>
          </w:p>
        </w:tc>
        <w:tc>
          <w:tcPr>
            <w:tcW w:w="4344" w:type="dxa"/>
            <w:noWrap w:val="0"/>
            <w:vAlign w:val="center"/>
          </w:tcPr>
          <w:p>
            <w:pPr>
              <w:widowControl/>
              <w:tabs>
                <w:tab w:val="left" w:pos="3570"/>
              </w:tabs>
              <w:snapToGrid w:val="0"/>
              <w:spacing w:before="109" w:beforeLines="35" w:after="109" w:afterLines="35" w:line="240" w:lineRule="exact"/>
              <w:rPr>
                <w:rFonts w:hint="eastAsia" w:ascii="宋体" w:hAnsi="宋体" w:eastAsia="宋体" w:cs="宋体"/>
                <w:color w:val="auto"/>
                <w:kern w:val="0"/>
                <w:sz w:val="21"/>
                <w:szCs w:val="22"/>
                <w:highlight w:val="none"/>
                <w:lang w:val="en-US" w:eastAsia="zh-CN" w:bidi="ar-SA"/>
              </w:rPr>
            </w:pPr>
            <w:r>
              <w:rPr>
                <w:rFonts w:hint="eastAsia" w:ascii="宋体" w:hAnsi="宋体" w:cs="宋体"/>
                <w:color w:val="auto"/>
                <w:kern w:val="0"/>
                <w:highlight w:val="none"/>
              </w:rPr>
              <w:t>提供职称证书</w:t>
            </w:r>
            <w:r>
              <w:rPr>
                <w:rFonts w:hint="eastAsia" w:cs="宋体"/>
                <w:color w:val="auto"/>
                <w:kern w:val="0"/>
                <w:highlight w:val="none"/>
                <w:lang w:val="en-US" w:eastAsia="zh-CN"/>
              </w:rPr>
              <w:t>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8" w:type="dxa"/>
            <w:noWrap w:val="0"/>
            <w:vAlign w:val="center"/>
          </w:tcPr>
          <w:p>
            <w:pPr>
              <w:tabs>
                <w:tab w:val="left" w:pos="3570"/>
              </w:tabs>
              <w:snapToGrid w:val="0"/>
              <w:spacing w:before="62" w:beforeLines="20" w:after="62" w:afterLines="20"/>
              <w:ind w:left="-61" w:leftChars="-29" w:right="-59" w:rightChars="-28"/>
              <w:jc w:val="center"/>
              <w:rPr>
                <w:rFonts w:ascii="宋体" w:hAnsi="宋体" w:cs="宋体"/>
                <w:color w:val="auto"/>
                <w:highlight w:val="none"/>
              </w:rPr>
            </w:pPr>
            <w:r>
              <w:rPr>
                <w:rFonts w:hint="eastAsia" w:ascii="宋体" w:hAnsi="宋体" w:cs="宋体"/>
                <w:color w:val="auto"/>
                <w:highlight w:val="none"/>
                <w:lang w:eastAsia="zh-CN"/>
              </w:rPr>
              <w:t>电气专业</w:t>
            </w:r>
            <w:r>
              <w:rPr>
                <w:rFonts w:hint="eastAsia" w:ascii="宋体" w:hAnsi="宋体" w:cs="宋体"/>
                <w:color w:val="auto"/>
                <w:highlight w:val="none"/>
              </w:rPr>
              <w:t>工程师</w:t>
            </w:r>
          </w:p>
        </w:tc>
        <w:tc>
          <w:tcPr>
            <w:tcW w:w="855" w:type="dxa"/>
            <w:noWrap w:val="0"/>
            <w:vAlign w:val="center"/>
          </w:tcPr>
          <w:p>
            <w:pPr>
              <w:widowControl/>
              <w:tabs>
                <w:tab w:val="left" w:pos="3570"/>
              </w:tabs>
              <w:snapToGrid w:val="0"/>
              <w:spacing w:before="93" w:beforeLines="30" w:after="93" w:afterLines="30" w:line="240" w:lineRule="exact"/>
              <w:ind w:left="-48" w:leftChars="-23"/>
              <w:jc w:val="center"/>
              <w:rPr>
                <w:rFonts w:hint="eastAsia" w:ascii="宋体" w:hAnsi="宋体" w:eastAsia="宋体" w:cs="宋体"/>
                <w:color w:val="auto"/>
                <w:kern w:val="0"/>
                <w:highlight w:val="none"/>
              </w:rPr>
            </w:pPr>
            <w:r>
              <w:rPr>
                <w:rFonts w:hint="eastAsia" w:cs="宋体"/>
                <w:color w:val="auto"/>
                <w:kern w:val="0"/>
                <w:highlight w:val="none"/>
                <w:lang w:val="en-US" w:eastAsia="zh-CN"/>
              </w:rPr>
              <w:t>1</w:t>
            </w:r>
            <w:r>
              <w:rPr>
                <w:rFonts w:hint="eastAsia" w:ascii="宋体" w:hAnsi="宋体" w:eastAsia="宋体" w:cs="宋体"/>
                <w:color w:val="auto"/>
                <w:kern w:val="0"/>
                <w:highlight w:val="none"/>
              </w:rPr>
              <w:t>人</w:t>
            </w:r>
          </w:p>
        </w:tc>
        <w:tc>
          <w:tcPr>
            <w:tcW w:w="7637" w:type="dxa"/>
            <w:noWrap w:val="0"/>
            <w:vAlign w:val="center"/>
          </w:tcPr>
          <w:p>
            <w:pPr>
              <w:widowControl/>
              <w:tabs>
                <w:tab w:val="left" w:pos="3570"/>
              </w:tabs>
              <w:snapToGrid w:val="0"/>
              <w:spacing w:before="140" w:beforeLines="45" w:after="140" w:afterLines="45" w:line="240" w:lineRule="exact"/>
              <w:ind w:left="-48" w:leftChars="-23"/>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具有建筑电气类专业高级工程师(或以上)职称；</w:t>
            </w:r>
          </w:p>
        </w:tc>
        <w:tc>
          <w:tcPr>
            <w:tcW w:w="4344" w:type="dxa"/>
            <w:noWrap w:val="0"/>
            <w:vAlign w:val="center"/>
          </w:tcPr>
          <w:p>
            <w:pPr>
              <w:widowControl/>
              <w:tabs>
                <w:tab w:val="left" w:pos="3570"/>
              </w:tabs>
              <w:snapToGrid w:val="0"/>
              <w:spacing w:before="109" w:beforeLines="35" w:after="109" w:afterLines="35" w:line="240" w:lineRule="exact"/>
              <w:rPr>
                <w:rFonts w:ascii="宋体" w:hAnsi="宋体" w:cs="宋体"/>
                <w:color w:val="auto"/>
                <w:kern w:val="0"/>
                <w:highlight w:val="none"/>
              </w:rPr>
            </w:pPr>
            <w:r>
              <w:rPr>
                <w:rFonts w:hint="eastAsia" w:ascii="宋体" w:hAnsi="宋体" w:cs="宋体"/>
                <w:color w:val="auto"/>
                <w:kern w:val="0"/>
                <w:highlight w:val="none"/>
              </w:rPr>
              <w:t>提供职称证书</w:t>
            </w:r>
            <w:r>
              <w:rPr>
                <w:rFonts w:hint="eastAsia" w:cs="宋体"/>
                <w:color w:val="auto"/>
                <w:kern w:val="0"/>
                <w:highlight w:val="none"/>
                <w:lang w:val="en-US" w:eastAsia="zh-CN"/>
              </w:rPr>
              <w:t>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8" w:type="dxa"/>
            <w:noWrap w:val="0"/>
            <w:vAlign w:val="center"/>
          </w:tcPr>
          <w:p>
            <w:pPr>
              <w:tabs>
                <w:tab w:val="left" w:pos="3570"/>
              </w:tabs>
              <w:snapToGrid w:val="0"/>
              <w:spacing w:before="62" w:beforeLines="20" w:after="62" w:afterLines="20"/>
              <w:ind w:left="-61" w:leftChars="-29" w:right="-59" w:rightChars="-28"/>
              <w:jc w:val="center"/>
              <w:rPr>
                <w:rFonts w:ascii="宋体" w:hAnsi="宋体" w:cs="宋体"/>
                <w:color w:val="auto"/>
                <w:highlight w:val="none"/>
              </w:rPr>
            </w:pPr>
            <w:r>
              <w:rPr>
                <w:rFonts w:hint="eastAsia" w:ascii="宋体" w:hAnsi="宋体" w:cs="宋体"/>
                <w:color w:val="auto"/>
                <w:highlight w:val="none"/>
              </w:rPr>
              <w:t>给排水</w:t>
            </w:r>
            <w:r>
              <w:rPr>
                <w:rFonts w:hint="eastAsia" w:ascii="宋体" w:hAnsi="宋体" w:cs="宋体"/>
                <w:color w:val="auto"/>
                <w:highlight w:val="none"/>
                <w:lang w:eastAsia="zh-CN"/>
              </w:rPr>
              <w:t>专业</w:t>
            </w:r>
            <w:r>
              <w:rPr>
                <w:rFonts w:hint="eastAsia" w:ascii="宋体" w:hAnsi="宋体" w:cs="宋体"/>
                <w:color w:val="auto"/>
                <w:highlight w:val="none"/>
              </w:rPr>
              <w:t>工程师</w:t>
            </w:r>
          </w:p>
        </w:tc>
        <w:tc>
          <w:tcPr>
            <w:tcW w:w="855" w:type="dxa"/>
            <w:noWrap w:val="0"/>
            <w:vAlign w:val="center"/>
          </w:tcPr>
          <w:p>
            <w:pPr>
              <w:widowControl/>
              <w:tabs>
                <w:tab w:val="left" w:pos="3570"/>
              </w:tabs>
              <w:snapToGrid w:val="0"/>
              <w:spacing w:before="93" w:beforeLines="30" w:after="93" w:afterLines="30" w:line="240" w:lineRule="exact"/>
              <w:ind w:left="-48" w:leftChars="-23"/>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1</w:t>
            </w:r>
            <w:r>
              <w:rPr>
                <w:rFonts w:hint="eastAsia" w:ascii="宋体" w:hAnsi="宋体" w:eastAsia="宋体" w:cs="宋体"/>
                <w:color w:val="auto"/>
                <w:kern w:val="0"/>
                <w:highlight w:val="none"/>
              </w:rPr>
              <w:t>人</w:t>
            </w:r>
          </w:p>
        </w:tc>
        <w:tc>
          <w:tcPr>
            <w:tcW w:w="7637" w:type="dxa"/>
            <w:noWrap w:val="0"/>
            <w:vAlign w:val="center"/>
          </w:tcPr>
          <w:p>
            <w:pPr>
              <w:widowControl/>
              <w:tabs>
                <w:tab w:val="left" w:pos="3570"/>
              </w:tabs>
              <w:snapToGrid w:val="0"/>
              <w:spacing w:before="140" w:beforeLines="45" w:after="140" w:afterLines="45" w:line="240" w:lineRule="exact"/>
              <w:ind w:left="-48" w:leftChars="-23"/>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具有给水排水类专业高级工程师(或以上)职称；</w:t>
            </w:r>
          </w:p>
        </w:tc>
        <w:tc>
          <w:tcPr>
            <w:tcW w:w="4344" w:type="dxa"/>
            <w:noWrap w:val="0"/>
            <w:vAlign w:val="center"/>
          </w:tcPr>
          <w:p>
            <w:pPr>
              <w:widowControl/>
              <w:tabs>
                <w:tab w:val="left" w:pos="3570"/>
              </w:tabs>
              <w:snapToGrid w:val="0"/>
              <w:spacing w:before="109" w:beforeLines="35" w:after="109" w:afterLines="35" w:line="240" w:lineRule="exact"/>
              <w:rPr>
                <w:rFonts w:ascii="宋体" w:hAnsi="宋体" w:cs="宋体"/>
                <w:color w:val="auto"/>
                <w:spacing w:val="-2"/>
                <w:kern w:val="0"/>
                <w:highlight w:val="none"/>
              </w:rPr>
            </w:pPr>
            <w:r>
              <w:rPr>
                <w:rFonts w:hint="eastAsia" w:ascii="宋体" w:hAnsi="宋体" w:cs="宋体"/>
                <w:color w:val="auto"/>
                <w:kern w:val="0"/>
                <w:highlight w:val="none"/>
              </w:rPr>
              <w:t>提供职称证书</w:t>
            </w:r>
            <w:r>
              <w:rPr>
                <w:rFonts w:hint="eastAsia" w:cs="宋体"/>
                <w:color w:val="auto"/>
                <w:kern w:val="0"/>
                <w:highlight w:val="none"/>
                <w:lang w:val="en-US" w:eastAsia="zh-CN"/>
              </w:rPr>
              <w:t>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8" w:type="dxa"/>
            <w:noWrap w:val="0"/>
            <w:vAlign w:val="center"/>
          </w:tcPr>
          <w:p>
            <w:pPr>
              <w:tabs>
                <w:tab w:val="left" w:pos="3570"/>
              </w:tabs>
              <w:snapToGrid w:val="0"/>
              <w:spacing w:before="62" w:beforeLines="20" w:after="62" w:afterLines="20"/>
              <w:ind w:left="-61" w:leftChars="-29" w:right="-59" w:rightChars="-28"/>
              <w:jc w:val="center"/>
              <w:rPr>
                <w:rFonts w:hint="eastAsia" w:ascii="宋体" w:hAnsi="宋体" w:eastAsia="宋体" w:cs="宋体"/>
                <w:color w:val="auto"/>
                <w:kern w:val="2"/>
                <w:sz w:val="21"/>
                <w:szCs w:val="22"/>
                <w:highlight w:val="none"/>
                <w:lang w:val="en-US" w:eastAsia="zh-CN" w:bidi="ar-SA"/>
              </w:rPr>
            </w:pPr>
            <w:r>
              <w:rPr>
                <w:rFonts w:hint="eastAsia" w:ascii="宋体" w:hAnsi="宋体" w:cs="宋体"/>
                <w:color w:val="auto"/>
                <w:highlight w:val="none"/>
                <w:lang w:eastAsia="zh-CN"/>
              </w:rPr>
              <w:t>造价专业工程师</w:t>
            </w:r>
          </w:p>
        </w:tc>
        <w:tc>
          <w:tcPr>
            <w:tcW w:w="855" w:type="dxa"/>
            <w:noWrap w:val="0"/>
            <w:vAlign w:val="center"/>
          </w:tcPr>
          <w:p>
            <w:pPr>
              <w:widowControl/>
              <w:tabs>
                <w:tab w:val="left" w:pos="3570"/>
              </w:tabs>
              <w:snapToGrid w:val="0"/>
              <w:spacing w:before="93" w:beforeLines="30" w:after="93" w:afterLines="30" w:line="240" w:lineRule="exact"/>
              <w:ind w:left="-48" w:leftChars="-23"/>
              <w:jc w:val="center"/>
              <w:rPr>
                <w:rFonts w:hint="eastAsia" w:ascii="宋体" w:hAnsi="宋体" w:eastAsia="宋体" w:cs="宋体"/>
                <w:color w:val="auto"/>
                <w:kern w:val="0"/>
                <w:sz w:val="21"/>
                <w:szCs w:val="22"/>
                <w:highlight w:val="none"/>
                <w:lang w:val="en-US" w:eastAsia="zh-CN" w:bidi="ar-SA"/>
              </w:rPr>
            </w:pPr>
            <w:r>
              <w:rPr>
                <w:rFonts w:hint="eastAsia" w:ascii="宋体" w:hAnsi="宋体" w:cs="宋体"/>
                <w:color w:val="auto"/>
                <w:kern w:val="0"/>
                <w:highlight w:val="none"/>
                <w:lang w:val="en-US" w:eastAsia="zh-CN"/>
              </w:rPr>
              <w:t>1</w:t>
            </w:r>
            <w:r>
              <w:rPr>
                <w:rFonts w:hint="eastAsia" w:ascii="宋体" w:hAnsi="宋体" w:eastAsia="宋体" w:cs="宋体"/>
                <w:color w:val="auto"/>
                <w:kern w:val="0"/>
                <w:highlight w:val="none"/>
              </w:rPr>
              <w:t>人</w:t>
            </w:r>
          </w:p>
        </w:tc>
        <w:tc>
          <w:tcPr>
            <w:tcW w:w="7637" w:type="dxa"/>
            <w:noWrap w:val="0"/>
            <w:vAlign w:val="center"/>
          </w:tcPr>
          <w:p>
            <w:pPr>
              <w:widowControl/>
              <w:tabs>
                <w:tab w:val="left" w:pos="3570"/>
              </w:tabs>
              <w:snapToGrid w:val="0"/>
              <w:spacing w:before="140" w:beforeLines="45" w:after="140" w:afterLines="45" w:line="240" w:lineRule="exact"/>
              <w:ind w:left="-48" w:leftChars="-23"/>
              <w:rPr>
                <w:rFonts w:hint="eastAsia" w:ascii="宋体" w:hAnsi="宋体" w:eastAsia="宋体" w:cs="宋体"/>
                <w:color w:val="auto"/>
                <w:kern w:val="0"/>
                <w:sz w:val="21"/>
                <w:szCs w:val="22"/>
                <w:highlight w:val="none"/>
                <w:lang w:val="en-US" w:eastAsia="zh-CN" w:bidi="ar-SA"/>
              </w:rPr>
            </w:pPr>
            <w:r>
              <w:rPr>
                <w:rFonts w:hint="eastAsia" w:ascii="宋体" w:hAnsi="宋体" w:eastAsia="宋体" w:cs="宋体"/>
                <w:color w:val="auto"/>
                <w:kern w:val="0"/>
                <w:highlight w:val="none"/>
                <w:lang w:val="en-US" w:eastAsia="zh-CN"/>
              </w:rPr>
              <w:t>具有</w:t>
            </w:r>
            <w:r>
              <w:rPr>
                <w:rFonts w:hint="eastAsia" w:ascii="宋体" w:hAnsi="宋体" w:cs="宋体"/>
                <w:color w:val="auto"/>
                <w:kern w:val="0"/>
                <w:highlight w:val="none"/>
                <w:lang w:val="en-US" w:eastAsia="zh-CN"/>
              </w:rPr>
              <w:t>“</w:t>
            </w:r>
            <w:r>
              <w:rPr>
                <w:rFonts w:hint="eastAsia" w:cs="宋体"/>
                <w:color w:val="auto"/>
                <w:kern w:val="0"/>
                <w:highlight w:val="none"/>
                <w:lang w:val="en-US" w:eastAsia="zh-CN"/>
              </w:rPr>
              <w:t>土建</w:t>
            </w:r>
            <w:r>
              <w:rPr>
                <w:rFonts w:hint="eastAsia" w:ascii="宋体" w:hAnsi="宋体" w:cs="宋体"/>
                <w:color w:val="auto"/>
                <w:kern w:val="0"/>
                <w:highlight w:val="none"/>
                <w:lang w:val="en-US" w:eastAsia="zh-CN"/>
              </w:rPr>
              <w:t>”</w:t>
            </w:r>
            <w:r>
              <w:rPr>
                <w:rFonts w:hint="eastAsia" w:ascii="宋体" w:hAnsi="宋体" w:eastAsia="宋体" w:cs="宋体"/>
                <w:color w:val="auto"/>
                <w:kern w:val="0"/>
                <w:highlight w:val="none"/>
                <w:lang w:val="en-US" w:eastAsia="zh-CN"/>
              </w:rPr>
              <w:t>专业</w:t>
            </w:r>
            <w:r>
              <w:rPr>
                <w:rFonts w:hint="eastAsia" w:ascii="宋体" w:hAnsi="宋体" w:cs="宋体"/>
                <w:color w:val="auto"/>
                <w:kern w:val="0"/>
                <w:highlight w:val="none"/>
                <w:lang w:val="en-US" w:eastAsia="zh-CN"/>
              </w:rPr>
              <w:t>一</w:t>
            </w:r>
            <w:r>
              <w:rPr>
                <w:rFonts w:hint="eastAsia" w:ascii="宋体" w:hAnsi="宋体" w:eastAsia="宋体" w:cs="宋体"/>
                <w:color w:val="auto"/>
                <w:kern w:val="0"/>
                <w:highlight w:val="none"/>
                <w:lang w:val="en-US" w:eastAsia="zh-CN"/>
              </w:rPr>
              <w:t>级注册造价工程师证书</w:t>
            </w:r>
            <w:r>
              <w:rPr>
                <w:rFonts w:hint="eastAsia" w:ascii="宋体" w:hAnsi="宋体"/>
                <w:color w:val="auto"/>
                <w:highlight w:val="none"/>
              </w:rPr>
              <w:t>（或2020年新版证书启用前已注册成功且在有效期内的造价工程师注册证书）</w:t>
            </w:r>
            <w:r>
              <w:rPr>
                <w:rFonts w:hint="eastAsia" w:ascii="宋体" w:hAnsi="宋体" w:eastAsia="宋体" w:cs="宋体"/>
                <w:color w:val="auto"/>
                <w:kern w:val="0"/>
                <w:highlight w:val="none"/>
                <w:lang w:val="en-US" w:eastAsia="zh-CN"/>
              </w:rPr>
              <w:t>；</w:t>
            </w:r>
          </w:p>
        </w:tc>
        <w:tc>
          <w:tcPr>
            <w:tcW w:w="4344" w:type="dxa"/>
            <w:noWrap w:val="0"/>
            <w:vAlign w:val="center"/>
          </w:tcPr>
          <w:p>
            <w:pPr>
              <w:widowControl/>
              <w:tabs>
                <w:tab w:val="left" w:pos="3570"/>
              </w:tabs>
              <w:snapToGrid w:val="0"/>
              <w:spacing w:before="109" w:beforeLines="35" w:after="109" w:afterLines="35" w:line="240" w:lineRule="exact"/>
              <w:rPr>
                <w:rFonts w:hint="eastAsia" w:ascii="宋体" w:hAnsi="宋体" w:eastAsia="宋体" w:cs="宋体"/>
                <w:color w:val="auto"/>
                <w:kern w:val="0"/>
                <w:sz w:val="21"/>
                <w:szCs w:val="22"/>
                <w:highlight w:val="none"/>
                <w:lang w:val="en-US" w:eastAsia="zh-CN" w:bidi="ar-SA"/>
              </w:rPr>
            </w:pPr>
            <w:r>
              <w:rPr>
                <w:rFonts w:hint="eastAsia" w:ascii="宋体" w:hAnsi="宋体" w:cs="宋体"/>
                <w:color w:val="auto"/>
                <w:kern w:val="0"/>
                <w:highlight w:val="none"/>
                <w:lang w:eastAsia="zh-CN"/>
              </w:rPr>
              <w:t>同时</w:t>
            </w:r>
            <w:r>
              <w:rPr>
                <w:rFonts w:hint="eastAsia" w:ascii="宋体" w:hAnsi="宋体" w:cs="宋体"/>
                <w:color w:val="auto"/>
                <w:kern w:val="0"/>
                <w:highlight w:val="none"/>
              </w:rPr>
              <w:t>提供造价工程师注册证书</w:t>
            </w:r>
            <w:r>
              <w:rPr>
                <w:rFonts w:hint="eastAsia" w:cs="宋体"/>
                <w:color w:val="auto"/>
                <w:kern w:val="0"/>
                <w:highlight w:val="none"/>
                <w:lang w:val="en-US" w:eastAsia="zh-CN"/>
              </w:rPr>
              <w:t>扫描件</w:t>
            </w:r>
            <w:r>
              <w:rPr>
                <w:rFonts w:hint="eastAsia" w:ascii="宋体" w:hAnsi="宋体" w:cs="宋体"/>
                <w:color w:val="auto"/>
                <w:kern w:val="0"/>
                <w:highlight w:val="none"/>
                <w:lang w:eastAsia="zh-CN"/>
              </w:rPr>
              <w:t>及</w:t>
            </w:r>
            <w:r>
              <w:rPr>
                <w:rFonts w:hint="eastAsia" w:ascii="宋体" w:hAnsi="宋体" w:cs="宋体"/>
                <w:color w:val="auto"/>
                <w:kern w:val="0"/>
                <w:szCs w:val="21"/>
                <w:highlight w:val="none"/>
              </w:rPr>
              <w:t>网页信息</w:t>
            </w:r>
            <w:r>
              <w:rPr>
                <w:rFonts w:hint="eastAsia" w:ascii="宋体" w:hAnsi="宋体" w:cs="宋体"/>
                <w:color w:val="auto"/>
                <w:kern w:val="0"/>
                <w:szCs w:val="21"/>
                <w:highlight w:val="none"/>
                <w:lang w:val="en-US" w:eastAsia="zh-CN"/>
              </w:rPr>
              <w:t>查询</w:t>
            </w:r>
            <w:r>
              <w:rPr>
                <w:rFonts w:hint="eastAsia" w:ascii="宋体" w:hAnsi="宋体" w:cs="宋体"/>
                <w:color w:val="auto"/>
                <w:kern w:val="0"/>
                <w:szCs w:val="21"/>
                <w:highlight w:val="none"/>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688" w:type="dxa"/>
            <w:noWrap w:val="0"/>
            <w:vAlign w:val="center"/>
          </w:tcPr>
          <w:p>
            <w:pPr>
              <w:tabs>
                <w:tab w:val="left" w:pos="3570"/>
              </w:tabs>
              <w:snapToGrid w:val="0"/>
              <w:spacing w:before="62" w:beforeLines="20" w:after="62" w:afterLines="20"/>
              <w:ind w:left="-61" w:leftChars="-29" w:right="-59" w:rightChars="-28"/>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安全</w:t>
            </w:r>
            <w:r>
              <w:rPr>
                <w:rFonts w:hint="eastAsia" w:ascii="宋体" w:hAnsi="宋体" w:cs="宋体"/>
                <w:color w:val="auto"/>
                <w:highlight w:val="none"/>
                <w:lang w:eastAsia="zh-CN"/>
              </w:rPr>
              <w:t>专业</w:t>
            </w:r>
            <w:r>
              <w:rPr>
                <w:rFonts w:hint="eastAsia" w:ascii="宋体" w:hAnsi="宋体" w:eastAsia="宋体" w:cs="宋体"/>
                <w:color w:val="auto"/>
                <w:highlight w:val="none"/>
                <w:lang w:eastAsia="zh-CN"/>
              </w:rPr>
              <w:t>工程师</w:t>
            </w:r>
          </w:p>
        </w:tc>
        <w:tc>
          <w:tcPr>
            <w:tcW w:w="855" w:type="dxa"/>
            <w:noWrap w:val="0"/>
            <w:vAlign w:val="center"/>
          </w:tcPr>
          <w:p>
            <w:pPr>
              <w:widowControl/>
              <w:tabs>
                <w:tab w:val="left" w:pos="3570"/>
              </w:tabs>
              <w:snapToGrid w:val="0"/>
              <w:spacing w:before="93" w:beforeLines="30" w:after="93" w:afterLines="30" w:line="240" w:lineRule="exact"/>
              <w:ind w:left="-48" w:leftChars="-23"/>
              <w:jc w:val="center"/>
              <w:rPr>
                <w:rFonts w:hint="eastAsia" w:ascii="宋体" w:hAnsi="宋体" w:eastAsia="宋体" w:cs="宋体"/>
                <w:color w:val="auto"/>
                <w:kern w:val="0"/>
                <w:sz w:val="21"/>
                <w:szCs w:val="22"/>
                <w:highlight w:val="none"/>
                <w:lang w:val="en-US" w:eastAsia="zh-CN" w:bidi="ar-SA"/>
              </w:rPr>
            </w:pPr>
            <w:r>
              <w:rPr>
                <w:rFonts w:hint="eastAsia" w:cs="宋体"/>
                <w:color w:val="auto"/>
                <w:kern w:val="0"/>
                <w:highlight w:val="none"/>
                <w:lang w:val="en-US" w:eastAsia="zh-CN"/>
              </w:rPr>
              <w:t>1</w:t>
            </w:r>
            <w:r>
              <w:rPr>
                <w:rFonts w:hint="eastAsia" w:ascii="宋体" w:hAnsi="宋体" w:eastAsia="宋体" w:cs="宋体"/>
                <w:color w:val="auto"/>
                <w:kern w:val="0"/>
                <w:highlight w:val="none"/>
              </w:rPr>
              <w:t>人</w:t>
            </w:r>
          </w:p>
        </w:tc>
        <w:tc>
          <w:tcPr>
            <w:tcW w:w="7637" w:type="dxa"/>
            <w:noWrap w:val="0"/>
            <w:vAlign w:val="center"/>
          </w:tcPr>
          <w:p>
            <w:pPr>
              <w:widowControl/>
              <w:tabs>
                <w:tab w:val="left" w:pos="3570"/>
              </w:tabs>
              <w:snapToGrid w:val="0"/>
              <w:spacing w:before="140" w:beforeLines="45" w:after="140" w:afterLines="45" w:line="240" w:lineRule="exact"/>
              <w:ind w:left="-48" w:leftChars="-23"/>
              <w:rPr>
                <w:rFonts w:hint="eastAsia" w:ascii="宋体" w:hAnsi="宋体" w:eastAsia="宋体" w:cs="宋体"/>
                <w:color w:val="auto"/>
                <w:kern w:val="0"/>
                <w:sz w:val="21"/>
                <w:szCs w:val="22"/>
                <w:highlight w:val="none"/>
                <w:lang w:val="en-US" w:eastAsia="zh-CN" w:bidi="ar-SA"/>
              </w:rPr>
            </w:pPr>
            <w:r>
              <w:rPr>
                <w:rFonts w:hint="eastAsia" w:ascii="宋体" w:hAnsi="宋体" w:eastAsia="宋体" w:cs="宋体"/>
                <w:color w:val="auto"/>
                <w:kern w:val="0"/>
                <w:highlight w:val="none"/>
                <w:lang w:val="en-US" w:eastAsia="zh-CN"/>
              </w:rPr>
              <w:t>具有“建筑施工安全”专业注册安全工程师</w:t>
            </w:r>
            <w:r>
              <w:rPr>
                <w:rFonts w:hint="eastAsia" w:ascii="宋体" w:hAnsi="宋体" w:eastAsia="宋体" w:cs="宋体"/>
                <w:color w:val="auto"/>
                <w:highlight w:val="none"/>
              </w:rPr>
              <w:t>注册证书</w:t>
            </w:r>
            <w:r>
              <w:rPr>
                <w:rFonts w:hint="eastAsia" w:ascii="宋体" w:hAnsi="宋体" w:eastAsia="宋体" w:cs="宋体"/>
                <w:color w:val="auto"/>
                <w:kern w:val="0"/>
                <w:highlight w:val="none"/>
              </w:rPr>
              <w:t>(有效期内)</w:t>
            </w:r>
            <w:r>
              <w:rPr>
                <w:rFonts w:hint="eastAsia" w:ascii="宋体" w:hAnsi="宋体" w:eastAsia="宋体" w:cs="宋体"/>
                <w:color w:val="auto"/>
                <w:kern w:val="0"/>
                <w:highlight w:val="none"/>
                <w:lang w:val="en-US" w:eastAsia="zh-CN"/>
              </w:rPr>
              <w:t>；</w:t>
            </w:r>
          </w:p>
        </w:tc>
        <w:tc>
          <w:tcPr>
            <w:tcW w:w="4344" w:type="dxa"/>
            <w:noWrap w:val="0"/>
            <w:vAlign w:val="center"/>
          </w:tcPr>
          <w:p>
            <w:pPr>
              <w:widowControl/>
              <w:tabs>
                <w:tab w:val="left" w:pos="3570"/>
              </w:tabs>
              <w:snapToGrid w:val="0"/>
              <w:spacing w:before="109" w:beforeLines="35" w:after="109" w:afterLines="35" w:line="240" w:lineRule="exact"/>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lang w:eastAsia="zh-CN"/>
              </w:rPr>
              <w:t>同时</w:t>
            </w:r>
            <w:r>
              <w:rPr>
                <w:rFonts w:hint="eastAsia" w:ascii="宋体" w:hAnsi="宋体" w:eastAsia="宋体" w:cs="宋体"/>
                <w:color w:val="auto"/>
                <w:kern w:val="0"/>
                <w:highlight w:val="none"/>
              </w:rPr>
              <w:t>提供注册安全工程师</w:t>
            </w:r>
            <w:r>
              <w:rPr>
                <w:rFonts w:hint="eastAsia" w:ascii="宋体" w:hAnsi="宋体" w:eastAsia="宋体" w:cs="宋体"/>
                <w:color w:val="auto"/>
                <w:highlight w:val="none"/>
              </w:rPr>
              <w:t>注册证书</w:t>
            </w:r>
            <w:r>
              <w:rPr>
                <w:rFonts w:hint="eastAsia" w:cs="宋体"/>
                <w:color w:val="auto"/>
                <w:kern w:val="0"/>
                <w:highlight w:val="none"/>
                <w:lang w:val="en-US" w:eastAsia="zh-CN"/>
              </w:rPr>
              <w:t>扫描件</w:t>
            </w:r>
            <w:r>
              <w:rPr>
                <w:rFonts w:hint="eastAsia" w:ascii="宋体" w:hAnsi="宋体" w:eastAsia="宋体" w:cs="宋体"/>
                <w:color w:val="auto"/>
                <w:kern w:val="0"/>
                <w:highlight w:val="none"/>
                <w:lang w:eastAsia="zh-CN"/>
              </w:rPr>
              <w:t>及</w:t>
            </w:r>
            <w:r>
              <w:rPr>
                <w:rFonts w:hint="eastAsia" w:ascii="宋体" w:hAnsi="宋体" w:eastAsia="宋体" w:cs="宋体"/>
                <w:color w:val="auto"/>
                <w:kern w:val="0"/>
                <w:highlight w:val="none"/>
              </w:rPr>
              <w:t>网页信息</w:t>
            </w:r>
            <w:r>
              <w:rPr>
                <w:rFonts w:hint="eastAsia" w:ascii="宋体" w:hAnsi="宋体" w:eastAsia="宋体" w:cs="宋体"/>
                <w:color w:val="auto"/>
                <w:kern w:val="0"/>
                <w:highlight w:val="none"/>
                <w:lang w:val="en-US" w:eastAsia="zh-CN"/>
              </w:rPr>
              <w:t>查询</w:t>
            </w:r>
            <w:r>
              <w:rPr>
                <w:rFonts w:hint="eastAsia" w:ascii="宋体" w:hAnsi="宋体" w:eastAsia="宋体" w:cs="宋体"/>
                <w:color w:val="auto"/>
                <w:kern w:val="0"/>
                <w:highlight w:val="none"/>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8" w:type="dxa"/>
            <w:noWrap w:val="0"/>
            <w:vAlign w:val="center"/>
          </w:tcPr>
          <w:p>
            <w:pPr>
              <w:widowControl/>
              <w:tabs>
                <w:tab w:val="left" w:pos="3570"/>
              </w:tabs>
              <w:snapToGrid w:val="0"/>
              <w:spacing w:before="93" w:beforeLines="30" w:after="93" w:afterLines="30" w:line="240" w:lineRule="exact"/>
              <w:ind w:left="-48" w:leftChars="-23"/>
              <w:jc w:val="center"/>
              <w:rPr>
                <w:rFonts w:ascii="宋体" w:hAnsi="宋体" w:cs="宋体"/>
                <w:color w:val="auto"/>
                <w:kern w:val="0"/>
                <w:highlight w:val="none"/>
              </w:rPr>
            </w:pPr>
            <w:r>
              <w:rPr>
                <w:rFonts w:hint="eastAsia" w:ascii="宋体" w:hAnsi="宋体" w:cs="宋体"/>
                <w:color w:val="auto"/>
                <w:kern w:val="0"/>
                <w:highlight w:val="none"/>
              </w:rPr>
              <w:t>专职安全员</w:t>
            </w:r>
          </w:p>
        </w:tc>
        <w:tc>
          <w:tcPr>
            <w:tcW w:w="855" w:type="dxa"/>
            <w:noWrap w:val="0"/>
            <w:vAlign w:val="center"/>
          </w:tcPr>
          <w:p>
            <w:pPr>
              <w:widowControl/>
              <w:tabs>
                <w:tab w:val="left" w:pos="3570"/>
              </w:tabs>
              <w:snapToGrid w:val="0"/>
              <w:spacing w:before="93" w:beforeLines="30" w:after="93" w:afterLines="30" w:line="240" w:lineRule="exact"/>
              <w:ind w:left="-48" w:leftChars="-23"/>
              <w:jc w:val="center"/>
              <w:rPr>
                <w:rFonts w:ascii="宋体" w:hAnsi="宋体" w:cs="宋体"/>
                <w:color w:val="auto"/>
                <w:kern w:val="0"/>
                <w:highlight w:val="none"/>
              </w:rPr>
            </w:pPr>
            <w:r>
              <w:rPr>
                <w:rFonts w:hint="eastAsia" w:ascii="宋体" w:hAnsi="宋体" w:cs="宋体"/>
                <w:color w:val="auto"/>
                <w:kern w:val="0"/>
                <w:highlight w:val="none"/>
              </w:rPr>
              <w:t>1人</w:t>
            </w:r>
          </w:p>
        </w:tc>
        <w:tc>
          <w:tcPr>
            <w:tcW w:w="7637" w:type="dxa"/>
            <w:noWrap w:val="0"/>
            <w:vAlign w:val="center"/>
          </w:tcPr>
          <w:p>
            <w:pPr>
              <w:widowControl/>
              <w:tabs>
                <w:tab w:val="left" w:pos="3570"/>
              </w:tabs>
              <w:snapToGrid w:val="0"/>
              <w:spacing w:before="140" w:beforeLines="45" w:after="140" w:afterLines="45" w:line="240" w:lineRule="exact"/>
              <w:ind w:left="-48" w:leftChars="-23"/>
              <w:rPr>
                <w:rFonts w:hint="eastAsia" w:ascii="宋体" w:hAnsi="宋体" w:eastAsia="宋体" w:cs="宋体"/>
                <w:color w:val="auto"/>
                <w:kern w:val="0"/>
                <w:highlight w:val="none"/>
                <w:lang w:eastAsia="zh-CN"/>
              </w:rPr>
            </w:pPr>
            <w:r>
              <w:rPr>
                <w:rFonts w:hint="eastAsia" w:ascii="宋体" w:hAnsi="宋体" w:cs="宋体"/>
                <w:color w:val="auto"/>
                <w:kern w:val="0"/>
                <w:highlight w:val="none"/>
              </w:rPr>
              <w:t>按招标公告要求</w:t>
            </w:r>
            <w:r>
              <w:rPr>
                <w:rFonts w:hint="eastAsia" w:ascii="宋体" w:hAnsi="宋体" w:cs="宋体"/>
                <w:color w:val="auto"/>
                <w:kern w:val="0"/>
                <w:highlight w:val="none"/>
                <w:lang w:eastAsia="zh-CN"/>
              </w:rPr>
              <w:t>。</w:t>
            </w:r>
          </w:p>
        </w:tc>
        <w:tc>
          <w:tcPr>
            <w:tcW w:w="4344" w:type="dxa"/>
            <w:noWrap w:val="0"/>
            <w:vAlign w:val="center"/>
          </w:tcPr>
          <w:p>
            <w:pPr>
              <w:widowControl/>
              <w:tabs>
                <w:tab w:val="left" w:pos="3570"/>
              </w:tabs>
              <w:snapToGrid w:val="0"/>
              <w:spacing w:before="109" w:beforeLines="35" w:after="109" w:afterLines="35" w:line="240" w:lineRule="exact"/>
              <w:rPr>
                <w:rFonts w:ascii="宋体" w:hAnsi="宋体" w:cs="宋体"/>
                <w:color w:val="auto"/>
                <w:kern w:val="0"/>
                <w:highlight w:val="none"/>
              </w:rPr>
            </w:pPr>
            <w:r>
              <w:rPr>
                <w:rFonts w:hint="eastAsia" w:ascii="宋体" w:hAnsi="宋体" w:cs="宋体"/>
                <w:color w:val="auto"/>
                <w:kern w:val="0"/>
                <w:highlight w:val="none"/>
              </w:rPr>
              <w:t>按招标公告要求提供</w:t>
            </w:r>
          </w:p>
        </w:tc>
      </w:tr>
    </w:tbl>
    <w:p>
      <w:pPr>
        <w:tabs>
          <w:tab w:val="left" w:pos="3570"/>
        </w:tabs>
        <w:rPr>
          <w:color w:val="auto"/>
          <w:highlight w:val="none"/>
        </w:rPr>
      </w:pPr>
      <w:r>
        <w:rPr>
          <w:rFonts w:hint="eastAsia"/>
          <w:color w:val="auto"/>
          <w:highlight w:val="none"/>
        </w:rPr>
        <w:t>注：1、所有人员须提供相应证书和</w:t>
      </w:r>
      <w:r>
        <w:rPr>
          <w:rFonts w:hint="eastAsia" w:ascii="宋体" w:hAnsi="宋体" w:eastAsia="宋体" w:cs="宋体"/>
          <w:color w:val="auto"/>
          <w:highlight w:val="none"/>
        </w:rPr>
        <w:t>近一个月（20</w:t>
      </w:r>
      <w:r>
        <w:rPr>
          <w:rFonts w:hint="eastAsia" w:ascii="宋体" w:hAnsi="宋体" w:eastAsia="宋体" w:cs="宋体"/>
          <w:color w:val="auto"/>
          <w:highlight w:val="none"/>
          <w:lang w:val="en-US" w:eastAsia="zh-CN"/>
        </w:rPr>
        <w:t>24</w:t>
      </w:r>
      <w:r>
        <w:rPr>
          <w:rFonts w:hint="eastAsia" w:ascii="宋体" w:hAnsi="宋体" w:eastAsia="宋体" w:cs="宋体"/>
          <w:color w:val="auto"/>
          <w:highlight w:val="none"/>
        </w:rPr>
        <w:t>年</w:t>
      </w:r>
      <w:r>
        <w:rPr>
          <w:rFonts w:hint="eastAsia" w:ascii="宋体" w:hAnsi="宋体" w:cs="宋体"/>
          <w:color w:val="auto"/>
          <w:highlight w:val="none"/>
          <w:lang w:val="en-US" w:eastAsia="zh-CN"/>
        </w:rPr>
        <w:t>3</w:t>
      </w:r>
      <w:r>
        <w:rPr>
          <w:rFonts w:hint="eastAsia" w:ascii="宋体" w:hAnsi="宋体" w:eastAsia="宋体" w:cs="宋体"/>
          <w:color w:val="auto"/>
          <w:highlight w:val="none"/>
        </w:rPr>
        <w:t>月）在投标单位缴纳社保的证明材料扫描件</w:t>
      </w:r>
      <w:r>
        <w:rPr>
          <w:rFonts w:hint="eastAsia"/>
          <w:color w:val="auto"/>
          <w:highlight w:val="none"/>
        </w:rPr>
        <w:t>。上述人员岗位不能相互兼任。</w:t>
      </w:r>
    </w:p>
    <w:p>
      <w:pPr>
        <w:tabs>
          <w:tab w:val="left" w:pos="3570"/>
        </w:tabs>
        <w:rPr>
          <w:rFonts w:hint="eastAsia"/>
          <w:color w:val="auto"/>
          <w:szCs w:val="21"/>
          <w:highlight w:val="none"/>
        </w:rPr>
      </w:pPr>
      <w:r>
        <w:rPr>
          <w:rFonts w:hint="eastAsia"/>
          <w:color w:val="auto"/>
          <w:highlight w:val="none"/>
        </w:rPr>
        <w:t>2、按照《造价工程师职业资格制度规定》的规定，根据原人事部、原建设部发布的《造价工程师执业资格制度暂行规定》（人发〔1996〕77号）取得的造价工程师执业资格，并经注册且在有效期内的，等同于一级注册造价工程师</w:t>
      </w:r>
      <w:r>
        <w:rPr>
          <w:rFonts w:hint="eastAsia"/>
          <w:color w:val="auto"/>
          <w:highlight w:val="none"/>
          <w:lang w:eastAsia="zh-CN"/>
        </w:rPr>
        <w:t>，</w:t>
      </w:r>
      <w:r>
        <w:rPr>
          <w:rFonts w:hint="eastAsia" w:ascii="宋体" w:hAnsi="宋体" w:eastAsia="宋体" w:cs="Times New Roman"/>
          <w:color w:val="auto"/>
          <w:szCs w:val="21"/>
          <w:highlight w:val="none"/>
          <w:lang w:val="en-US" w:eastAsia="zh-CN"/>
        </w:rPr>
        <w:t>投标人</w:t>
      </w:r>
      <w:r>
        <w:rPr>
          <w:rFonts w:hint="eastAsia" w:ascii="宋体" w:hAnsi="宋体" w:cs="宋体"/>
          <w:color w:val="auto"/>
          <w:kern w:val="0"/>
          <w:szCs w:val="21"/>
          <w:highlight w:val="none"/>
        </w:rPr>
        <w:t>须</w:t>
      </w:r>
      <w:r>
        <w:rPr>
          <w:rFonts w:hint="eastAsia" w:ascii="宋体" w:hAnsi="宋体" w:eastAsia="宋体" w:cs="Times New Roman"/>
          <w:color w:val="auto"/>
          <w:szCs w:val="21"/>
          <w:highlight w:val="none"/>
          <w:lang w:val="en-US" w:eastAsia="zh-CN"/>
        </w:rPr>
        <w:t>提交注册造价工程师在全国建筑市场监管公共服务平台(</w:t>
      </w:r>
      <w:r>
        <w:rPr>
          <w:rFonts w:hint="eastAsia" w:ascii="宋体" w:hAnsi="宋体" w:cs="宋体"/>
          <w:color w:val="auto"/>
          <w:kern w:val="0"/>
          <w:szCs w:val="21"/>
          <w:highlight w:val="none"/>
          <w:lang w:val="en-US" w:eastAsia="zh-CN"/>
        </w:rPr>
        <w:t>http://jzsc.mohurd.gov.cn</w:t>
      </w:r>
      <w:r>
        <w:rPr>
          <w:rFonts w:hint="eastAsia" w:ascii="宋体" w:hAnsi="宋体" w:eastAsia="宋体" w:cs="Times New Roman"/>
          <w:color w:val="auto"/>
          <w:szCs w:val="21"/>
          <w:highlight w:val="none"/>
          <w:lang w:val="en-US" w:eastAsia="zh-CN"/>
        </w:rPr>
        <w:t>)的从业人员信息查询截图，以查询结果中显示的专业为准。</w:t>
      </w:r>
      <w:r>
        <w:rPr>
          <w:rFonts w:hint="eastAsia" w:ascii="宋体" w:hAnsi="宋体" w:cs="宋体"/>
          <w:color w:val="auto"/>
          <w:kern w:val="0"/>
          <w:szCs w:val="21"/>
          <w:highlight w:val="none"/>
        </w:rPr>
        <w:t>注册安全工程师</w:t>
      </w:r>
      <w:r>
        <w:rPr>
          <w:rFonts w:hint="eastAsia" w:ascii="宋体" w:hAnsi="宋体" w:eastAsia="宋体" w:cs="Times New Roman"/>
          <w:color w:val="auto"/>
          <w:szCs w:val="21"/>
          <w:highlight w:val="none"/>
          <w:lang w:val="en-US" w:eastAsia="zh-CN"/>
        </w:rPr>
        <w:t>投标人</w:t>
      </w:r>
      <w:r>
        <w:rPr>
          <w:rFonts w:hint="eastAsia" w:ascii="宋体" w:hAnsi="宋体" w:cs="宋体"/>
          <w:color w:val="auto"/>
          <w:kern w:val="0"/>
          <w:szCs w:val="21"/>
          <w:highlight w:val="none"/>
        </w:rPr>
        <w:t>须提供注册安全工程师</w:t>
      </w:r>
      <w:r>
        <w:rPr>
          <w:rFonts w:hint="eastAsia" w:ascii="宋体" w:hAnsi="宋体" w:eastAsia="宋体" w:cs="宋体"/>
          <w:color w:val="auto"/>
          <w:highlight w:val="none"/>
        </w:rPr>
        <w:t>注册证书</w:t>
      </w:r>
      <w:r>
        <w:rPr>
          <w:rFonts w:hint="eastAsia" w:ascii="宋体" w:hAnsi="宋体" w:cs="宋体"/>
          <w:color w:val="auto"/>
          <w:kern w:val="0"/>
          <w:szCs w:val="21"/>
          <w:highlight w:val="none"/>
        </w:rPr>
        <w:t>及网页信息</w:t>
      </w:r>
      <w:r>
        <w:rPr>
          <w:rFonts w:hint="eastAsia" w:ascii="宋体" w:hAnsi="宋体" w:cs="宋体"/>
          <w:color w:val="auto"/>
          <w:kern w:val="0"/>
          <w:szCs w:val="21"/>
          <w:highlight w:val="none"/>
          <w:lang w:val="en-US" w:eastAsia="zh-CN"/>
        </w:rPr>
        <w:t>查询</w:t>
      </w:r>
      <w:r>
        <w:rPr>
          <w:rFonts w:hint="eastAsia" w:ascii="宋体" w:hAnsi="宋体" w:cs="宋体"/>
          <w:color w:val="auto"/>
          <w:kern w:val="0"/>
          <w:szCs w:val="21"/>
          <w:highlight w:val="none"/>
        </w:rPr>
        <w:t>截图</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中华人民共和国应急管理部</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https://zwfw.mem.gov.cn/zwthlw/pages/hlwmh/yyfw/zcaqgcscx/index.html</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w:t>
      </w:r>
    </w:p>
    <w:p>
      <w:pPr>
        <w:tabs>
          <w:tab w:val="left" w:pos="3570"/>
        </w:tabs>
        <w:rPr>
          <w:rFonts w:hint="eastAsia"/>
          <w:b/>
          <w:color w:val="auto"/>
          <w:sz w:val="36"/>
          <w:szCs w:val="36"/>
          <w:highlight w:val="none"/>
        </w:rPr>
      </w:pPr>
      <w:r>
        <w:rPr>
          <w:rFonts w:hint="eastAsia"/>
          <w:b/>
          <w:color w:val="auto"/>
          <w:sz w:val="36"/>
          <w:szCs w:val="36"/>
          <w:highlight w:val="none"/>
        </w:rPr>
        <w:br w:type="page"/>
      </w:r>
    </w:p>
    <w:p>
      <w:pPr>
        <w:tabs>
          <w:tab w:val="left" w:pos="3570"/>
        </w:tabs>
        <w:rPr>
          <w:color w:val="auto"/>
          <w:szCs w:val="21"/>
          <w:highlight w:val="none"/>
        </w:rPr>
      </w:pPr>
      <w:r>
        <w:rPr>
          <w:rFonts w:hint="eastAsia"/>
          <w:color w:val="auto"/>
          <w:szCs w:val="21"/>
          <w:highlight w:val="none"/>
        </w:rPr>
        <w:t>附表五（适用于加权平均法）</w:t>
      </w:r>
    </w:p>
    <w:p>
      <w:pPr>
        <w:jc w:val="center"/>
        <w:rPr>
          <w:b/>
          <w:color w:val="auto"/>
          <w:sz w:val="36"/>
          <w:szCs w:val="36"/>
          <w:highlight w:val="none"/>
        </w:rPr>
      </w:pPr>
      <w:r>
        <w:rPr>
          <w:rFonts w:hint="eastAsia"/>
          <w:b/>
          <w:color w:val="auto"/>
          <w:sz w:val="36"/>
          <w:szCs w:val="36"/>
          <w:highlight w:val="none"/>
        </w:rPr>
        <w:t>经济标评分表</w:t>
      </w:r>
    </w:p>
    <w:p>
      <w:pPr>
        <w:rPr>
          <w:color w:val="auto"/>
          <w:szCs w:val="21"/>
          <w:highlight w:val="none"/>
        </w:rPr>
      </w:pPr>
      <w:r>
        <w:rPr>
          <w:rFonts w:hint="eastAsia"/>
          <w:color w:val="auto"/>
          <w:szCs w:val="21"/>
          <w:highlight w:val="none"/>
        </w:rPr>
        <w:t>工程名称：</w:t>
      </w:r>
    </w:p>
    <w:tbl>
      <w:tblPr>
        <w:tblStyle w:val="2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009"/>
        <w:gridCol w:w="12"/>
        <w:gridCol w:w="1034"/>
        <w:gridCol w:w="1033"/>
        <w:gridCol w:w="1033"/>
        <w:gridCol w:w="1033"/>
        <w:gridCol w:w="1033"/>
        <w:gridCol w:w="1033"/>
        <w:gridCol w:w="1033"/>
        <w:gridCol w:w="1033"/>
        <w:gridCol w:w="1033"/>
        <w:gridCol w:w="1033"/>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6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投标人名称</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投标报价</w:t>
            </w:r>
            <w:r>
              <w:rPr>
                <w:color w:val="auto"/>
                <w:szCs w:val="21"/>
                <w:highlight w:val="none"/>
              </w:rPr>
              <w:t>PT</w:t>
            </w:r>
            <w:r>
              <w:rPr>
                <w:rFonts w:hint="eastAsia"/>
                <w:color w:val="auto"/>
                <w:szCs w:val="21"/>
                <w:highlight w:val="none"/>
              </w:rPr>
              <w:t>（元）</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报价权</w:t>
            </w:r>
            <w:r>
              <w:rPr>
                <w:rFonts w:hint="eastAsia"/>
                <w:color w:val="auto"/>
                <w:sz w:val="18"/>
                <w:szCs w:val="18"/>
                <w:highlight w:val="none"/>
              </w:rPr>
              <w:t>重</w:t>
            </w:r>
          </w:p>
        </w:tc>
        <w:tc>
          <w:tcPr>
            <w:tcW w:w="1009"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46" w:type="dxa"/>
            <w:gridSpan w:val="2"/>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评标参考价PC（元）</w:t>
            </w:r>
          </w:p>
        </w:tc>
        <w:tc>
          <w:tcPr>
            <w:tcW w:w="12384" w:type="dxa"/>
            <w:gridSpan w:val="13"/>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偏差（（</w:t>
            </w:r>
            <w:r>
              <w:rPr>
                <w:color w:val="auto"/>
                <w:szCs w:val="21"/>
                <w:highlight w:val="none"/>
              </w:rPr>
              <w:t>PT-PC</w:t>
            </w:r>
            <w:r>
              <w:rPr>
                <w:rFonts w:hint="eastAsia"/>
                <w:color w:val="auto"/>
                <w:szCs w:val="21"/>
                <w:highlight w:val="none"/>
              </w:rPr>
              <w:t>）</w:t>
            </w:r>
            <w:r>
              <w:rPr>
                <w:color w:val="auto"/>
                <w:szCs w:val="21"/>
                <w:highlight w:val="none"/>
              </w:rPr>
              <w:t>/PC</w:t>
            </w:r>
            <w:r>
              <w:rPr>
                <w:rFonts w:hint="eastAsia"/>
                <w:color w:val="auto"/>
                <w:szCs w:val="21"/>
                <w:highlight w:val="none"/>
              </w:rPr>
              <w:t>）（</w:t>
            </w:r>
            <w:r>
              <w:rPr>
                <w:color w:val="auto"/>
                <w:szCs w:val="21"/>
                <w:highlight w:val="none"/>
              </w:rPr>
              <w:t>%</w:t>
            </w:r>
            <w:r>
              <w:rPr>
                <w:rFonts w:hint="eastAsia"/>
                <w:color w:val="auto"/>
                <w:szCs w:val="21"/>
                <w:highlight w:val="none"/>
              </w:rPr>
              <w:t>）</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减分（</w:t>
            </w:r>
            <w:r>
              <w:rPr>
                <w:color w:val="auto"/>
                <w:szCs w:val="21"/>
                <w:highlight w:val="none"/>
              </w:rPr>
              <w:t>A</w:t>
            </w:r>
            <w:r>
              <w:rPr>
                <w:rFonts w:hint="eastAsia"/>
                <w:color w:val="auto"/>
                <w:szCs w:val="21"/>
                <w:highlight w:val="none"/>
              </w:rPr>
              <w:t>）</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得分</w:t>
            </w:r>
            <w:r>
              <w:rPr>
                <w:color w:val="auto"/>
                <w:szCs w:val="21"/>
                <w:highlight w:val="none"/>
              </w:rPr>
              <w:t>(I=100-A)</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olor w:val="auto"/>
                <w:szCs w:val="21"/>
                <w:highlight w:val="none"/>
              </w:rPr>
              <w:t>得分排名次序</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r>
    </w:tbl>
    <w:p>
      <w:pPr>
        <w:rPr>
          <w:b/>
          <w:color w:val="auto"/>
          <w:szCs w:val="21"/>
          <w:highlight w:val="none"/>
        </w:rPr>
      </w:pPr>
      <w:r>
        <w:rPr>
          <w:rFonts w:hint="eastAsia"/>
          <w:color w:val="auto"/>
          <w:szCs w:val="21"/>
          <w:highlight w:val="none"/>
        </w:rPr>
        <w:t>评委签名：</w:t>
      </w:r>
      <w:r>
        <w:rPr>
          <w:b/>
          <w:color w:val="auto"/>
          <w:sz w:val="36"/>
          <w:szCs w:val="36"/>
          <w:highlight w:val="none"/>
        </w:rPr>
        <w:br w:type="page"/>
      </w:r>
      <w:r>
        <w:rPr>
          <w:rFonts w:hint="eastAsia"/>
          <w:color w:val="auto"/>
          <w:szCs w:val="21"/>
          <w:highlight w:val="none"/>
        </w:rPr>
        <w:t>附表六</w:t>
      </w:r>
    </w:p>
    <w:p>
      <w:pPr>
        <w:jc w:val="center"/>
        <w:rPr>
          <w:b/>
          <w:color w:val="auto"/>
          <w:sz w:val="36"/>
          <w:szCs w:val="36"/>
          <w:highlight w:val="none"/>
        </w:rPr>
      </w:pPr>
      <w:r>
        <w:rPr>
          <w:rFonts w:hint="eastAsia"/>
          <w:b/>
          <w:color w:val="auto"/>
          <w:sz w:val="36"/>
          <w:szCs w:val="36"/>
          <w:highlight w:val="none"/>
        </w:rPr>
        <w:t>算术复核表</w:t>
      </w:r>
    </w:p>
    <w:p>
      <w:pPr>
        <w:rPr>
          <w:color w:val="auto"/>
          <w:kern w:val="0"/>
          <w:szCs w:val="21"/>
          <w:highlight w:val="none"/>
        </w:rPr>
      </w:pPr>
      <w:r>
        <w:rPr>
          <w:rFonts w:hint="eastAsia"/>
          <w:color w:val="auto"/>
          <w:kern w:val="0"/>
          <w:szCs w:val="21"/>
          <w:highlight w:val="none"/>
        </w:rPr>
        <w:t>工程名称：</w:t>
      </w:r>
      <w:r>
        <w:rPr>
          <w:color w:val="auto"/>
          <w:kern w:val="0"/>
          <w:szCs w:val="21"/>
          <w:highlight w:val="none"/>
        </w:rPr>
        <w:t xml:space="preserve">                                           </w:t>
      </w:r>
      <w:r>
        <w:rPr>
          <w:rFonts w:hint="eastAsia"/>
          <w:color w:val="auto"/>
          <w:kern w:val="0"/>
          <w:szCs w:val="21"/>
          <w:highlight w:val="none"/>
        </w:rPr>
        <w:t>投标人</w:t>
      </w:r>
      <w:r>
        <w:rPr>
          <w:color w:val="auto"/>
          <w:kern w:val="0"/>
          <w:szCs w:val="21"/>
          <w:highlight w:val="none"/>
        </w:rPr>
        <w:t xml:space="preserve">:                                                  </w:t>
      </w:r>
      <w:r>
        <w:rPr>
          <w:rFonts w:hint="eastAsia"/>
          <w:color w:val="auto"/>
          <w:kern w:val="0"/>
          <w:szCs w:val="21"/>
          <w:highlight w:val="none"/>
        </w:rPr>
        <w:t>单位：元</w:t>
      </w:r>
    </w:p>
    <w:tbl>
      <w:tblPr>
        <w:tblStyle w:val="25"/>
        <w:tblW w:w="0" w:type="auto"/>
        <w:tblInd w:w="113" w:type="dxa"/>
        <w:tblLayout w:type="fixed"/>
        <w:tblCellMar>
          <w:top w:w="0" w:type="dxa"/>
          <w:left w:w="108" w:type="dxa"/>
          <w:bottom w:w="0" w:type="dxa"/>
          <w:right w:w="108" w:type="dxa"/>
        </w:tblCellMar>
      </w:tblPr>
      <w:tblGrid>
        <w:gridCol w:w="645"/>
        <w:gridCol w:w="4488"/>
        <w:gridCol w:w="1602"/>
        <w:gridCol w:w="1575"/>
        <w:gridCol w:w="1575"/>
        <w:gridCol w:w="1470"/>
        <w:gridCol w:w="3465"/>
      </w:tblGrid>
      <w:tr>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pPr>
              <w:rPr>
                <w:color w:val="auto"/>
                <w:kern w:val="0"/>
                <w:szCs w:val="21"/>
                <w:highlight w:val="none"/>
              </w:rPr>
            </w:pPr>
            <w:r>
              <w:rPr>
                <w:rFonts w:hint="eastAsia"/>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pPr>
              <w:rPr>
                <w:color w:val="auto"/>
                <w:kern w:val="0"/>
                <w:szCs w:val="21"/>
                <w:highlight w:val="none"/>
              </w:rPr>
            </w:pPr>
            <w:r>
              <w:rPr>
                <w:rFonts w:hint="eastAsia"/>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pPr>
              <w:rPr>
                <w:color w:val="auto"/>
                <w:kern w:val="0"/>
                <w:szCs w:val="21"/>
                <w:highlight w:val="none"/>
              </w:rPr>
            </w:pPr>
            <w:r>
              <w:rPr>
                <w:rFonts w:hint="eastAsia"/>
                <w:color w:val="auto"/>
                <w:kern w:val="0"/>
                <w:szCs w:val="21"/>
                <w:highlight w:val="none"/>
              </w:rPr>
              <w:t>修正前投标</w:t>
            </w:r>
          </w:p>
          <w:p>
            <w:pPr>
              <w:rPr>
                <w:color w:val="auto"/>
                <w:kern w:val="0"/>
                <w:szCs w:val="21"/>
                <w:highlight w:val="none"/>
              </w:rPr>
            </w:pPr>
            <w:r>
              <w:rPr>
                <w:rFonts w:hint="eastAsia"/>
                <w:color w:val="auto"/>
                <w:kern w:val="0"/>
                <w:szCs w:val="21"/>
                <w:highlight w:val="none"/>
              </w:rPr>
              <w:t>报价</w:t>
            </w:r>
            <w:r>
              <w:rPr>
                <w:color w:val="auto"/>
                <w:kern w:val="0"/>
                <w:szCs w:val="21"/>
                <w:highlight w:val="none"/>
              </w:rPr>
              <w:t>A</w:t>
            </w:r>
          </w:p>
        </w:tc>
        <w:tc>
          <w:tcPr>
            <w:tcW w:w="1575" w:type="dxa"/>
            <w:tcBorders>
              <w:top w:val="single" w:color="auto" w:sz="4" w:space="0"/>
              <w:left w:val="nil"/>
              <w:bottom w:val="single" w:color="auto" w:sz="4" w:space="0"/>
              <w:right w:val="single" w:color="auto" w:sz="4" w:space="0"/>
            </w:tcBorders>
            <w:vAlign w:val="center"/>
          </w:tcPr>
          <w:p>
            <w:pPr>
              <w:rPr>
                <w:color w:val="auto"/>
                <w:kern w:val="0"/>
                <w:szCs w:val="21"/>
                <w:highlight w:val="none"/>
              </w:rPr>
            </w:pPr>
            <w:r>
              <w:rPr>
                <w:rFonts w:hint="eastAsia"/>
                <w:color w:val="auto"/>
                <w:kern w:val="0"/>
                <w:szCs w:val="21"/>
                <w:highlight w:val="none"/>
              </w:rPr>
              <w:t>修正后投标</w:t>
            </w:r>
          </w:p>
          <w:p>
            <w:pPr>
              <w:rPr>
                <w:color w:val="auto"/>
                <w:kern w:val="0"/>
                <w:szCs w:val="21"/>
                <w:highlight w:val="none"/>
              </w:rPr>
            </w:pPr>
            <w:r>
              <w:rPr>
                <w:rFonts w:hint="eastAsia"/>
                <w:color w:val="auto"/>
                <w:kern w:val="0"/>
                <w:szCs w:val="21"/>
                <w:highlight w:val="none"/>
              </w:rPr>
              <w:t>报价</w:t>
            </w:r>
            <w:r>
              <w:rPr>
                <w:color w:val="auto"/>
                <w:kern w:val="0"/>
                <w:szCs w:val="21"/>
                <w:highlight w:val="none"/>
              </w:rPr>
              <w:t>B</w:t>
            </w:r>
          </w:p>
        </w:tc>
        <w:tc>
          <w:tcPr>
            <w:tcW w:w="1575" w:type="dxa"/>
            <w:tcBorders>
              <w:top w:val="single" w:color="auto" w:sz="4" w:space="0"/>
              <w:left w:val="nil"/>
              <w:bottom w:val="single" w:color="auto" w:sz="4" w:space="0"/>
              <w:right w:val="single" w:color="auto" w:sz="4" w:space="0"/>
            </w:tcBorders>
            <w:vAlign w:val="center"/>
          </w:tcPr>
          <w:p>
            <w:pPr>
              <w:rPr>
                <w:color w:val="auto"/>
                <w:kern w:val="0"/>
                <w:szCs w:val="21"/>
                <w:highlight w:val="none"/>
              </w:rPr>
            </w:pPr>
            <w:r>
              <w:rPr>
                <w:rFonts w:hint="eastAsia"/>
                <w:color w:val="auto"/>
                <w:kern w:val="0"/>
                <w:szCs w:val="21"/>
                <w:highlight w:val="none"/>
              </w:rPr>
              <w:t>修正率</w:t>
            </w:r>
          </w:p>
          <w:p>
            <w:pPr>
              <w:rPr>
                <w:color w:val="auto"/>
                <w:kern w:val="0"/>
                <w:szCs w:val="21"/>
                <w:highlight w:val="none"/>
              </w:rPr>
            </w:pPr>
            <w:r>
              <w:rPr>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pPr>
              <w:rPr>
                <w:color w:val="auto"/>
                <w:kern w:val="0"/>
                <w:szCs w:val="21"/>
                <w:highlight w:val="none"/>
              </w:rPr>
            </w:pPr>
            <w:r>
              <w:rPr>
                <w:rFonts w:hint="eastAsia"/>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pPr>
              <w:rPr>
                <w:color w:val="auto"/>
                <w:kern w:val="0"/>
                <w:szCs w:val="21"/>
                <w:highlight w:val="none"/>
              </w:rPr>
            </w:pPr>
            <w:r>
              <w:rPr>
                <w:rFonts w:hint="eastAsia"/>
                <w:color w:val="auto"/>
                <w:kern w:val="0"/>
                <w:szCs w:val="21"/>
                <w:highlight w:val="none"/>
              </w:rPr>
              <w:t>当</w:t>
            </w:r>
            <w:r>
              <w:rPr>
                <w:color w:val="auto"/>
                <w:kern w:val="0"/>
                <w:szCs w:val="21"/>
                <w:highlight w:val="none"/>
              </w:rPr>
              <w:t>B&gt;A</w:t>
            </w:r>
            <w:r>
              <w:rPr>
                <w:rFonts w:hint="eastAsia"/>
                <w:color w:val="auto"/>
                <w:kern w:val="0"/>
                <w:szCs w:val="21"/>
                <w:highlight w:val="none"/>
              </w:rPr>
              <w:t>时，修正后报价与原报价的差额；当</w:t>
            </w:r>
            <w:r>
              <w:rPr>
                <w:color w:val="auto"/>
                <w:kern w:val="0"/>
                <w:szCs w:val="21"/>
                <w:highlight w:val="none"/>
              </w:rPr>
              <w:t>B</w:t>
            </w:r>
            <w:r>
              <w:rPr>
                <w:rFonts w:hint="eastAsia"/>
                <w:color w:val="auto"/>
                <w:kern w:val="0"/>
                <w:szCs w:val="21"/>
                <w:highlight w:val="none"/>
              </w:rPr>
              <w:t>≤</w:t>
            </w:r>
            <w:r>
              <w:rPr>
                <w:color w:val="auto"/>
                <w:kern w:val="0"/>
                <w:szCs w:val="21"/>
                <w:highlight w:val="none"/>
              </w:rPr>
              <w:t>A</w:t>
            </w:r>
            <w:r>
              <w:rPr>
                <w:rFonts w:hint="eastAsia"/>
                <w:color w:val="auto"/>
                <w:kern w:val="0"/>
                <w:szCs w:val="21"/>
                <w:highlight w:val="none"/>
              </w:rPr>
              <w:t>时</w:t>
            </w:r>
            <w:r>
              <w:rPr>
                <w:color w:val="auto"/>
                <w:kern w:val="0"/>
                <w:szCs w:val="21"/>
                <w:highlight w:val="none"/>
              </w:rPr>
              <w:t>,R=0</w:t>
            </w: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color w:val="auto"/>
                <w:kern w:val="0"/>
                <w:szCs w:val="21"/>
                <w:highlight w:val="none"/>
              </w:rPr>
            </w:pPr>
            <w:r>
              <w:rPr>
                <w:color w:val="auto"/>
                <w:kern w:val="0"/>
                <w:szCs w:val="21"/>
                <w:highlight w:val="none"/>
              </w:rPr>
              <w:t>1</w:t>
            </w:r>
          </w:p>
        </w:tc>
        <w:tc>
          <w:tcPr>
            <w:tcW w:w="4488" w:type="dxa"/>
            <w:tcBorders>
              <w:top w:val="nil"/>
              <w:left w:val="nil"/>
              <w:bottom w:val="single" w:color="auto" w:sz="4" w:space="0"/>
              <w:right w:val="single" w:color="auto" w:sz="4" w:space="0"/>
            </w:tcBorders>
            <w:vAlign w:val="center"/>
          </w:tcPr>
          <w:p>
            <w:pPr>
              <w:rPr>
                <w:color w:val="auto"/>
                <w:kern w:val="0"/>
                <w:szCs w:val="21"/>
                <w:highlight w:val="none"/>
              </w:rPr>
            </w:pPr>
            <w:r>
              <w:rPr>
                <w:color w:val="auto"/>
                <w:kern w:val="0"/>
                <w:szCs w:val="21"/>
                <w:highlight w:val="none"/>
              </w:rPr>
              <w:t>[</w:t>
            </w:r>
            <w:r>
              <w:rPr>
                <w:rFonts w:hint="eastAsia"/>
                <w:color w:val="auto"/>
                <w:kern w:val="0"/>
                <w:szCs w:val="21"/>
                <w:highlight w:val="none"/>
              </w:rPr>
              <w:t>单位工程</w:t>
            </w:r>
            <w:r>
              <w:rPr>
                <w:color w:val="auto"/>
                <w:kern w:val="0"/>
                <w:szCs w:val="21"/>
                <w:highlight w:val="none"/>
              </w:rPr>
              <w:t>1]</w:t>
            </w:r>
          </w:p>
        </w:tc>
        <w:tc>
          <w:tcPr>
            <w:tcW w:w="1602" w:type="dxa"/>
            <w:tcBorders>
              <w:top w:val="nil"/>
              <w:left w:val="nil"/>
              <w:bottom w:val="single" w:color="auto" w:sz="4" w:space="0"/>
              <w:right w:val="single" w:color="auto" w:sz="4" w:space="0"/>
            </w:tcBorders>
            <w:vAlign w:val="center"/>
          </w:tcPr>
          <w:p>
            <w:pPr>
              <w:rPr>
                <w:color w:val="auto"/>
                <w:kern w:val="0"/>
                <w:szCs w:val="21"/>
                <w:highlight w:val="none"/>
              </w:rPr>
            </w:pPr>
            <w:r>
              <w:rPr>
                <w:rFonts w:hint="eastAsia"/>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color w:val="auto"/>
                <w:kern w:val="0"/>
                <w:szCs w:val="21"/>
                <w:highlight w:val="none"/>
              </w:rPr>
            </w:pPr>
            <w:r>
              <w:rPr>
                <w:rFonts w:hint="eastAsia"/>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color w:val="auto"/>
                <w:kern w:val="0"/>
                <w:szCs w:val="21"/>
                <w:highlight w:val="none"/>
              </w:rPr>
            </w:pPr>
            <w:r>
              <w:rPr>
                <w:rFonts w:hint="eastAsia"/>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color w:val="auto"/>
                <w:kern w:val="0"/>
                <w:szCs w:val="21"/>
                <w:highlight w:val="none"/>
              </w:rPr>
            </w:pPr>
            <w:r>
              <w:rPr>
                <w:rFonts w:hint="eastAsia"/>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color w:val="auto"/>
                <w:kern w:val="0"/>
                <w:szCs w:val="21"/>
                <w:highlight w:val="none"/>
              </w:rPr>
            </w:pPr>
            <w:r>
              <w:rPr>
                <w:color w:val="auto"/>
                <w:kern w:val="0"/>
                <w:szCs w:val="21"/>
                <w:highlight w:val="none"/>
              </w:rPr>
              <w:t>2</w:t>
            </w:r>
          </w:p>
        </w:tc>
        <w:tc>
          <w:tcPr>
            <w:tcW w:w="4488" w:type="dxa"/>
            <w:tcBorders>
              <w:top w:val="nil"/>
              <w:left w:val="nil"/>
              <w:bottom w:val="single" w:color="auto" w:sz="4" w:space="0"/>
              <w:right w:val="single" w:color="auto" w:sz="4" w:space="0"/>
            </w:tcBorders>
            <w:vAlign w:val="center"/>
          </w:tcPr>
          <w:p>
            <w:pPr>
              <w:rPr>
                <w:color w:val="auto"/>
                <w:kern w:val="0"/>
                <w:szCs w:val="21"/>
                <w:highlight w:val="none"/>
              </w:rPr>
            </w:pPr>
            <w:r>
              <w:rPr>
                <w:color w:val="auto"/>
                <w:kern w:val="0"/>
                <w:szCs w:val="21"/>
                <w:highlight w:val="none"/>
              </w:rPr>
              <w:t>[</w:t>
            </w:r>
            <w:r>
              <w:rPr>
                <w:rFonts w:hint="eastAsia"/>
                <w:color w:val="auto"/>
                <w:kern w:val="0"/>
                <w:szCs w:val="21"/>
                <w:highlight w:val="none"/>
              </w:rPr>
              <w:t>单位工程</w:t>
            </w:r>
            <w:r>
              <w:rPr>
                <w:color w:val="auto"/>
                <w:kern w:val="0"/>
                <w:szCs w:val="21"/>
                <w:highlight w:val="none"/>
              </w:rPr>
              <w:t>2]</w:t>
            </w:r>
          </w:p>
        </w:tc>
        <w:tc>
          <w:tcPr>
            <w:tcW w:w="1602" w:type="dxa"/>
            <w:tcBorders>
              <w:top w:val="nil"/>
              <w:left w:val="nil"/>
              <w:bottom w:val="single" w:color="auto" w:sz="4" w:space="0"/>
              <w:right w:val="single" w:color="auto" w:sz="4" w:space="0"/>
            </w:tcBorders>
            <w:vAlign w:val="center"/>
          </w:tcPr>
          <w:p>
            <w:pPr>
              <w:rPr>
                <w:color w:val="auto"/>
                <w:kern w:val="0"/>
                <w:szCs w:val="21"/>
                <w:highlight w:val="none"/>
              </w:rPr>
            </w:pPr>
            <w:r>
              <w:rPr>
                <w:rFonts w:hint="eastAsia"/>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color w:val="auto"/>
                <w:kern w:val="0"/>
                <w:szCs w:val="21"/>
                <w:highlight w:val="none"/>
              </w:rPr>
            </w:pPr>
            <w:r>
              <w:rPr>
                <w:rFonts w:hint="eastAsia"/>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color w:val="auto"/>
                <w:kern w:val="0"/>
                <w:szCs w:val="21"/>
                <w:highlight w:val="none"/>
              </w:rPr>
            </w:pPr>
            <w:r>
              <w:rPr>
                <w:rFonts w:hint="eastAsia"/>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color w:val="auto"/>
                <w:kern w:val="0"/>
                <w:szCs w:val="21"/>
                <w:highlight w:val="none"/>
              </w:rPr>
            </w:pPr>
            <w:r>
              <w:rPr>
                <w:rFonts w:hint="eastAsia"/>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color w:val="auto"/>
                <w:kern w:val="0"/>
                <w:szCs w:val="21"/>
                <w:highlight w:val="none"/>
              </w:rPr>
            </w:pPr>
            <w:r>
              <w:rPr>
                <w:rFonts w:hint="eastAsia"/>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color w:val="auto"/>
                <w:kern w:val="0"/>
                <w:szCs w:val="21"/>
                <w:highlight w:val="none"/>
              </w:rPr>
            </w:pPr>
            <w:r>
              <w:rPr>
                <w:rFonts w:hint="eastAsia"/>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color w:val="auto"/>
                <w:kern w:val="0"/>
                <w:szCs w:val="21"/>
                <w:highlight w:val="none"/>
              </w:rPr>
            </w:pPr>
            <w:r>
              <w:rPr>
                <w:rFonts w:hint="eastAsia"/>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color w:val="auto"/>
                <w:kern w:val="0"/>
                <w:szCs w:val="21"/>
                <w:highlight w:val="none"/>
              </w:rPr>
            </w:pPr>
            <w:r>
              <w:rPr>
                <w:rFonts w:hint="eastAsia"/>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color w:val="auto"/>
                <w:kern w:val="0"/>
                <w:szCs w:val="21"/>
                <w:highlight w:val="none"/>
              </w:rPr>
            </w:pPr>
            <w:r>
              <w:rPr>
                <w:rFonts w:hint="eastAsia"/>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color w:val="auto"/>
                <w:kern w:val="0"/>
                <w:szCs w:val="21"/>
                <w:highlight w:val="none"/>
              </w:rPr>
            </w:pPr>
            <w:r>
              <w:rPr>
                <w:rFonts w:hint="eastAsia"/>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color w:val="auto"/>
                <w:kern w:val="0"/>
                <w:szCs w:val="21"/>
                <w:highlight w:val="none"/>
              </w:rPr>
            </w:pPr>
            <w:r>
              <w:rPr>
                <w:rFonts w:hint="eastAsia"/>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color w:val="auto"/>
                <w:kern w:val="0"/>
                <w:szCs w:val="21"/>
                <w:highlight w:val="none"/>
              </w:rPr>
            </w:pPr>
            <w:r>
              <w:rPr>
                <w:rFonts w:hint="eastAsia"/>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color w:val="auto"/>
                <w:kern w:val="0"/>
                <w:szCs w:val="21"/>
                <w:highlight w:val="none"/>
              </w:rPr>
            </w:pPr>
            <w:r>
              <w:rPr>
                <w:rFonts w:hint="eastAsia"/>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color w:val="auto"/>
                <w:kern w:val="0"/>
                <w:szCs w:val="21"/>
                <w:highlight w:val="none"/>
              </w:rPr>
            </w:pPr>
            <w:r>
              <w:rPr>
                <w:rFonts w:hint="eastAsia"/>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color w:val="auto"/>
                <w:kern w:val="0"/>
                <w:szCs w:val="21"/>
                <w:highlight w:val="none"/>
              </w:rPr>
            </w:pPr>
            <w:r>
              <w:rPr>
                <w:rFonts w:hint="eastAsia"/>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color w:val="auto"/>
                <w:kern w:val="0"/>
                <w:szCs w:val="21"/>
                <w:highlight w:val="none"/>
              </w:rPr>
            </w:pPr>
            <w:r>
              <w:rPr>
                <w:rFonts w:hint="eastAsia"/>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color w:val="auto"/>
                <w:kern w:val="0"/>
                <w:szCs w:val="21"/>
                <w:highlight w:val="none"/>
              </w:rPr>
            </w:pPr>
            <w:r>
              <w:rPr>
                <w:rFonts w:hint="eastAsia"/>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color w:val="auto"/>
                <w:kern w:val="0"/>
                <w:szCs w:val="21"/>
                <w:highlight w:val="none"/>
              </w:rPr>
            </w:pPr>
            <w:r>
              <w:rPr>
                <w:rFonts w:hint="eastAsia"/>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color w:val="auto"/>
                <w:kern w:val="0"/>
                <w:szCs w:val="21"/>
                <w:highlight w:val="none"/>
              </w:rPr>
            </w:pPr>
            <w:r>
              <w:rPr>
                <w:rFonts w:hint="eastAsia"/>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color w:val="auto"/>
                <w:kern w:val="0"/>
                <w:szCs w:val="21"/>
                <w:highlight w:val="none"/>
              </w:rPr>
            </w:pPr>
            <w:r>
              <w:rPr>
                <w:rFonts w:hint="eastAsia"/>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color w:val="auto"/>
                <w:kern w:val="0"/>
                <w:szCs w:val="21"/>
                <w:highlight w:val="none"/>
              </w:rPr>
            </w:pPr>
            <w:r>
              <w:rPr>
                <w:rFonts w:hint="eastAsia"/>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color w:val="auto"/>
                <w:kern w:val="0"/>
                <w:szCs w:val="21"/>
                <w:highlight w:val="none"/>
              </w:rPr>
            </w:pPr>
            <w:r>
              <w:rPr>
                <w:rFonts w:hint="eastAsia"/>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color w:val="auto"/>
                <w:kern w:val="0"/>
                <w:szCs w:val="21"/>
                <w:highlight w:val="none"/>
              </w:rPr>
            </w:pPr>
            <w:r>
              <w:rPr>
                <w:color w:val="auto"/>
                <w:kern w:val="0"/>
                <w:szCs w:val="21"/>
                <w:highlight w:val="none"/>
              </w:rPr>
              <w:t>n</w:t>
            </w:r>
          </w:p>
        </w:tc>
        <w:tc>
          <w:tcPr>
            <w:tcW w:w="4488" w:type="dxa"/>
            <w:tcBorders>
              <w:top w:val="nil"/>
              <w:left w:val="nil"/>
              <w:bottom w:val="single" w:color="auto" w:sz="4" w:space="0"/>
              <w:right w:val="single" w:color="auto" w:sz="4" w:space="0"/>
            </w:tcBorders>
            <w:vAlign w:val="center"/>
          </w:tcPr>
          <w:p>
            <w:pPr>
              <w:rPr>
                <w:color w:val="auto"/>
                <w:kern w:val="0"/>
                <w:szCs w:val="21"/>
                <w:highlight w:val="none"/>
              </w:rPr>
            </w:pPr>
            <w:r>
              <w:rPr>
                <w:color w:val="auto"/>
                <w:kern w:val="0"/>
                <w:szCs w:val="21"/>
                <w:highlight w:val="none"/>
              </w:rPr>
              <w:t>[</w:t>
            </w:r>
            <w:r>
              <w:rPr>
                <w:rFonts w:hint="eastAsia"/>
                <w:color w:val="auto"/>
                <w:kern w:val="0"/>
                <w:szCs w:val="21"/>
                <w:highlight w:val="none"/>
              </w:rPr>
              <w:t>单位工程</w:t>
            </w:r>
            <w:r>
              <w:rPr>
                <w:color w:val="auto"/>
                <w:kern w:val="0"/>
                <w:szCs w:val="21"/>
                <w:highlight w:val="none"/>
              </w:rPr>
              <w:t>n]</w:t>
            </w:r>
          </w:p>
        </w:tc>
        <w:tc>
          <w:tcPr>
            <w:tcW w:w="1602" w:type="dxa"/>
            <w:tcBorders>
              <w:top w:val="nil"/>
              <w:left w:val="nil"/>
              <w:bottom w:val="single" w:color="auto" w:sz="4" w:space="0"/>
              <w:right w:val="single" w:color="auto" w:sz="4" w:space="0"/>
            </w:tcBorders>
            <w:vAlign w:val="center"/>
          </w:tcPr>
          <w:p>
            <w:pPr>
              <w:rPr>
                <w:color w:val="auto"/>
                <w:kern w:val="0"/>
                <w:szCs w:val="21"/>
                <w:highlight w:val="none"/>
              </w:rPr>
            </w:pPr>
            <w:r>
              <w:rPr>
                <w:rFonts w:hint="eastAsia"/>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color w:val="auto"/>
                <w:kern w:val="0"/>
                <w:szCs w:val="21"/>
                <w:highlight w:val="none"/>
              </w:rPr>
            </w:pPr>
            <w:r>
              <w:rPr>
                <w:rFonts w:hint="eastAsia"/>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color w:val="auto"/>
                <w:kern w:val="0"/>
                <w:szCs w:val="21"/>
                <w:highlight w:val="none"/>
              </w:rPr>
            </w:pPr>
            <w:r>
              <w:rPr>
                <w:rFonts w:hint="eastAsia"/>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color w:val="auto"/>
                <w:kern w:val="0"/>
                <w:szCs w:val="21"/>
                <w:highlight w:val="none"/>
              </w:rPr>
            </w:pPr>
            <w:r>
              <w:rPr>
                <w:rFonts w:hint="eastAsia"/>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color w:val="auto"/>
                <w:kern w:val="0"/>
                <w:szCs w:val="21"/>
                <w:highlight w:val="none"/>
              </w:rPr>
            </w:pPr>
            <w:r>
              <w:rPr>
                <w:rFonts w:hint="eastAsia"/>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color w:val="auto"/>
                <w:kern w:val="0"/>
                <w:szCs w:val="21"/>
                <w:highlight w:val="none"/>
              </w:rPr>
            </w:pPr>
            <w:r>
              <w:rPr>
                <w:rFonts w:hint="eastAsia"/>
                <w:color w:val="auto"/>
                <w:kern w:val="0"/>
                <w:szCs w:val="21"/>
                <w:highlight w:val="none"/>
              </w:rPr>
              <w:t>投标总报价</w:t>
            </w:r>
          </w:p>
        </w:tc>
        <w:tc>
          <w:tcPr>
            <w:tcW w:w="1602" w:type="dxa"/>
            <w:tcBorders>
              <w:top w:val="nil"/>
              <w:left w:val="nil"/>
              <w:bottom w:val="single" w:color="auto" w:sz="4" w:space="0"/>
              <w:right w:val="single" w:color="auto" w:sz="4" w:space="0"/>
            </w:tcBorders>
            <w:vAlign w:val="center"/>
          </w:tcPr>
          <w:p>
            <w:pPr>
              <w:rPr>
                <w:color w:val="auto"/>
                <w:kern w:val="0"/>
                <w:szCs w:val="21"/>
                <w:highlight w:val="none"/>
              </w:rPr>
            </w:pPr>
            <w:r>
              <w:rPr>
                <w:rFonts w:hint="eastAsia"/>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color w:val="auto"/>
                <w:kern w:val="0"/>
                <w:szCs w:val="21"/>
                <w:highlight w:val="none"/>
              </w:rPr>
            </w:pPr>
            <w:r>
              <w:rPr>
                <w:rFonts w:hint="eastAsia"/>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pPr>
              <w:rPr>
                <w:color w:val="auto"/>
                <w:kern w:val="0"/>
                <w:szCs w:val="21"/>
                <w:highlight w:val="none"/>
              </w:rPr>
            </w:pPr>
            <w:r>
              <w:rPr>
                <w:rFonts w:hint="eastAsia"/>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color w:val="auto"/>
                <w:kern w:val="0"/>
                <w:szCs w:val="21"/>
                <w:highlight w:val="none"/>
              </w:rPr>
            </w:pPr>
            <w:r>
              <w:rPr>
                <w:rFonts w:hint="eastAsia"/>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color w:val="auto"/>
                <w:kern w:val="0"/>
                <w:szCs w:val="21"/>
                <w:highlight w:val="none"/>
              </w:rPr>
            </w:pPr>
            <w:r>
              <w:rPr>
                <w:rFonts w:hint="eastAsia"/>
                <w:color w:val="auto"/>
                <w:kern w:val="0"/>
                <w:szCs w:val="21"/>
                <w:highlight w:val="none"/>
              </w:rPr>
              <w:t>∑</w:t>
            </w:r>
            <w:r>
              <w:rPr>
                <w:color w:val="auto"/>
                <w:kern w:val="0"/>
                <w:szCs w:val="21"/>
                <w:highlight w:val="none"/>
              </w:rPr>
              <w:t>A=A</w:t>
            </w:r>
            <w:r>
              <w:rPr>
                <w:color w:val="auto"/>
                <w:kern w:val="0"/>
                <w:szCs w:val="21"/>
                <w:highlight w:val="none"/>
                <w:vertAlign w:val="subscript"/>
              </w:rPr>
              <w:t>1</w:t>
            </w:r>
            <w:r>
              <w:rPr>
                <w:color w:val="auto"/>
                <w:kern w:val="0"/>
                <w:szCs w:val="21"/>
                <w:highlight w:val="none"/>
              </w:rPr>
              <w:t>+A</w:t>
            </w:r>
            <w:r>
              <w:rPr>
                <w:color w:val="auto"/>
                <w:kern w:val="0"/>
                <w:szCs w:val="21"/>
                <w:highlight w:val="none"/>
                <w:vertAlign w:val="subscript"/>
              </w:rPr>
              <w:t>2</w:t>
            </w:r>
            <w:r>
              <w:rPr>
                <w:color w:val="auto"/>
                <w:kern w:val="0"/>
                <w:szCs w:val="21"/>
                <w:highlight w:val="none"/>
              </w:rPr>
              <w:t>+</w:t>
            </w:r>
            <w:r>
              <w:rPr>
                <w:rFonts w:hint="eastAsia"/>
                <w:color w:val="auto"/>
                <w:kern w:val="0"/>
                <w:szCs w:val="21"/>
                <w:highlight w:val="none"/>
              </w:rPr>
              <w:t>…</w:t>
            </w:r>
            <w:r>
              <w:rPr>
                <w:color w:val="auto"/>
                <w:kern w:val="0"/>
                <w:szCs w:val="21"/>
                <w:highlight w:val="none"/>
              </w:rPr>
              <w:t>An</w:t>
            </w:r>
            <w:r>
              <w:rPr>
                <w:rFonts w:hint="eastAsia"/>
                <w:color w:val="auto"/>
                <w:kern w:val="0"/>
                <w:szCs w:val="21"/>
                <w:highlight w:val="none"/>
              </w:rPr>
              <w:t>；∑</w:t>
            </w:r>
            <w:r>
              <w:rPr>
                <w:color w:val="auto"/>
                <w:kern w:val="0"/>
                <w:szCs w:val="21"/>
                <w:highlight w:val="none"/>
              </w:rPr>
              <w:t>B=B</w:t>
            </w:r>
            <w:r>
              <w:rPr>
                <w:color w:val="auto"/>
                <w:kern w:val="0"/>
                <w:szCs w:val="21"/>
                <w:highlight w:val="none"/>
                <w:vertAlign w:val="subscript"/>
              </w:rPr>
              <w:t>1</w:t>
            </w:r>
            <w:r>
              <w:rPr>
                <w:color w:val="auto"/>
                <w:kern w:val="0"/>
                <w:szCs w:val="21"/>
                <w:highlight w:val="none"/>
              </w:rPr>
              <w:t>+B</w:t>
            </w:r>
            <w:r>
              <w:rPr>
                <w:color w:val="auto"/>
                <w:kern w:val="0"/>
                <w:szCs w:val="21"/>
                <w:highlight w:val="none"/>
                <w:vertAlign w:val="subscript"/>
              </w:rPr>
              <w:t>2</w:t>
            </w:r>
            <w:r>
              <w:rPr>
                <w:color w:val="auto"/>
                <w:kern w:val="0"/>
                <w:szCs w:val="21"/>
                <w:highlight w:val="none"/>
              </w:rPr>
              <w:t>+</w:t>
            </w:r>
            <w:r>
              <w:rPr>
                <w:rFonts w:hint="eastAsia"/>
                <w:color w:val="auto"/>
                <w:kern w:val="0"/>
                <w:szCs w:val="21"/>
                <w:highlight w:val="none"/>
              </w:rPr>
              <w:t>…</w:t>
            </w:r>
            <w:r>
              <w:rPr>
                <w:color w:val="auto"/>
                <w:kern w:val="0"/>
                <w:szCs w:val="21"/>
                <w:highlight w:val="none"/>
              </w:rPr>
              <w:t>Bn</w:t>
            </w:r>
          </w:p>
        </w:tc>
      </w:tr>
    </w:tbl>
    <w:p>
      <w:pPr>
        <w:rPr>
          <w:rFonts w:cs="宋体"/>
          <w:color w:val="auto"/>
          <w:kern w:val="0"/>
          <w:szCs w:val="21"/>
          <w:highlight w:val="none"/>
        </w:rPr>
      </w:pPr>
      <w:r>
        <w:rPr>
          <w:rFonts w:hint="eastAsia" w:cs="宋体"/>
          <w:color w:val="auto"/>
          <w:kern w:val="0"/>
          <w:szCs w:val="21"/>
          <w:highlight w:val="none"/>
        </w:rPr>
        <w:t>修正原则：</w:t>
      </w:r>
      <w:r>
        <w:rPr>
          <w:rFonts w:hint="eastAsia"/>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cs="宋体"/>
          <w:color w:val="auto"/>
          <w:kern w:val="0"/>
          <w:szCs w:val="21"/>
          <w:highlight w:val="none"/>
        </w:rPr>
        <w:tab/>
      </w:r>
    </w:p>
    <w:p>
      <w:pPr>
        <w:rPr>
          <w:color w:val="auto"/>
          <w:kern w:val="0"/>
          <w:szCs w:val="21"/>
          <w:highlight w:val="none"/>
        </w:rPr>
      </w:pPr>
      <w:r>
        <w:rPr>
          <w:rFonts w:hint="eastAsia"/>
          <w:color w:val="auto"/>
          <w:kern w:val="0"/>
          <w:szCs w:val="21"/>
          <w:highlight w:val="none"/>
        </w:rPr>
        <w:t>评委签名：</w:t>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rFonts w:hint="eastAsia"/>
          <w:color w:val="auto"/>
          <w:kern w:val="0"/>
          <w:szCs w:val="21"/>
          <w:highlight w:val="none"/>
        </w:rPr>
        <w:t>日期：</w:t>
      </w:r>
    </w:p>
    <w:p>
      <w:pPr>
        <w:rPr>
          <w:color w:val="auto"/>
          <w:highlight w:val="none"/>
        </w:rPr>
      </w:pPr>
    </w:p>
    <w:p>
      <w:pPr>
        <w:rPr>
          <w:color w:val="auto"/>
          <w:highlight w:val="none"/>
        </w:rPr>
      </w:pPr>
      <w:r>
        <w:rPr>
          <w:color w:val="auto"/>
          <w:highlight w:val="none"/>
        </w:rPr>
        <w:br w:type="page"/>
      </w:r>
    </w:p>
    <w:p>
      <w:pPr>
        <w:jc w:val="center"/>
        <w:rPr>
          <w:b/>
          <w:color w:val="auto"/>
          <w:sz w:val="36"/>
          <w:szCs w:val="36"/>
          <w:highlight w:val="none"/>
        </w:rPr>
      </w:pPr>
      <w:r>
        <w:rPr>
          <w:rFonts w:hint="eastAsia"/>
          <w:b/>
          <w:color w:val="auto"/>
          <w:sz w:val="36"/>
          <w:szCs w:val="36"/>
          <w:highlight w:val="none"/>
        </w:rPr>
        <w:t>算术复核表</w:t>
      </w:r>
    </w:p>
    <w:p>
      <w:pPr>
        <w:rPr>
          <w:color w:val="auto"/>
          <w:szCs w:val="21"/>
          <w:highlight w:val="none"/>
        </w:rPr>
      </w:pPr>
      <w:r>
        <w:rPr>
          <w:rFonts w:hint="eastAsia"/>
          <w:color w:val="auto"/>
          <w:szCs w:val="21"/>
          <w:highlight w:val="none"/>
        </w:rPr>
        <w:t>工程名称：</w:t>
      </w:r>
    </w:p>
    <w:tbl>
      <w:tblPr>
        <w:tblStyle w:val="2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b/>
                <w:color w:val="auto"/>
                <w:sz w:val="28"/>
                <w:szCs w:val="28"/>
                <w:highlight w:val="none"/>
              </w:rPr>
            </w:pPr>
            <w:r>
              <w:rPr>
                <w:rFonts w:hint="eastAsia"/>
                <w:b/>
                <w:color w:val="auto"/>
                <w:sz w:val="28"/>
                <w:szCs w:val="28"/>
                <w:highlight w:val="none"/>
              </w:rPr>
              <w:t>编号</w:t>
            </w:r>
          </w:p>
        </w:tc>
        <w:tc>
          <w:tcPr>
            <w:tcW w:w="4297" w:type="dxa"/>
            <w:tcBorders>
              <w:top w:val="single" w:color="auto" w:sz="4" w:space="0"/>
              <w:left w:val="single" w:color="auto" w:sz="4" w:space="0"/>
              <w:bottom w:val="single" w:color="auto" w:sz="4" w:space="0"/>
              <w:right w:val="single" w:color="auto" w:sz="4" w:space="0"/>
            </w:tcBorders>
          </w:tcPr>
          <w:p>
            <w:pPr>
              <w:rPr>
                <w:b/>
                <w:color w:val="auto"/>
                <w:sz w:val="28"/>
                <w:szCs w:val="28"/>
                <w:highlight w:val="none"/>
              </w:rPr>
            </w:pPr>
            <w:r>
              <w:rPr>
                <w:rFonts w:hint="eastAsia"/>
                <w:b/>
                <w:color w:val="auto"/>
                <w:sz w:val="28"/>
                <w:szCs w:val="28"/>
                <w:highlight w:val="none"/>
              </w:rPr>
              <w:t>投标人名称</w:t>
            </w:r>
          </w:p>
        </w:tc>
        <w:tc>
          <w:tcPr>
            <w:tcW w:w="2330" w:type="dxa"/>
            <w:tcBorders>
              <w:top w:val="single" w:color="auto" w:sz="4" w:space="0"/>
              <w:left w:val="single" w:color="auto" w:sz="4" w:space="0"/>
              <w:bottom w:val="single" w:color="auto" w:sz="4" w:space="0"/>
              <w:right w:val="single" w:color="auto" w:sz="4" w:space="0"/>
            </w:tcBorders>
          </w:tcPr>
          <w:p>
            <w:pPr>
              <w:rPr>
                <w:b/>
                <w:color w:val="auto"/>
                <w:sz w:val="28"/>
                <w:szCs w:val="28"/>
                <w:highlight w:val="none"/>
              </w:rPr>
            </w:pPr>
            <w:r>
              <w:rPr>
                <w:rFonts w:hint="eastAsia"/>
                <w:b/>
                <w:color w:val="auto"/>
                <w:sz w:val="28"/>
                <w:szCs w:val="28"/>
                <w:highlight w:val="none"/>
              </w:rPr>
              <w:t>原投标报价（</w:t>
            </w:r>
            <w:r>
              <w:rPr>
                <w:b/>
                <w:color w:val="auto"/>
                <w:sz w:val="28"/>
                <w:szCs w:val="28"/>
                <w:highlight w:val="none"/>
              </w:rPr>
              <w:t>A</w:t>
            </w:r>
            <w:r>
              <w:rPr>
                <w:rFonts w:hint="eastAsia"/>
                <w:b/>
                <w:color w:val="auto"/>
                <w:sz w:val="28"/>
                <w:szCs w:val="28"/>
                <w:highlight w:val="none"/>
              </w:rPr>
              <w:t>）</w:t>
            </w:r>
          </w:p>
        </w:tc>
        <w:tc>
          <w:tcPr>
            <w:tcW w:w="3101" w:type="dxa"/>
            <w:tcBorders>
              <w:top w:val="single" w:color="auto" w:sz="4" w:space="0"/>
              <w:left w:val="single" w:color="auto" w:sz="4" w:space="0"/>
              <w:bottom w:val="single" w:color="auto" w:sz="4" w:space="0"/>
              <w:right w:val="single" w:color="auto" w:sz="4" w:space="0"/>
            </w:tcBorders>
          </w:tcPr>
          <w:p>
            <w:pPr>
              <w:rPr>
                <w:b/>
                <w:color w:val="auto"/>
                <w:sz w:val="28"/>
                <w:szCs w:val="28"/>
                <w:highlight w:val="none"/>
              </w:rPr>
            </w:pPr>
            <w:r>
              <w:rPr>
                <w:rFonts w:hint="eastAsia"/>
                <w:b/>
                <w:color w:val="auto"/>
                <w:sz w:val="28"/>
                <w:szCs w:val="28"/>
                <w:highlight w:val="none"/>
              </w:rPr>
              <w:t>算数复核后投标报价（</w:t>
            </w:r>
            <w:r>
              <w:rPr>
                <w:b/>
                <w:color w:val="auto"/>
                <w:sz w:val="28"/>
                <w:szCs w:val="28"/>
                <w:highlight w:val="none"/>
              </w:rPr>
              <w:t>B</w:t>
            </w:r>
            <w:r>
              <w:rPr>
                <w:rFonts w:hint="eastAsia"/>
                <w:b/>
                <w:color w:val="auto"/>
                <w:sz w:val="28"/>
                <w:szCs w:val="28"/>
                <w:highlight w:val="none"/>
              </w:rPr>
              <w:t>）</w:t>
            </w:r>
          </w:p>
        </w:tc>
        <w:tc>
          <w:tcPr>
            <w:tcW w:w="3423" w:type="dxa"/>
            <w:tcBorders>
              <w:top w:val="single" w:color="auto" w:sz="4" w:space="0"/>
              <w:left w:val="single" w:color="auto" w:sz="4" w:space="0"/>
              <w:bottom w:val="single" w:color="auto" w:sz="4" w:space="0"/>
              <w:right w:val="single" w:color="auto" w:sz="4" w:space="0"/>
            </w:tcBorders>
          </w:tcPr>
          <w:p>
            <w:pPr>
              <w:rPr>
                <w:b/>
                <w:color w:val="auto"/>
                <w:sz w:val="28"/>
                <w:szCs w:val="28"/>
                <w:highlight w:val="none"/>
              </w:rPr>
            </w:pPr>
            <w:r>
              <w:rPr>
                <w:rFonts w:hint="eastAsia"/>
                <w:b/>
                <w:color w:val="auto"/>
                <w:sz w:val="28"/>
                <w:szCs w:val="28"/>
                <w:highlight w:val="none"/>
              </w:rPr>
              <w:t>误差率（</w:t>
            </w:r>
            <w:r>
              <w:rPr>
                <w:b/>
                <w:color w:val="auto"/>
                <w:sz w:val="28"/>
                <w:szCs w:val="28"/>
                <w:highlight w:val="none"/>
              </w:rPr>
              <w:t>r=|A-B|/A*100%</w:t>
            </w:r>
            <w:r>
              <w:rPr>
                <w:rFonts w:hint="eastAsia"/>
                <w:b/>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bl>
    <w:p>
      <w:pPr>
        <w:rPr>
          <w:color w:val="auto"/>
          <w:szCs w:val="21"/>
          <w:highlight w:val="none"/>
        </w:rPr>
      </w:pPr>
      <w:r>
        <w:rPr>
          <w:rFonts w:hint="eastAsia"/>
          <w:color w:val="auto"/>
          <w:szCs w:val="21"/>
          <w:highlight w:val="none"/>
        </w:rPr>
        <w:t>评委签名：</w:t>
      </w:r>
    </w:p>
    <w:p>
      <w:pPr>
        <w:spacing w:line="360" w:lineRule="auto"/>
        <w:jc w:val="center"/>
        <w:rPr>
          <w:rFonts w:ascii="仿宋_GB2312" w:eastAsia="仿宋_GB2312"/>
          <w:color w:val="auto"/>
          <w:szCs w:val="21"/>
          <w:highlight w:val="none"/>
        </w:rPr>
        <w:sectPr>
          <w:headerReference r:id="rId11" w:type="first"/>
          <w:footerReference r:id="rId14" w:type="first"/>
          <w:headerReference r:id="rId9" w:type="default"/>
          <w:footerReference r:id="rId12" w:type="default"/>
          <w:headerReference r:id="rId10" w:type="even"/>
          <w:footerReference r:id="rId13" w:type="even"/>
          <w:endnotePr>
            <w:numFmt w:val="decimal"/>
          </w:endnotePr>
          <w:pgSz w:w="16838" w:h="11905" w:orient="landscape"/>
          <w:pgMar w:top="1803" w:right="1440" w:bottom="1803" w:left="1440" w:header="850" w:footer="907" w:gutter="0"/>
          <w:cols w:space="0" w:num="1"/>
          <w:titlePg/>
          <w:docGrid w:type="lines" w:linePitch="331" w:charSpace="0"/>
        </w:sectPr>
      </w:pPr>
    </w:p>
    <w:p>
      <w:pPr>
        <w:pStyle w:val="2"/>
        <w:jc w:val="center"/>
        <w:rPr>
          <w:rFonts w:hint="default"/>
          <w:color w:val="auto"/>
          <w:highlight w:val="none"/>
        </w:rPr>
      </w:pPr>
      <w:bookmarkStart w:id="17" w:name="_Toc18664072"/>
      <w:r>
        <w:rPr>
          <w:color w:val="auto"/>
          <w:highlight w:val="none"/>
        </w:rPr>
        <w:t>第三章  合同条款</w:t>
      </w:r>
      <w:bookmarkEnd w:id="17"/>
    </w:p>
    <w:p>
      <w:pPr>
        <w:jc w:val="center"/>
        <w:rPr>
          <w:rFonts w:ascii="宋体" w:hAnsi="宋体"/>
          <w:color w:val="auto"/>
          <w:sz w:val="24"/>
          <w:szCs w:val="24"/>
          <w:highlight w:val="none"/>
        </w:rPr>
      </w:pPr>
      <w:r>
        <w:rPr>
          <w:rFonts w:hint="eastAsia" w:ascii="宋体" w:hAnsi="宋体" w:cs="宋体"/>
          <w:color w:val="auto"/>
          <w:sz w:val="28"/>
          <w:szCs w:val="28"/>
          <w:highlight w:val="none"/>
        </w:rPr>
        <w:t>另册。</w:t>
      </w:r>
    </w:p>
    <w:p>
      <w:pPr>
        <w:rPr>
          <w:color w:val="auto"/>
          <w:sz w:val="24"/>
          <w:szCs w:val="24"/>
          <w:highlight w:val="none"/>
        </w:rPr>
      </w:pPr>
    </w:p>
    <w:p>
      <w:pPr>
        <w:pStyle w:val="23"/>
        <w:spacing w:line="360" w:lineRule="auto"/>
        <w:rPr>
          <w:color w:val="auto"/>
          <w:sz w:val="24"/>
          <w:szCs w:val="24"/>
          <w:highlight w:val="none"/>
        </w:rPr>
      </w:pPr>
    </w:p>
    <w:p>
      <w:pPr>
        <w:pStyle w:val="23"/>
        <w:spacing w:line="360" w:lineRule="auto"/>
        <w:rPr>
          <w:color w:val="auto"/>
          <w:sz w:val="24"/>
          <w:szCs w:val="24"/>
          <w:highlight w:val="none"/>
        </w:rPr>
      </w:pPr>
    </w:p>
    <w:p>
      <w:pPr>
        <w:pStyle w:val="23"/>
        <w:spacing w:line="360" w:lineRule="auto"/>
        <w:rPr>
          <w:color w:val="auto"/>
          <w:sz w:val="24"/>
          <w:szCs w:val="24"/>
          <w:highlight w:val="none"/>
        </w:rPr>
      </w:pPr>
    </w:p>
    <w:p>
      <w:pPr>
        <w:pStyle w:val="23"/>
        <w:spacing w:line="360" w:lineRule="auto"/>
        <w:rPr>
          <w:color w:val="auto"/>
          <w:sz w:val="24"/>
          <w:szCs w:val="24"/>
          <w:highlight w:val="none"/>
        </w:rPr>
      </w:pPr>
    </w:p>
    <w:p>
      <w:pPr>
        <w:pStyle w:val="23"/>
        <w:spacing w:line="360" w:lineRule="auto"/>
        <w:rPr>
          <w:color w:val="auto"/>
          <w:sz w:val="24"/>
          <w:szCs w:val="24"/>
          <w:highlight w:val="none"/>
        </w:rPr>
      </w:pPr>
    </w:p>
    <w:p>
      <w:pPr>
        <w:pStyle w:val="23"/>
        <w:spacing w:line="360" w:lineRule="auto"/>
        <w:rPr>
          <w:color w:val="auto"/>
          <w:sz w:val="24"/>
          <w:szCs w:val="24"/>
          <w:highlight w:val="none"/>
        </w:rPr>
      </w:pPr>
    </w:p>
    <w:p>
      <w:pPr>
        <w:pStyle w:val="11"/>
        <w:spacing w:line="360" w:lineRule="auto"/>
        <w:rPr>
          <w:color w:val="auto"/>
          <w:sz w:val="24"/>
          <w:szCs w:val="24"/>
          <w:highlight w:val="none"/>
        </w:rPr>
      </w:pPr>
    </w:p>
    <w:p>
      <w:pPr>
        <w:pStyle w:val="11"/>
        <w:spacing w:line="360" w:lineRule="auto"/>
        <w:rPr>
          <w:color w:val="auto"/>
          <w:sz w:val="24"/>
          <w:szCs w:val="24"/>
          <w:highlight w:val="none"/>
        </w:rPr>
      </w:pPr>
      <w:r>
        <w:rPr>
          <w:color w:val="auto"/>
          <w:sz w:val="24"/>
          <w:szCs w:val="24"/>
          <w:highlight w:val="none"/>
        </w:rPr>
        <w:br w:type="page"/>
      </w:r>
    </w:p>
    <w:p>
      <w:pPr>
        <w:pStyle w:val="2"/>
        <w:jc w:val="center"/>
        <w:rPr>
          <w:rFonts w:hint="default"/>
          <w:color w:val="auto"/>
          <w:highlight w:val="none"/>
        </w:rPr>
      </w:pPr>
      <w:bookmarkStart w:id="18" w:name="_Toc18664073"/>
      <w:r>
        <w:rPr>
          <w:color w:val="auto"/>
          <w:highlight w:val="none"/>
        </w:rPr>
        <w:t>第四章  投标文件格式</w:t>
      </w:r>
      <w:bookmarkEnd w:id="18"/>
    </w:p>
    <w:p>
      <w:pPr>
        <w:pStyle w:val="33"/>
        <w:spacing w:before="162" w:line="360" w:lineRule="auto"/>
        <w:outlineLvl w:val="0"/>
        <w:rPr>
          <w:rFonts w:eastAsia="宋体"/>
          <w:color w:val="auto"/>
          <w:highlight w:val="none"/>
        </w:rPr>
      </w:pPr>
      <w:bookmarkStart w:id="19" w:name="_Toc7019446"/>
      <w:bookmarkStart w:id="20" w:name="_Toc8084"/>
      <w:r>
        <w:rPr>
          <w:rFonts w:hint="eastAsia" w:eastAsia="宋体"/>
          <w:color w:val="auto"/>
          <w:highlight w:val="none"/>
        </w:rPr>
        <w:t>一、技术标投标文件格式</w:t>
      </w:r>
      <w:bookmarkEnd w:id="19"/>
      <w:bookmarkEnd w:id="20"/>
      <w:bookmarkStart w:id="21" w:name="_Toc61541786"/>
      <w:bookmarkStart w:id="22" w:name="_Toc60070621"/>
      <w:bookmarkStart w:id="23" w:name="_Toc18664074"/>
    </w:p>
    <w:p>
      <w:pPr>
        <w:rPr>
          <w:rFonts w:hint="eastAsia"/>
          <w:color w:val="auto"/>
          <w:highlight w:val="none"/>
        </w:rPr>
      </w:pPr>
      <w:r>
        <w:rPr>
          <w:rFonts w:hint="eastAsia"/>
          <w:color w:val="auto"/>
          <w:highlight w:val="none"/>
        </w:rPr>
        <w:br w:type="page"/>
      </w:r>
    </w:p>
    <w:p>
      <w:pPr>
        <w:pStyle w:val="4"/>
        <w:rPr>
          <w:color w:val="auto"/>
          <w:highlight w:val="none"/>
        </w:rPr>
      </w:pPr>
      <w:r>
        <w:rPr>
          <w:rFonts w:hint="eastAsia"/>
          <w:color w:val="auto"/>
          <w:highlight w:val="none"/>
        </w:rPr>
        <w:t>格式一：</w:t>
      </w:r>
      <w:bookmarkEnd w:id="21"/>
      <w:bookmarkEnd w:id="22"/>
    </w:p>
    <w:p>
      <w:pPr>
        <w:jc w:val="center"/>
        <w:rPr>
          <w:rFonts w:cs="宋体"/>
          <w:b/>
          <w:color w:val="auto"/>
          <w:sz w:val="36"/>
          <w:szCs w:val="36"/>
          <w:highlight w:val="none"/>
        </w:rPr>
      </w:pPr>
      <w:bookmarkStart w:id="24" w:name="_Toc58838587"/>
      <w:r>
        <w:rPr>
          <w:rFonts w:hint="eastAsia" w:cs="宋体"/>
          <w:b/>
          <w:color w:val="auto"/>
          <w:sz w:val="36"/>
          <w:szCs w:val="36"/>
          <w:highlight w:val="none"/>
        </w:rPr>
        <w:t>广州建设工程施工招标投标书（技术标）</w:t>
      </w:r>
      <w:bookmarkEnd w:id="24"/>
    </w:p>
    <w:tbl>
      <w:tblPr>
        <w:tblStyle w:val="25"/>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2211"/>
        <w:gridCol w:w="3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33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bCs/>
                <w:color w:val="auto"/>
                <w:sz w:val="24"/>
                <w:szCs w:val="24"/>
                <w:highlight w:val="none"/>
                <w:lang w:val="zh-CN"/>
              </w:rPr>
            </w:pPr>
            <w:r>
              <w:rPr>
                <w:rFonts w:hint="eastAsia" w:cs="宋体"/>
                <w:color w:val="auto"/>
                <w:sz w:val="24"/>
                <w:szCs w:val="24"/>
                <w:highlight w:val="none"/>
                <w:lang w:val="zh-CN"/>
              </w:rPr>
              <w:t>工程名称</w:t>
            </w:r>
          </w:p>
        </w:tc>
        <w:tc>
          <w:tcPr>
            <w:tcW w:w="6045"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rPr>
                <w:rFonts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334"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 w:val="24"/>
                <w:szCs w:val="24"/>
                <w:highlight w:val="none"/>
                <w:lang w:val="zh-CN"/>
              </w:rPr>
            </w:pPr>
            <w:r>
              <w:rPr>
                <w:rFonts w:hint="eastAsia" w:cs="宋体"/>
                <w:color w:val="auto"/>
                <w:sz w:val="24"/>
                <w:szCs w:val="24"/>
                <w:highlight w:val="none"/>
                <w:lang w:val="zh-CN"/>
              </w:rPr>
              <w:t>投标总工期</w:t>
            </w:r>
          </w:p>
        </w:tc>
        <w:tc>
          <w:tcPr>
            <w:tcW w:w="6045"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rPr>
                <w:rFonts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3334"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highlight w:val="none"/>
              </w:rPr>
            </w:pPr>
            <w:r>
              <w:rPr>
                <w:rFonts w:hint="eastAsia" w:cs="宋体"/>
                <w:color w:val="auto"/>
                <w:sz w:val="24"/>
                <w:szCs w:val="24"/>
                <w:highlight w:val="none"/>
                <w:lang w:val="zh-CN"/>
              </w:rPr>
              <w:t>工程质量标准</w:t>
            </w:r>
          </w:p>
        </w:tc>
        <w:tc>
          <w:tcPr>
            <w:tcW w:w="6045"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rPr>
                <w:rFonts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3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bCs/>
                <w:color w:val="auto"/>
                <w:sz w:val="24"/>
                <w:szCs w:val="24"/>
                <w:highlight w:val="none"/>
                <w:lang w:val="zh-CN"/>
              </w:rPr>
            </w:pPr>
            <w:r>
              <w:rPr>
                <w:rFonts w:hint="eastAsia" w:cs="宋体"/>
                <w:color w:val="auto"/>
                <w:sz w:val="24"/>
                <w:szCs w:val="24"/>
                <w:highlight w:val="none"/>
                <w:lang w:val="zh-CN"/>
              </w:rPr>
              <w:t>保修期限</w:t>
            </w:r>
          </w:p>
        </w:tc>
        <w:tc>
          <w:tcPr>
            <w:tcW w:w="6045"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rPr>
                <w:rFonts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334" w:type="dxa"/>
            <w:tcBorders>
              <w:top w:val="single" w:color="auto" w:sz="4" w:space="0"/>
              <w:left w:val="single" w:color="auto" w:sz="4" w:space="0"/>
              <w:right w:val="single" w:color="auto" w:sz="4" w:space="0"/>
            </w:tcBorders>
            <w:vAlign w:val="center"/>
          </w:tcPr>
          <w:p>
            <w:pPr>
              <w:autoSpaceDE w:val="0"/>
              <w:autoSpaceDN w:val="0"/>
              <w:adjustRightInd w:val="0"/>
              <w:jc w:val="center"/>
              <w:rPr>
                <w:rFonts w:cs="宋体"/>
                <w:bCs/>
                <w:color w:val="auto"/>
                <w:sz w:val="24"/>
                <w:szCs w:val="24"/>
                <w:highlight w:val="none"/>
                <w:lang w:val="zh-CN"/>
              </w:rPr>
            </w:pPr>
            <w:r>
              <w:rPr>
                <w:rFonts w:hint="eastAsia" w:cs="宋体"/>
                <w:color w:val="auto"/>
                <w:sz w:val="24"/>
                <w:szCs w:val="24"/>
                <w:highlight w:val="none"/>
                <w:lang w:val="zh-CN"/>
              </w:rPr>
              <w:t>委派的项目负责人</w:t>
            </w:r>
          </w:p>
        </w:tc>
        <w:tc>
          <w:tcPr>
            <w:tcW w:w="2211"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highlight w:val="none"/>
              </w:rPr>
            </w:pPr>
            <w:r>
              <w:rPr>
                <w:rFonts w:hint="eastAsia"/>
                <w:color w:val="auto"/>
                <w:sz w:val="24"/>
                <w:szCs w:val="24"/>
                <w:highlight w:val="none"/>
              </w:rPr>
              <w:t>姓   名</w:t>
            </w:r>
          </w:p>
        </w:tc>
        <w:tc>
          <w:tcPr>
            <w:tcW w:w="383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334" w:type="dxa"/>
            <w:tcBorders>
              <w:top w:val="single" w:color="auto" w:sz="4" w:space="0"/>
              <w:left w:val="single" w:color="auto" w:sz="4" w:space="0"/>
              <w:right w:val="single" w:color="auto" w:sz="4" w:space="0"/>
            </w:tcBorders>
            <w:vAlign w:val="center"/>
          </w:tcPr>
          <w:p>
            <w:pPr>
              <w:autoSpaceDE w:val="0"/>
              <w:autoSpaceDN w:val="0"/>
              <w:adjustRightInd w:val="0"/>
              <w:jc w:val="center"/>
              <w:rPr>
                <w:rFonts w:cs="宋体"/>
                <w:bCs/>
                <w:color w:val="auto"/>
                <w:sz w:val="24"/>
                <w:szCs w:val="24"/>
                <w:highlight w:val="none"/>
                <w:lang w:val="zh-CN"/>
              </w:rPr>
            </w:pPr>
            <w:r>
              <w:rPr>
                <w:rFonts w:hint="eastAsia" w:cs="宋体"/>
                <w:bCs/>
                <w:color w:val="auto"/>
                <w:sz w:val="24"/>
                <w:szCs w:val="24"/>
                <w:highlight w:val="none"/>
                <w:lang w:val="zh-CN"/>
              </w:rPr>
              <w:t>委派的专职安全员</w:t>
            </w:r>
          </w:p>
        </w:tc>
        <w:tc>
          <w:tcPr>
            <w:tcW w:w="221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bCs/>
                <w:color w:val="auto"/>
                <w:sz w:val="24"/>
                <w:szCs w:val="24"/>
                <w:highlight w:val="none"/>
                <w:lang w:val="zh-CN"/>
              </w:rPr>
            </w:pPr>
            <w:r>
              <w:rPr>
                <w:rFonts w:hint="eastAsia" w:cs="宋体"/>
                <w:bCs/>
                <w:color w:val="auto"/>
                <w:sz w:val="24"/>
                <w:szCs w:val="24"/>
                <w:highlight w:val="none"/>
                <w:lang w:val="zh-CN"/>
              </w:rPr>
              <w:t>姓   名</w:t>
            </w:r>
          </w:p>
        </w:tc>
        <w:tc>
          <w:tcPr>
            <w:tcW w:w="383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cs="宋体"/>
                <w:bCs/>
                <w:color w:val="auto"/>
                <w:sz w:val="24"/>
                <w:szCs w:val="24"/>
                <w:highlight w:val="none"/>
                <w:lang w:val="zh-CN"/>
              </w:rPr>
            </w:pPr>
          </w:p>
        </w:tc>
      </w:tr>
    </w:tbl>
    <w:p>
      <w:pPr>
        <w:autoSpaceDE w:val="0"/>
        <w:autoSpaceDN w:val="0"/>
        <w:adjustRightInd w:val="0"/>
        <w:spacing w:line="360" w:lineRule="auto"/>
        <w:rPr>
          <w:rFonts w:cs="宋体"/>
          <w:color w:val="auto"/>
          <w:sz w:val="24"/>
          <w:szCs w:val="24"/>
          <w:highlight w:val="none"/>
        </w:rPr>
      </w:pPr>
      <w:r>
        <w:rPr>
          <w:b/>
          <w:color w:val="auto"/>
          <w:highlight w:val="none"/>
        </w:rPr>
        <w:br w:type="page"/>
      </w:r>
    </w:p>
    <w:bookmarkEnd w:id="23"/>
    <w:p>
      <w:pPr>
        <w:pStyle w:val="4"/>
        <w:spacing w:before="0" w:beforeAutospacing="0" w:after="0" w:afterAutospacing="0"/>
        <w:rPr>
          <w:color w:val="auto"/>
          <w:highlight w:val="none"/>
        </w:rPr>
      </w:pPr>
      <w:bookmarkStart w:id="25" w:name="_Toc60070622"/>
      <w:bookmarkStart w:id="26" w:name="_Toc61541787"/>
      <w:r>
        <w:rPr>
          <w:rFonts w:hint="eastAsia"/>
          <w:color w:val="auto"/>
          <w:highlight w:val="none"/>
        </w:rPr>
        <w:t>格式二：</w:t>
      </w:r>
      <w:bookmarkEnd w:id="25"/>
      <w:bookmarkEnd w:id="26"/>
    </w:p>
    <w:p>
      <w:pPr>
        <w:jc w:val="center"/>
        <w:rPr>
          <w:rFonts w:cs="宋体"/>
          <w:b/>
          <w:color w:val="auto"/>
          <w:sz w:val="36"/>
          <w:szCs w:val="36"/>
          <w:highlight w:val="none"/>
        </w:rPr>
      </w:pPr>
      <w:r>
        <w:rPr>
          <w:rFonts w:hint="eastAsia" w:cs="宋体"/>
          <w:b/>
          <w:color w:val="auto"/>
          <w:sz w:val="36"/>
          <w:szCs w:val="36"/>
          <w:highlight w:val="none"/>
        </w:rPr>
        <w:t>投标函</w:t>
      </w:r>
    </w:p>
    <w:p>
      <w:pPr>
        <w:topLinePunct/>
        <w:adjustRightInd w:val="0"/>
        <w:snapToGrid w:val="0"/>
        <w:spacing w:line="440" w:lineRule="exact"/>
        <w:rPr>
          <w:rFonts w:cs="宋体"/>
          <w:snapToGrid w:val="0"/>
          <w:color w:val="auto"/>
          <w:spacing w:val="4"/>
          <w:kern w:val="0"/>
          <w:sz w:val="24"/>
          <w:szCs w:val="24"/>
          <w:highlight w:val="none"/>
        </w:rPr>
      </w:pPr>
      <w:r>
        <w:rPr>
          <w:rFonts w:hint="eastAsia" w:cs="宋体"/>
          <w:snapToGrid w:val="0"/>
          <w:color w:val="auto"/>
          <w:spacing w:val="4"/>
          <w:kern w:val="0"/>
          <w:sz w:val="24"/>
          <w:szCs w:val="24"/>
          <w:highlight w:val="none"/>
        </w:rPr>
        <w:t>致：</w:t>
      </w:r>
      <w:r>
        <w:rPr>
          <w:rFonts w:hint="eastAsia" w:cs="宋体"/>
          <w:snapToGrid w:val="0"/>
          <w:color w:val="auto"/>
          <w:spacing w:val="4"/>
          <w:kern w:val="0"/>
          <w:sz w:val="24"/>
          <w:szCs w:val="24"/>
          <w:highlight w:val="none"/>
          <w:u w:val="single"/>
        </w:rPr>
        <w:t xml:space="preserve"> （招标人名称） </w:t>
      </w:r>
    </w:p>
    <w:p>
      <w:pPr>
        <w:pStyle w:val="32"/>
        <w:ind w:firstLine="496"/>
        <w:rPr>
          <w:rFonts w:ascii="宋体" w:hAnsi="宋体" w:eastAsia="宋体"/>
          <w:color w:val="auto"/>
          <w:highlight w:val="none"/>
        </w:rPr>
      </w:pPr>
      <w:r>
        <w:rPr>
          <w:rFonts w:hint="eastAsia" w:ascii="宋体" w:hAnsi="宋体" w:eastAsia="宋体"/>
          <w:color w:val="auto"/>
          <w:highlight w:val="none"/>
        </w:rPr>
        <w:t>1.根据招标人</w:t>
      </w:r>
      <w:r>
        <w:rPr>
          <w:rFonts w:hint="eastAsia" w:ascii="宋体" w:hAnsi="宋体" w:eastAsia="宋体"/>
          <w:color w:val="auto"/>
          <w:highlight w:val="none"/>
          <w:u w:val="single"/>
        </w:rPr>
        <w:t xml:space="preserve"> （工程项目名称） </w:t>
      </w:r>
      <w:r>
        <w:rPr>
          <w:rFonts w:hint="eastAsia" w:ascii="宋体" w:hAnsi="宋体" w:eastAsia="宋体"/>
          <w:color w:val="auto"/>
          <w:highlight w:val="none"/>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pPr>
        <w:pStyle w:val="32"/>
        <w:ind w:firstLine="496"/>
        <w:rPr>
          <w:rFonts w:ascii="宋体" w:hAnsi="宋体" w:eastAsia="宋体"/>
          <w:color w:val="auto"/>
          <w:highlight w:val="none"/>
        </w:rPr>
      </w:pPr>
      <w:r>
        <w:rPr>
          <w:rFonts w:hint="eastAsia" w:ascii="宋体" w:hAnsi="宋体" w:eastAsia="宋体"/>
          <w:color w:val="auto"/>
          <w:highlight w:val="none"/>
        </w:rPr>
        <w:t>2.我方已详细审核全部招标文件，包括修改文件（如有时）及有关附件。</w:t>
      </w:r>
    </w:p>
    <w:p>
      <w:pPr>
        <w:pStyle w:val="32"/>
        <w:ind w:firstLine="496"/>
        <w:rPr>
          <w:rFonts w:ascii="宋体" w:hAnsi="宋体" w:eastAsia="宋体"/>
          <w:color w:val="auto"/>
          <w:highlight w:val="none"/>
        </w:rPr>
      </w:pPr>
      <w:r>
        <w:rPr>
          <w:rFonts w:hint="eastAsia" w:ascii="宋体" w:hAnsi="宋体" w:eastAsia="宋体"/>
          <w:color w:val="auto"/>
          <w:highlight w:val="none"/>
        </w:rPr>
        <w:t>3.如果我方中标，我方保证按照合同文件中规定的开工日期开始施工，并按规定的预计竣工日期完成和交付全部工程。</w:t>
      </w:r>
    </w:p>
    <w:p>
      <w:pPr>
        <w:pStyle w:val="32"/>
        <w:ind w:firstLine="496"/>
        <w:rPr>
          <w:rFonts w:ascii="宋体" w:hAnsi="宋体" w:eastAsia="宋体"/>
          <w:color w:val="auto"/>
          <w:highlight w:val="none"/>
        </w:rPr>
      </w:pPr>
      <w:r>
        <w:rPr>
          <w:rFonts w:hint="eastAsia" w:ascii="宋体" w:hAnsi="宋体" w:eastAsia="宋体"/>
          <w:color w:val="auto"/>
          <w:highlight w:val="none"/>
        </w:rPr>
        <w:t>4.如果我方中标，我方承诺在充分考虑场地环境变化及政策性调整等风险因素的前提下，继续补充完善施工组织设计，直至招标人满意为止并加以实施，由此产生的费用已包含在投标报价中。</w:t>
      </w:r>
    </w:p>
    <w:p>
      <w:pPr>
        <w:pStyle w:val="32"/>
        <w:ind w:firstLine="496"/>
        <w:rPr>
          <w:rFonts w:ascii="宋体" w:hAnsi="宋体" w:eastAsia="宋体"/>
          <w:color w:val="auto"/>
          <w:highlight w:val="none"/>
          <w:u w:val="single"/>
        </w:rPr>
      </w:pPr>
      <w:r>
        <w:rPr>
          <w:rFonts w:hint="eastAsia" w:ascii="宋体" w:hAnsi="宋体" w:eastAsia="宋体"/>
          <w:color w:val="auto"/>
          <w:highlight w:val="none"/>
          <w:u w:val="single"/>
        </w:rPr>
        <w:t>5.如果我方中标，我方承诺按《建设工程质量管理条例》（中华人民共和国国务院令第279号）、《建设工程安全生产管理条例》（中华人民共和国国务院令第393号）的规定对承包工程的全部建设工程质量和施工现场的安全生产负责。</w:t>
      </w:r>
    </w:p>
    <w:p>
      <w:pPr>
        <w:pStyle w:val="32"/>
        <w:ind w:firstLine="496"/>
        <w:rPr>
          <w:rFonts w:ascii="宋体" w:hAnsi="宋体" w:eastAsia="宋体"/>
          <w:color w:val="auto"/>
          <w:highlight w:val="none"/>
        </w:rPr>
      </w:pPr>
      <w:r>
        <w:rPr>
          <w:rFonts w:hint="eastAsia" w:ascii="宋体" w:hAnsi="宋体" w:eastAsia="宋体"/>
          <w:color w:val="auto"/>
          <w:highlight w:val="none"/>
        </w:rPr>
        <w:t>6.如果我方中标，我方将按照招标文件的规定，按时提交履约担保，以保障本项目优质、优价、按期、顺利完成。</w:t>
      </w:r>
    </w:p>
    <w:p>
      <w:pPr>
        <w:pStyle w:val="32"/>
        <w:ind w:firstLine="496"/>
        <w:rPr>
          <w:rFonts w:ascii="宋体" w:hAnsi="宋体" w:eastAsia="宋体"/>
          <w:color w:val="auto"/>
          <w:highlight w:val="none"/>
        </w:rPr>
      </w:pPr>
      <w:r>
        <w:rPr>
          <w:rFonts w:hint="eastAsia" w:ascii="宋体" w:hAnsi="宋体" w:eastAsia="宋体"/>
          <w:color w:val="auto"/>
          <w:highlight w:val="none"/>
        </w:rPr>
        <w:t>7.我方同意所提交的投标文件在招标文件投标须知中第15条规定的投标有效期内有效，在此期限届满之前，本投标书始终将对我方具有约束力，并随时接受中标。</w:t>
      </w:r>
    </w:p>
    <w:p>
      <w:pPr>
        <w:pStyle w:val="32"/>
        <w:ind w:firstLine="496"/>
        <w:rPr>
          <w:rFonts w:ascii="宋体" w:hAnsi="宋体" w:eastAsia="宋体"/>
          <w:color w:val="auto"/>
          <w:highlight w:val="none"/>
        </w:rPr>
      </w:pPr>
      <w:r>
        <w:rPr>
          <w:rFonts w:hint="eastAsia" w:ascii="宋体" w:hAnsi="宋体" w:eastAsia="宋体"/>
          <w:color w:val="auto"/>
          <w:highlight w:val="none"/>
        </w:rPr>
        <w:t>8.在合同协议书正式签署生效之前，本投标书连同你单位的中标通知书将构成我们双方之间共同遵守的文件，对双方具有约束力。</w:t>
      </w:r>
    </w:p>
    <w:p>
      <w:pPr>
        <w:pStyle w:val="32"/>
        <w:ind w:firstLine="496"/>
        <w:rPr>
          <w:rFonts w:ascii="宋体" w:hAnsi="宋体" w:eastAsia="宋体"/>
          <w:color w:val="auto"/>
          <w:highlight w:val="none"/>
        </w:rPr>
      </w:pPr>
      <w:r>
        <w:rPr>
          <w:rFonts w:hint="eastAsia" w:ascii="宋体" w:hAnsi="宋体" w:eastAsia="宋体"/>
          <w:color w:val="auto"/>
          <w:highlight w:val="none"/>
        </w:rPr>
        <w:t>9.随同本投标文件，我方已提交人民币</w:t>
      </w:r>
      <w:r>
        <w:rPr>
          <w:rFonts w:hint="eastAsia" w:ascii="宋体" w:hAnsi="宋体" w:eastAsia="宋体"/>
          <w:color w:val="auto"/>
          <w:highlight w:val="none"/>
          <w:u w:val="single"/>
        </w:rPr>
        <w:t xml:space="preserve">          </w:t>
      </w:r>
      <w:r>
        <w:rPr>
          <w:rFonts w:hint="eastAsia" w:ascii="宋体" w:hAnsi="宋体" w:eastAsia="宋体"/>
          <w:color w:val="auto"/>
          <w:highlight w:val="none"/>
          <w:u w:val="none"/>
        </w:rPr>
        <w:t xml:space="preserve"> 元</w:t>
      </w:r>
      <w:r>
        <w:rPr>
          <w:rFonts w:hint="eastAsia" w:ascii="宋体" w:hAnsi="宋体" w:eastAsia="宋体"/>
          <w:color w:val="auto"/>
          <w:highlight w:val="none"/>
        </w:rPr>
        <w:t>的投标担保。如果我方在投标文件有效期内撤销投标文件；或在接到中标通知书后30天内未能或拒绝签订合同协议书；或未能按招标文件要求提交履约担保，你单位有权没收投标保证金，另选中标单位。</w:t>
      </w:r>
    </w:p>
    <w:p>
      <w:pPr>
        <w:pStyle w:val="32"/>
        <w:ind w:firstLine="496"/>
        <w:rPr>
          <w:rFonts w:ascii="宋体" w:hAnsi="宋体" w:eastAsia="宋体"/>
          <w:color w:val="auto"/>
          <w:highlight w:val="none"/>
        </w:rPr>
      </w:pPr>
      <w:r>
        <w:rPr>
          <w:rFonts w:hint="eastAsia" w:ascii="宋体" w:hAnsi="宋体" w:eastAsia="宋体"/>
          <w:color w:val="auto"/>
          <w:highlight w:val="none"/>
        </w:rPr>
        <w:t>10.我方理解，你单位不一定接受最低标价的投标或你单位接到的其它任何投标。同时也理解，你单位不负担我方的任何投标费用。</w:t>
      </w:r>
    </w:p>
    <w:p>
      <w:pPr>
        <w:pStyle w:val="32"/>
        <w:ind w:firstLine="496"/>
        <w:rPr>
          <w:rFonts w:ascii="宋体" w:hAnsi="宋体" w:eastAsia="宋体"/>
          <w:color w:val="auto"/>
          <w:highlight w:val="none"/>
        </w:rPr>
      </w:pPr>
    </w:p>
    <w:p>
      <w:pPr>
        <w:pStyle w:val="32"/>
        <w:ind w:firstLine="496"/>
        <w:rPr>
          <w:rFonts w:ascii="宋体" w:hAnsi="宋体" w:eastAsia="宋体"/>
          <w:color w:val="auto"/>
          <w:highlight w:val="none"/>
        </w:rPr>
      </w:pPr>
    </w:p>
    <w:p>
      <w:pPr>
        <w:pStyle w:val="32"/>
        <w:ind w:firstLine="496"/>
        <w:rPr>
          <w:rFonts w:ascii="宋体" w:hAnsi="宋体" w:eastAsia="宋体"/>
          <w:color w:val="auto"/>
          <w:highlight w:val="none"/>
        </w:rPr>
      </w:pPr>
    </w:p>
    <w:p>
      <w:pPr>
        <w:pStyle w:val="32"/>
        <w:ind w:firstLine="691" w:firstLineChars="279"/>
        <w:rPr>
          <w:rFonts w:ascii="宋体" w:hAnsi="宋体" w:eastAsia="宋体"/>
          <w:color w:val="auto"/>
          <w:highlight w:val="none"/>
        </w:rPr>
      </w:pPr>
      <w:r>
        <w:rPr>
          <w:rFonts w:hint="eastAsia" w:ascii="宋体" w:hAnsi="宋体" w:eastAsia="宋体"/>
          <w:color w:val="auto"/>
          <w:highlight w:val="none"/>
        </w:rPr>
        <w:t>投 标 人：（盖章）</w:t>
      </w:r>
    </w:p>
    <w:p>
      <w:pPr>
        <w:pStyle w:val="32"/>
        <w:ind w:firstLine="691" w:firstLineChars="279"/>
        <w:rPr>
          <w:rFonts w:ascii="宋体" w:hAnsi="宋体" w:eastAsia="宋体"/>
          <w:color w:val="auto"/>
          <w:highlight w:val="none"/>
        </w:rPr>
      </w:pPr>
      <w:r>
        <w:rPr>
          <w:rFonts w:hint="eastAsia" w:ascii="宋体" w:hAnsi="宋体" w:eastAsia="宋体"/>
          <w:color w:val="auto"/>
          <w:highlight w:val="none"/>
        </w:rPr>
        <w:t>法定代表人或授权代理人（签字或盖章）：</w:t>
      </w:r>
    </w:p>
    <w:p>
      <w:pPr>
        <w:pStyle w:val="32"/>
        <w:ind w:firstLine="691" w:firstLineChars="279"/>
        <w:rPr>
          <w:rFonts w:hint="eastAsia" w:ascii="宋体" w:hAnsi="宋体" w:eastAsia="宋体"/>
          <w:color w:val="auto"/>
          <w:highlight w:val="none"/>
        </w:rPr>
      </w:pPr>
      <w:r>
        <w:rPr>
          <w:rFonts w:hint="eastAsia" w:ascii="宋体" w:hAnsi="宋体" w:eastAsia="宋体"/>
          <w:color w:val="auto"/>
          <w:highlight w:val="none"/>
        </w:rPr>
        <w:t xml:space="preserve">日    期：    年    月    日 </w:t>
      </w:r>
    </w:p>
    <w:p>
      <w:pPr>
        <w:autoSpaceDN w:val="0"/>
        <w:jc w:val="center"/>
        <w:rPr>
          <w:rFonts w:cs="宋体"/>
          <w:color w:val="auto"/>
          <w:szCs w:val="20"/>
          <w:highlight w:val="none"/>
        </w:rPr>
      </w:pPr>
      <w:r>
        <w:rPr>
          <w:rFonts w:hint="eastAsia" w:cs="宋体"/>
          <w:color w:val="auto"/>
          <w:szCs w:val="20"/>
          <w:highlight w:val="none"/>
        </w:rPr>
        <w:br w:type="page"/>
      </w:r>
    </w:p>
    <w:p>
      <w:pPr>
        <w:pStyle w:val="4"/>
        <w:rPr>
          <w:snapToGrid w:val="0"/>
          <w:color w:val="auto"/>
          <w:spacing w:val="4"/>
          <w:highlight w:val="none"/>
        </w:rPr>
      </w:pPr>
      <w:bookmarkStart w:id="27" w:name="_Toc61541788"/>
      <w:bookmarkStart w:id="28" w:name="_Toc60070623"/>
      <w:r>
        <w:rPr>
          <w:rFonts w:hint="eastAsia"/>
          <w:color w:val="auto"/>
          <w:highlight w:val="none"/>
        </w:rPr>
        <w:t>格式三：</w:t>
      </w:r>
      <w:bookmarkEnd w:id="27"/>
      <w:bookmarkEnd w:id="28"/>
    </w:p>
    <w:p>
      <w:pPr>
        <w:jc w:val="center"/>
        <w:rPr>
          <w:b/>
          <w:color w:val="auto"/>
          <w:sz w:val="36"/>
          <w:szCs w:val="36"/>
          <w:highlight w:val="none"/>
        </w:rPr>
      </w:pPr>
      <w:r>
        <w:rPr>
          <w:rFonts w:hint="eastAsia"/>
          <w:b/>
          <w:color w:val="auto"/>
          <w:sz w:val="36"/>
          <w:szCs w:val="36"/>
          <w:highlight w:val="none"/>
        </w:rPr>
        <w:t>标函承诺书</w:t>
      </w:r>
    </w:p>
    <w:p>
      <w:pPr>
        <w:pStyle w:val="45"/>
        <w:spacing w:after="0" w:line="440" w:lineRule="exact"/>
        <w:ind w:left="339" w:leftChars="101" w:hanging="127" w:hangingChars="53"/>
        <w:jc w:val="left"/>
        <w:rPr>
          <w:rFonts w:ascii="宋体" w:eastAsia="宋体" w:cs="宋体"/>
          <w:color w:val="auto"/>
          <w:sz w:val="24"/>
          <w:szCs w:val="24"/>
          <w:highlight w:val="none"/>
          <w:u w:val="none"/>
        </w:rPr>
      </w:pPr>
      <w:r>
        <w:rPr>
          <w:rFonts w:hint="eastAsia" w:ascii="宋体" w:eastAsia="宋体" w:cs="宋体"/>
          <w:color w:val="auto"/>
          <w:sz w:val="24"/>
          <w:szCs w:val="24"/>
          <w:highlight w:val="none"/>
          <w:u w:val="none"/>
        </w:rPr>
        <w:t>致：（招标人名称）</w:t>
      </w:r>
    </w:p>
    <w:p>
      <w:pPr>
        <w:pStyle w:val="45"/>
        <w:tabs>
          <w:tab w:val="left" w:pos="0"/>
          <w:tab w:val="left" w:pos="210"/>
        </w:tabs>
        <w:spacing w:after="0" w:line="440" w:lineRule="exact"/>
        <w:ind w:left="17" w:leftChars="8" w:firstLine="398" w:firstLineChars="166"/>
        <w:jc w:val="left"/>
        <w:rPr>
          <w:rFonts w:ascii="宋体" w:eastAsia="宋体" w:cs="宋体"/>
          <w:color w:val="auto"/>
          <w:sz w:val="24"/>
          <w:szCs w:val="24"/>
          <w:highlight w:val="none"/>
          <w:u w:val="none"/>
        </w:rPr>
      </w:pPr>
      <w:r>
        <w:rPr>
          <w:rFonts w:hint="eastAsia" w:ascii="宋体" w:eastAsia="宋体" w:cs="宋体"/>
          <w:color w:val="auto"/>
          <w:sz w:val="24"/>
          <w:szCs w:val="24"/>
          <w:highlight w:val="none"/>
          <w:u w:val="none"/>
        </w:rPr>
        <w:t>如果在本招标工程中我司中标，我司将积极响应贵单位提出的合同条件及招标文件的要求，并做出如下承诺：</w:t>
      </w:r>
    </w:p>
    <w:p>
      <w:pPr>
        <w:pStyle w:val="45"/>
        <w:tabs>
          <w:tab w:val="left" w:pos="0"/>
          <w:tab w:val="left" w:pos="210"/>
        </w:tabs>
        <w:spacing w:after="0" w:line="440" w:lineRule="exact"/>
        <w:ind w:left="17" w:leftChars="8" w:firstLine="398" w:firstLineChars="166"/>
        <w:jc w:val="left"/>
        <w:rPr>
          <w:rFonts w:ascii="宋体" w:eastAsia="宋体" w:cs="宋体"/>
          <w:color w:val="auto"/>
          <w:sz w:val="24"/>
          <w:szCs w:val="24"/>
          <w:highlight w:val="none"/>
          <w:u w:val="none"/>
        </w:rPr>
      </w:pPr>
      <w:r>
        <w:rPr>
          <w:rFonts w:hint="eastAsia" w:ascii="宋体" w:eastAsia="宋体" w:cs="宋体"/>
          <w:color w:val="auto"/>
          <w:sz w:val="24"/>
          <w:szCs w:val="24"/>
          <w:highlight w:val="none"/>
          <w:u w:val="none"/>
        </w:rPr>
        <w:t>1、若我公司中标，我公司承诺按时交纳履约保证金。</w:t>
      </w:r>
    </w:p>
    <w:p>
      <w:pPr>
        <w:pStyle w:val="45"/>
        <w:tabs>
          <w:tab w:val="left" w:pos="0"/>
          <w:tab w:val="left" w:pos="210"/>
        </w:tabs>
        <w:spacing w:after="0" w:line="440" w:lineRule="exact"/>
        <w:ind w:left="17" w:leftChars="8" w:firstLine="398" w:firstLineChars="166"/>
        <w:jc w:val="left"/>
        <w:rPr>
          <w:rFonts w:ascii="宋体" w:eastAsia="宋体" w:cs="宋体"/>
          <w:color w:val="auto"/>
          <w:sz w:val="24"/>
          <w:szCs w:val="24"/>
          <w:highlight w:val="none"/>
          <w:u w:val="none"/>
        </w:rPr>
      </w:pPr>
      <w:r>
        <w:rPr>
          <w:rFonts w:hint="eastAsia" w:ascii="宋体" w:eastAsia="宋体" w:cs="宋体"/>
          <w:color w:val="auto"/>
          <w:sz w:val="24"/>
          <w:szCs w:val="24"/>
          <w:highlight w:val="none"/>
          <w:u w:val="none"/>
        </w:rPr>
        <w:t>2、在本工程施工期间，拟投入的人力不少于下表中的人数</w:t>
      </w:r>
    </w:p>
    <w:tbl>
      <w:tblPr>
        <w:tblStyle w:val="25"/>
        <w:tblW w:w="7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0"/>
        <w:gridCol w:w="3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pPr>
              <w:pStyle w:val="46"/>
              <w:tabs>
                <w:tab w:val="left" w:pos="0"/>
                <w:tab w:val="left" w:pos="210"/>
              </w:tabs>
              <w:spacing w:line="440" w:lineRule="exact"/>
              <w:ind w:left="17" w:leftChars="8" w:firstLine="348" w:firstLineChars="166"/>
              <w:rPr>
                <w:rFonts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u w:val="none"/>
              </w:rPr>
              <w:t>工种</w:t>
            </w:r>
          </w:p>
        </w:tc>
        <w:tc>
          <w:tcPr>
            <w:tcW w:w="3783" w:type="dxa"/>
            <w:tcBorders>
              <w:top w:val="single" w:color="auto" w:sz="4" w:space="0"/>
              <w:left w:val="single" w:color="auto" w:sz="4" w:space="0"/>
              <w:bottom w:val="single" w:color="auto" w:sz="4" w:space="0"/>
              <w:right w:val="single" w:color="auto" w:sz="4" w:space="0"/>
            </w:tcBorders>
            <w:vAlign w:val="center"/>
          </w:tcPr>
          <w:p>
            <w:pPr>
              <w:tabs>
                <w:tab w:val="left" w:pos="0"/>
                <w:tab w:val="left" w:pos="210"/>
              </w:tabs>
              <w:spacing w:line="440" w:lineRule="exact"/>
              <w:ind w:left="17" w:leftChars="8" w:firstLine="348" w:firstLineChars="166"/>
              <w:jc w:val="center"/>
              <w:rPr>
                <w:rFonts w:hint="default" w:eastAsia="宋体" w:cs="宋体"/>
                <w:color w:val="auto"/>
                <w:kern w:val="0"/>
                <w:szCs w:val="21"/>
                <w:highlight w:val="none"/>
                <w:u w:val="none"/>
                <w:lang w:val="en-US" w:eastAsia="zh-CN"/>
              </w:rPr>
            </w:pPr>
            <w:r>
              <w:rPr>
                <w:rFonts w:hint="eastAsia" w:cs="宋体"/>
                <w:color w:val="auto"/>
                <w:szCs w:val="21"/>
                <w:highlight w:val="none"/>
                <w:u w:val="none"/>
              </w:rPr>
              <w:t>施工低峰期数量</w:t>
            </w:r>
            <w:r>
              <w:rPr>
                <w:rFonts w:hint="eastAsia" w:cs="宋体"/>
                <w:color w:val="auto"/>
                <w:szCs w:val="21"/>
                <w:highlight w:val="none"/>
                <w:u w:val="none"/>
                <w:lang w:eastAsia="zh-CN"/>
              </w:rPr>
              <w:t>（</w:t>
            </w:r>
            <w:r>
              <w:rPr>
                <w:rFonts w:hint="eastAsia" w:cs="宋体"/>
                <w:color w:val="auto"/>
                <w:szCs w:val="21"/>
                <w:highlight w:val="none"/>
                <w:u w:val="no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pPr>
              <w:tabs>
                <w:tab w:val="left" w:pos="0"/>
                <w:tab w:val="left" w:pos="210"/>
              </w:tabs>
              <w:spacing w:line="440" w:lineRule="exact"/>
              <w:ind w:left="17" w:leftChars="8" w:firstLine="348" w:firstLineChars="166"/>
              <w:jc w:val="center"/>
              <w:rPr>
                <w:rFonts w:cs="宋体"/>
                <w:color w:val="auto"/>
                <w:kern w:val="0"/>
                <w:szCs w:val="21"/>
                <w:highlight w:val="none"/>
                <w:u w:val="none"/>
              </w:rPr>
            </w:pPr>
          </w:p>
        </w:tc>
        <w:tc>
          <w:tcPr>
            <w:tcW w:w="3783" w:type="dxa"/>
            <w:tcBorders>
              <w:top w:val="single" w:color="auto" w:sz="4" w:space="0"/>
              <w:left w:val="single" w:color="auto" w:sz="4" w:space="0"/>
              <w:bottom w:val="single" w:color="auto" w:sz="4" w:space="0"/>
              <w:right w:val="single" w:color="auto" w:sz="4" w:space="0"/>
            </w:tcBorders>
            <w:vAlign w:val="center"/>
          </w:tcPr>
          <w:p>
            <w:pPr>
              <w:tabs>
                <w:tab w:val="left" w:pos="0"/>
                <w:tab w:val="left" w:pos="210"/>
              </w:tabs>
              <w:spacing w:line="440" w:lineRule="exact"/>
              <w:ind w:left="17" w:leftChars="8" w:firstLine="348" w:firstLineChars="166"/>
              <w:jc w:val="center"/>
              <w:rPr>
                <w:rFonts w:cs="宋体"/>
                <w:color w:val="auto"/>
                <w:kern w:val="0"/>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pPr>
              <w:tabs>
                <w:tab w:val="left" w:pos="0"/>
                <w:tab w:val="left" w:pos="210"/>
              </w:tabs>
              <w:spacing w:line="440" w:lineRule="exact"/>
              <w:ind w:left="17" w:leftChars="8" w:firstLine="348" w:firstLineChars="166"/>
              <w:jc w:val="center"/>
              <w:rPr>
                <w:rFonts w:cs="宋体"/>
                <w:color w:val="auto"/>
                <w:kern w:val="0"/>
                <w:szCs w:val="21"/>
                <w:highlight w:val="none"/>
                <w:u w:val="none"/>
              </w:rPr>
            </w:pPr>
          </w:p>
        </w:tc>
        <w:tc>
          <w:tcPr>
            <w:tcW w:w="3783" w:type="dxa"/>
            <w:tcBorders>
              <w:top w:val="single" w:color="auto" w:sz="4" w:space="0"/>
              <w:left w:val="single" w:color="auto" w:sz="4" w:space="0"/>
              <w:bottom w:val="single" w:color="auto" w:sz="4" w:space="0"/>
              <w:right w:val="single" w:color="auto" w:sz="4" w:space="0"/>
            </w:tcBorders>
            <w:vAlign w:val="center"/>
          </w:tcPr>
          <w:p>
            <w:pPr>
              <w:tabs>
                <w:tab w:val="left" w:pos="0"/>
                <w:tab w:val="left" w:pos="210"/>
              </w:tabs>
              <w:spacing w:line="440" w:lineRule="exact"/>
              <w:ind w:left="17" w:leftChars="8" w:firstLine="348" w:firstLineChars="166"/>
              <w:jc w:val="center"/>
              <w:rPr>
                <w:rFonts w:cs="宋体"/>
                <w:color w:val="auto"/>
                <w:kern w:val="0"/>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pPr>
              <w:tabs>
                <w:tab w:val="left" w:pos="0"/>
                <w:tab w:val="left" w:pos="210"/>
              </w:tabs>
              <w:spacing w:line="440" w:lineRule="exact"/>
              <w:ind w:left="17" w:leftChars="8" w:firstLine="348" w:firstLineChars="166"/>
              <w:jc w:val="center"/>
              <w:rPr>
                <w:rFonts w:cs="宋体"/>
                <w:color w:val="auto"/>
                <w:kern w:val="0"/>
                <w:szCs w:val="21"/>
                <w:highlight w:val="none"/>
                <w:u w:val="none"/>
              </w:rPr>
            </w:pPr>
          </w:p>
        </w:tc>
        <w:tc>
          <w:tcPr>
            <w:tcW w:w="3783" w:type="dxa"/>
            <w:tcBorders>
              <w:top w:val="single" w:color="auto" w:sz="4" w:space="0"/>
              <w:left w:val="single" w:color="auto" w:sz="4" w:space="0"/>
              <w:bottom w:val="single" w:color="auto" w:sz="4" w:space="0"/>
              <w:right w:val="single" w:color="auto" w:sz="4" w:space="0"/>
            </w:tcBorders>
            <w:vAlign w:val="center"/>
          </w:tcPr>
          <w:p>
            <w:pPr>
              <w:tabs>
                <w:tab w:val="left" w:pos="0"/>
                <w:tab w:val="left" w:pos="210"/>
              </w:tabs>
              <w:spacing w:line="440" w:lineRule="exact"/>
              <w:ind w:left="17" w:leftChars="8" w:firstLine="348" w:firstLineChars="166"/>
              <w:jc w:val="center"/>
              <w:rPr>
                <w:rFonts w:cs="宋体"/>
                <w:color w:val="auto"/>
                <w:kern w:val="0"/>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pPr>
              <w:tabs>
                <w:tab w:val="left" w:pos="0"/>
                <w:tab w:val="left" w:pos="210"/>
              </w:tabs>
              <w:spacing w:line="440" w:lineRule="exact"/>
              <w:ind w:left="17" w:leftChars="8" w:firstLine="348" w:firstLineChars="166"/>
              <w:jc w:val="center"/>
              <w:rPr>
                <w:rFonts w:cs="宋体"/>
                <w:color w:val="auto"/>
                <w:kern w:val="0"/>
                <w:szCs w:val="21"/>
                <w:highlight w:val="none"/>
                <w:u w:val="none"/>
              </w:rPr>
            </w:pPr>
          </w:p>
        </w:tc>
        <w:tc>
          <w:tcPr>
            <w:tcW w:w="3783" w:type="dxa"/>
            <w:tcBorders>
              <w:top w:val="single" w:color="auto" w:sz="4" w:space="0"/>
              <w:left w:val="single" w:color="auto" w:sz="4" w:space="0"/>
              <w:bottom w:val="single" w:color="auto" w:sz="4" w:space="0"/>
              <w:right w:val="single" w:color="auto" w:sz="4" w:space="0"/>
            </w:tcBorders>
            <w:vAlign w:val="center"/>
          </w:tcPr>
          <w:p>
            <w:pPr>
              <w:tabs>
                <w:tab w:val="left" w:pos="0"/>
                <w:tab w:val="left" w:pos="210"/>
              </w:tabs>
              <w:spacing w:line="440" w:lineRule="exact"/>
              <w:ind w:left="17" w:leftChars="8" w:firstLine="348" w:firstLineChars="166"/>
              <w:jc w:val="center"/>
              <w:rPr>
                <w:rFonts w:cs="宋体"/>
                <w:color w:val="auto"/>
                <w:kern w:val="0"/>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pPr>
              <w:tabs>
                <w:tab w:val="left" w:pos="0"/>
                <w:tab w:val="left" w:pos="210"/>
              </w:tabs>
              <w:spacing w:line="440" w:lineRule="exact"/>
              <w:ind w:left="17" w:leftChars="8" w:firstLine="348" w:firstLineChars="166"/>
              <w:jc w:val="center"/>
              <w:rPr>
                <w:rFonts w:cs="宋体"/>
                <w:color w:val="auto"/>
                <w:kern w:val="0"/>
                <w:szCs w:val="21"/>
                <w:highlight w:val="none"/>
                <w:u w:val="none"/>
              </w:rPr>
            </w:pPr>
          </w:p>
        </w:tc>
        <w:tc>
          <w:tcPr>
            <w:tcW w:w="3783" w:type="dxa"/>
            <w:tcBorders>
              <w:top w:val="single" w:color="auto" w:sz="4" w:space="0"/>
              <w:left w:val="single" w:color="auto" w:sz="4" w:space="0"/>
              <w:bottom w:val="single" w:color="auto" w:sz="4" w:space="0"/>
              <w:right w:val="single" w:color="auto" w:sz="4" w:space="0"/>
            </w:tcBorders>
            <w:vAlign w:val="center"/>
          </w:tcPr>
          <w:p>
            <w:pPr>
              <w:tabs>
                <w:tab w:val="left" w:pos="0"/>
                <w:tab w:val="left" w:pos="210"/>
              </w:tabs>
              <w:spacing w:line="440" w:lineRule="exact"/>
              <w:ind w:left="17" w:leftChars="8" w:firstLine="348" w:firstLineChars="166"/>
              <w:jc w:val="center"/>
              <w:rPr>
                <w:rFonts w:cs="宋体"/>
                <w:color w:val="auto"/>
                <w:kern w:val="0"/>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pPr>
              <w:tabs>
                <w:tab w:val="left" w:pos="0"/>
                <w:tab w:val="left" w:pos="210"/>
              </w:tabs>
              <w:spacing w:line="440" w:lineRule="exact"/>
              <w:ind w:left="17" w:leftChars="8" w:firstLine="348" w:firstLineChars="166"/>
              <w:jc w:val="center"/>
              <w:rPr>
                <w:rFonts w:cs="宋体"/>
                <w:color w:val="auto"/>
                <w:kern w:val="0"/>
                <w:szCs w:val="21"/>
                <w:highlight w:val="none"/>
                <w:u w:val="none"/>
              </w:rPr>
            </w:pPr>
          </w:p>
        </w:tc>
        <w:tc>
          <w:tcPr>
            <w:tcW w:w="3783" w:type="dxa"/>
            <w:tcBorders>
              <w:top w:val="single" w:color="auto" w:sz="4" w:space="0"/>
              <w:left w:val="single" w:color="auto" w:sz="4" w:space="0"/>
              <w:bottom w:val="single" w:color="auto" w:sz="4" w:space="0"/>
              <w:right w:val="single" w:color="auto" w:sz="4" w:space="0"/>
            </w:tcBorders>
            <w:vAlign w:val="center"/>
          </w:tcPr>
          <w:p>
            <w:pPr>
              <w:tabs>
                <w:tab w:val="left" w:pos="0"/>
                <w:tab w:val="left" w:pos="210"/>
              </w:tabs>
              <w:spacing w:line="440" w:lineRule="exact"/>
              <w:ind w:left="17" w:leftChars="8" w:firstLine="348" w:firstLineChars="166"/>
              <w:jc w:val="center"/>
              <w:rPr>
                <w:rFonts w:cs="宋体"/>
                <w:color w:val="auto"/>
                <w:kern w:val="0"/>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pPr>
              <w:tabs>
                <w:tab w:val="left" w:pos="0"/>
                <w:tab w:val="left" w:pos="210"/>
              </w:tabs>
              <w:spacing w:line="440" w:lineRule="exact"/>
              <w:ind w:left="17" w:leftChars="8" w:firstLine="348" w:firstLineChars="166"/>
              <w:jc w:val="center"/>
              <w:rPr>
                <w:rFonts w:cs="宋体"/>
                <w:color w:val="auto"/>
                <w:kern w:val="0"/>
                <w:szCs w:val="21"/>
                <w:highlight w:val="none"/>
                <w:u w:val="none"/>
              </w:rPr>
            </w:pPr>
          </w:p>
        </w:tc>
        <w:tc>
          <w:tcPr>
            <w:tcW w:w="3783" w:type="dxa"/>
            <w:tcBorders>
              <w:top w:val="single" w:color="auto" w:sz="4" w:space="0"/>
              <w:left w:val="single" w:color="auto" w:sz="4" w:space="0"/>
              <w:bottom w:val="single" w:color="auto" w:sz="4" w:space="0"/>
              <w:right w:val="single" w:color="auto" w:sz="4" w:space="0"/>
            </w:tcBorders>
            <w:vAlign w:val="center"/>
          </w:tcPr>
          <w:p>
            <w:pPr>
              <w:tabs>
                <w:tab w:val="left" w:pos="0"/>
                <w:tab w:val="left" w:pos="210"/>
              </w:tabs>
              <w:spacing w:line="440" w:lineRule="exact"/>
              <w:ind w:left="17" w:leftChars="8" w:firstLine="348" w:firstLineChars="166"/>
              <w:jc w:val="center"/>
              <w:rPr>
                <w:rFonts w:cs="宋体"/>
                <w:color w:val="auto"/>
                <w:kern w:val="0"/>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pPr>
              <w:tabs>
                <w:tab w:val="left" w:pos="0"/>
                <w:tab w:val="left" w:pos="210"/>
              </w:tabs>
              <w:spacing w:line="440" w:lineRule="exact"/>
              <w:ind w:left="17" w:leftChars="8" w:firstLine="348" w:firstLineChars="166"/>
              <w:jc w:val="center"/>
              <w:rPr>
                <w:rFonts w:cs="宋体"/>
                <w:color w:val="auto"/>
                <w:szCs w:val="21"/>
                <w:highlight w:val="none"/>
                <w:u w:val="none"/>
              </w:rPr>
            </w:pPr>
          </w:p>
        </w:tc>
        <w:tc>
          <w:tcPr>
            <w:tcW w:w="3783" w:type="dxa"/>
            <w:tcBorders>
              <w:top w:val="single" w:color="auto" w:sz="4" w:space="0"/>
              <w:left w:val="single" w:color="auto" w:sz="4" w:space="0"/>
              <w:bottom w:val="single" w:color="auto" w:sz="4" w:space="0"/>
              <w:right w:val="single" w:color="auto" w:sz="4" w:space="0"/>
            </w:tcBorders>
            <w:vAlign w:val="center"/>
          </w:tcPr>
          <w:p>
            <w:pPr>
              <w:tabs>
                <w:tab w:val="left" w:pos="0"/>
                <w:tab w:val="left" w:pos="210"/>
              </w:tabs>
              <w:spacing w:line="440" w:lineRule="exact"/>
              <w:ind w:left="17" w:leftChars="8" w:firstLine="348" w:firstLineChars="166"/>
              <w:jc w:val="center"/>
              <w:rPr>
                <w:rFonts w:cs="宋体"/>
                <w:color w:val="auto"/>
                <w:kern w:val="0"/>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pPr>
              <w:tabs>
                <w:tab w:val="left" w:pos="0"/>
                <w:tab w:val="left" w:pos="210"/>
              </w:tabs>
              <w:spacing w:line="440" w:lineRule="exact"/>
              <w:ind w:left="17" w:leftChars="8" w:firstLine="348" w:firstLineChars="166"/>
              <w:jc w:val="center"/>
              <w:rPr>
                <w:rFonts w:hint="default" w:eastAsia="宋体" w:cs="宋体"/>
                <w:color w:val="auto"/>
                <w:szCs w:val="21"/>
                <w:highlight w:val="none"/>
                <w:u w:val="none"/>
                <w:lang w:val="en-US" w:eastAsia="zh-CN"/>
              </w:rPr>
            </w:pPr>
            <w:r>
              <w:rPr>
                <w:rFonts w:hint="eastAsia" w:cs="宋体"/>
                <w:color w:val="auto"/>
                <w:szCs w:val="21"/>
                <w:highlight w:val="none"/>
                <w:u w:val="none"/>
                <w:lang w:val="en-US" w:eastAsia="zh-CN"/>
              </w:rPr>
              <w:t>...</w:t>
            </w:r>
          </w:p>
        </w:tc>
        <w:tc>
          <w:tcPr>
            <w:tcW w:w="3783" w:type="dxa"/>
            <w:tcBorders>
              <w:top w:val="single" w:color="auto" w:sz="4" w:space="0"/>
              <w:left w:val="single" w:color="auto" w:sz="4" w:space="0"/>
              <w:bottom w:val="single" w:color="auto" w:sz="4" w:space="0"/>
              <w:right w:val="single" w:color="auto" w:sz="4" w:space="0"/>
            </w:tcBorders>
            <w:vAlign w:val="center"/>
          </w:tcPr>
          <w:p>
            <w:pPr>
              <w:tabs>
                <w:tab w:val="left" w:pos="0"/>
                <w:tab w:val="left" w:pos="210"/>
              </w:tabs>
              <w:spacing w:line="440" w:lineRule="exact"/>
              <w:ind w:left="17" w:leftChars="8" w:firstLine="348" w:firstLineChars="166"/>
              <w:jc w:val="center"/>
              <w:rPr>
                <w:rFonts w:hint="default" w:eastAsia="宋体" w:cs="宋体"/>
                <w:color w:val="auto"/>
                <w:kern w:val="0"/>
                <w:szCs w:val="21"/>
                <w:highlight w:val="none"/>
                <w:u w:val="none"/>
                <w:lang w:val="en-US" w:eastAsia="zh-CN"/>
              </w:rPr>
            </w:pPr>
            <w:r>
              <w:rPr>
                <w:rFonts w:hint="eastAsia" w:cs="宋体"/>
                <w:color w:val="auto"/>
                <w:kern w:val="0"/>
                <w:szCs w:val="21"/>
                <w:highlight w:val="none"/>
                <w:u w:val="none"/>
                <w:lang w:val="en-US" w:eastAsia="zh-CN"/>
              </w:rPr>
              <w:t>...</w:t>
            </w:r>
          </w:p>
        </w:tc>
      </w:tr>
    </w:tbl>
    <w:p>
      <w:pPr>
        <w:pStyle w:val="45"/>
        <w:tabs>
          <w:tab w:val="left" w:pos="0"/>
          <w:tab w:val="left" w:pos="210"/>
        </w:tabs>
        <w:spacing w:after="0" w:line="440" w:lineRule="exact"/>
        <w:ind w:left="17" w:leftChars="8" w:firstLine="398" w:firstLineChars="166"/>
        <w:jc w:val="left"/>
        <w:rPr>
          <w:rFonts w:ascii="宋体" w:eastAsia="宋体" w:cs="宋体"/>
          <w:color w:val="auto"/>
          <w:sz w:val="24"/>
          <w:szCs w:val="24"/>
          <w:highlight w:val="none"/>
          <w:u w:val="none"/>
        </w:rPr>
      </w:pPr>
      <w:r>
        <w:rPr>
          <w:rFonts w:hint="eastAsia" w:ascii="宋体" w:eastAsia="宋体" w:cs="宋体"/>
          <w:color w:val="auto"/>
          <w:sz w:val="24"/>
          <w:szCs w:val="24"/>
          <w:highlight w:val="none"/>
          <w:u w:val="none"/>
        </w:rPr>
        <w:t>3、在工程施工期间，拟投入的主要机械设备按按投标文件所附的《拟投入本工程施工的主要机械设备配备表》。</w:t>
      </w:r>
    </w:p>
    <w:p>
      <w:pPr>
        <w:pStyle w:val="45"/>
        <w:tabs>
          <w:tab w:val="left" w:pos="0"/>
          <w:tab w:val="left" w:pos="210"/>
        </w:tabs>
        <w:spacing w:after="0" w:line="440" w:lineRule="exact"/>
        <w:ind w:left="17" w:leftChars="8" w:firstLine="398" w:firstLineChars="166"/>
        <w:jc w:val="left"/>
        <w:rPr>
          <w:rFonts w:ascii="宋体" w:eastAsia="宋体" w:cs="宋体"/>
          <w:color w:val="auto"/>
          <w:sz w:val="24"/>
          <w:szCs w:val="24"/>
          <w:highlight w:val="none"/>
          <w:u w:val="none"/>
        </w:rPr>
      </w:pPr>
      <w:r>
        <w:rPr>
          <w:rFonts w:hint="eastAsia" w:ascii="宋体" w:eastAsia="宋体" w:cs="宋体"/>
          <w:color w:val="auto"/>
          <w:sz w:val="24"/>
          <w:szCs w:val="24"/>
          <w:highlight w:val="none"/>
          <w:u w:val="none"/>
        </w:rPr>
        <w:t>4、所选用的主要材料品牌符合招标文件的要求。</w:t>
      </w:r>
    </w:p>
    <w:p>
      <w:pPr>
        <w:pStyle w:val="45"/>
        <w:tabs>
          <w:tab w:val="left" w:pos="0"/>
          <w:tab w:val="left" w:pos="210"/>
        </w:tabs>
        <w:spacing w:after="0" w:line="440" w:lineRule="exact"/>
        <w:ind w:left="17" w:leftChars="8" w:firstLine="398" w:firstLineChars="166"/>
        <w:jc w:val="left"/>
        <w:rPr>
          <w:rFonts w:ascii="宋体" w:eastAsia="宋体" w:cs="宋体"/>
          <w:color w:val="auto"/>
          <w:sz w:val="24"/>
          <w:szCs w:val="24"/>
          <w:highlight w:val="none"/>
          <w:u w:val="none"/>
        </w:rPr>
      </w:pPr>
      <w:r>
        <w:rPr>
          <w:rFonts w:hint="eastAsia" w:ascii="宋体" w:eastAsia="宋体" w:cs="宋体"/>
          <w:color w:val="auto"/>
          <w:sz w:val="24"/>
          <w:szCs w:val="24"/>
          <w:highlight w:val="none"/>
          <w:u w:val="none"/>
        </w:rPr>
        <w:t>5、拟投入到本工程的主要技术人员、经济和管理人员按按投标文件所附的《施工项目管理团队人员信息表》。</w:t>
      </w:r>
    </w:p>
    <w:p>
      <w:pPr>
        <w:pStyle w:val="45"/>
        <w:tabs>
          <w:tab w:val="left" w:pos="0"/>
          <w:tab w:val="left" w:pos="210"/>
        </w:tabs>
        <w:spacing w:after="0" w:line="440" w:lineRule="exact"/>
        <w:ind w:left="17" w:leftChars="8" w:firstLine="398" w:firstLineChars="166"/>
        <w:jc w:val="left"/>
        <w:rPr>
          <w:rFonts w:ascii="宋体" w:eastAsia="宋体" w:cs="宋体"/>
          <w:color w:val="auto"/>
          <w:sz w:val="24"/>
          <w:szCs w:val="24"/>
          <w:highlight w:val="none"/>
          <w:u w:val="none"/>
        </w:rPr>
      </w:pPr>
      <w:r>
        <w:rPr>
          <w:rFonts w:hint="eastAsia" w:ascii="宋体" w:eastAsia="宋体" w:cs="宋体"/>
          <w:color w:val="auto"/>
          <w:sz w:val="24"/>
          <w:szCs w:val="24"/>
          <w:highlight w:val="none"/>
          <w:u w:val="none"/>
        </w:rPr>
        <w:t>6、我公司保证拟派项目负责人应符合《广州市住房和城乡建设局关于加强建筑工程项目负责人管理的通知》（穗建规字【2020】32号）文，将严格按照招标文件要求，自签订合同之日起至工程竣工验收将常驻现场，严格按照有关工程项目管理的要求进行项目管理，如果不能够按照此要求实施，我方自愿接受贵中心的制裁措施。</w:t>
      </w:r>
    </w:p>
    <w:p>
      <w:pPr>
        <w:pStyle w:val="45"/>
        <w:tabs>
          <w:tab w:val="left" w:pos="0"/>
          <w:tab w:val="left" w:pos="210"/>
        </w:tabs>
        <w:spacing w:after="0" w:line="440" w:lineRule="exact"/>
        <w:ind w:left="17" w:leftChars="8" w:firstLine="398" w:firstLineChars="166"/>
        <w:jc w:val="left"/>
        <w:rPr>
          <w:rFonts w:ascii="宋体" w:eastAsia="宋体" w:cs="宋体"/>
          <w:color w:val="auto"/>
          <w:sz w:val="24"/>
          <w:szCs w:val="24"/>
          <w:highlight w:val="none"/>
          <w:u w:val="none"/>
        </w:rPr>
      </w:pPr>
      <w:r>
        <w:rPr>
          <w:rFonts w:hint="eastAsia" w:ascii="宋体" w:eastAsia="宋体" w:cs="宋体"/>
          <w:color w:val="auto"/>
          <w:sz w:val="24"/>
          <w:szCs w:val="24"/>
          <w:highlight w:val="none"/>
          <w:u w:val="none"/>
        </w:rPr>
        <w:t>7、本工程施工过程中，我司将严格按照国家、省、市有关施工及验收规范、标准进行施工，确保本工程质量达到</w:t>
      </w:r>
      <w:r>
        <w:rPr>
          <w:rFonts w:hint="eastAsia" w:ascii="宋体" w:eastAsia="宋体" w:cs="宋体"/>
          <w:color w:val="auto"/>
          <w:sz w:val="24"/>
          <w:szCs w:val="24"/>
          <w:highlight w:val="none"/>
          <w:u w:val="single"/>
          <w:lang w:val="en-US" w:eastAsia="zh-CN"/>
        </w:rPr>
        <w:t xml:space="preserve"> </w:t>
      </w:r>
      <w:r>
        <w:rPr>
          <w:rFonts w:hint="eastAsia" w:ascii="宋体" w:eastAsia="宋体" w:cs="宋体"/>
          <w:b/>
          <w:bCs/>
          <w:color w:val="auto"/>
          <w:sz w:val="24"/>
          <w:szCs w:val="24"/>
          <w:highlight w:val="none"/>
          <w:u w:val="single"/>
          <w:lang w:val="en-US" w:eastAsia="zh-CN"/>
        </w:rPr>
        <w:t xml:space="preserve">      </w:t>
      </w:r>
      <w:r>
        <w:rPr>
          <w:rFonts w:hint="eastAsia" w:ascii="宋体" w:eastAsia="宋体" w:cs="宋体"/>
          <w:color w:val="auto"/>
          <w:sz w:val="24"/>
          <w:szCs w:val="24"/>
          <w:highlight w:val="none"/>
          <w:u w:val="single"/>
          <w:lang w:val="en-US" w:eastAsia="zh-CN"/>
        </w:rPr>
        <w:t xml:space="preserve"> </w:t>
      </w:r>
      <w:r>
        <w:rPr>
          <w:rFonts w:hint="eastAsia" w:ascii="宋体" w:eastAsia="宋体" w:cs="宋体"/>
          <w:color w:val="auto"/>
          <w:sz w:val="24"/>
          <w:szCs w:val="24"/>
          <w:highlight w:val="none"/>
          <w:u w:val="none"/>
        </w:rPr>
        <w:t>等级。</w:t>
      </w:r>
    </w:p>
    <w:p>
      <w:pPr>
        <w:pStyle w:val="45"/>
        <w:tabs>
          <w:tab w:val="left" w:pos="0"/>
          <w:tab w:val="left" w:pos="210"/>
        </w:tabs>
        <w:spacing w:after="0" w:line="440" w:lineRule="exact"/>
        <w:ind w:left="17" w:leftChars="8" w:firstLine="398" w:firstLineChars="166"/>
        <w:jc w:val="left"/>
        <w:rPr>
          <w:rFonts w:ascii="宋体" w:eastAsia="宋体" w:cs="宋体"/>
          <w:color w:val="auto"/>
          <w:sz w:val="24"/>
          <w:szCs w:val="24"/>
          <w:highlight w:val="none"/>
          <w:u w:val="none"/>
        </w:rPr>
      </w:pPr>
      <w:r>
        <w:rPr>
          <w:rFonts w:hint="eastAsia" w:ascii="宋体" w:eastAsia="宋体" w:cs="宋体"/>
          <w:color w:val="auto"/>
          <w:sz w:val="24"/>
          <w:szCs w:val="24"/>
          <w:highlight w:val="none"/>
          <w:u w:val="none"/>
        </w:rPr>
        <w:t>8、在确保工程质量的前提下，我司严格控制工程工期，确保工程在       天内完成。</w:t>
      </w:r>
    </w:p>
    <w:p>
      <w:pPr>
        <w:pStyle w:val="45"/>
        <w:tabs>
          <w:tab w:val="left" w:pos="0"/>
          <w:tab w:val="left" w:pos="210"/>
        </w:tabs>
        <w:spacing w:after="0" w:line="440" w:lineRule="exact"/>
        <w:ind w:left="17" w:leftChars="8" w:firstLine="398" w:firstLineChars="166"/>
        <w:jc w:val="left"/>
        <w:rPr>
          <w:rFonts w:ascii="宋体" w:eastAsia="宋体" w:cs="宋体"/>
          <w:color w:val="auto"/>
          <w:sz w:val="24"/>
          <w:szCs w:val="24"/>
          <w:highlight w:val="none"/>
          <w:u w:val="none"/>
        </w:rPr>
      </w:pPr>
      <w:r>
        <w:rPr>
          <w:rFonts w:hint="eastAsia" w:ascii="宋体" w:eastAsia="宋体" w:cs="宋体"/>
          <w:color w:val="auto"/>
          <w:sz w:val="24"/>
          <w:szCs w:val="24"/>
          <w:highlight w:val="none"/>
          <w:u w:val="none"/>
        </w:rPr>
        <w:t>9、严格按照国家、省、市有关安全生产、文明施工要求，积极制定安全生产、文明施工措施，并严格执行，确保施工中符合安全生产、文明施工要求。</w:t>
      </w:r>
    </w:p>
    <w:p>
      <w:pPr>
        <w:pStyle w:val="47"/>
        <w:tabs>
          <w:tab w:val="left" w:pos="420"/>
        </w:tabs>
        <w:spacing w:line="440" w:lineRule="exact"/>
        <w:ind w:left="17" w:leftChars="8" w:firstLine="460" w:firstLineChars="192"/>
        <w:rPr>
          <w:rFonts w:ascii="宋体" w:hAnsi="宋体"/>
          <w:snapToGrid/>
          <w:color w:val="auto"/>
          <w:kern w:val="2"/>
          <w:sz w:val="24"/>
          <w:szCs w:val="24"/>
          <w:highlight w:val="none"/>
          <w:u w:val="none"/>
        </w:rPr>
      </w:pPr>
      <w:r>
        <w:rPr>
          <w:rFonts w:hint="eastAsia" w:ascii="宋体" w:hAnsi="宋体"/>
          <w:snapToGrid/>
          <w:color w:val="auto"/>
          <w:kern w:val="2"/>
          <w:sz w:val="24"/>
          <w:szCs w:val="24"/>
          <w:highlight w:val="none"/>
          <w:u w:val="none"/>
        </w:rPr>
        <w:t>1</w:t>
      </w:r>
      <w:r>
        <w:rPr>
          <w:rFonts w:hint="eastAsia" w:ascii="宋体" w:hAnsi="宋体"/>
          <w:snapToGrid/>
          <w:color w:val="auto"/>
          <w:kern w:val="2"/>
          <w:sz w:val="24"/>
          <w:szCs w:val="24"/>
          <w:highlight w:val="none"/>
          <w:u w:val="none"/>
          <w:lang w:val="en-US" w:eastAsia="zh-CN"/>
        </w:rPr>
        <w:t>0</w:t>
      </w:r>
      <w:r>
        <w:rPr>
          <w:rFonts w:hint="eastAsia" w:ascii="宋体" w:hAnsi="宋体"/>
          <w:snapToGrid/>
          <w:color w:val="auto"/>
          <w:kern w:val="2"/>
          <w:sz w:val="24"/>
          <w:szCs w:val="24"/>
          <w:highlight w:val="none"/>
          <w:u w:val="none"/>
        </w:rPr>
        <w:t>、我司保证在中标后，严格按照 《广州市住房和城乡建设委员会关于印发&lt;广州市建筑施工实名制管理办法&gt;的通知》（穗建规字[2020]18号）、《关于印发广州市建设领域工人工资支付分帐管理实施细则的通知》（穗建规字[2020]37号）等最新规定及广州市黄埔区、开发区对应出台的相关文件规定办理建筑工地实名制管理和工人工资支付分帐管理事宜；加强对我司承包范围（含其专业分包、劳务分包范围）工人工资支付的管理，并对我司及其分包单位工人工资支付负总责，防止出现拖欠工人工资情况。若因违法转包、分包工程的或其他承包人原因导致相应工程出现拖欠工人工资情况的，我司将对拖欠工人工资承担清偿责任，对此引起的纠纷负全责，造成发包人损失（包括但不限于发包人因此而支付的赔偿款、律师费、诉讼费、保全费、公证费、鉴定费等）的，我司将承担全部责任。</w:t>
      </w:r>
    </w:p>
    <w:p>
      <w:pPr>
        <w:pStyle w:val="47"/>
        <w:spacing w:line="440" w:lineRule="exact"/>
        <w:ind w:firstLine="480" w:firstLineChars="200"/>
        <w:rPr>
          <w:rFonts w:ascii="宋体" w:hAnsi="宋体"/>
          <w:snapToGrid/>
          <w:color w:val="auto"/>
          <w:kern w:val="2"/>
          <w:sz w:val="24"/>
          <w:szCs w:val="24"/>
          <w:highlight w:val="none"/>
          <w:u w:val="none"/>
        </w:rPr>
      </w:pPr>
      <w:r>
        <w:rPr>
          <w:rFonts w:hint="eastAsia" w:ascii="宋体" w:hAnsi="宋体"/>
          <w:snapToGrid/>
          <w:color w:val="auto"/>
          <w:kern w:val="2"/>
          <w:sz w:val="24"/>
          <w:szCs w:val="24"/>
          <w:highlight w:val="none"/>
          <w:u w:val="none"/>
        </w:rPr>
        <w:t>1</w:t>
      </w:r>
      <w:r>
        <w:rPr>
          <w:rFonts w:hint="eastAsia" w:ascii="宋体" w:hAnsi="宋体"/>
          <w:snapToGrid/>
          <w:color w:val="auto"/>
          <w:kern w:val="2"/>
          <w:sz w:val="24"/>
          <w:szCs w:val="24"/>
          <w:highlight w:val="none"/>
          <w:u w:val="none"/>
          <w:lang w:val="en-US" w:eastAsia="zh-CN"/>
        </w:rPr>
        <w:t>1</w:t>
      </w:r>
      <w:r>
        <w:rPr>
          <w:rFonts w:hint="eastAsia" w:ascii="宋体" w:hAnsi="宋体"/>
          <w:snapToGrid/>
          <w:color w:val="auto"/>
          <w:kern w:val="2"/>
          <w:sz w:val="24"/>
          <w:szCs w:val="24"/>
          <w:highlight w:val="none"/>
          <w:u w:val="none"/>
        </w:rPr>
        <w:t>、我司保证在中标后，根据工程特点，编制本工程详细的施工组织设计和施工方案，并报监理和发包人审核批准，并严格按审批的意见和要求组织施工。</w:t>
      </w:r>
    </w:p>
    <w:p>
      <w:pPr>
        <w:pStyle w:val="47"/>
        <w:spacing w:line="440" w:lineRule="exact"/>
        <w:ind w:firstLine="480" w:firstLineChars="200"/>
        <w:rPr>
          <w:rFonts w:ascii="宋体" w:hAnsi="宋体"/>
          <w:snapToGrid/>
          <w:color w:val="auto"/>
          <w:kern w:val="2"/>
          <w:sz w:val="24"/>
          <w:szCs w:val="24"/>
          <w:highlight w:val="none"/>
          <w:u w:val="none"/>
        </w:rPr>
      </w:pPr>
      <w:r>
        <w:rPr>
          <w:rFonts w:hint="eastAsia" w:ascii="宋体" w:hAnsi="宋体"/>
          <w:snapToGrid/>
          <w:color w:val="auto"/>
          <w:kern w:val="2"/>
          <w:sz w:val="24"/>
          <w:szCs w:val="24"/>
          <w:highlight w:val="none"/>
          <w:u w:val="none"/>
        </w:rPr>
        <w:t>1</w:t>
      </w:r>
      <w:r>
        <w:rPr>
          <w:rFonts w:hint="eastAsia" w:ascii="宋体" w:hAnsi="宋体"/>
          <w:snapToGrid/>
          <w:color w:val="auto"/>
          <w:kern w:val="2"/>
          <w:sz w:val="24"/>
          <w:szCs w:val="24"/>
          <w:highlight w:val="none"/>
          <w:u w:val="none"/>
          <w:lang w:val="en-US" w:eastAsia="zh-CN"/>
        </w:rPr>
        <w:t>2</w:t>
      </w:r>
      <w:r>
        <w:rPr>
          <w:rFonts w:hint="eastAsia" w:ascii="宋体" w:hAnsi="宋体"/>
          <w:snapToGrid/>
          <w:color w:val="auto"/>
          <w:kern w:val="2"/>
          <w:sz w:val="24"/>
          <w:szCs w:val="24"/>
          <w:highlight w:val="none"/>
          <w:u w:val="none"/>
        </w:rPr>
        <w:t>、我司承诺积极响应并接受招标文件中合同专用专款关于合同价款的调整办法。</w:t>
      </w:r>
    </w:p>
    <w:p>
      <w:pPr>
        <w:pStyle w:val="47"/>
        <w:spacing w:line="440" w:lineRule="exact"/>
        <w:ind w:firstLine="480" w:firstLineChars="200"/>
        <w:rPr>
          <w:rFonts w:ascii="宋体" w:hAnsi="宋体"/>
          <w:color w:val="auto"/>
          <w:sz w:val="24"/>
          <w:szCs w:val="24"/>
          <w:highlight w:val="none"/>
          <w:u w:val="none"/>
        </w:rPr>
      </w:pPr>
      <w:r>
        <w:rPr>
          <w:rFonts w:hint="eastAsia" w:ascii="宋体" w:hAnsi="宋体"/>
          <w:snapToGrid/>
          <w:color w:val="auto"/>
          <w:kern w:val="2"/>
          <w:sz w:val="24"/>
          <w:szCs w:val="24"/>
          <w:highlight w:val="none"/>
          <w:u w:val="none"/>
        </w:rPr>
        <w:t>1</w:t>
      </w:r>
      <w:r>
        <w:rPr>
          <w:rFonts w:hint="eastAsia" w:ascii="宋体" w:hAnsi="宋体"/>
          <w:snapToGrid/>
          <w:color w:val="auto"/>
          <w:kern w:val="2"/>
          <w:sz w:val="24"/>
          <w:szCs w:val="24"/>
          <w:highlight w:val="none"/>
          <w:u w:val="none"/>
          <w:lang w:val="en-US" w:eastAsia="zh-CN"/>
        </w:rPr>
        <w:t>3</w:t>
      </w:r>
      <w:r>
        <w:rPr>
          <w:rFonts w:hint="eastAsia" w:ascii="宋体" w:hAnsi="宋体"/>
          <w:snapToGrid/>
          <w:color w:val="auto"/>
          <w:kern w:val="2"/>
          <w:sz w:val="24"/>
          <w:szCs w:val="24"/>
          <w:highlight w:val="none"/>
          <w:u w:val="none"/>
        </w:rPr>
        <w:t>、我司保证在中标后，施工现场严格按照《广州市建设工程文明施工管理规定》（广州市人民政府令62号）、《广州市建设工程现场文明施工管理办法》（穗建质[2008]937号）、《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加强规范建设施工现场围蔽的通知》（穗建质[2008]1008号）、广州市住房和城乡建设委员会关于《广州市建设工程绿色施工围蔽指导图集(V2.0试行版 )》(穂建质〔2020〕1号)、《关于进一步落实我区市政建设项目施工围蔽提升工作的通知》（穗埔建[2019]123号）、穗开建知发[2018]14号、广州开发区建设和交通局《关于在全区建设项目推广使用封闭式外脚手架金属防护网的通知》（房建工程及桥梁工程要求使用）及相关文件要求的标准实施。以上文件要求不一致的，以后发布文件为准，若相关部门发布有关施工现场管理及施工围蔽新规定的，按新规定执行。我司随时接受监理、业主、安监机构等相关部门监督和检查，对在检查中发现不符合安全文明施工要求的，无条件进行整改。如不及时按要求整改，发包人有权不支付安全文明施工措施费，或另行委托单位实施，所发生的费用在本工程施工措施费中扣除，如不足抵扣可在本工程承包工程款中扣除，同时我司接受发包人根据实际情况对我司作出的其他处罚措施。发包人可将情况上报建设行政主管部门，视情况追究我司有关责任，可对我司或项目责任人作不良行为记录。</w:t>
      </w:r>
    </w:p>
    <w:p>
      <w:pPr>
        <w:spacing w:line="440" w:lineRule="exact"/>
        <w:ind w:left="318"/>
        <w:rPr>
          <w:rFonts w:cs="宋体"/>
          <w:color w:val="auto"/>
          <w:sz w:val="24"/>
          <w:szCs w:val="24"/>
          <w:highlight w:val="none"/>
          <w:u w:val="none"/>
        </w:rPr>
      </w:pPr>
    </w:p>
    <w:p>
      <w:pPr>
        <w:spacing w:line="440" w:lineRule="exact"/>
        <w:ind w:left="315"/>
        <w:rPr>
          <w:rFonts w:cs="宋体"/>
          <w:color w:val="auto"/>
          <w:sz w:val="24"/>
          <w:szCs w:val="24"/>
          <w:highlight w:val="none"/>
          <w:u w:val="none"/>
        </w:rPr>
      </w:pPr>
    </w:p>
    <w:p>
      <w:pPr>
        <w:pStyle w:val="45"/>
        <w:spacing w:after="0" w:line="440" w:lineRule="exact"/>
        <w:ind w:firstLine="5040" w:firstLineChars="2100"/>
        <w:jc w:val="left"/>
        <w:rPr>
          <w:rFonts w:ascii="宋体" w:eastAsia="宋体" w:cs="宋体"/>
          <w:color w:val="auto"/>
          <w:sz w:val="24"/>
          <w:szCs w:val="24"/>
          <w:highlight w:val="none"/>
          <w:u w:val="none"/>
        </w:rPr>
      </w:pPr>
      <w:r>
        <w:rPr>
          <w:rFonts w:hint="eastAsia" w:ascii="宋体" w:eastAsia="宋体" w:cs="宋体"/>
          <w:color w:val="auto"/>
          <w:sz w:val="24"/>
          <w:szCs w:val="24"/>
          <w:highlight w:val="none"/>
          <w:u w:val="none"/>
        </w:rPr>
        <w:t>投标人：（公章）</w:t>
      </w:r>
    </w:p>
    <w:p>
      <w:pPr>
        <w:pStyle w:val="45"/>
        <w:spacing w:after="0" w:line="440" w:lineRule="exact"/>
        <w:jc w:val="right"/>
        <w:rPr>
          <w:rFonts w:ascii="宋体" w:eastAsia="宋体" w:cs="宋体"/>
          <w:color w:val="auto"/>
          <w:sz w:val="24"/>
          <w:szCs w:val="24"/>
          <w:highlight w:val="none"/>
          <w:u w:val="none"/>
        </w:rPr>
      </w:pPr>
      <w:r>
        <w:rPr>
          <w:rFonts w:hint="eastAsia" w:ascii="宋体" w:eastAsia="宋体" w:cs="宋体"/>
          <w:color w:val="auto"/>
          <w:sz w:val="24"/>
          <w:szCs w:val="24"/>
          <w:highlight w:val="none"/>
          <w:u w:val="none"/>
        </w:rPr>
        <w:t>法人代表或其授权代理人：（签名或盖章）</w:t>
      </w:r>
    </w:p>
    <w:p>
      <w:pPr>
        <w:pStyle w:val="45"/>
        <w:spacing w:after="0" w:line="440" w:lineRule="exact"/>
        <w:ind w:right="560" w:firstLine="5040" w:firstLineChars="2100"/>
        <w:rPr>
          <w:rFonts w:ascii="宋体" w:eastAsia="宋体" w:cs="宋体"/>
          <w:color w:val="auto"/>
          <w:sz w:val="24"/>
          <w:szCs w:val="24"/>
          <w:highlight w:val="none"/>
          <w:u w:val="none"/>
        </w:rPr>
      </w:pPr>
      <w:r>
        <w:rPr>
          <w:rFonts w:hint="eastAsia" w:ascii="宋体" w:eastAsia="宋体" w:cs="宋体"/>
          <w:color w:val="auto"/>
          <w:sz w:val="24"/>
          <w:szCs w:val="24"/>
          <w:highlight w:val="none"/>
          <w:u w:val="none"/>
        </w:rPr>
        <w:t xml:space="preserve">        年  月  日</w:t>
      </w:r>
    </w:p>
    <w:p>
      <w:pPr>
        <w:tabs>
          <w:tab w:val="left" w:pos="720"/>
        </w:tabs>
        <w:snapToGrid w:val="0"/>
        <w:spacing w:line="440" w:lineRule="exact"/>
        <w:rPr>
          <w:rFonts w:cs="宋体"/>
          <w:color w:val="auto"/>
          <w:sz w:val="24"/>
          <w:szCs w:val="24"/>
          <w:highlight w:val="none"/>
          <w:u w:val="single"/>
        </w:rPr>
      </w:pPr>
      <w:r>
        <w:rPr>
          <w:rFonts w:hint="eastAsia" w:cs="宋体"/>
          <w:color w:val="auto"/>
          <w:sz w:val="24"/>
          <w:szCs w:val="24"/>
          <w:highlight w:val="none"/>
          <w:u w:val="none"/>
        </w:rPr>
        <w:t>注：标函承诺书作为投标文件的“实质性响应”文件，投标人应如实填写，中标后必须按填报内容如期实施，否则按“弄虚作假骗取中标”处理。中标后，工程的监理单位将经常核验投标人是否按填报内容实施，行政管理机构也将随时抽查。</w:t>
      </w:r>
    </w:p>
    <w:p>
      <w:pPr>
        <w:pStyle w:val="4"/>
        <w:spacing w:before="0" w:beforeAutospacing="0" w:after="0" w:afterAutospacing="0"/>
        <w:rPr>
          <w:color w:val="auto"/>
          <w:highlight w:val="none"/>
        </w:rPr>
      </w:pPr>
      <w:bookmarkStart w:id="29" w:name="_Toc60070624"/>
      <w:bookmarkStart w:id="30" w:name="_Toc61541789"/>
    </w:p>
    <w:p>
      <w:pPr>
        <w:rPr>
          <w:rFonts w:hint="eastAsia"/>
          <w:color w:val="auto"/>
          <w:highlight w:val="none"/>
        </w:rPr>
      </w:pPr>
      <w:r>
        <w:rPr>
          <w:rFonts w:hint="eastAsia"/>
          <w:color w:val="auto"/>
          <w:highlight w:val="none"/>
        </w:rPr>
        <w:br w:type="page"/>
      </w:r>
    </w:p>
    <w:p>
      <w:pPr>
        <w:pStyle w:val="4"/>
        <w:spacing w:before="0" w:beforeAutospacing="0" w:after="0" w:afterAutospacing="0"/>
        <w:rPr>
          <w:color w:val="auto"/>
          <w:highlight w:val="none"/>
        </w:rPr>
      </w:pPr>
      <w:r>
        <w:rPr>
          <w:rFonts w:hint="eastAsia"/>
          <w:color w:val="auto"/>
          <w:highlight w:val="none"/>
        </w:rPr>
        <w:t>格式四</w:t>
      </w:r>
      <w:r>
        <w:rPr>
          <w:rFonts w:hint="eastAsia"/>
          <w:snapToGrid w:val="0"/>
          <w:color w:val="auto"/>
          <w:spacing w:val="4"/>
          <w:highlight w:val="none"/>
        </w:rPr>
        <w:t>：</w:t>
      </w:r>
      <w:bookmarkEnd w:id="29"/>
      <w:bookmarkEnd w:id="30"/>
    </w:p>
    <w:p>
      <w:pPr>
        <w:jc w:val="center"/>
        <w:rPr>
          <w:b/>
          <w:color w:val="auto"/>
          <w:sz w:val="36"/>
          <w:szCs w:val="36"/>
          <w:highlight w:val="none"/>
        </w:rPr>
      </w:pPr>
      <w:r>
        <w:rPr>
          <w:rFonts w:hint="eastAsia"/>
          <w:b/>
          <w:color w:val="auto"/>
          <w:sz w:val="36"/>
          <w:szCs w:val="36"/>
          <w:highlight w:val="none"/>
        </w:rPr>
        <w:t>项目负责人驻场承诺书</w:t>
      </w:r>
    </w:p>
    <w:p>
      <w:pPr>
        <w:pStyle w:val="23"/>
        <w:spacing w:after="0" w:line="336" w:lineRule="auto"/>
        <w:ind w:left="-2" w:leftChars="-1" w:firstLineChars="175"/>
        <w:jc w:val="center"/>
        <w:rPr>
          <w:rFonts w:ascii="宋体" w:hAnsi="宋体" w:cs="宋体"/>
          <w:color w:val="auto"/>
          <w:sz w:val="24"/>
          <w:szCs w:val="24"/>
          <w:highlight w:val="none"/>
          <w:u w:val="single"/>
        </w:rPr>
      </w:pPr>
    </w:p>
    <w:p>
      <w:pPr>
        <w:spacing w:line="400" w:lineRule="exact"/>
        <w:rPr>
          <w:rFonts w:cs="宋体"/>
          <w:color w:val="auto"/>
          <w:sz w:val="24"/>
          <w:szCs w:val="24"/>
          <w:highlight w:val="none"/>
          <w:u w:val="single"/>
        </w:rPr>
      </w:pPr>
      <w:r>
        <w:rPr>
          <w:rFonts w:hint="eastAsia" w:cs="宋体"/>
          <w:color w:val="auto"/>
          <w:sz w:val="24"/>
          <w:szCs w:val="24"/>
          <w:highlight w:val="none"/>
          <w:u w:val="single"/>
        </w:rPr>
        <w:t>致（业主）                                           ：</w:t>
      </w:r>
    </w:p>
    <w:p>
      <w:pPr>
        <w:spacing w:line="400" w:lineRule="exact"/>
        <w:rPr>
          <w:rFonts w:cs="宋体"/>
          <w:color w:val="auto"/>
          <w:sz w:val="24"/>
          <w:szCs w:val="24"/>
          <w:highlight w:val="none"/>
          <w:u w:val="single"/>
        </w:rPr>
      </w:pPr>
    </w:p>
    <w:p>
      <w:pPr>
        <w:spacing w:line="400" w:lineRule="exact"/>
        <w:ind w:firstLine="523" w:firstLineChars="218"/>
        <w:jc w:val="left"/>
        <w:rPr>
          <w:rFonts w:cs="宋体"/>
          <w:color w:val="auto"/>
          <w:sz w:val="24"/>
          <w:szCs w:val="24"/>
          <w:highlight w:val="none"/>
          <w:u w:val="single"/>
        </w:rPr>
      </w:pPr>
      <w:r>
        <w:rPr>
          <w:rFonts w:hint="eastAsia" w:cs="宋体"/>
          <w:color w:val="auto"/>
          <w:sz w:val="24"/>
          <w:szCs w:val="24"/>
          <w:highlight w:val="none"/>
          <w:u w:val="single"/>
        </w:rPr>
        <w:t xml:space="preserve">本人（姓名）              ，项目负责人证书注册编号：                       </w:t>
      </w:r>
    </w:p>
    <w:p>
      <w:pPr>
        <w:spacing w:line="400" w:lineRule="exact"/>
        <w:ind w:left="1"/>
        <w:jc w:val="left"/>
        <w:rPr>
          <w:rFonts w:cs="宋体"/>
          <w:color w:val="auto"/>
          <w:sz w:val="24"/>
          <w:szCs w:val="24"/>
          <w:highlight w:val="none"/>
          <w:u w:val="none"/>
        </w:rPr>
      </w:pPr>
      <w:r>
        <w:rPr>
          <w:rFonts w:hint="eastAsia" w:cs="宋体"/>
          <w:color w:val="auto"/>
          <w:sz w:val="24"/>
          <w:szCs w:val="24"/>
          <w:highlight w:val="none"/>
          <w:u w:val="single"/>
        </w:rPr>
        <w:t xml:space="preserve">受（投标人）                                                              委派，拟在（项目名称）                                                   </w:t>
      </w:r>
      <w:r>
        <w:rPr>
          <w:rFonts w:hint="eastAsia" w:cs="宋体"/>
          <w:color w:val="auto"/>
          <w:sz w:val="24"/>
          <w:szCs w:val="24"/>
          <w:highlight w:val="none"/>
          <w:u w:val="none"/>
        </w:rPr>
        <w:t>担任项目负责人一职。为加强本工程项目管理，保证我公司在中标后严格履行与业主签定的工程建设承包合同，圆满的完成本项工程，我愿就此做出以下承诺；</w:t>
      </w:r>
    </w:p>
    <w:p>
      <w:pPr>
        <w:spacing w:line="400" w:lineRule="exact"/>
        <w:ind w:firstLine="480" w:firstLineChars="200"/>
        <w:rPr>
          <w:rFonts w:cs="宋体"/>
          <w:color w:val="auto"/>
          <w:sz w:val="24"/>
          <w:szCs w:val="24"/>
          <w:highlight w:val="none"/>
          <w:u w:val="none"/>
        </w:rPr>
      </w:pPr>
      <w:r>
        <w:rPr>
          <w:rFonts w:hint="eastAsia" w:cs="宋体"/>
          <w:color w:val="auto"/>
          <w:sz w:val="24"/>
          <w:szCs w:val="24"/>
          <w:highlight w:val="none"/>
          <w:u w:val="none"/>
        </w:rPr>
        <w:t>1．本人作为公司选派的本项目的项目负责人，我保证自即日起至项目竣工并通过验收之日止，自始至终全过程常驻工地现场，代表我公司全面负责本工程现场组织，指挥，管理，协调等工作。并承诺在本项目完成后的合同责任保修期内，根据项目实际保修工作需要也能随时到场负责指挥，安排应做的保修工作。</w:t>
      </w:r>
    </w:p>
    <w:p>
      <w:pPr>
        <w:spacing w:line="400" w:lineRule="exact"/>
        <w:ind w:firstLine="480" w:firstLineChars="200"/>
        <w:rPr>
          <w:rFonts w:cs="宋体"/>
          <w:color w:val="auto"/>
          <w:sz w:val="24"/>
          <w:szCs w:val="24"/>
          <w:highlight w:val="none"/>
          <w:u w:val="none"/>
        </w:rPr>
      </w:pPr>
      <w:r>
        <w:rPr>
          <w:rFonts w:hint="eastAsia" w:cs="宋体"/>
          <w:color w:val="auto"/>
          <w:sz w:val="24"/>
          <w:szCs w:val="24"/>
          <w:highlight w:val="none"/>
          <w:u w:val="none"/>
        </w:rPr>
        <w:t>2．如果本招标工程我公司中标，我本人保证在工程签订合同之日起至工程竣工验收完成期间只担任此工程的项目经理，不参加其他任何工程的报名和任何工作，不在其他任何工程担任本职务。</w:t>
      </w:r>
    </w:p>
    <w:p>
      <w:pPr>
        <w:spacing w:line="400" w:lineRule="exact"/>
        <w:ind w:firstLine="480" w:firstLineChars="200"/>
        <w:rPr>
          <w:rFonts w:cs="宋体"/>
          <w:color w:val="auto"/>
          <w:sz w:val="24"/>
          <w:szCs w:val="24"/>
          <w:highlight w:val="none"/>
          <w:u w:val="none"/>
        </w:rPr>
      </w:pPr>
      <w:r>
        <w:rPr>
          <w:rFonts w:hint="eastAsia" w:cs="宋体"/>
          <w:color w:val="auto"/>
          <w:sz w:val="24"/>
          <w:szCs w:val="24"/>
          <w:highlight w:val="none"/>
          <w:u w:val="none"/>
        </w:rPr>
        <w:t>3．除非征得业主的书面批准，否则如果违背以上承诺，不能常驻施工现场，我自愿接受业主给予我本人的批评和处罚，并同意业主就此作为我个人的不良纪录进一步上报区行业主管部门，项目负责人证书注册、备案、审批机构，直至广州市住房和城乡建设局等有关部门并接受上述部门给予的通报和相关职能部门给予的扣证等处罚。</w:t>
      </w:r>
    </w:p>
    <w:p>
      <w:pPr>
        <w:spacing w:line="400" w:lineRule="exact"/>
        <w:ind w:firstLine="480" w:firstLineChars="200"/>
        <w:rPr>
          <w:rFonts w:cs="宋体"/>
          <w:color w:val="auto"/>
          <w:sz w:val="24"/>
          <w:szCs w:val="24"/>
          <w:highlight w:val="none"/>
          <w:u w:val="none"/>
        </w:rPr>
      </w:pPr>
      <w:r>
        <w:rPr>
          <w:rFonts w:hint="eastAsia" w:cs="宋体"/>
          <w:color w:val="auto"/>
          <w:sz w:val="24"/>
          <w:szCs w:val="24"/>
          <w:highlight w:val="none"/>
          <w:u w:val="none"/>
        </w:rPr>
        <w:t>4．项目负责人本人身份证扫描件和</w:t>
      </w:r>
      <w:r>
        <w:rPr>
          <w:rFonts w:hint="eastAsia" w:cs="宋体"/>
          <w:color w:val="auto"/>
          <w:sz w:val="24"/>
          <w:szCs w:val="24"/>
          <w:highlight w:val="none"/>
          <w:u w:val="none"/>
          <w:lang w:eastAsia="zh-CN"/>
        </w:rPr>
        <w:t>免冠</w:t>
      </w:r>
      <w:r>
        <w:rPr>
          <w:rFonts w:hint="eastAsia" w:cs="宋体"/>
          <w:color w:val="auto"/>
          <w:sz w:val="24"/>
          <w:szCs w:val="24"/>
          <w:highlight w:val="none"/>
          <w:u w:val="none"/>
        </w:rPr>
        <w:t>相片：</w:t>
      </w:r>
    </w:p>
    <w:p>
      <w:pPr>
        <w:spacing w:line="400" w:lineRule="exact"/>
        <w:rPr>
          <w:rFonts w:cs="宋体"/>
          <w:color w:val="auto"/>
          <w:sz w:val="24"/>
          <w:szCs w:val="24"/>
          <w:highlight w:val="none"/>
          <w:u w:val="none"/>
        </w:rPr>
      </w:pPr>
    </w:p>
    <w:tbl>
      <w:tblPr>
        <w:tblStyle w:val="25"/>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3"/>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6043" w:type="dxa"/>
            <w:tcBorders>
              <w:top w:val="single" w:color="auto" w:sz="4" w:space="0"/>
              <w:left w:val="single" w:color="auto" w:sz="4" w:space="0"/>
              <w:bottom w:val="single" w:color="auto" w:sz="4" w:space="0"/>
              <w:right w:val="single" w:color="auto" w:sz="4" w:space="0"/>
            </w:tcBorders>
          </w:tcPr>
          <w:p>
            <w:pPr>
              <w:pStyle w:val="5"/>
              <w:ind w:firstLine="0" w:firstLineChars="0"/>
              <w:rPr>
                <w:color w:val="auto"/>
                <w:highlight w:val="none"/>
                <w:u w:val="none"/>
              </w:rPr>
            </w:pPr>
          </w:p>
          <w:p>
            <w:pPr>
              <w:spacing w:line="400" w:lineRule="exact"/>
              <w:jc w:val="center"/>
              <w:rPr>
                <w:rFonts w:cs="宋体"/>
                <w:color w:val="auto"/>
                <w:szCs w:val="21"/>
                <w:highlight w:val="none"/>
                <w:u w:val="none"/>
              </w:rPr>
            </w:pPr>
            <w:r>
              <w:rPr>
                <w:rFonts w:hint="eastAsia" w:cs="宋体"/>
                <w:color w:val="auto"/>
                <w:szCs w:val="21"/>
                <w:highlight w:val="none"/>
                <w:u w:val="none"/>
              </w:rPr>
              <w:t>身份证扫描件</w:t>
            </w:r>
          </w:p>
        </w:tc>
        <w:tc>
          <w:tcPr>
            <w:tcW w:w="2492" w:type="dxa"/>
            <w:tcBorders>
              <w:top w:val="single" w:color="auto" w:sz="4" w:space="0"/>
              <w:left w:val="single" w:color="auto" w:sz="4" w:space="0"/>
              <w:bottom w:val="single" w:color="auto" w:sz="4" w:space="0"/>
              <w:right w:val="single" w:color="auto" w:sz="4" w:space="0"/>
            </w:tcBorders>
          </w:tcPr>
          <w:p>
            <w:pPr>
              <w:spacing w:line="400" w:lineRule="exact"/>
              <w:rPr>
                <w:rFonts w:cs="宋体"/>
                <w:color w:val="auto"/>
                <w:szCs w:val="21"/>
                <w:highlight w:val="none"/>
                <w:u w:val="none"/>
              </w:rPr>
            </w:pPr>
          </w:p>
          <w:p>
            <w:pPr>
              <w:spacing w:line="400" w:lineRule="exact"/>
              <w:jc w:val="center"/>
              <w:rPr>
                <w:rFonts w:cs="宋体"/>
                <w:color w:val="auto"/>
                <w:szCs w:val="21"/>
                <w:highlight w:val="none"/>
                <w:u w:val="none"/>
              </w:rPr>
            </w:pPr>
            <w:r>
              <w:rPr>
                <w:rFonts w:hint="eastAsia" w:cs="宋体"/>
                <w:color w:val="auto"/>
                <w:szCs w:val="21"/>
                <w:highlight w:val="none"/>
                <w:u w:val="none"/>
              </w:rPr>
              <w:t>相片</w:t>
            </w:r>
          </w:p>
        </w:tc>
      </w:tr>
    </w:tbl>
    <w:p>
      <w:pPr>
        <w:spacing w:line="400" w:lineRule="exact"/>
        <w:rPr>
          <w:rFonts w:cs="宋体"/>
          <w:color w:val="auto"/>
          <w:sz w:val="24"/>
          <w:szCs w:val="24"/>
          <w:highlight w:val="none"/>
          <w:u w:val="none"/>
        </w:rPr>
      </w:pPr>
    </w:p>
    <w:p>
      <w:pPr>
        <w:spacing w:line="400" w:lineRule="exact"/>
        <w:ind w:firstLine="3840" w:firstLineChars="1600"/>
        <w:rPr>
          <w:rFonts w:cs="宋体"/>
          <w:color w:val="auto"/>
          <w:sz w:val="24"/>
          <w:szCs w:val="24"/>
          <w:highlight w:val="none"/>
          <w:u w:val="none"/>
        </w:rPr>
      </w:pPr>
      <w:r>
        <w:rPr>
          <w:rFonts w:hint="eastAsia" w:cs="宋体"/>
          <w:color w:val="auto"/>
          <w:sz w:val="24"/>
          <w:szCs w:val="24"/>
          <w:highlight w:val="none"/>
          <w:u w:val="none"/>
        </w:rPr>
        <w:t>投标人：（盖章）</w:t>
      </w:r>
    </w:p>
    <w:p>
      <w:pPr>
        <w:spacing w:line="400" w:lineRule="exact"/>
        <w:ind w:firstLine="3840" w:firstLineChars="1600"/>
        <w:rPr>
          <w:rFonts w:cs="宋体"/>
          <w:color w:val="auto"/>
          <w:sz w:val="24"/>
          <w:szCs w:val="24"/>
          <w:highlight w:val="none"/>
          <w:u w:val="none"/>
        </w:rPr>
      </w:pPr>
      <w:r>
        <w:rPr>
          <w:rFonts w:hint="eastAsia" w:cs="宋体"/>
          <w:color w:val="auto"/>
          <w:sz w:val="24"/>
          <w:szCs w:val="24"/>
          <w:highlight w:val="none"/>
          <w:u w:val="none"/>
        </w:rPr>
        <w:t xml:space="preserve">项目负责人签名：                 </w:t>
      </w:r>
    </w:p>
    <w:p>
      <w:pPr>
        <w:tabs>
          <w:tab w:val="left" w:pos="720"/>
        </w:tabs>
        <w:snapToGrid w:val="0"/>
        <w:spacing w:line="400" w:lineRule="exact"/>
        <w:jc w:val="right"/>
        <w:rPr>
          <w:rFonts w:cs="宋体"/>
          <w:color w:val="auto"/>
          <w:sz w:val="24"/>
          <w:szCs w:val="24"/>
          <w:highlight w:val="none"/>
          <w:u w:val="none"/>
        </w:rPr>
      </w:pPr>
      <w:r>
        <w:rPr>
          <w:rFonts w:hint="eastAsia" w:cs="宋体"/>
          <w:color w:val="auto"/>
          <w:sz w:val="24"/>
          <w:szCs w:val="24"/>
          <w:highlight w:val="none"/>
          <w:u w:val="none"/>
        </w:rPr>
        <w:t xml:space="preserve">     年   月    日</w:t>
      </w:r>
    </w:p>
    <w:p>
      <w:pPr>
        <w:pStyle w:val="4"/>
        <w:spacing w:before="0" w:beforeAutospacing="0" w:after="0" w:afterAutospacing="0"/>
        <w:rPr>
          <w:color w:val="auto"/>
          <w:highlight w:val="none"/>
        </w:rPr>
      </w:pPr>
      <w:bookmarkStart w:id="31" w:name="_Toc60070625"/>
      <w:bookmarkStart w:id="32" w:name="_Toc61541790"/>
    </w:p>
    <w:p>
      <w:pPr>
        <w:pStyle w:val="4"/>
        <w:spacing w:before="0" w:beforeAutospacing="0" w:after="0" w:afterAutospacing="0"/>
        <w:rPr>
          <w:color w:val="auto"/>
          <w:highlight w:val="none"/>
        </w:rPr>
      </w:pPr>
      <w:r>
        <w:rPr>
          <w:rFonts w:hint="eastAsia"/>
          <w:color w:val="auto"/>
          <w:highlight w:val="none"/>
        </w:rPr>
        <w:t>格式五：</w:t>
      </w:r>
      <w:bookmarkEnd w:id="31"/>
      <w:bookmarkEnd w:id="32"/>
    </w:p>
    <w:p>
      <w:pPr>
        <w:widowControl/>
        <w:shd w:val="clear" w:color="auto" w:fill="FFFFFF"/>
        <w:spacing w:line="480" w:lineRule="exact"/>
        <w:ind w:firstLine="643" w:firstLineChars="200"/>
        <w:jc w:val="center"/>
        <w:rPr>
          <w:rFonts w:cs="宋体"/>
          <w:b/>
          <w:color w:val="auto"/>
          <w:kern w:val="0"/>
          <w:sz w:val="32"/>
          <w:szCs w:val="32"/>
          <w:highlight w:val="none"/>
          <w:lang w:bidi="ar"/>
        </w:rPr>
      </w:pPr>
      <w:r>
        <w:rPr>
          <w:rFonts w:hint="eastAsia" w:cs="宋体"/>
          <w:b/>
          <w:color w:val="auto"/>
          <w:kern w:val="0"/>
          <w:sz w:val="32"/>
          <w:szCs w:val="32"/>
          <w:highlight w:val="none"/>
          <w:lang w:bidi="ar"/>
        </w:rPr>
        <w:t>施工项目管理团队人员信息表</w:t>
      </w:r>
    </w:p>
    <w:p>
      <w:pPr>
        <w:widowControl/>
        <w:shd w:val="clear" w:color="auto" w:fill="FFFFFF"/>
        <w:ind w:firstLine="201" w:firstLineChars="200"/>
        <w:jc w:val="center"/>
        <w:rPr>
          <w:rFonts w:cs="宋体"/>
          <w:b/>
          <w:color w:val="auto"/>
          <w:kern w:val="0"/>
          <w:sz w:val="10"/>
          <w:szCs w:val="10"/>
          <w:highlight w:val="none"/>
          <w:lang w:bidi="ar"/>
        </w:rPr>
      </w:pPr>
    </w:p>
    <w:tbl>
      <w:tblPr>
        <w:tblStyle w:val="25"/>
        <w:tblW w:w="9038" w:type="dxa"/>
        <w:jc w:val="center"/>
        <w:tblLayout w:type="fixed"/>
        <w:tblCellMar>
          <w:top w:w="0" w:type="dxa"/>
          <w:left w:w="0" w:type="dxa"/>
          <w:bottom w:w="0" w:type="dxa"/>
          <w:right w:w="0" w:type="dxa"/>
        </w:tblCellMar>
      </w:tblPr>
      <w:tblGrid>
        <w:gridCol w:w="635"/>
        <w:gridCol w:w="1642"/>
        <w:gridCol w:w="2284"/>
        <w:gridCol w:w="1800"/>
        <w:gridCol w:w="2677"/>
      </w:tblGrid>
      <w:tr>
        <w:tblPrEx>
          <w:tblCellMar>
            <w:top w:w="0" w:type="dxa"/>
            <w:left w:w="0" w:type="dxa"/>
            <w:bottom w:w="0" w:type="dxa"/>
            <w:right w:w="0" w:type="dxa"/>
          </w:tblCellMar>
        </w:tblPrEx>
        <w:trPr>
          <w:trHeight w:val="491" w:hRule="atLeast"/>
          <w:jc w:val="center"/>
        </w:trPr>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b/>
                <w:color w:val="auto"/>
                <w:szCs w:val="21"/>
                <w:highlight w:val="none"/>
              </w:rPr>
            </w:pPr>
            <w:r>
              <w:rPr>
                <w:rFonts w:hint="eastAsia" w:cs="宋体"/>
                <w:b/>
                <w:color w:val="auto"/>
                <w:kern w:val="0"/>
                <w:szCs w:val="21"/>
                <w:highlight w:val="none"/>
                <w:lang w:bidi="ar"/>
              </w:rPr>
              <w:t>序号</w:t>
            </w:r>
          </w:p>
        </w:tc>
        <w:tc>
          <w:tcPr>
            <w:tcW w:w="1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b/>
                <w:color w:val="auto"/>
                <w:szCs w:val="21"/>
                <w:highlight w:val="none"/>
              </w:rPr>
            </w:pPr>
            <w:r>
              <w:rPr>
                <w:rFonts w:hint="eastAsia" w:cs="宋体"/>
                <w:b/>
                <w:color w:val="auto"/>
                <w:kern w:val="0"/>
                <w:szCs w:val="21"/>
                <w:highlight w:val="none"/>
                <w:lang w:bidi="ar"/>
              </w:rPr>
              <w:t>姓名</w:t>
            </w:r>
          </w:p>
        </w:tc>
        <w:tc>
          <w:tcPr>
            <w:tcW w:w="2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b/>
                <w:color w:val="auto"/>
                <w:szCs w:val="21"/>
                <w:highlight w:val="none"/>
              </w:rPr>
            </w:pPr>
            <w:r>
              <w:rPr>
                <w:rFonts w:hint="eastAsia" w:cs="宋体"/>
                <w:b/>
                <w:color w:val="auto"/>
                <w:kern w:val="0"/>
                <w:szCs w:val="21"/>
                <w:highlight w:val="none"/>
                <w:lang w:bidi="ar"/>
              </w:rPr>
              <w:t>岗位</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b/>
                <w:color w:val="auto"/>
                <w:szCs w:val="21"/>
                <w:highlight w:val="none"/>
              </w:rPr>
            </w:pPr>
            <w:r>
              <w:rPr>
                <w:rFonts w:hint="eastAsia" w:cs="宋体"/>
                <w:b/>
                <w:color w:val="auto"/>
                <w:kern w:val="0"/>
                <w:szCs w:val="21"/>
                <w:highlight w:val="none"/>
                <w:lang w:bidi="ar"/>
              </w:rPr>
              <w:t>职称</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b/>
                <w:color w:val="auto"/>
                <w:szCs w:val="21"/>
                <w:highlight w:val="none"/>
              </w:rPr>
            </w:pPr>
            <w:r>
              <w:rPr>
                <w:rFonts w:hint="eastAsia" w:cs="宋体"/>
                <w:b/>
                <w:color w:val="auto"/>
                <w:kern w:val="0"/>
                <w:szCs w:val="21"/>
                <w:highlight w:val="none"/>
                <w:lang w:bidi="ar"/>
              </w:rPr>
              <w:t>职称证书或资格证书编号</w:t>
            </w:r>
          </w:p>
        </w:tc>
      </w:tr>
      <w:tr>
        <w:tblPrEx>
          <w:tblCellMar>
            <w:top w:w="0" w:type="dxa"/>
            <w:left w:w="0" w:type="dxa"/>
            <w:bottom w:w="0" w:type="dxa"/>
            <w:right w:w="0" w:type="dxa"/>
          </w:tblCellMar>
        </w:tblPrEx>
        <w:trPr>
          <w:trHeight w:val="554"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color w:val="auto"/>
                <w:szCs w:val="21"/>
                <w:highlight w:val="none"/>
              </w:rPr>
            </w:pPr>
            <w:r>
              <w:rPr>
                <w:rFonts w:hint="eastAsia" w:cs="宋体"/>
                <w:color w:val="auto"/>
                <w:kern w:val="0"/>
                <w:szCs w:val="21"/>
                <w:highlight w:val="none"/>
                <w:lang w:bidi="ar"/>
              </w:rPr>
              <w:t>1</w:t>
            </w:r>
          </w:p>
        </w:tc>
        <w:tc>
          <w:tcPr>
            <w:tcW w:w="16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color w:val="auto"/>
                <w:szCs w:val="21"/>
                <w:highlight w:val="none"/>
              </w:rPr>
            </w:pPr>
          </w:p>
        </w:tc>
        <w:tc>
          <w:tcPr>
            <w:tcW w:w="22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color w:val="auto"/>
                <w:szCs w:val="21"/>
                <w:highlight w:val="none"/>
              </w:rPr>
            </w:pP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color w:val="auto"/>
                <w:szCs w:val="21"/>
                <w:highlight w:val="none"/>
              </w:rPr>
            </w:pPr>
          </w:p>
        </w:tc>
        <w:tc>
          <w:tcPr>
            <w:tcW w:w="2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color w:val="auto"/>
                <w:szCs w:val="21"/>
                <w:highlight w:val="none"/>
              </w:rPr>
            </w:pPr>
          </w:p>
        </w:tc>
      </w:tr>
      <w:tr>
        <w:tblPrEx>
          <w:tblCellMar>
            <w:top w:w="0" w:type="dxa"/>
            <w:left w:w="0" w:type="dxa"/>
            <w:bottom w:w="0" w:type="dxa"/>
            <w:right w:w="0" w:type="dxa"/>
          </w:tblCellMar>
        </w:tblPrEx>
        <w:trPr>
          <w:trHeight w:val="554"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color w:val="auto"/>
                <w:szCs w:val="21"/>
                <w:highlight w:val="none"/>
              </w:rPr>
            </w:pPr>
            <w:r>
              <w:rPr>
                <w:rFonts w:hint="eastAsia" w:cs="宋体"/>
                <w:color w:val="auto"/>
                <w:kern w:val="0"/>
                <w:szCs w:val="21"/>
                <w:highlight w:val="none"/>
                <w:lang w:bidi="ar"/>
              </w:rPr>
              <w:t>2</w:t>
            </w:r>
          </w:p>
        </w:tc>
        <w:tc>
          <w:tcPr>
            <w:tcW w:w="16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color w:val="auto"/>
                <w:szCs w:val="21"/>
                <w:highlight w:val="none"/>
              </w:rPr>
            </w:pPr>
          </w:p>
        </w:tc>
        <w:tc>
          <w:tcPr>
            <w:tcW w:w="22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color w:val="auto"/>
                <w:szCs w:val="21"/>
                <w:highlight w:val="none"/>
              </w:rPr>
            </w:pP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color w:val="auto"/>
                <w:szCs w:val="21"/>
                <w:highlight w:val="none"/>
              </w:rPr>
            </w:pPr>
          </w:p>
        </w:tc>
        <w:tc>
          <w:tcPr>
            <w:tcW w:w="2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color w:val="auto"/>
                <w:szCs w:val="21"/>
                <w:highlight w:val="none"/>
              </w:rPr>
            </w:pPr>
          </w:p>
        </w:tc>
      </w:tr>
      <w:tr>
        <w:tblPrEx>
          <w:tblCellMar>
            <w:top w:w="0" w:type="dxa"/>
            <w:left w:w="0" w:type="dxa"/>
            <w:bottom w:w="0" w:type="dxa"/>
            <w:right w:w="0" w:type="dxa"/>
          </w:tblCellMar>
        </w:tblPrEx>
        <w:trPr>
          <w:trHeight w:val="554"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color w:val="auto"/>
                <w:szCs w:val="21"/>
                <w:highlight w:val="none"/>
              </w:rPr>
            </w:pPr>
            <w:r>
              <w:rPr>
                <w:rFonts w:hint="eastAsia" w:cs="宋体"/>
                <w:color w:val="auto"/>
                <w:kern w:val="0"/>
                <w:szCs w:val="21"/>
                <w:highlight w:val="none"/>
                <w:lang w:bidi="ar"/>
              </w:rPr>
              <w:t>3</w:t>
            </w:r>
          </w:p>
        </w:tc>
        <w:tc>
          <w:tcPr>
            <w:tcW w:w="16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color w:val="auto"/>
                <w:szCs w:val="21"/>
                <w:highlight w:val="none"/>
              </w:rPr>
            </w:pPr>
          </w:p>
        </w:tc>
        <w:tc>
          <w:tcPr>
            <w:tcW w:w="22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color w:val="auto"/>
                <w:szCs w:val="21"/>
                <w:highlight w:val="none"/>
              </w:rPr>
            </w:pP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color w:val="auto"/>
                <w:szCs w:val="21"/>
                <w:highlight w:val="none"/>
              </w:rPr>
            </w:pPr>
          </w:p>
        </w:tc>
        <w:tc>
          <w:tcPr>
            <w:tcW w:w="2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color w:val="auto"/>
                <w:szCs w:val="21"/>
                <w:highlight w:val="none"/>
              </w:rPr>
            </w:pPr>
          </w:p>
        </w:tc>
      </w:tr>
      <w:tr>
        <w:tblPrEx>
          <w:tblCellMar>
            <w:top w:w="0" w:type="dxa"/>
            <w:left w:w="0" w:type="dxa"/>
            <w:bottom w:w="0" w:type="dxa"/>
            <w:right w:w="0" w:type="dxa"/>
          </w:tblCellMar>
        </w:tblPrEx>
        <w:trPr>
          <w:trHeight w:val="554"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color w:val="auto"/>
                <w:szCs w:val="21"/>
                <w:highlight w:val="none"/>
              </w:rPr>
            </w:pPr>
            <w:r>
              <w:rPr>
                <w:rFonts w:hint="eastAsia" w:cs="宋体"/>
                <w:color w:val="auto"/>
                <w:kern w:val="0"/>
                <w:szCs w:val="21"/>
                <w:highlight w:val="none"/>
                <w:lang w:bidi="ar"/>
              </w:rPr>
              <w:t>4</w:t>
            </w:r>
          </w:p>
        </w:tc>
        <w:tc>
          <w:tcPr>
            <w:tcW w:w="16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color w:val="auto"/>
                <w:szCs w:val="21"/>
                <w:highlight w:val="none"/>
              </w:rPr>
            </w:pPr>
          </w:p>
        </w:tc>
        <w:tc>
          <w:tcPr>
            <w:tcW w:w="22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color w:val="auto"/>
                <w:szCs w:val="21"/>
                <w:highlight w:val="none"/>
              </w:rPr>
            </w:pP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color w:val="auto"/>
                <w:szCs w:val="21"/>
                <w:highlight w:val="none"/>
              </w:rPr>
            </w:pPr>
          </w:p>
        </w:tc>
        <w:tc>
          <w:tcPr>
            <w:tcW w:w="2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color w:val="auto"/>
                <w:szCs w:val="21"/>
                <w:highlight w:val="none"/>
              </w:rPr>
            </w:pPr>
          </w:p>
        </w:tc>
      </w:tr>
      <w:tr>
        <w:tblPrEx>
          <w:tblCellMar>
            <w:top w:w="0" w:type="dxa"/>
            <w:left w:w="0" w:type="dxa"/>
            <w:bottom w:w="0" w:type="dxa"/>
            <w:right w:w="0" w:type="dxa"/>
          </w:tblCellMar>
        </w:tblPrEx>
        <w:trPr>
          <w:trHeight w:val="554"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color w:val="auto"/>
                <w:szCs w:val="21"/>
                <w:highlight w:val="none"/>
              </w:rPr>
            </w:pPr>
            <w:r>
              <w:rPr>
                <w:rFonts w:hint="eastAsia" w:cs="宋体"/>
                <w:color w:val="auto"/>
                <w:kern w:val="0"/>
                <w:szCs w:val="21"/>
                <w:highlight w:val="none"/>
                <w:lang w:bidi="ar"/>
              </w:rPr>
              <w:t>5</w:t>
            </w:r>
          </w:p>
        </w:tc>
        <w:tc>
          <w:tcPr>
            <w:tcW w:w="16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color w:val="auto"/>
                <w:szCs w:val="21"/>
                <w:highlight w:val="none"/>
              </w:rPr>
            </w:pPr>
          </w:p>
        </w:tc>
        <w:tc>
          <w:tcPr>
            <w:tcW w:w="22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color w:val="auto"/>
                <w:szCs w:val="21"/>
                <w:highlight w:val="none"/>
              </w:rPr>
            </w:pP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color w:val="auto"/>
                <w:szCs w:val="21"/>
                <w:highlight w:val="none"/>
              </w:rPr>
            </w:pPr>
          </w:p>
        </w:tc>
        <w:tc>
          <w:tcPr>
            <w:tcW w:w="2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color w:val="auto"/>
                <w:szCs w:val="21"/>
                <w:highlight w:val="none"/>
              </w:rPr>
            </w:pPr>
          </w:p>
        </w:tc>
      </w:tr>
      <w:tr>
        <w:tblPrEx>
          <w:tblCellMar>
            <w:top w:w="0" w:type="dxa"/>
            <w:left w:w="0" w:type="dxa"/>
            <w:bottom w:w="0" w:type="dxa"/>
            <w:right w:w="0" w:type="dxa"/>
          </w:tblCellMar>
        </w:tblPrEx>
        <w:trPr>
          <w:trHeight w:val="554"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color w:val="auto"/>
                <w:szCs w:val="21"/>
                <w:highlight w:val="none"/>
              </w:rPr>
            </w:pPr>
            <w:r>
              <w:rPr>
                <w:rFonts w:hint="eastAsia" w:cs="宋体"/>
                <w:color w:val="auto"/>
                <w:kern w:val="0"/>
                <w:szCs w:val="21"/>
                <w:highlight w:val="none"/>
                <w:lang w:bidi="ar"/>
              </w:rPr>
              <w:t>6</w:t>
            </w:r>
          </w:p>
        </w:tc>
        <w:tc>
          <w:tcPr>
            <w:tcW w:w="16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color w:val="auto"/>
                <w:szCs w:val="21"/>
                <w:highlight w:val="none"/>
              </w:rPr>
            </w:pPr>
          </w:p>
        </w:tc>
        <w:tc>
          <w:tcPr>
            <w:tcW w:w="22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7"/>
              <w:jc w:val="center"/>
              <w:rPr>
                <w:rFonts w:ascii="宋体" w:hAnsi="宋体" w:cs="宋体"/>
                <w:color w:val="auto"/>
                <w:kern w:val="2"/>
                <w:sz w:val="21"/>
                <w:szCs w:val="22"/>
                <w:highlight w:val="none"/>
              </w:rPr>
            </w:pP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color w:val="auto"/>
                <w:szCs w:val="21"/>
                <w:highlight w:val="none"/>
              </w:rPr>
            </w:pPr>
          </w:p>
        </w:tc>
        <w:tc>
          <w:tcPr>
            <w:tcW w:w="2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color w:val="auto"/>
                <w:szCs w:val="21"/>
                <w:highlight w:val="none"/>
              </w:rPr>
            </w:pPr>
          </w:p>
        </w:tc>
      </w:tr>
      <w:tr>
        <w:tblPrEx>
          <w:tblCellMar>
            <w:top w:w="0" w:type="dxa"/>
            <w:left w:w="0" w:type="dxa"/>
            <w:bottom w:w="0" w:type="dxa"/>
            <w:right w:w="0" w:type="dxa"/>
          </w:tblCellMar>
        </w:tblPrEx>
        <w:trPr>
          <w:trHeight w:val="554"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color w:val="auto"/>
                <w:szCs w:val="21"/>
                <w:highlight w:val="none"/>
              </w:rPr>
            </w:pPr>
            <w:r>
              <w:rPr>
                <w:rFonts w:hint="eastAsia" w:cs="宋体"/>
                <w:color w:val="auto"/>
                <w:kern w:val="0"/>
                <w:szCs w:val="21"/>
                <w:highlight w:val="none"/>
                <w:lang w:bidi="ar"/>
              </w:rPr>
              <w:t>7</w:t>
            </w:r>
          </w:p>
        </w:tc>
        <w:tc>
          <w:tcPr>
            <w:tcW w:w="16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color w:val="auto"/>
                <w:szCs w:val="21"/>
                <w:highlight w:val="none"/>
              </w:rPr>
            </w:pPr>
          </w:p>
        </w:tc>
        <w:tc>
          <w:tcPr>
            <w:tcW w:w="22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color w:val="auto"/>
                <w:szCs w:val="21"/>
                <w:highlight w:val="none"/>
              </w:rPr>
            </w:pP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color w:val="auto"/>
                <w:szCs w:val="21"/>
                <w:highlight w:val="none"/>
              </w:rPr>
            </w:pPr>
          </w:p>
        </w:tc>
        <w:tc>
          <w:tcPr>
            <w:tcW w:w="2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color w:val="auto"/>
                <w:szCs w:val="21"/>
                <w:highlight w:val="none"/>
              </w:rPr>
            </w:pPr>
          </w:p>
        </w:tc>
      </w:tr>
      <w:tr>
        <w:tblPrEx>
          <w:tblCellMar>
            <w:top w:w="0" w:type="dxa"/>
            <w:left w:w="0" w:type="dxa"/>
            <w:bottom w:w="0" w:type="dxa"/>
            <w:right w:w="0" w:type="dxa"/>
          </w:tblCellMar>
        </w:tblPrEx>
        <w:trPr>
          <w:trHeight w:val="554"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color w:val="auto"/>
                <w:szCs w:val="21"/>
                <w:highlight w:val="none"/>
              </w:rPr>
            </w:pPr>
            <w:r>
              <w:rPr>
                <w:rFonts w:hint="eastAsia" w:cs="宋体"/>
                <w:color w:val="auto"/>
                <w:szCs w:val="21"/>
                <w:highlight w:val="none"/>
              </w:rPr>
              <w:t>8</w:t>
            </w:r>
          </w:p>
        </w:tc>
        <w:tc>
          <w:tcPr>
            <w:tcW w:w="16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color w:val="auto"/>
                <w:szCs w:val="21"/>
                <w:highlight w:val="none"/>
              </w:rPr>
            </w:pPr>
          </w:p>
        </w:tc>
        <w:tc>
          <w:tcPr>
            <w:tcW w:w="22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color w:val="auto"/>
                <w:szCs w:val="21"/>
                <w:highlight w:val="none"/>
              </w:rPr>
            </w:pP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color w:val="auto"/>
                <w:szCs w:val="21"/>
                <w:highlight w:val="none"/>
              </w:rPr>
            </w:pPr>
          </w:p>
        </w:tc>
        <w:tc>
          <w:tcPr>
            <w:tcW w:w="2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color w:val="auto"/>
                <w:szCs w:val="21"/>
                <w:highlight w:val="none"/>
              </w:rPr>
            </w:pPr>
          </w:p>
        </w:tc>
      </w:tr>
      <w:tr>
        <w:tblPrEx>
          <w:tblCellMar>
            <w:top w:w="0" w:type="dxa"/>
            <w:left w:w="0" w:type="dxa"/>
            <w:bottom w:w="0" w:type="dxa"/>
            <w:right w:w="0" w:type="dxa"/>
          </w:tblCellMar>
        </w:tblPrEx>
        <w:trPr>
          <w:trHeight w:val="554"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color w:val="auto"/>
                <w:szCs w:val="21"/>
                <w:highlight w:val="none"/>
              </w:rPr>
            </w:pPr>
            <w:r>
              <w:rPr>
                <w:rFonts w:hint="eastAsia" w:cs="宋体"/>
                <w:color w:val="auto"/>
                <w:kern w:val="0"/>
                <w:szCs w:val="21"/>
                <w:highlight w:val="none"/>
                <w:lang w:bidi="ar"/>
              </w:rPr>
              <w:t>……</w:t>
            </w:r>
          </w:p>
        </w:tc>
        <w:tc>
          <w:tcPr>
            <w:tcW w:w="16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color w:val="auto"/>
                <w:szCs w:val="21"/>
                <w:highlight w:val="none"/>
              </w:rPr>
            </w:pPr>
          </w:p>
        </w:tc>
        <w:tc>
          <w:tcPr>
            <w:tcW w:w="22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color w:val="auto"/>
                <w:szCs w:val="21"/>
                <w:highlight w:val="none"/>
              </w:rPr>
            </w:pP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color w:val="auto"/>
                <w:szCs w:val="21"/>
                <w:highlight w:val="none"/>
              </w:rPr>
            </w:pPr>
          </w:p>
        </w:tc>
        <w:tc>
          <w:tcPr>
            <w:tcW w:w="2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color w:val="auto"/>
                <w:szCs w:val="21"/>
                <w:highlight w:val="none"/>
              </w:rPr>
            </w:pPr>
          </w:p>
        </w:tc>
      </w:tr>
      <w:tr>
        <w:tblPrEx>
          <w:tblCellMar>
            <w:top w:w="0" w:type="dxa"/>
            <w:left w:w="0" w:type="dxa"/>
            <w:bottom w:w="0" w:type="dxa"/>
            <w:right w:w="0" w:type="dxa"/>
          </w:tblCellMar>
        </w:tblPrEx>
        <w:trPr>
          <w:trHeight w:val="3644" w:hRule="atLeast"/>
          <w:jc w:val="center"/>
        </w:trPr>
        <w:tc>
          <w:tcPr>
            <w:tcW w:w="903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Style w:val="48"/>
                <w:rFonts w:hint="eastAsia" w:ascii="宋体" w:hAnsi="宋体" w:eastAsia="宋体" w:cs="宋体"/>
                <w:color w:val="auto"/>
                <w:sz w:val="21"/>
                <w:szCs w:val="21"/>
                <w:highlight w:val="none"/>
                <w:lang w:eastAsia="zh-CN" w:bidi="ar"/>
              </w:rPr>
            </w:pPr>
            <w:r>
              <w:rPr>
                <w:rStyle w:val="48"/>
                <w:rFonts w:hint="default" w:ascii="宋体" w:hAnsi="宋体" w:eastAsia="宋体" w:cs="宋体"/>
                <w:color w:val="auto"/>
                <w:sz w:val="21"/>
                <w:szCs w:val="21"/>
                <w:highlight w:val="none"/>
                <w:lang w:bidi="ar"/>
              </w:rPr>
              <w:t>备注：</w:t>
            </w:r>
          </w:p>
          <w:p>
            <w:pPr>
              <w:widowControl/>
              <w:jc w:val="left"/>
              <w:textAlignment w:val="center"/>
              <w:rPr>
                <w:rStyle w:val="48"/>
                <w:rFonts w:hint="eastAsia" w:ascii="宋体" w:hAnsi="宋体" w:eastAsia="宋体" w:cs="宋体"/>
                <w:color w:val="auto"/>
                <w:sz w:val="21"/>
                <w:szCs w:val="21"/>
                <w:highlight w:val="none"/>
                <w:lang w:eastAsia="zh-CN" w:bidi="ar"/>
              </w:rPr>
            </w:pPr>
            <w:r>
              <w:rPr>
                <w:rStyle w:val="48"/>
                <w:rFonts w:hint="default" w:ascii="宋体" w:hAnsi="宋体" w:eastAsia="宋体" w:cs="宋体"/>
                <w:color w:val="auto"/>
                <w:sz w:val="21"/>
                <w:szCs w:val="21"/>
                <w:highlight w:val="none"/>
                <w:lang w:bidi="ar"/>
              </w:rPr>
              <w:t>1、“岗位”要求</w:t>
            </w:r>
            <w:r>
              <w:rPr>
                <w:rStyle w:val="49"/>
                <w:rFonts w:hint="default" w:cs="宋体"/>
                <w:color w:val="auto"/>
                <w:sz w:val="21"/>
                <w:szCs w:val="21"/>
                <w:highlight w:val="none"/>
                <w:lang w:bidi="ar"/>
              </w:rPr>
              <w:t>（除项目负责人和专职安全员外）</w:t>
            </w:r>
            <w:r>
              <w:rPr>
                <w:rStyle w:val="48"/>
                <w:rFonts w:hint="default" w:ascii="宋体" w:hAnsi="宋体" w:eastAsia="宋体" w:cs="宋体"/>
                <w:color w:val="auto"/>
                <w:sz w:val="21"/>
                <w:szCs w:val="21"/>
                <w:highlight w:val="none"/>
                <w:lang w:bidi="ar"/>
              </w:rPr>
              <w:t>由招标人根据项目管理需要在本表备注中明确提出，如：拟派驻施工现场的指挥长、技术负责人、质量负责人、安全负责人、造价负责人、</w:t>
            </w:r>
            <w:r>
              <w:rPr>
                <w:rStyle w:val="48"/>
                <w:rFonts w:hint="eastAsia" w:ascii="宋体" w:hAnsi="宋体" w:eastAsia="宋体" w:cs="宋体"/>
                <w:color w:val="auto"/>
                <w:sz w:val="21"/>
                <w:szCs w:val="21"/>
                <w:highlight w:val="none"/>
                <w:lang w:val="en-US" w:eastAsia="zh-CN" w:bidi="ar"/>
              </w:rPr>
              <w:t>深化设计负责人</w:t>
            </w:r>
            <w:r>
              <w:rPr>
                <w:rStyle w:val="48"/>
                <w:rFonts w:hint="default" w:ascii="宋体" w:hAnsi="宋体" w:eastAsia="宋体" w:cs="宋体"/>
                <w:color w:val="auto"/>
                <w:sz w:val="21"/>
                <w:szCs w:val="21"/>
                <w:highlight w:val="none"/>
                <w:lang w:bidi="ar"/>
              </w:rPr>
              <w:t>、</w:t>
            </w:r>
            <w:r>
              <w:rPr>
                <w:rStyle w:val="48"/>
                <w:rFonts w:hint="eastAsia" w:ascii="宋体" w:hAnsi="宋体" w:eastAsia="宋体" w:cs="宋体"/>
                <w:color w:val="auto"/>
                <w:sz w:val="21"/>
                <w:szCs w:val="21"/>
                <w:highlight w:val="none"/>
                <w:lang w:val="en-US" w:eastAsia="zh-CN" w:bidi="ar"/>
              </w:rPr>
              <w:t>装修专业工程师</w:t>
            </w:r>
            <w:r>
              <w:rPr>
                <w:rStyle w:val="48"/>
                <w:rFonts w:hint="default" w:ascii="宋体" w:hAnsi="宋体" w:eastAsia="宋体" w:cs="宋体"/>
                <w:color w:val="auto"/>
                <w:sz w:val="21"/>
                <w:szCs w:val="21"/>
                <w:highlight w:val="none"/>
                <w:lang w:bidi="ar"/>
              </w:rPr>
              <w:t>、</w:t>
            </w:r>
            <w:r>
              <w:rPr>
                <w:rStyle w:val="48"/>
                <w:rFonts w:hint="eastAsia" w:ascii="宋体" w:hAnsi="宋体" w:eastAsia="宋体" w:cs="宋体"/>
                <w:color w:val="auto"/>
                <w:sz w:val="21"/>
                <w:szCs w:val="21"/>
                <w:highlight w:val="none"/>
                <w:lang w:val="en-US" w:eastAsia="zh-CN" w:bidi="ar"/>
              </w:rPr>
              <w:t>电气专业工程师、</w:t>
            </w:r>
            <w:r>
              <w:rPr>
                <w:rStyle w:val="48"/>
                <w:rFonts w:hint="default" w:ascii="宋体" w:hAnsi="宋体" w:eastAsia="宋体" w:cs="宋体"/>
                <w:color w:val="auto"/>
                <w:sz w:val="21"/>
                <w:szCs w:val="21"/>
                <w:highlight w:val="none"/>
                <w:lang w:bidi="ar"/>
              </w:rPr>
              <w:t>给排水</w:t>
            </w:r>
            <w:r>
              <w:rPr>
                <w:rStyle w:val="48"/>
                <w:rFonts w:hint="eastAsia" w:ascii="宋体" w:hAnsi="宋体" w:eastAsia="宋体" w:cs="宋体"/>
                <w:color w:val="auto"/>
                <w:sz w:val="21"/>
                <w:szCs w:val="21"/>
                <w:highlight w:val="none"/>
                <w:lang w:val="en-US" w:eastAsia="zh-CN" w:bidi="ar"/>
              </w:rPr>
              <w:t>专业</w:t>
            </w:r>
            <w:r>
              <w:rPr>
                <w:rStyle w:val="48"/>
                <w:rFonts w:hint="default" w:ascii="宋体" w:hAnsi="宋体" w:eastAsia="宋体" w:cs="宋体"/>
                <w:color w:val="auto"/>
                <w:sz w:val="21"/>
                <w:szCs w:val="21"/>
                <w:highlight w:val="none"/>
                <w:lang w:bidi="ar"/>
              </w:rPr>
              <w:t>工程师、造价</w:t>
            </w:r>
            <w:r>
              <w:rPr>
                <w:rStyle w:val="48"/>
                <w:rFonts w:hint="eastAsia" w:ascii="宋体" w:hAnsi="宋体" w:eastAsia="宋体" w:cs="宋体"/>
                <w:color w:val="auto"/>
                <w:sz w:val="21"/>
                <w:szCs w:val="21"/>
                <w:highlight w:val="none"/>
                <w:lang w:val="en-US" w:eastAsia="zh-CN" w:bidi="ar"/>
              </w:rPr>
              <w:t>专业</w:t>
            </w:r>
            <w:r>
              <w:rPr>
                <w:rStyle w:val="48"/>
                <w:rFonts w:hint="default" w:ascii="宋体" w:hAnsi="宋体" w:eastAsia="宋体" w:cs="宋体"/>
                <w:color w:val="auto"/>
                <w:sz w:val="21"/>
                <w:szCs w:val="21"/>
                <w:highlight w:val="none"/>
                <w:lang w:bidi="ar"/>
              </w:rPr>
              <w:t>工程师、</w:t>
            </w:r>
            <w:r>
              <w:rPr>
                <w:rStyle w:val="48"/>
                <w:rFonts w:hint="eastAsia" w:ascii="宋体" w:hAnsi="宋体" w:eastAsia="宋体" w:cs="宋体"/>
                <w:color w:val="auto"/>
                <w:sz w:val="21"/>
                <w:szCs w:val="21"/>
                <w:highlight w:val="none"/>
                <w:lang w:val="en-US" w:eastAsia="zh-CN" w:bidi="ar"/>
              </w:rPr>
              <w:t>安全专业工程师</w:t>
            </w:r>
            <w:r>
              <w:rPr>
                <w:rStyle w:val="48"/>
                <w:rFonts w:hint="default" w:ascii="宋体" w:hAnsi="宋体" w:eastAsia="宋体" w:cs="宋体"/>
                <w:color w:val="auto"/>
                <w:sz w:val="21"/>
                <w:szCs w:val="21"/>
                <w:highlight w:val="none"/>
                <w:lang w:bidi="ar"/>
              </w:rPr>
              <w:t>、</w:t>
            </w:r>
            <w:r>
              <w:rPr>
                <w:rStyle w:val="48"/>
                <w:rFonts w:hint="eastAsia" w:ascii="宋体" w:hAnsi="宋体" w:eastAsia="宋体" w:cs="宋体"/>
                <w:color w:val="auto"/>
                <w:sz w:val="21"/>
                <w:szCs w:val="21"/>
                <w:highlight w:val="none"/>
                <w:lang w:val="en-US" w:eastAsia="zh-CN" w:bidi="ar"/>
              </w:rPr>
              <w:t>深化设计师、</w:t>
            </w:r>
            <w:r>
              <w:rPr>
                <w:rStyle w:val="48"/>
                <w:rFonts w:hint="default" w:ascii="宋体" w:hAnsi="宋体" w:eastAsia="宋体" w:cs="宋体"/>
                <w:color w:val="auto"/>
                <w:sz w:val="21"/>
                <w:szCs w:val="21"/>
                <w:highlight w:val="none"/>
                <w:lang w:bidi="ar"/>
              </w:rPr>
              <w:t>施工员、质量员、安全员、资料员等。以上项目管理团队人员信息将由交易系统提取后供各相关单位在履约时比对、查核。</w:t>
            </w:r>
          </w:p>
          <w:p>
            <w:pPr>
              <w:widowControl/>
              <w:jc w:val="left"/>
              <w:textAlignment w:val="center"/>
              <w:rPr>
                <w:rStyle w:val="48"/>
                <w:rFonts w:hint="eastAsia" w:ascii="宋体" w:hAnsi="宋体" w:eastAsia="宋体" w:cs="宋体"/>
                <w:color w:val="auto"/>
                <w:sz w:val="21"/>
                <w:szCs w:val="21"/>
                <w:highlight w:val="none"/>
                <w:lang w:eastAsia="zh-CN" w:bidi="ar"/>
              </w:rPr>
            </w:pPr>
            <w:r>
              <w:rPr>
                <w:rStyle w:val="48"/>
                <w:rFonts w:hint="default" w:ascii="宋体" w:hAnsi="宋体" w:eastAsia="宋体" w:cs="宋体"/>
                <w:color w:val="auto"/>
                <w:sz w:val="21"/>
                <w:szCs w:val="21"/>
                <w:highlight w:val="none"/>
                <w:lang w:bidi="ar"/>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pPr>
              <w:widowControl/>
              <w:jc w:val="left"/>
              <w:textAlignment w:val="center"/>
              <w:rPr>
                <w:rFonts w:cs="宋体"/>
                <w:color w:val="auto"/>
                <w:szCs w:val="21"/>
                <w:highlight w:val="none"/>
              </w:rPr>
            </w:pPr>
            <w:r>
              <w:rPr>
                <w:rStyle w:val="48"/>
                <w:rFonts w:hint="default" w:ascii="宋体" w:hAnsi="宋体" w:eastAsia="宋体" w:cs="宋体"/>
                <w:color w:val="auto"/>
                <w:sz w:val="21"/>
                <w:szCs w:val="21"/>
                <w:highlight w:val="none"/>
                <w:lang w:bidi="ar"/>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pPr>
        <w:pStyle w:val="32"/>
        <w:ind w:firstLine="3161" w:firstLineChars="1450"/>
        <w:rPr>
          <w:rFonts w:hint="default" w:cs="宋体"/>
          <w:color w:val="auto"/>
          <w:sz w:val="21"/>
          <w:szCs w:val="21"/>
          <w:highlight w:val="none"/>
        </w:rPr>
      </w:pPr>
      <w:r>
        <w:rPr>
          <w:rFonts w:cs="宋体"/>
          <w:color w:val="auto"/>
          <w:sz w:val="21"/>
          <w:szCs w:val="21"/>
          <w:highlight w:val="none"/>
        </w:rPr>
        <w:t>投标人：　　（盖章）</w:t>
      </w:r>
    </w:p>
    <w:p>
      <w:pPr>
        <w:pStyle w:val="32"/>
        <w:ind w:firstLine="3161" w:firstLineChars="1450"/>
        <w:rPr>
          <w:rFonts w:hint="default" w:cs="宋体"/>
          <w:color w:val="auto"/>
          <w:sz w:val="21"/>
          <w:szCs w:val="21"/>
          <w:highlight w:val="none"/>
        </w:rPr>
      </w:pPr>
      <w:r>
        <w:rPr>
          <w:rFonts w:cs="宋体"/>
          <w:color w:val="auto"/>
          <w:sz w:val="21"/>
          <w:szCs w:val="21"/>
          <w:highlight w:val="none"/>
        </w:rPr>
        <w:t>法定代表人或授权代理人（签字或盖章）：</w:t>
      </w:r>
    </w:p>
    <w:p>
      <w:pPr>
        <w:ind w:right="42" w:rightChars="20" w:firstLine="3150" w:firstLineChars="1500"/>
        <w:jc w:val="left"/>
        <w:rPr>
          <w:rFonts w:cs="宋体"/>
          <w:bCs/>
          <w:color w:val="auto"/>
          <w:szCs w:val="24"/>
          <w:highlight w:val="none"/>
        </w:rPr>
      </w:pPr>
      <w:r>
        <w:rPr>
          <w:rFonts w:hint="eastAsia" w:cs="宋体"/>
          <w:color w:val="auto"/>
          <w:szCs w:val="21"/>
          <w:highlight w:val="none"/>
        </w:rPr>
        <w:t>日   期：    年    月    日</w:t>
      </w:r>
    </w:p>
    <w:p>
      <w:pPr>
        <w:widowControl/>
        <w:jc w:val="left"/>
        <w:rPr>
          <w:color w:val="auto"/>
          <w:kern w:val="0"/>
          <w:sz w:val="27"/>
          <w:szCs w:val="27"/>
          <w:highlight w:val="none"/>
        </w:rPr>
      </w:pPr>
      <w:bookmarkStart w:id="33" w:name="_Toc61541791"/>
      <w:bookmarkStart w:id="34" w:name="_Toc60070626"/>
      <w:r>
        <w:rPr>
          <w:color w:val="auto"/>
          <w:highlight w:val="none"/>
        </w:rPr>
        <w:br w:type="page"/>
      </w:r>
    </w:p>
    <w:p>
      <w:pPr>
        <w:pStyle w:val="4"/>
        <w:rPr>
          <w:color w:val="auto"/>
          <w:highlight w:val="none"/>
        </w:rPr>
      </w:pPr>
      <w:r>
        <w:rPr>
          <w:rFonts w:hint="eastAsia"/>
          <w:color w:val="auto"/>
          <w:highlight w:val="none"/>
        </w:rPr>
        <w:t>格式六：</w:t>
      </w:r>
      <w:bookmarkEnd w:id="33"/>
      <w:bookmarkEnd w:id="34"/>
    </w:p>
    <w:p>
      <w:pPr>
        <w:jc w:val="center"/>
        <w:rPr>
          <w:rFonts w:cs="宋体"/>
          <w:color w:val="auto"/>
          <w:sz w:val="36"/>
          <w:szCs w:val="36"/>
          <w:highlight w:val="none"/>
        </w:rPr>
      </w:pPr>
      <w:r>
        <w:rPr>
          <w:rFonts w:hint="eastAsia" w:cs="宋体"/>
          <w:b/>
          <w:color w:val="auto"/>
          <w:sz w:val="36"/>
          <w:szCs w:val="36"/>
          <w:highlight w:val="none"/>
        </w:rPr>
        <w:t>企业业绩信息表</w:t>
      </w:r>
    </w:p>
    <w:p>
      <w:pPr>
        <w:rPr>
          <w:color w:val="auto"/>
          <w:sz w:val="24"/>
          <w:szCs w:val="24"/>
          <w:highlight w:val="none"/>
        </w:rPr>
      </w:pPr>
    </w:p>
    <w:tbl>
      <w:tblPr>
        <w:tblStyle w:val="25"/>
        <w:tblpPr w:leftFromText="180" w:rightFromText="180" w:vertAnchor="text" w:horzAnchor="margin" w:tblpXSpec="center" w:tblpY="-21"/>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753"/>
        <w:gridCol w:w="1814"/>
        <w:gridCol w:w="2911"/>
        <w:gridCol w:w="1701"/>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67" w:type="dxa"/>
            <w:vMerge w:val="restart"/>
            <w:tcBorders>
              <w:top w:val="single" w:color="auto" w:sz="4" w:space="0"/>
              <w:left w:val="single" w:color="auto" w:sz="4" w:space="0"/>
              <w:right w:val="single" w:color="auto" w:sz="4" w:space="0"/>
            </w:tcBorders>
            <w:vAlign w:val="center"/>
          </w:tcPr>
          <w:p>
            <w:pPr>
              <w:widowControl/>
              <w:jc w:val="center"/>
              <w:rPr>
                <w:rFonts w:cs="宋体"/>
                <w:bCs/>
                <w:color w:val="auto"/>
                <w:sz w:val="24"/>
                <w:szCs w:val="24"/>
                <w:highlight w:val="none"/>
                <w:lang w:val="zh-CN"/>
              </w:rPr>
            </w:pPr>
            <w:r>
              <w:rPr>
                <w:rFonts w:hint="eastAsia" w:cs="宋体"/>
                <w:bCs/>
                <w:color w:val="auto"/>
                <w:sz w:val="24"/>
                <w:szCs w:val="24"/>
                <w:highlight w:val="none"/>
                <w:lang w:val="zh-CN"/>
              </w:rPr>
              <w:t>类似工程业绩</w:t>
            </w:r>
          </w:p>
        </w:tc>
        <w:tc>
          <w:tcPr>
            <w:tcW w:w="753" w:type="dxa"/>
            <w:tcBorders>
              <w:top w:val="single" w:color="auto" w:sz="4" w:space="0"/>
              <w:left w:val="single" w:color="auto" w:sz="4" w:space="0"/>
              <w:right w:val="single" w:color="auto" w:sz="4" w:space="0"/>
            </w:tcBorders>
            <w:vAlign w:val="center"/>
          </w:tcPr>
          <w:p>
            <w:pPr>
              <w:autoSpaceDE w:val="0"/>
              <w:autoSpaceDN w:val="0"/>
              <w:adjustRightInd w:val="0"/>
              <w:jc w:val="center"/>
              <w:rPr>
                <w:color w:val="auto"/>
                <w:sz w:val="24"/>
                <w:szCs w:val="24"/>
                <w:highlight w:val="none"/>
              </w:rPr>
            </w:pPr>
            <w:r>
              <w:rPr>
                <w:rFonts w:hint="eastAsia"/>
                <w:color w:val="auto"/>
                <w:sz w:val="24"/>
                <w:szCs w:val="24"/>
                <w:highlight w:val="none"/>
              </w:rPr>
              <w:t>序号</w:t>
            </w:r>
          </w:p>
        </w:tc>
        <w:tc>
          <w:tcPr>
            <w:tcW w:w="18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auto"/>
                <w:highlight w:val="none"/>
              </w:rPr>
            </w:pPr>
            <w:r>
              <w:rPr>
                <w:rFonts w:hint="eastAsia"/>
                <w:color w:val="auto"/>
                <w:sz w:val="24"/>
                <w:szCs w:val="24"/>
                <w:highlight w:val="none"/>
              </w:rPr>
              <w:t>项目编号</w:t>
            </w:r>
          </w:p>
        </w:tc>
        <w:tc>
          <w:tcPr>
            <w:tcW w:w="2911" w:type="dxa"/>
            <w:tcBorders>
              <w:top w:val="single" w:color="auto" w:sz="4" w:space="0"/>
              <w:left w:val="single" w:color="auto" w:sz="4" w:space="0"/>
              <w:right w:val="single" w:color="auto" w:sz="4" w:space="0"/>
            </w:tcBorders>
            <w:vAlign w:val="center"/>
          </w:tcPr>
          <w:p>
            <w:pPr>
              <w:autoSpaceDE w:val="0"/>
              <w:autoSpaceDN w:val="0"/>
              <w:adjustRightInd w:val="0"/>
              <w:jc w:val="center"/>
              <w:rPr>
                <w:color w:val="auto"/>
                <w:sz w:val="24"/>
                <w:szCs w:val="24"/>
                <w:highlight w:val="none"/>
              </w:rPr>
            </w:pPr>
            <w:r>
              <w:rPr>
                <w:rFonts w:hint="eastAsia"/>
                <w:color w:val="auto"/>
                <w:sz w:val="24"/>
                <w:szCs w:val="24"/>
                <w:highlight w:val="none"/>
              </w:rPr>
              <w:t>项目名称</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bCs/>
                <w:color w:val="auto"/>
                <w:sz w:val="24"/>
                <w:szCs w:val="24"/>
                <w:highlight w:val="none"/>
                <w:lang w:val="zh-CN"/>
              </w:rPr>
            </w:pPr>
            <w:r>
              <w:rPr>
                <w:rFonts w:hint="eastAsia" w:cs="宋体"/>
                <w:bCs/>
                <w:color w:val="auto"/>
                <w:sz w:val="24"/>
                <w:szCs w:val="24"/>
                <w:highlight w:val="none"/>
                <w:lang w:val="zh-CN"/>
              </w:rPr>
              <w:t xml:space="preserve"> 金额</w:t>
            </w:r>
          </w:p>
        </w:tc>
        <w:tc>
          <w:tcPr>
            <w:tcW w:w="14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bCs/>
                <w:color w:val="auto"/>
                <w:sz w:val="24"/>
                <w:szCs w:val="24"/>
                <w:highlight w:val="none"/>
              </w:rPr>
            </w:pPr>
            <w:r>
              <w:rPr>
                <w:rFonts w:hint="eastAsia" w:cs="宋体"/>
                <w:bCs/>
                <w:color w:val="auto"/>
                <w:sz w:val="24"/>
                <w:szCs w:val="24"/>
                <w:highlight w:val="none"/>
              </w:rPr>
              <w:t>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67" w:type="dxa"/>
            <w:vMerge w:val="continue"/>
            <w:tcBorders>
              <w:left w:val="single" w:color="auto" w:sz="4" w:space="0"/>
              <w:right w:val="single" w:color="auto" w:sz="4" w:space="0"/>
            </w:tcBorders>
            <w:vAlign w:val="center"/>
          </w:tcPr>
          <w:p>
            <w:pPr>
              <w:widowControl/>
              <w:jc w:val="center"/>
              <w:rPr>
                <w:rFonts w:cs="宋体"/>
                <w:bCs/>
                <w:color w:val="auto"/>
                <w:sz w:val="24"/>
                <w:szCs w:val="24"/>
                <w:highlight w:val="none"/>
                <w:lang w:val="zh-CN"/>
              </w:rPr>
            </w:pPr>
          </w:p>
        </w:tc>
        <w:tc>
          <w:tcPr>
            <w:tcW w:w="753" w:type="dxa"/>
            <w:tcBorders>
              <w:left w:val="single" w:color="auto" w:sz="4" w:space="0"/>
              <w:right w:val="single" w:color="auto" w:sz="4" w:space="0"/>
            </w:tcBorders>
            <w:vAlign w:val="center"/>
          </w:tcPr>
          <w:p>
            <w:pPr>
              <w:autoSpaceDE w:val="0"/>
              <w:autoSpaceDN w:val="0"/>
              <w:adjustRightInd w:val="0"/>
              <w:jc w:val="center"/>
              <w:rPr>
                <w:rFonts w:cs="宋体"/>
                <w:bCs/>
                <w:color w:val="auto"/>
                <w:sz w:val="24"/>
                <w:szCs w:val="24"/>
                <w:highlight w:val="none"/>
                <w:lang w:val="zh-CN"/>
              </w:rPr>
            </w:pPr>
          </w:p>
        </w:tc>
        <w:tc>
          <w:tcPr>
            <w:tcW w:w="18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auto"/>
                <w:highlight w:val="none"/>
              </w:rPr>
            </w:pPr>
          </w:p>
        </w:tc>
        <w:tc>
          <w:tcPr>
            <w:tcW w:w="2911" w:type="dxa"/>
            <w:tcBorders>
              <w:left w:val="single" w:color="auto" w:sz="4" w:space="0"/>
              <w:right w:val="single" w:color="auto" w:sz="4" w:space="0"/>
            </w:tcBorders>
            <w:vAlign w:val="center"/>
          </w:tcPr>
          <w:p>
            <w:pPr>
              <w:autoSpaceDE w:val="0"/>
              <w:autoSpaceDN w:val="0"/>
              <w:adjustRightInd w:val="0"/>
              <w:jc w:val="center"/>
              <w:rPr>
                <w:rFonts w:cs="宋体"/>
                <w:bCs/>
                <w:color w:val="auto"/>
                <w:sz w:val="24"/>
                <w:szCs w:val="24"/>
                <w:highlight w:val="none"/>
                <w:lang w:val="zh-CN"/>
              </w:rPr>
            </w:pP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bCs/>
                <w:color w:val="auto"/>
                <w:sz w:val="24"/>
                <w:szCs w:val="24"/>
                <w:highlight w:val="none"/>
                <w:lang w:val="zh-CN"/>
              </w:rPr>
            </w:pPr>
          </w:p>
        </w:tc>
        <w:tc>
          <w:tcPr>
            <w:tcW w:w="14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67" w:type="dxa"/>
            <w:vMerge w:val="continue"/>
            <w:tcBorders>
              <w:left w:val="single" w:color="auto" w:sz="4" w:space="0"/>
              <w:right w:val="single" w:color="auto" w:sz="4" w:space="0"/>
            </w:tcBorders>
            <w:vAlign w:val="center"/>
          </w:tcPr>
          <w:p>
            <w:pPr>
              <w:widowControl/>
              <w:jc w:val="center"/>
              <w:rPr>
                <w:rFonts w:cs="宋体"/>
                <w:bCs/>
                <w:color w:val="auto"/>
                <w:sz w:val="24"/>
                <w:szCs w:val="24"/>
                <w:highlight w:val="none"/>
                <w:lang w:val="zh-CN"/>
              </w:rPr>
            </w:pPr>
          </w:p>
        </w:tc>
        <w:tc>
          <w:tcPr>
            <w:tcW w:w="753" w:type="dxa"/>
            <w:tcBorders>
              <w:left w:val="single" w:color="auto" w:sz="4" w:space="0"/>
              <w:right w:val="single" w:color="auto" w:sz="4" w:space="0"/>
            </w:tcBorders>
            <w:vAlign w:val="center"/>
          </w:tcPr>
          <w:p>
            <w:pPr>
              <w:autoSpaceDE w:val="0"/>
              <w:autoSpaceDN w:val="0"/>
              <w:adjustRightInd w:val="0"/>
              <w:jc w:val="center"/>
              <w:rPr>
                <w:rFonts w:cs="宋体"/>
                <w:bCs/>
                <w:color w:val="auto"/>
                <w:sz w:val="24"/>
                <w:szCs w:val="24"/>
                <w:highlight w:val="none"/>
                <w:lang w:val="zh-CN"/>
              </w:rPr>
            </w:pPr>
          </w:p>
        </w:tc>
        <w:tc>
          <w:tcPr>
            <w:tcW w:w="18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auto"/>
                <w:highlight w:val="none"/>
              </w:rPr>
            </w:pPr>
          </w:p>
        </w:tc>
        <w:tc>
          <w:tcPr>
            <w:tcW w:w="2911" w:type="dxa"/>
            <w:tcBorders>
              <w:left w:val="single" w:color="auto" w:sz="4" w:space="0"/>
              <w:right w:val="single" w:color="auto" w:sz="4" w:space="0"/>
            </w:tcBorders>
            <w:vAlign w:val="center"/>
          </w:tcPr>
          <w:p>
            <w:pPr>
              <w:autoSpaceDE w:val="0"/>
              <w:autoSpaceDN w:val="0"/>
              <w:adjustRightInd w:val="0"/>
              <w:jc w:val="center"/>
              <w:rPr>
                <w:rFonts w:cs="宋体"/>
                <w:bCs/>
                <w:color w:val="auto"/>
                <w:sz w:val="24"/>
                <w:szCs w:val="24"/>
                <w:highlight w:val="none"/>
                <w:lang w:val="zh-CN"/>
              </w:rPr>
            </w:pP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bCs/>
                <w:color w:val="auto"/>
                <w:sz w:val="24"/>
                <w:szCs w:val="24"/>
                <w:highlight w:val="none"/>
                <w:lang w:val="zh-CN"/>
              </w:rPr>
            </w:pPr>
          </w:p>
        </w:tc>
        <w:tc>
          <w:tcPr>
            <w:tcW w:w="14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67" w:type="dxa"/>
            <w:vMerge w:val="restart"/>
            <w:tcBorders>
              <w:left w:val="single" w:color="auto" w:sz="4" w:space="0"/>
              <w:right w:val="single" w:color="auto" w:sz="4" w:space="0"/>
            </w:tcBorders>
            <w:vAlign w:val="center"/>
          </w:tcPr>
          <w:p>
            <w:pPr>
              <w:widowControl/>
              <w:jc w:val="center"/>
              <w:rPr>
                <w:rFonts w:cs="宋体"/>
                <w:bCs/>
                <w:color w:val="auto"/>
                <w:sz w:val="24"/>
                <w:szCs w:val="24"/>
                <w:highlight w:val="none"/>
                <w:lang w:val="zh-CN"/>
              </w:rPr>
            </w:pPr>
            <w:r>
              <w:rPr>
                <w:rFonts w:hint="eastAsia" w:cs="宋体"/>
                <w:bCs/>
                <w:color w:val="auto"/>
                <w:sz w:val="24"/>
                <w:szCs w:val="24"/>
                <w:highlight w:val="none"/>
                <w:lang w:val="zh-CN"/>
              </w:rPr>
              <w:t>工程获奖</w:t>
            </w:r>
          </w:p>
        </w:tc>
        <w:tc>
          <w:tcPr>
            <w:tcW w:w="753" w:type="dxa"/>
            <w:tcBorders>
              <w:left w:val="single" w:color="auto" w:sz="4" w:space="0"/>
              <w:right w:val="single" w:color="auto" w:sz="4" w:space="0"/>
            </w:tcBorders>
            <w:vAlign w:val="center"/>
          </w:tcPr>
          <w:p>
            <w:pPr>
              <w:autoSpaceDE w:val="0"/>
              <w:autoSpaceDN w:val="0"/>
              <w:adjustRightInd w:val="0"/>
              <w:jc w:val="center"/>
              <w:rPr>
                <w:color w:val="auto"/>
                <w:sz w:val="24"/>
                <w:szCs w:val="24"/>
                <w:highlight w:val="none"/>
              </w:rPr>
            </w:pPr>
            <w:r>
              <w:rPr>
                <w:rFonts w:hint="eastAsia"/>
                <w:color w:val="auto"/>
                <w:sz w:val="24"/>
                <w:szCs w:val="24"/>
                <w:highlight w:val="none"/>
              </w:rPr>
              <w:t>序号</w:t>
            </w:r>
          </w:p>
        </w:tc>
        <w:tc>
          <w:tcPr>
            <w:tcW w:w="18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auto"/>
                <w:highlight w:val="none"/>
              </w:rPr>
            </w:pPr>
            <w:r>
              <w:rPr>
                <w:rFonts w:hint="eastAsia"/>
                <w:color w:val="auto"/>
                <w:sz w:val="24"/>
                <w:szCs w:val="24"/>
                <w:highlight w:val="none"/>
              </w:rPr>
              <w:t>项目编号</w:t>
            </w:r>
          </w:p>
        </w:tc>
        <w:tc>
          <w:tcPr>
            <w:tcW w:w="2911" w:type="dxa"/>
            <w:tcBorders>
              <w:left w:val="single" w:color="auto" w:sz="4" w:space="0"/>
              <w:right w:val="single" w:color="auto" w:sz="4" w:space="0"/>
            </w:tcBorders>
            <w:vAlign w:val="center"/>
          </w:tcPr>
          <w:p>
            <w:pPr>
              <w:autoSpaceDE w:val="0"/>
              <w:autoSpaceDN w:val="0"/>
              <w:adjustRightInd w:val="0"/>
              <w:jc w:val="center"/>
              <w:rPr>
                <w:color w:val="auto"/>
                <w:sz w:val="24"/>
                <w:szCs w:val="24"/>
                <w:highlight w:val="none"/>
              </w:rPr>
            </w:pPr>
            <w:r>
              <w:rPr>
                <w:rFonts w:hint="eastAsia"/>
                <w:color w:val="auto"/>
                <w:sz w:val="24"/>
                <w:szCs w:val="24"/>
                <w:highlight w:val="none"/>
              </w:rPr>
              <w:t>项目名称</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bCs/>
                <w:color w:val="auto"/>
                <w:sz w:val="24"/>
                <w:szCs w:val="24"/>
                <w:highlight w:val="none"/>
                <w:lang w:val="zh-CN"/>
              </w:rPr>
            </w:pPr>
            <w:r>
              <w:rPr>
                <w:rFonts w:hint="eastAsia" w:cs="宋体"/>
                <w:bCs/>
                <w:color w:val="auto"/>
                <w:sz w:val="24"/>
                <w:szCs w:val="24"/>
                <w:highlight w:val="none"/>
                <w:lang w:val="zh-CN"/>
              </w:rPr>
              <w:t>所获奖项</w:t>
            </w:r>
          </w:p>
        </w:tc>
        <w:tc>
          <w:tcPr>
            <w:tcW w:w="14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bCs/>
                <w:color w:val="auto"/>
                <w:sz w:val="24"/>
                <w:szCs w:val="24"/>
                <w:highlight w:val="none"/>
              </w:rPr>
            </w:pPr>
            <w:r>
              <w:rPr>
                <w:rFonts w:hint="eastAsia" w:cs="宋体"/>
                <w:bCs/>
                <w:color w:val="auto"/>
                <w:sz w:val="24"/>
                <w:szCs w:val="24"/>
                <w:highlight w:val="none"/>
              </w:rPr>
              <w:t>获奖日期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67" w:type="dxa"/>
            <w:vMerge w:val="continue"/>
            <w:tcBorders>
              <w:left w:val="single" w:color="auto" w:sz="4" w:space="0"/>
              <w:right w:val="single" w:color="auto" w:sz="4" w:space="0"/>
            </w:tcBorders>
            <w:vAlign w:val="center"/>
          </w:tcPr>
          <w:p>
            <w:pPr>
              <w:widowControl/>
              <w:jc w:val="center"/>
              <w:rPr>
                <w:rFonts w:cs="宋体"/>
                <w:bCs/>
                <w:color w:val="auto"/>
                <w:sz w:val="24"/>
                <w:szCs w:val="24"/>
                <w:highlight w:val="none"/>
                <w:lang w:val="zh-CN"/>
              </w:rPr>
            </w:pPr>
          </w:p>
        </w:tc>
        <w:tc>
          <w:tcPr>
            <w:tcW w:w="753" w:type="dxa"/>
            <w:tcBorders>
              <w:left w:val="single" w:color="auto" w:sz="4" w:space="0"/>
              <w:right w:val="single" w:color="auto" w:sz="4" w:space="0"/>
            </w:tcBorders>
            <w:vAlign w:val="center"/>
          </w:tcPr>
          <w:p>
            <w:pPr>
              <w:autoSpaceDE w:val="0"/>
              <w:autoSpaceDN w:val="0"/>
              <w:adjustRightInd w:val="0"/>
              <w:jc w:val="center"/>
              <w:rPr>
                <w:rFonts w:cs="宋体"/>
                <w:bCs/>
                <w:color w:val="auto"/>
                <w:sz w:val="24"/>
                <w:szCs w:val="24"/>
                <w:highlight w:val="none"/>
                <w:lang w:val="zh-CN"/>
              </w:rPr>
            </w:pPr>
          </w:p>
        </w:tc>
        <w:tc>
          <w:tcPr>
            <w:tcW w:w="18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auto"/>
                <w:highlight w:val="none"/>
              </w:rPr>
            </w:pPr>
          </w:p>
        </w:tc>
        <w:tc>
          <w:tcPr>
            <w:tcW w:w="2911" w:type="dxa"/>
            <w:tcBorders>
              <w:left w:val="single" w:color="auto" w:sz="4" w:space="0"/>
              <w:right w:val="single" w:color="auto" w:sz="4" w:space="0"/>
            </w:tcBorders>
            <w:vAlign w:val="center"/>
          </w:tcPr>
          <w:p>
            <w:pPr>
              <w:autoSpaceDE w:val="0"/>
              <w:autoSpaceDN w:val="0"/>
              <w:adjustRightInd w:val="0"/>
              <w:jc w:val="center"/>
              <w:rPr>
                <w:rFonts w:cs="宋体"/>
                <w:bCs/>
                <w:color w:val="auto"/>
                <w:sz w:val="24"/>
                <w:szCs w:val="24"/>
                <w:highlight w:val="none"/>
                <w:lang w:val="zh-CN"/>
              </w:rPr>
            </w:pP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bCs/>
                <w:color w:val="auto"/>
                <w:sz w:val="24"/>
                <w:szCs w:val="24"/>
                <w:highlight w:val="none"/>
                <w:lang w:val="zh-CN"/>
              </w:rPr>
            </w:pPr>
          </w:p>
        </w:tc>
        <w:tc>
          <w:tcPr>
            <w:tcW w:w="14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67" w:type="dxa"/>
            <w:vMerge w:val="continue"/>
            <w:tcBorders>
              <w:left w:val="single" w:color="auto" w:sz="4" w:space="0"/>
              <w:right w:val="single" w:color="auto" w:sz="4" w:space="0"/>
            </w:tcBorders>
            <w:vAlign w:val="center"/>
          </w:tcPr>
          <w:p>
            <w:pPr>
              <w:widowControl/>
              <w:jc w:val="center"/>
              <w:rPr>
                <w:rFonts w:cs="宋体"/>
                <w:bCs/>
                <w:color w:val="auto"/>
                <w:sz w:val="24"/>
                <w:szCs w:val="24"/>
                <w:highlight w:val="none"/>
                <w:lang w:val="zh-CN"/>
              </w:rPr>
            </w:pPr>
          </w:p>
        </w:tc>
        <w:tc>
          <w:tcPr>
            <w:tcW w:w="753" w:type="dxa"/>
            <w:tcBorders>
              <w:left w:val="single" w:color="auto" w:sz="4" w:space="0"/>
              <w:right w:val="single" w:color="auto" w:sz="4" w:space="0"/>
            </w:tcBorders>
            <w:vAlign w:val="center"/>
          </w:tcPr>
          <w:p>
            <w:pPr>
              <w:autoSpaceDE w:val="0"/>
              <w:autoSpaceDN w:val="0"/>
              <w:adjustRightInd w:val="0"/>
              <w:jc w:val="center"/>
              <w:rPr>
                <w:rFonts w:cs="宋体"/>
                <w:bCs/>
                <w:color w:val="auto"/>
                <w:sz w:val="24"/>
                <w:szCs w:val="24"/>
                <w:highlight w:val="none"/>
                <w:lang w:val="zh-CN"/>
              </w:rPr>
            </w:pPr>
          </w:p>
        </w:tc>
        <w:tc>
          <w:tcPr>
            <w:tcW w:w="18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auto"/>
                <w:highlight w:val="none"/>
              </w:rPr>
            </w:pPr>
          </w:p>
        </w:tc>
        <w:tc>
          <w:tcPr>
            <w:tcW w:w="2911" w:type="dxa"/>
            <w:tcBorders>
              <w:left w:val="single" w:color="auto" w:sz="4" w:space="0"/>
              <w:right w:val="single" w:color="auto" w:sz="4" w:space="0"/>
            </w:tcBorders>
            <w:vAlign w:val="center"/>
          </w:tcPr>
          <w:p>
            <w:pPr>
              <w:autoSpaceDE w:val="0"/>
              <w:autoSpaceDN w:val="0"/>
              <w:adjustRightInd w:val="0"/>
              <w:jc w:val="center"/>
              <w:rPr>
                <w:rFonts w:cs="宋体"/>
                <w:bCs/>
                <w:color w:val="auto"/>
                <w:sz w:val="24"/>
                <w:szCs w:val="24"/>
                <w:highlight w:val="none"/>
                <w:lang w:val="zh-CN"/>
              </w:rPr>
            </w:pP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bCs/>
                <w:color w:val="auto"/>
                <w:sz w:val="24"/>
                <w:szCs w:val="24"/>
                <w:highlight w:val="none"/>
                <w:lang w:val="zh-CN"/>
              </w:rPr>
            </w:pPr>
          </w:p>
        </w:tc>
        <w:tc>
          <w:tcPr>
            <w:tcW w:w="14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bCs/>
                <w:color w:val="auto"/>
                <w:sz w:val="24"/>
                <w:szCs w:val="24"/>
                <w:highlight w:val="none"/>
                <w:lang w:val="zh-CN"/>
              </w:rPr>
            </w:pPr>
          </w:p>
        </w:tc>
      </w:tr>
    </w:tbl>
    <w:p>
      <w:pPr>
        <w:spacing w:line="360" w:lineRule="auto"/>
        <w:jc w:val="left"/>
        <w:rPr>
          <w:rFonts w:cs="宋体"/>
          <w:bCs/>
          <w:color w:val="auto"/>
          <w:szCs w:val="24"/>
          <w:highlight w:val="none"/>
        </w:rPr>
      </w:pPr>
      <w:r>
        <w:rPr>
          <w:rFonts w:hint="eastAsia" w:cs="宋体"/>
          <w:bCs/>
          <w:color w:val="auto"/>
          <w:szCs w:val="24"/>
          <w:highlight w:val="none"/>
        </w:rPr>
        <w:t>按评标表后附相关证明资料。</w:t>
      </w:r>
    </w:p>
    <w:p>
      <w:pPr>
        <w:autoSpaceDE w:val="0"/>
        <w:autoSpaceDN w:val="0"/>
        <w:adjustRightInd w:val="0"/>
        <w:spacing w:line="360" w:lineRule="auto"/>
        <w:rPr>
          <w:rFonts w:cs="宋体"/>
          <w:color w:val="auto"/>
          <w:sz w:val="24"/>
          <w:szCs w:val="24"/>
          <w:highlight w:val="none"/>
        </w:rPr>
      </w:pPr>
    </w:p>
    <w:p>
      <w:pPr>
        <w:pStyle w:val="4"/>
        <w:rPr>
          <w:color w:val="auto"/>
          <w:highlight w:val="none"/>
        </w:rPr>
      </w:pPr>
      <w:r>
        <w:rPr>
          <w:rFonts w:hint="eastAsia"/>
          <w:color w:val="auto"/>
          <w:highlight w:val="none"/>
        </w:rPr>
        <w:br w:type="page"/>
      </w:r>
    </w:p>
    <w:p>
      <w:pPr>
        <w:pStyle w:val="4"/>
        <w:rPr>
          <w:bCs/>
          <w:color w:val="auto"/>
          <w:highlight w:val="none"/>
          <w:lang w:val="zh-CN"/>
        </w:rPr>
      </w:pPr>
      <w:bookmarkStart w:id="35" w:name="_Toc60070629"/>
      <w:bookmarkStart w:id="36" w:name="_Toc61541792"/>
      <w:r>
        <w:rPr>
          <w:rFonts w:hint="eastAsia"/>
          <w:color w:val="auto"/>
          <w:highlight w:val="none"/>
        </w:rPr>
        <w:t>格式七：</w:t>
      </w:r>
      <w:bookmarkEnd w:id="35"/>
      <w:bookmarkEnd w:id="36"/>
    </w:p>
    <w:p>
      <w:pPr>
        <w:autoSpaceDE w:val="0"/>
        <w:autoSpaceDN w:val="0"/>
        <w:adjustRightInd w:val="0"/>
        <w:spacing w:line="360" w:lineRule="auto"/>
        <w:jc w:val="center"/>
        <w:rPr>
          <w:rFonts w:cs="宋体"/>
          <w:b/>
          <w:color w:val="auto"/>
          <w:sz w:val="36"/>
          <w:szCs w:val="36"/>
          <w:highlight w:val="none"/>
        </w:rPr>
      </w:pPr>
      <w:r>
        <w:rPr>
          <w:rFonts w:hint="eastAsia" w:cs="宋体"/>
          <w:b/>
          <w:color w:val="auto"/>
          <w:sz w:val="36"/>
          <w:szCs w:val="36"/>
          <w:highlight w:val="none"/>
        </w:rPr>
        <w:t>拟投入本工程施工的主要机械设备配备表</w:t>
      </w:r>
    </w:p>
    <w:tbl>
      <w:tblPr>
        <w:tblStyle w:val="25"/>
        <w:tblW w:w="87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0"/>
        <w:gridCol w:w="2856"/>
        <w:gridCol w:w="2024"/>
        <w:gridCol w:w="1559"/>
        <w:gridCol w:w="15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cs="宋体"/>
                <w:color w:val="auto"/>
                <w:szCs w:val="21"/>
                <w:highlight w:val="none"/>
              </w:rPr>
            </w:pPr>
            <w:r>
              <w:rPr>
                <w:rFonts w:hint="eastAsia" w:cs="宋体"/>
                <w:color w:val="auto"/>
                <w:szCs w:val="21"/>
                <w:highlight w:val="none"/>
              </w:rPr>
              <w:t>序</w:t>
            </w:r>
          </w:p>
          <w:p>
            <w:pPr>
              <w:spacing w:line="240" w:lineRule="exact"/>
              <w:jc w:val="center"/>
              <w:textAlignment w:val="center"/>
              <w:rPr>
                <w:rFonts w:cs="宋体"/>
                <w:color w:val="auto"/>
                <w:szCs w:val="21"/>
                <w:highlight w:val="none"/>
              </w:rPr>
            </w:pPr>
            <w:r>
              <w:rPr>
                <w:rFonts w:hint="eastAsia" w:cs="宋体"/>
                <w:color w:val="auto"/>
                <w:szCs w:val="21"/>
                <w:highlight w:val="none"/>
              </w:rPr>
              <w:t>号</w:t>
            </w:r>
          </w:p>
        </w:tc>
        <w:tc>
          <w:tcPr>
            <w:tcW w:w="28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cs="宋体"/>
                <w:color w:val="auto"/>
                <w:szCs w:val="21"/>
                <w:highlight w:val="none"/>
              </w:rPr>
            </w:pPr>
            <w:r>
              <w:rPr>
                <w:rFonts w:hint="eastAsia" w:cs="宋体"/>
                <w:color w:val="auto"/>
                <w:szCs w:val="21"/>
                <w:highlight w:val="none"/>
              </w:rPr>
              <w:t>设备名称</w:t>
            </w:r>
          </w:p>
        </w:tc>
        <w:tc>
          <w:tcPr>
            <w:tcW w:w="20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cs="宋体"/>
                <w:color w:val="auto"/>
                <w:szCs w:val="21"/>
                <w:highlight w:val="none"/>
              </w:rPr>
            </w:pPr>
            <w:r>
              <w:rPr>
                <w:rFonts w:hint="eastAsia" w:cs="宋体"/>
                <w:color w:val="auto"/>
                <w:szCs w:val="21"/>
                <w:highlight w:val="none"/>
              </w:rPr>
              <w:t>投入总数量</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cs="宋体"/>
                <w:color w:val="auto"/>
                <w:szCs w:val="21"/>
                <w:highlight w:val="none"/>
              </w:rPr>
            </w:pPr>
            <w:r>
              <w:rPr>
                <w:rFonts w:hint="eastAsia" w:cs="宋体"/>
                <w:color w:val="auto"/>
                <w:szCs w:val="21"/>
                <w:highlight w:val="none"/>
              </w:rPr>
              <w:t>来源</w:t>
            </w:r>
          </w:p>
          <w:p>
            <w:pPr>
              <w:spacing w:line="240" w:lineRule="exact"/>
              <w:jc w:val="center"/>
              <w:textAlignment w:val="center"/>
              <w:rPr>
                <w:rFonts w:cs="宋体"/>
                <w:color w:val="auto"/>
                <w:szCs w:val="21"/>
                <w:highlight w:val="none"/>
              </w:rPr>
            </w:pPr>
            <w:r>
              <w:rPr>
                <w:rFonts w:hint="eastAsia" w:cs="宋体"/>
                <w:color w:val="auto"/>
                <w:szCs w:val="21"/>
                <w:highlight w:val="none"/>
              </w:rPr>
              <w:t>(自有/</w:t>
            </w:r>
          </w:p>
          <w:p>
            <w:pPr>
              <w:spacing w:line="240" w:lineRule="exact"/>
              <w:jc w:val="center"/>
              <w:textAlignment w:val="center"/>
              <w:rPr>
                <w:rFonts w:cs="宋体"/>
                <w:color w:val="auto"/>
                <w:szCs w:val="21"/>
                <w:highlight w:val="none"/>
              </w:rPr>
            </w:pPr>
            <w:r>
              <w:rPr>
                <w:rFonts w:hint="eastAsia" w:cs="宋体"/>
                <w:color w:val="auto"/>
                <w:szCs w:val="21"/>
                <w:highlight w:val="none"/>
              </w:rPr>
              <w:t>租赁)</w:t>
            </w:r>
          </w:p>
        </w:tc>
        <w:tc>
          <w:tcPr>
            <w:tcW w:w="15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cs="宋体"/>
                <w:color w:val="auto"/>
                <w:szCs w:val="21"/>
                <w:highlight w:val="none"/>
              </w:rPr>
            </w:pPr>
            <w:r>
              <w:rPr>
                <w:rFonts w:hint="eastAsia"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cs="宋体"/>
                <w:color w:val="auto"/>
                <w:szCs w:val="21"/>
                <w:highlight w:val="none"/>
              </w:rPr>
            </w:pPr>
          </w:p>
        </w:tc>
        <w:tc>
          <w:tcPr>
            <w:tcW w:w="28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cs="宋体"/>
                <w:color w:val="auto"/>
                <w:szCs w:val="21"/>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cs="宋体"/>
                <w:color w:val="auto"/>
                <w:szCs w:val="21"/>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cs="宋体"/>
                <w:color w:val="auto"/>
                <w:szCs w:val="21"/>
                <w:highlight w:val="none"/>
              </w:rPr>
            </w:pPr>
          </w:p>
        </w:tc>
        <w:tc>
          <w:tcPr>
            <w:tcW w:w="28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cs="宋体"/>
                <w:color w:val="auto"/>
                <w:szCs w:val="21"/>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cs="宋体"/>
                <w:color w:val="auto"/>
                <w:szCs w:val="21"/>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cs="宋体"/>
                <w:color w:val="auto"/>
                <w:szCs w:val="21"/>
                <w:highlight w:val="none"/>
              </w:rPr>
            </w:pPr>
          </w:p>
        </w:tc>
        <w:tc>
          <w:tcPr>
            <w:tcW w:w="28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cs="宋体"/>
                <w:color w:val="auto"/>
                <w:szCs w:val="21"/>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cs="宋体"/>
                <w:color w:val="auto"/>
                <w:szCs w:val="21"/>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cs="宋体"/>
                <w:color w:val="auto"/>
                <w:szCs w:val="21"/>
                <w:highlight w:val="none"/>
              </w:rPr>
            </w:pPr>
          </w:p>
        </w:tc>
        <w:tc>
          <w:tcPr>
            <w:tcW w:w="28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cs="宋体"/>
                <w:color w:val="auto"/>
                <w:szCs w:val="21"/>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cs="宋体"/>
                <w:color w:val="auto"/>
                <w:szCs w:val="21"/>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cs="宋体"/>
                <w:color w:val="auto"/>
                <w:szCs w:val="21"/>
                <w:highlight w:val="none"/>
              </w:rPr>
            </w:pPr>
          </w:p>
        </w:tc>
        <w:tc>
          <w:tcPr>
            <w:tcW w:w="28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cs="宋体"/>
                <w:color w:val="auto"/>
                <w:szCs w:val="21"/>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cs="宋体"/>
                <w:color w:val="auto"/>
                <w:szCs w:val="21"/>
                <w:highlight w:val="none"/>
              </w:rPr>
            </w:pPr>
          </w:p>
        </w:tc>
        <w:tc>
          <w:tcPr>
            <w:tcW w:w="1545" w:type="dxa"/>
            <w:tcBorders>
              <w:top w:val="single" w:color="auto" w:sz="4" w:space="0"/>
              <w:left w:val="single" w:color="auto" w:sz="4" w:space="0"/>
              <w:right w:val="single" w:color="auto" w:sz="4" w:space="0"/>
            </w:tcBorders>
            <w:vAlign w:val="center"/>
          </w:tcPr>
          <w:p>
            <w:pPr>
              <w:spacing w:line="240" w:lineRule="exact"/>
              <w:jc w:val="center"/>
              <w:textAlignment w:val="center"/>
              <w:rPr>
                <w:rFonts w:cs="宋体"/>
                <w:color w:val="auto"/>
                <w:szCs w:val="21"/>
                <w:highlight w:val="none"/>
              </w:rPr>
            </w:pPr>
          </w:p>
        </w:tc>
      </w:tr>
    </w:tbl>
    <w:p>
      <w:pPr>
        <w:tabs>
          <w:tab w:val="left" w:pos="720"/>
        </w:tabs>
        <w:snapToGrid w:val="0"/>
        <w:spacing w:line="360" w:lineRule="auto"/>
        <w:rPr>
          <w:color w:val="auto"/>
          <w:highlight w:val="none"/>
        </w:rPr>
      </w:pPr>
    </w:p>
    <w:p>
      <w:pPr>
        <w:tabs>
          <w:tab w:val="left" w:pos="720"/>
        </w:tabs>
        <w:snapToGrid w:val="0"/>
        <w:spacing w:line="360" w:lineRule="auto"/>
        <w:rPr>
          <w:rFonts w:cs="宋体"/>
          <w:b/>
          <w:color w:val="auto"/>
          <w:szCs w:val="21"/>
          <w:highlight w:val="none"/>
        </w:rPr>
      </w:pPr>
      <w:r>
        <w:rPr>
          <w:rFonts w:hint="eastAsia"/>
          <w:color w:val="auto"/>
          <w:highlight w:val="none"/>
        </w:rPr>
        <w:t>注：设备名称及要求数量由投标人视本工程具体情况结合招标人对本工程的具体要求自行配备。</w:t>
      </w:r>
    </w:p>
    <w:p>
      <w:pPr>
        <w:ind w:right="-130" w:rightChars="-62"/>
        <w:rPr>
          <w:color w:val="auto"/>
          <w:highlight w:val="none"/>
        </w:rPr>
      </w:pPr>
    </w:p>
    <w:p>
      <w:pPr>
        <w:topLinePunct/>
        <w:adjustRightInd w:val="0"/>
        <w:snapToGrid w:val="0"/>
        <w:spacing w:line="360" w:lineRule="auto"/>
        <w:ind w:firstLine="3161" w:firstLineChars="1450"/>
        <w:rPr>
          <w:snapToGrid w:val="0"/>
          <w:color w:val="auto"/>
          <w:spacing w:val="4"/>
          <w:kern w:val="0"/>
          <w:szCs w:val="21"/>
          <w:highlight w:val="none"/>
        </w:rPr>
      </w:pPr>
    </w:p>
    <w:p>
      <w:pPr>
        <w:topLinePunct/>
        <w:adjustRightInd w:val="0"/>
        <w:snapToGrid w:val="0"/>
        <w:spacing w:line="360" w:lineRule="auto"/>
        <w:ind w:firstLine="691" w:firstLineChars="279"/>
        <w:rPr>
          <w:rFonts w:cs="宋体"/>
          <w:snapToGrid w:val="0"/>
          <w:color w:val="auto"/>
          <w:spacing w:val="4"/>
          <w:kern w:val="0"/>
          <w:sz w:val="24"/>
          <w:szCs w:val="24"/>
          <w:highlight w:val="none"/>
        </w:rPr>
      </w:pPr>
      <w:r>
        <w:rPr>
          <w:rFonts w:hint="eastAsia" w:cs="宋体"/>
          <w:snapToGrid w:val="0"/>
          <w:color w:val="auto"/>
          <w:spacing w:val="4"/>
          <w:kern w:val="0"/>
          <w:sz w:val="24"/>
          <w:szCs w:val="24"/>
          <w:highlight w:val="none"/>
        </w:rPr>
        <w:t>投 标 人：    （盖章）</w:t>
      </w:r>
    </w:p>
    <w:p>
      <w:pPr>
        <w:topLinePunct/>
        <w:adjustRightInd w:val="0"/>
        <w:snapToGrid w:val="0"/>
        <w:spacing w:line="360" w:lineRule="auto"/>
        <w:ind w:firstLine="691" w:firstLineChars="279"/>
        <w:rPr>
          <w:rFonts w:cs="宋体"/>
          <w:snapToGrid w:val="0"/>
          <w:color w:val="auto"/>
          <w:spacing w:val="4"/>
          <w:kern w:val="0"/>
          <w:sz w:val="24"/>
          <w:szCs w:val="24"/>
          <w:highlight w:val="none"/>
        </w:rPr>
      </w:pPr>
      <w:r>
        <w:rPr>
          <w:rFonts w:hint="eastAsia" w:cs="宋体"/>
          <w:snapToGrid w:val="0"/>
          <w:color w:val="auto"/>
          <w:spacing w:val="4"/>
          <w:kern w:val="0"/>
          <w:sz w:val="24"/>
          <w:szCs w:val="24"/>
          <w:highlight w:val="none"/>
        </w:rPr>
        <w:t>法定代表人或授权代理人（签字或盖章）：</w:t>
      </w:r>
    </w:p>
    <w:p>
      <w:pPr>
        <w:topLinePunct/>
        <w:adjustRightInd w:val="0"/>
        <w:snapToGrid w:val="0"/>
        <w:spacing w:line="360" w:lineRule="auto"/>
        <w:ind w:firstLine="691" w:firstLineChars="279"/>
        <w:jc w:val="left"/>
        <w:rPr>
          <w:snapToGrid w:val="0"/>
          <w:color w:val="auto"/>
          <w:spacing w:val="4"/>
          <w:kern w:val="0"/>
          <w:szCs w:val="21"/>
          <w:highlight w:val="none"/>
        </w:rPr>
      </w:pPr>
      <w:r>
        <w:rPr>
          <w:rFonts w:hint="eastAsia" w:cs="宋体"/>
          <w:snapToGrid w:val="0"/>
          <w:color w:val="auto"/>
          <w:spacing w:val="4"/>
          <w:kern w:val="0"/>
          <w:sz w:val="24"/>
          <w:szCs w:val="24"/>
          <w:highlight w:val="none"/>
        </w:rPr>
        <w:t>日    期：    年    月    日</w:t>
      </w:r>
    </w:p>
    <w:p>
      <w:pPr>
        <w:rPr>
          <w:color w:val="auto"/>
          <w:highlight w:val="none"/>
        </w:rPr>
      </w:pPr>
    </w:p>
    <w:p>
      <w:pPr>
        <w:widowControl/>
        <w:jc w:val="left"/>
        <w:rPr>
          <w:color w:val="auto"/>
          <w:highlight w:val="none"/>
        </w:rPr>
      </w:pPr>
      <w:r>
        <w:rPr>
          <w:color w:val="auto"/>
          <w:highlight w:val="none"/>
        </w:rPr>
        <w:br w:type="page"/>
      </w:r>
    </w:p>
    <w:p>
      <w:pPr>
        <w:pStyle w:val="4"/>
        <w:rPr>
          <w:color w:val="auto"/>
          <w:highlight w:val="none"/>
        </w:rPr>
      </w:pPr>
      <w:bookmarkStart w:id="37" w:name="_Toc61541793"/>
      <w:bookmarkStart w:id="38" w:name="_Toc60070630"/>
      <w:bookmarkStart w:id="39" w:name="_Toc58838602"/>
      <w:r>
        <w:rPr>
          <w:rFonts w:hint="eastAsia"/>
          <w:color w:val="auto"/>
          <w:highlight w:val="none"/>
        </w:rPr>
        <w:t>格式八：</w:t>
      </w:r>
      <w:bookmarkEnd w:id="37"/>
      <w:bookmarkEnd w:id="38"/>
    </w:p>
    <w:bookmarkEnd w:id="39"/>
    <w:p>
      <w:pPr>
        <w:jc w:val="center"/>
        <w:rPr>
          <w:b/>
          <w:sz w:val="36"/>
          <w:szCs w:val="36"/>
          <w:highlight w:val="none"/>
        </w:rPr>
      </w:pPr>
      <w:r>
        <w:rPr>
          <w:rFonts w:hint="eastAsia"/>
          <w:b/>
          <w:sz w:val="36"/>
          <w:szCs w:val="36"/>
          <w:highlight w:val="none"/>
        </w:rPr>
        <w:t>危险性较大的分部分项工程安全管理措施</w:t>
      </w:r>
    </w:p>
    <w:p>
      <w:pPr>
        <w:numPr>
          <w:ilvl w:val="0"/>
          <w:numId w:val="7"/>
        </w:numPr>
        <w:autoSpaceDE w:val="0"/>
        <w:autoSpaceDN w:val="0"/>
        <w:adjustRightInd w:val="0"/>
        <w:spacing w:line="360" w:lineRule="auto"/>
        <w:jc w:val="left"/>
        <w:rPr>
          <w:snapToGrid w:val="0"/>
          <w:spacing w:val="4"/>
          <w:kern w:val="0"/>
          <w:sz w:val="24"/>
          <w:szCs w:val="24"/>
          <w:highlight w:val="none"/>
        </w:rPr>
      </w:pPr>
      <w:r>
        <w:rPr>
          <w:rFonts w:hint="eastAsia"/>
          <w:sz w:val="24"/>
          <w:szCs w:val="28"/>
          <w:highlight w:val="none"/>
        </w:rPr>
        <w:t>根据中华人民共和国住房和城乡建设部令第37号《危险性较大的分部分项工程安全管理规定》（以下简称“37号文”），投标人在投标时须补充完善危大工程清单并</w:t>
      </w:r>
      <w:r>
        <w:rPr>
          <w:rFonts w:hint="eastAsia"/>
          <w:snapToGrid w:val="0"/>
          <w:spacing w:val="4"/>
          <w:kern w:val="0"/>
          <w:sz w:val="24"/>
          <w:szCs w:val="24"/>
          <w:highlight w:val="none"/>
        </w:rPr>
        <w:t>结合本工程的类型和特点，科学、合理地设置本项目的危险性较大的分部分项工程安全管理措施，危险性较大的分部分项工程安全管理措施由投标人结合招标人对本工程的具体要求自行设定。</w:t>
      </w:r>
    </w:p>
    <w:p>
      <w:pPr>
        <w:numPr>
          <w:ilvl w:val="0"/>
          <w:numId w:val="7"/>
        </w:numPr>
        <w:autoSpaceDE w:val="0"/>
        <w:autoSpaceDN w:val="0"/>
        <w:adjustRightInd w:val="0"/>
        <w:spacing w:line="360" w:lineRule="auto"/>
        <w:jc w:val="left"/>
        <w:rPr>
          <w:sz w:val="24"/>
          <w:szCs w:val="28"/>
          <w:highlight w:val="none"/>
        </w:rPr>
      </w:pPr>
      <w:r>
        <w:rPr>
          <w:rFonts w:hint="eastAsia"/>
          <w:sz w:val="24"/>
          <w:szCs w:val="28"/>
          <w:highlight w:val="none"/>
        </w:rPr>
        <w:t>招标人根据设计文件的要求及37号文的规定列出“危险性较大的分部分项工程清单及超过一定规模的危险性较大的分部分项工程清单”中与本招标项目相关的清单项，具体详见第5点“打</w:t>
      </w:r>
      <w:r>
        <w:rPr>
          <w:rFonts w:hint="eastAsia"/>
          <w:sz w:val="24"/>
          <w:szCs w:val="36"/>
          <w:highlight w:val="none"/>
        </w:rPr>
        <w:t>√”标识。</w:t>
      </w:r>
    </w:p>
    <w:p>
      <w:pPr>
        <w:numPr>
          <w:ilvl w:val="0"/>
          <w:numId w:val="8"/>
        </w:numPr>
        <w:autoSpaceDE w:val="0"/>
        <w:autoSpaceDN w:val="0"/>
        <w:adjustRightInd w:val="0"/>
        <w:spacing w:line="360" w:lineRule="auto"/>
        <w:jc w:val="left"/>
        <w:rPr>
          <w:sz w:val="24"/>
          <w:szCs w:val="36"/>
          <w:highlight w:val="none"/>
        </w:rPr>
      </w:pPr>
      <w:r>
        <w:rPr>
          <w:rFonts w:hint="eastAsia"/>
          <w:sz w:val="24"/>
          <w:szCs w:val="28"/>
          <w:highlight w:val="none"/>
        </w:rPr>
        <w:t>投标单位同意建设单位在清单中标识的该项请在对应项打“</w:t>
      </w:r>
      <w:r>
        <w:rPr>
          <w:rFonts w:hint="eastAsia"/>
          <w:sz w:val="24"/>
          <w:szCs w:val="36"/>
          <w:highlight w:val="none"/>
        </w:rPr>
        <w:t>√”标识，并与投标文件中提供相应的安全管理措施。</w:t>
      </w:r>
    </w:p>
    <w:p>
      <w:pPr>
        <w:numPr>
          <w:ilvl w:val="0"/>
          <w:numId w:val="8"/>
        </w:numPr>
        <w:autoSpaceDE w:val="0"/>
        <w:autoSpaceDN w:val="0"/>
        <w:adjustRightInd w:val="0"/>
        <w:spacing w:line="360" w:lineRule="auto"/>
        <w:jc w:val="left"/>
        <w:rPr>
          <w:sz w:val="24"/>
          <w:szCs w:val="36"/>
          <w:highlight w:val="none"/>
        </w:rPr>
      </w:pPr>
      <w:r>
        <w:rPr>
          <w:rFonts w:hint="eastAsia"/>
          <w:sz w:val="24"/>
          <w:szCs w:val="28"/>
          <w:highlight w:val="none"/>
        </w:rPr>
        <w:t>投标单位对清单中认为需要补充的该项请在对应项打“</w:t>
      </w:r>
      <w:r>
        <w:rPr>
          <w:rFonts w:hint="eastAsia"/>
          <w:sz w:val="24"/>
          <w:szCs w:val="36"/>
          <w:highlight w:val="none"/>
        </w:rPr>
        <w:t>√”标识，并与投标文件中提供相应的安全管理措施。</w:t>
      </w:r>
    </w:p>
    <w:p>
      <w:pPr>
        <w:numPr>
          <w:ilvl w:val="0"/>
          <w:numId w:val="8"/>
        </w:numPr>
        <w:autoSpaceDE w:val="0"/>
        <w:autoSpaceDN w:val="0"/>
        <w:adjustRightInd w:val="0"/>
        <w:spacing w:line="360" w:lineRule="auto"/>
        <w:jc w:val="left"/>
        <w:rPr>
          <w:sz w:val="24"/>
          <w:szCs w:val="28"/>
          <w:highlight w:val="none"/>
        </w:rPr>
      </w:pPr>
      <w:r>
        <w:rPr>
          <w:rFonts w:hint="eastAsia"/>
          <w:sz w:val="24"/>
          <w:szCs w:val="36"/>
          <w:highlight w:val="none"/>
        </w:rPr>
        <w:t>投标单位不同意建设单位</w:t>
      </w:r>
      <w:r>
        <w:rPr>
          <w:rFonts w:hint="eastAsia"/>
          <w:sz w:val="24"/>
          <w:szCs w:val="28"/>
          <w:highlight w:val="none"/>
        </w:rPr>
        <w:t>在清单中标识的该项</w:t>
      </w:r>
      <w:r>
        <w:rPr>
          <w:rFonts w:hint="eastAsia"/>
          <w:sz w:val="24"/>
          <w:szCs w:val="36"/>
          <w:highlight w:val="none"/>
        </w:rPr>
        <w:t>请在对应项打“×”标识，并在备注栏填上相关说明。</w:t>
      </w:r>
    </w:p>
    <w:p>
      <w:pPr>
        <w:numPr>
          <w:ilvl w:val="0"/>
          <w:numId w:val="7"/>
        </w:numPr>
        <w:autoSpaceDE w:val="0"/>
        <w:autoSpaceDN w:val="0"/>
        <w:adjustRightInd w:val="0"/>
        <w:spacing w:line="360" w:lineRule="auto"/>
        <w:jc w:val="left"/>
        <w:rPr>
          <w:sz w:val="24"/>
          <w:szCs w:val="28"/>
          <w:highlight w:val="none"/>
        </w:rPr>
      </w:pPr>
      <w:r>
        <w:rPr>
          <w:rFonts w:hint="eastAsia"/>
          <w:sz w:val="24"/>
          <w:szCs w:val="28"/>
          <w:highlight w:val="none"/>
        </w:rPr>
        <w:t>投标单位应当在投标时根据招标人提供的下述第5点清单，在投标文件中编制专项施工方案。</w:t>
      </w:r>
    </w:p>
    <w:p>
      <w:pPr>
        <w:numPr>
          <w:ilvl w:val="0"/>
          <w:numId w:val="7"/>
        </w:numPr>
        <w:autoSpaceDE w:val="0"/>
        <w:autoSpaceDN w:val="0"/>
        <w:adjustRightInd w:val="0"/>
        <w:spacing w:line="360" w:lineRule="auto"/>
        <w:jc w:val="left"/>
        <w:rPr>
          <w:sz w:val="24"/>
          <w:szCs w:val="28"/>
          <w:highlight w:val="none"/>
        </w:rPr>
      </w:pPr>
      <w:r>
        <w:rPr>
          <w:rFonts w:hint="eastAsia"/>
          <w:sz w:val="24"/>
          <w:szCs w:val="28"/>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pPr>
        <w:numPr>
          <w:ilvl w:val="0"/>
          <w:numId w:val="7"/>
        </w:numPr>
        <w:autoSpaceDE w:val="0"/>
        <w:autoSpaceDN w:val="0"/>
        <w:adjustRightInd w:val="0"/>
        <w:spacing w:line="360" w:lineRule="auto"/>
        <w:jc w:val="left"/>
        <w:rPr>
          <w:sz w:val="24"/>
          <w:szCs w:val="28"/>
          <w:highlight w:val="none"/>
        </w:rPr>
      </w:pPr>
      <w:r>
        <w:rPr>
          <w:rFonts w:hint="eastAsia"/>
          <w:sz w:val="24"/>
          <w:szCs w:val="28"/>
          <w:highlight w:val="none"/>
        </w:rPr>
        <w:t>危险性较大的分部分项工程清单及超过一定规模的危险性较大的分部分项工程清单（参考版）：</w:t>
      </w:r>
    </w:p>
    <w:tbl>
      <w:tblPr>
        <w:tblStyle w:val="25"/>
        <w:tblW w:w="8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1361"/>
        <w:gridCol w:w="1361"/>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vAlign w:val="center"/>
          </w:tcPr>
          <w:p>
            <w:pPr>
              <w:spacing w:line="273" w:lineRule="auto"/>
              <w:jc w:val="center"/>
              <w:rPr>
                <w:rFonts w:ascii="Times New Roman" w:hAnsi="Times New Roman"/>
                <w:b/>
                <w:highlight w:val="none"/>
              </w:rPr>
            </w:pPr>
            <w:r>
              <w:rPr>
                <w:rFonts w:hint="eastAsia" w:ascii="Times New Roman" w:hAnsi="Times New Roman"/>
                <w:b/>
                <w:highlight w:val="none"/>
              </w:rPr>
              <w:t>一、危险性较大的分部分项工程清单</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建设单位</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投标单位</w:t>
            </w:r>
          </w:p>
        </w:tc>
        <w:tc>
          <w:tcPr>
            <w:tcW w:w="1063"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73" w:lineRule="auto"/>
              <w:jc w:val="left"/>
              <w:rPr>
                <w:rFonts w:ascii="Times New Roman" w:hAnsi="Times New Roman"/>
                <w:highlight w:val="none"/>
              </w:rPr>
            </w:pPr>
            <w:r>
              <w:rPr>
                <w:rFonts w:hint="eastAsia" w:ascii="Times New Roman" w:hAnsi="Times New Roman"/>
                <w:highlight w:val="none"/>
              </w:rPr>
              <w:t>一、基坑支护</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73" w:lineRule="auto"/>
              <w:jc w:val="left"/>
              <w:rPr>
                <w:rFonts w:ascii="Times New Roman" w:hAnsi="Times New Roman"/>
                <w:highlight w:val="none"/>
              </w:rPr>
            </w:pPr>
            <w:r>
              <w:rPr>
                <w:rFonts w:hint="eastAsia" w:ascii="Times New Roman" w:hAnsi="Times New Roman"/>
                <w:highlight w:val="none"/>
              </w:rPr>
              <w:t>（一）开挖深度超过3m</w:t>
            </w:r>
            <w:r>
              <w:rPr>
                <w:rFonts w:hint="eastAsia"/>
                <w:highlight w:val="none"/>
              </w:rPr>
              <w:t>（含</w:t>
            </w:r>
            <w:r>
              <w:rPr>
                <w:rFonts w:hint="eastAsia" w:ascii="Times New Roman" w:hAnsi="Times New Roman"/>
                <w:highlight w:val="none"/>
              </w:rPr>
              <w:t>3m</w:t>
            </w:r>
            <w:r>
              <w:rPr>
                <w:rFonts w:hint="eastAsia"/>
                <w:highlight w:val="none"/>
              </w:rPr>
              <w:t>）的基坑（槽）的土方开挖、支护、降水工程。</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73" w:lineRule="auto"/>
              <w:jc w:val="left"/>
              <w:rPr>
                <w:rFonts w:ascii="Times New Roman" w:hAnsi="Times New Roman"/>
                <w:highlight w:val="none"/>
              </w:rPr>
            </w:pPr>
            <w:r>
              <w:rPr>
                <w:rFonts w:hint="eastAsia" w:ascii="Times New Roman" w:hAnsi="Times New Roman"/>
                <w:highlight w:val="none"/>
              </w:rPr>
              <w:t>（二）开挖深度虽未超过3m</w:t>
            </w:r>
            <w:r>
              <w:rPr>
                <w:rFonts w:hint="eastAsia"/>
                <w:highlight w:val="none"/>
              </w:rPr>
              <w:t>，但地质条件、周围环境和地下管线复杂，或影响毗邻建、构筑物安全的基坑（槽）的土方开挖、支护、降水工程。</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73" w:lineRule="auto"/>
              <w:jc w:val="left"/>
              <w:rPr>
                <w:rFonts w:ascii="Times New Roman" w:hAnsi="Times New Roman"/>
                <w:highlight w:val="none"/>
              </w:rPr>
            </w:pPr>
            <w:r>
              <w:rPr>
                <w:rFonts w:hint="eastAsia" w:ascii="Times New Roman" w:hAnsi="Times New Roman"/>
                <w:highlight w:val="none"/>
              </w:rPr>
              <w:t>二、模板工程及支撑体系</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73" w:lineRule="auto"/>
              <w:jc w:val="left"/>
              <w:rPr>
                <w:rFonts w:ascii="Times New Roman" w:hAnsi="Times New Roman"/>
                <w:highlight w:val="none"/>
              </w:rPr>
            </w:pPr>
            <w:r>
              <w:rPr>
                <w:rFonts w:hint="eastAsia" w:ascii="Times New Roman" w:hAnsi="Times New Roman"/>
                <w:highlight w:val="none"/>
              </w:rPr>
              <w:t>（一）各类工具式模板工程：包括滑模、爬模、飞模、隧道模等工程。</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73" w:lineRule="auto"/>
              <w:jc w:val="left"/>
              <w:rPr>
                <w:rFonts w:ascii="Times New Roman" w:hAnsi="Times New Roman"/>
                <w:highlight w:val="none"/>
              </w:rPr>
            </w:pPr>
            <w:r>
              <w:rPr>
                <w:rFonts w:hint="eastAsia" w:ascii="Times New Roman" w:hAnsi="Times New Roman"/>
                <w:highlight w:val="none"/>
              </w:rPr>
              <w:t>（二）混凝土模板支撑工程：搭设高度5m</w:t>
            </w:r>
            <w:r>
              <w:rPr>
                <w:rFonts w:hint="eastAsia"/>
                <w:highlight w:val="none"/>
              </w:rPr>
              <w:t>及以上，或搭设跨度</w:t>
            </w:r>
            <w:r>
              <w:rPr>
                <w:rFonts w:hint="eastAsia" w:ascii="Times New Roman" w:hAnsi="Times New Roman"/>
                <w:highlight w:val="none"/>
              </w:rPr>
              <w:t>10m</w:t>
            </w:r>
            <w:r>
              <w:rPr>
                <w:rFonts w:hint="eastAsia"/>
                <w:highlight w:val="none"/>
              </w:rPr>
              <w:t>及以上，或施工总荷载（荷载效应基本组合的设计值，以下简称设计值）</w:t>
            </w:r>
            <w:r>
              <w:rPr>
                <w:rFonts w:hint="eastAsia" w:ascii="Times New Roman" w:hAnsi="Times New Roman"/>
                <w:highlight w:val="none"/>
              </w:rPr>
              <w:t>10kN/m2</w:t>
            </w:r>
            <w:r>
              <w:rPr>
                <w:rFonts w:hint="eastAsia"/>
                <w:highlight w:val="none"/>
              </w:rPr>
              <w:t>及以上，或集中线荷载（设计值）</w:t>
            </w:r>
            <w:r>
              <w:rPr>
                <w:rFonts w:hint="eastAsia" w:ascii="Times New Roman" w:hAnsi="Times New Roman"/>
                <w:highlight w:val="none"/>
              </w:rPr>
              <w:t>15kN/m</w:t>
            </w:r>
            <w:r>
              <w:rPr>
                <w:rFonts w:hint="eastAsia"/>
                <w:highlight w:val="none"/>
              </w:rPr>
              <w:t>及以上，或高度大于支撑水平投影宽度且相对独立无联系构件的混凝土模板支撑工程。</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widowControl/>
              <w:spacing w:line="273" w:lineRule="auto"/>
              <w:jc w:val="left"/>
              <w:rPr>
                <w:rFonts w:ascii="Times New Roman" w:hAnsi="Times New Roman" w:cs="宋体"/>
                <w:highlight w:val="none"/>
              </w:rPr>
            </w:pPr>
            <w:r>
              <w:rPr>
                <w:rFonts w:hint="eastAsia" w:ascii="Times New Roman" w:hAnsi="Times New Roman"/>
                <w:highlight w:val="none"/>
              </w:rPr>
              <w:t>（三）承重支撑体系：用于钢结构安装等满堂支撑体系。</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widowControl/>
              <w:spacing w:line="273" w:lineRule="auto"/>
              <w:jc w:val="left"/>
              <w:rPr>
                <w:rFonts w:ascii="Times New Roman" w:hAnsi="Times New Roman" w:cs="宋体"/>
                <w:highlight w:val="none"/>
              </w:rPr>
            </w:pPr>
            <w:r>
              <w:rPr>
                <w:rFonts w:hint="eastAsia" w:ascii="Times New Roman" w:hAnsi="Times New Roman"/>
                <w:highlight w:val="none"/>
              </w:rPr>
              <w:t>三、起重吊装及起重机械安装拆卸工程</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xml:space="preserve">(  </w:t>
            </w:r>
            <w:r>
              <w:rPr>
                <w:rFonts w:hint="eastAsia"/>
                <w:sz w:val="24"/>
                <w:szCs w:val="36"/>
                <w:highlight w:val="none"/>
              </w:rPr>
              <w:t>√</w:t>
            </w:r>
            <w:r>
              <w:rPr>
                <w:rFonts w:hint="eastAsia" w:ascii="Times New Roman" w:hAnsi="Times New Roman"/>
                <w:highlight w:val="none"/>
              </w:rPr>
              <w:t xml:space="preserve">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widowControl/>
              <w:spacing w:line="273" w:lineRule="auto"/>
              <w:jc w:val="left"/>
              <w:rPr>
                <w:rFonts w:ascii="Times New Roman" w:hAnsi="Times New Roman" w:cs="宋体"/>
                <w:highlight w:val="none"/>
              </w:rPr>
            </w:pPr>
            <w:r>
              <w:rPr>
                <w:rFonts w:hint="eastAsia" w:ascii="Times New Roman" w:hAnsi="Times New Roman"/>
                <w:highlight w:val="none"/>
              </w:rPr>
              <w:t>（一）采用非常规起重设备、方法，且单件起吊重量在10kN</w:t>
            </w:r>
            <w:r>
              <w:rPr>
                <w:rFonts w:hint="eastAsia"/>
                <w:highlight w:val="none"/>
              </w:rPr>
              <w:t>及以上的起重吊装工程。</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73" w:lineRule="auto"/>
              <w:jc w:val="left"/>
              <w:rPr>
                <w:rFonts w:ascii="Times New Roman" w:hAnsi="Times New Roman"/>
                <w:highlight w:val="none"/>
              </w:rPr>
            </w:pPr>
            <w:r>
              <w:rPr>
                <w:rFonts w:hint="eastAsia" w:ascii="Times New Roman" w:hAnsi="Times New Roman"/>
                <w:highlight w:val="none"/>
              </w:rPr>
              <w:t>（二）采用起重机械进行安装的工程。</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xml:space="preserve">(  </w:t>
            </w:r>
            <w:r>
              <w:rPr>
                <w:rFonts w:hint="eastAsia"/>
                <w:sz w:val="24"/>
                <w:szCs w:val="36"/>
                <w:highlight w:val="none"/>
              </w:rPr>
              <w:t>√</w:t>
            </w:r>
            <w:r>
              <w:rPr>
                <w:rFonts w:hint="eastAsia" w:ascii="Times New Roman" w:hAnsi="Times New Roman"/>
                <w:highlight w:val="none"/>
              </w:rPr>
              <w:t xml:space="preserve">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73" w:lineRule="auto"/>
              <w:jc w:val="left"/>
              <w:rPr>
                <w:rFonts w:ascii="Times New Roman" w:hAnsi="Times New Roman" w:cs="宋体"/>
                <w:highlight w:val="none"/>
              </w:rPr>
            </w:pPr>
            <w:r>
              <w:rPr>
                <w:rFonts w:hint="eastAsia" w:ascii="Times New Roman" w:hAnsi="Times New Roman"/>
                <w:highlight w:val="none"/>
              </w:rPr>
              <w:t>（三）起重机械安装和拆卸工程。</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73" w:lineRule="auto"/>
              <w:jc w:val="left"/>
              <w:rPr>
                <w:rFonts w:ascii="Times New Roman" w:hAnsi="Times New Roman"/>
                <w:highlight w:val="none"/>
              </w:rPr>
            </w:pPr>
            <w:r>
              <w:rPr>
                <w:rFonts w:hint="eastAsia" w:ascii="Times New Roman" w:hAnsi="Times New Roman"/>
                <w:highlight w:val="none"/>
              </w:rPr>
              <w:t>四、脚手架工程</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xml:space="preserve">(   </w:t>
            </w:r>
            <w:r>
              <w:rPr>
                <w:rFonts w:hint="eastAsia"/>
                <w:sz w:val="24"/>
                <w:szCs w:val="36"/>
                <w:highlight w:val="none"/>
              </w:rPr>
              <w:t>√</w:t>
            </w:r>
            <w:r>
              <w:rPr>
                <w:rFonts w:hint="eastAsia" w:ascii="Times New Roman" w:hAnsi="Times New Roman"/>
                <w:highlight w:val="none"/>
              </w:rPr>
              <w:t xml:space="preserve">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73" w:lineRule="auto"/>
              <w:jc w:val="left"/>
              <w:rPr>
                <w:rFonts w:ascii="Times New Roman" w:hAnsi="Times New Roman"/>
                <w:highlight w:val="none"/>
              </w:rPr>
            </w:pPr>
            <w:r>
              <w:rPr>
                <w:rFonts w:hint="eastAsia" w:ascii="Times New Roman" w:hAnsi="Times New Roman"/>
                <w:highlight w:val="none"/>
              </w:rPr>
              <w:t>（一）搭设高度24m</w:t>
            </w:r>
            <w:r>
              <w:rPr>
                <w:rFonts w:hint="eastAsia"/>
                <w:highlight w:val="none"/>
              </w:rPr>
              <w:t>及以上的落地式钢管脚手架工程（包括采光井、电梯井脚手架）。</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xml:space="preserve">(  </w:t>
            </w:r>
            <w:r>
              <w:rPr>
                <w:rFonts w:hint="eastAsia"/>
                <w:sz w:val="24"/>
                <w:szCs w:val="36"/>
                <w:highlight w:val="none"/>
              </w:rPr>
              <w:t>√</w:t>
            </w:r>
            <w:r>
              <w:rPr>
                <w:rFonts w:hint="eastAsia" w:ascii="Times New Roman" w:hAnsi="Times New Roman"/>
                <w:highlight w:val="none"/>
              </w:rPr>
              <w:t xml:space="preserve">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73" w:lineRule="auto"/>
              <w:jc w:val="left"/>
              <w:rPr>
                <w:rFonts w:ascii="Times New Roman" w:hAnsi="Times New Roman"/>
                <w:highlight w:val="none"/>
              </w:rPr>
            </w:pPr>
            <w:r>
              <w:rPr>
                <w:rFonts w:hint="eastAsia" w:ascii="Times New Roman" w:hAnsi="Times New Roman"/>
                <w:highlight w:val="none"/>
              </w:rPr>
              <w:t>（二）附着式升降脚手架工程。</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73" w:lineRule="auto"/>
              <w:jc w:val="left"/>
              <w:rPr>
                <w:rFonts w:ascii="Times New Roman" w:hAnsi="Times New Roman"/>
                <w:highlight w:val="none"/>
              </w:rPr>
            </w:pPr>
            <w:r>
              <w:rPr>
                <w:rFonts w:hint="eastAsia" w:ascii="Times New Roman" w:hAnsi="Times New Roman"/>
                <w:highlight w:val="none"/>
              </w:rPr>
              <w:t>（三）悬挑式脚手架工程。</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xml:space="preserve">(  </w:t>
            </w:r>
            <w:r>
              <w:rPr>
                <w:rFonts w:hint="eastAsia"/>
                <w:sz w:val="24"/>
                <w:szCs w:val="36"/>
                <w:highlight w:val="none"/>
              </w:rPr>
              <w:t>√</w:t>
            </w:r>
            <w:r>
              <w:rPr>
                <w:rFonts w:hint="eastAsia" w:ascii="Times New Roman" w:hAnsi="Times New Roman"/>
                <w:highlight w:val="none"/>
              </w:rPr>
              <w:t xml:space="preserve">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73" w:lineRule="auto"/>
              <w:jc w:val="left"/>
              <w:rPr>
                <w:rFonts w:ascii="Times New Roman" w:hAnsi="Times New Roman"/>
                <w:highlight w:val="none"/>
              </w:rPr>
            </w:pPr>
            <w:r>
              <w:rPr>
                <w:rFonts w:hint="eastAsia" w:ascii="Times New Roman" w:hAnsi="Times New Roman"/>
                <w:highlight w:val="none"/>
              </w:rPr>
              <w:t>（四）高处作业吊篮。</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73" w:lineRule="auto"/>
              <w:jc w:val="left"/>
              <w:rPr>
                <w:rFonts w:ascii="Times New Roman" w:hAnsi="Times New Roman"/>
                <w:highlight w:val="none"/>
              </w:rPr>
            </w:pPr>
            <w:r>
              <w:rPr>
                <w:rFonts w:hint="eastAsia" w:ascii="Times New Roman" w:hAnsi="Times New Roman"/>
                <w:highlight w:val="none"/>
              </w:rPr>
              <w:t>（五）卸料平台、操作平台工程。</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73" w:lineRule="auto"/>
              <w:jc w:val="left"/>
              <w:rPr>
                <w:rFonts w:ascii="Times New Roman" w:hAnsi="Times New Roman"/>
                <w:highlight w:val="none"/>
              </w:rPr>
            </w:pPr>
            <w:r>
              <w:rPr>
                <w:rFonts w:hint="eastAsia" w:ascii="Times New Roman" w:hAnsi="Times New Roman"/>
                <w:highlight w:val="none"/>
              </w:rPr>
              <w:t>（六）异型脚手架工程。</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xml:space="preserve">(  </w:t>
            </w:r>
            <w:r>
              <w:rPr>
                <w:rFonts w:hint="eastAsia"/>
                <w:sz w:val="24"/>
                <w:szCs w:val="36"/>
                <w:highlight w:val="none"/>
              </w:rPr>
              <w:t>√</w:t>
            </w:r>
            <w:r>
              <w:rPr>
                <w:rFonts w:hint="eastAsia" w:ascii="Times New Roman" w:hAnsi="Times New Roman"/>
                <w:highlight w:val="none"/>
              </w:rPr>
              <w:t xml:space="preserve">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86" w:type="dxa"/>
            <w:tcBorders>
              <w:top w:val="single" w:color="auto" w:sz="4" w:space="0"/>
              <w:left w:val="single" w:color="auto" w:sz="4" w:space="0"/>
              <w:bottom w:val="single" w:color="auto" w:sz="4" w:space="0"/>
              <w:right w:val="single" w:color="auto" w:sz="4" w:space="0"/>
            </w:tcBorders>
          </w:tcPr>
          <w:p>
            <w:pPr>
              <w:spacing w:line="273" w:lineRule="auto"/>
              <w:jc w:val="left"/>
              <w:rPr>
                <w:rFonts w:ascii="Times New Roman" w:hAnsi="Times New Roman"/>
                <w:highlight w:val="none"/>
              </w:rPr>
            </w:pPr>
            <w:r>
              <w:rPr>
                <w:rFonts w:hint="eastAsia" w:ascii="Times New Roman" w:hAnsi="Times New Roman"/>
                <w:highlight w:val="none"/>
              </w:rPr>
              <w:t>五、拆除工程</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73" w:lineRule="auto"/>
              <w:jc w:val="left"/>
              <w:rPr>
                <w:rFonts w:ascii="Times New Roman" w:hAnsi="Times New Roman"/>
                <w:highlight w:val="none"/>
              </w:rPr>
            </w:pPr>
            <w:r>
              <w:rPr>
                <w:rFonts w:hint="eastAsia" w:ascii="Times New Roman" w:hAnsi="Times New Roman"/>
                <w:highlight w:val="none"/>
              </w:rPr>
              <w:t>可能影响行人、交通、电力设施、通讯设施或其它建、构筑物安全的拆除工程。</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73" w:lineRule="auto"/>
              <w:jc w:val="left"/>
              <w:rPr>
                <w:rFonts w:ascii="Times New Roman" w:hAnsi="Times New Roman"/>
                <w:highlight w:val="none"/>
              </w:rPr>
            </w:pPr>
            <w:r>
              <w:rPr>
                <w:rFonts w:hint="eastAsia" w:ascii="Times New Roman" w:hAnsi="Times New Roman"/>
                <w:highlight w:val="none"/>
              </w:rPr>
              <w:t>六、暗挖工程</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73" w:lineRule="auto"/>
              <w:jc w:val="left"/>
              <w:rPr>
                <w:rFonts w:ascii="Times New Roman" w:hAnsi="Times New Roman"/>
                <w:highlight w:val="none"/>
              </w:rPr>
            </w:pPr>
            <w:r>
              <w:rPr>
                <w:rFonts w:hint="eastAsia" w:ascii="Times New Roman" w:hAnsi="Times New Roman"/>
                <w:highlight w:val="none"/>
              </w:rPr>
              <w:t>采用矿山法、盾构法、顶管法施工的隧道、洞室工程。</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73" w:lineRule="auto"/>
              <w:jc w:val="left"/>
              <w:rPr>
                <w:rFonts w:ascii="Times New Roman" w:hAnsi="Times New Roman"/>
                <w:highlight w:val="none"/>
              </w:rPr>
            </w:pPr>
            <w:r>
              <w:rPr>
                <w:rFonts w:hint="eastAsia" w:ascii="Times New Roman" w:hAnsi="Times New Roman"/>
                <w:highlight w:val="none"/>
              </w:rPr>
              <w:t>七、其它</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73" w:lineRule="auto"/>
              <w:jc w:val="left"/>
              <w:rPr>
                <w:rFonts w:ascii="Times New Roman" w:hAnsi="Times New Roman"/>
                <w:highlight w:val="none"/>
              </w:rPr>
            </w:pPr>
            <w:r>
              <w:rPr>
                <w:rFonts w:hint="eastAsia" w:ascii="Times New Roman" w:hAnsi="Times New Roman"/>
                <w:highlight w:val="none"/>
              </w:rPr>
              <w:t>（一）建筑幕墙安装工程。</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73" w:lineRule="auto"/>
              <w:jc w:val="left"/>
              <w:rPr>
                <w:rFonts w:ascii="Times New Roman" w:hAnsi="Times New Roman"/>
                <w:highlight w:val="none"/>
              </w:rPr>
            </w:pPr>
            <w:r>
              <w:rPr>
                <w:rFonts w:hint="eastAsia" w:ascii="Times New Roman" w:hAnsi="Times New Roman"/>
                <w:highlight w:val="none"/>
              </w:rPr>
              <w:t>（二）钢结构、网架和索膜结构安装工程。</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73" w:lineRule="auto"/>
              <w:jc w:val="left"/>
              <w:rPr>
                <w:rFonts w:ascii="Times New Roman" w:hAnsi="Times New Roman"/>
                <w:highlight w:val="none"/>
              </w:rPr>
            </w:pPr>
            <w:r>
              <w:rPr>
                <w:rFonts w:hint="eastAsia" w:ascii="Times New Roman" w:hAnsi="Times New Roman"/>
                <w:highlight w:val="none"/>
              </w:rPr>
              <w:t>（三）人工挖孔桩工程。</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73" w:lineRule="auto"/>
              <w:jc w:val="left"/>
              <w:rPr>
                <w:rFonts w:ascii="Times New Roman" w:hAnsi="Times New Roman"/>
                <w:highlight w:val="none"/>
              </w:rPr>
            </w:pPr>
            <w:r>
              <w:rPr>
                <w:rFonts w:hint="eastAsia" w:ascii="Times New Roman" w:hAnsi="Times New Roman"/>
                <w:highlight w:val="none"/>
              </w:rPr>
              <w:t>（四）水下作业工程。</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73" w:lineRule="auto"/>
              <w:jc w:val="left"/>
              <w:rPr>
                <w:rFonts w:ascii="Times New Roman" w:hAnsi="Times New Roman"/>
                <w:highlight w:val="none"/>
              </w:rPr>
            </w:pPr>
            <w:r>
              <w:rPr>
                <w:rFonts w:hint="eastAsia" w:ascii="Times New Roman" w:hAnsi="Times New Roman"/>
                <w:highlight w:val="none"/>
              </w:rPr>
              <w:t>（五）装配式建筑混凝土预制构件安装工程。</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73" w:lineRule="auto"/>
              <w:jc w:val="left"/>
              <w:rPr>
                <w:rFonts w:ascii="Times New Roman" w:hAnsi="Times New Roman"/>
                <w:highlight w:val="none"/>
              </w:rPr>
            </w:pPr>
            <w:r>
              <w:rPr>
                <w:rFonts w:hint="eastAsia" w:ascii="Times New Roman" w:hAnsi="Times New Roman"/>
                <w:highlight w:val="none"/>
              </w:rPr>
              <w:t>（六）采用新技术、新工艺、新材料、新设备可能影响工程施工安全，尚无国家、行业及地方技术标准的分部分项工程。</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vAlign w:val="center"/>
          </w:tcPr>
          <w:p>
            <w:pPr>
              <w:widowControl/>
              <w:spacing w:line="273" w:lineRule="auto"/>
              <w:rPr>
                <w:rFonts w:ascii="Times New Roman" w:hAnsi="Times New Roman" w:cs="宋体"/>
                <w:b/>
                <w:highlight w:val="none"/>
              </w:rPr>
            </w:pPr>
            <w:r>
              <w:rPr>
                <w:rFonts w:hint="eastAsia" w:ascii="Times New Roman" w:hAnsi="Times New Roman"/>
                <w:b/>
                <w:bCs/>
                <w:highlight w:val="none"/>
              </w:rPr>
              <w:t>二、超过一定规模的危险性较大的分部分项工程清单</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73" w:lineRule="auto"/>
              <w:jc w:val="left"/>
              <w:rPr>
                <w:rFonts w:ascii="Times New Roman" w:hAnsi="Times New Roman"/>
                <w:highlight w:val="none"/>
              </w:rPr>
            </w:pPr>
            <w:r>
              <w:rPr>
                <w:rFonts w:hint="eastAsia" w:ascii="Times New Roman" w:hAnsi="Times New Roman"/>
                <w:highlight w:val="none"/>
              </w:rPr>
              <w:t>一、深基坑工程</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73" w:lineRule="auto"/>
              <w:ind w:firstLine="480"/>
              <w:jc w:val="left"/>
              <w:rPr>
                <w:rFonts w:ascii="Times New Roman" w:hAnsi="Times New Roman"/>
                <w:highlight w:val="none"/>
              </w:rPr>
            </w:pPr>
            <w:r>
              <w:rPr>
                <w:rFonts w:hint="eastAsia" w:ascii="Times New Roman" w:hAnsi="Times New Roman"/>
                <w:highlight w:val="none"/>
              </w:rPr>
              <w:t>开挖深度超过5m</w:t>
            </w:r>
            <w:r>
              <w:rPr>
                <w:rFonts w:hint="eastAsia"/>
                <w:highlight w:val="none"/>
              </w:rPr>
              <w:t>（含</w:t>
            </w:r>
            <w:r>
              <w:rPr>
                <w:rFonts w:hint="eastAsia" w:ascii="Times New Roman" w:hAnsi="Times New Roman"/>
                <w:highlight w:val="none"/>
              </w:rPr>
              <w:t>5m</w:t>
            </w:r>
            <w:r>
              <w:rPr>
                <w:rFonts w:hint="eastAsia"/>
                <w:highlight w:val="none"/>
              </w:rPr>
              <w:t>）的基坑（槽）的土方开挖、支护、降水工程。</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ind w:firstLine="480"/>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73" w:lineRule="auto"/>
              <w:ind w:firstLine="480"/>
              <w:jc w:val="left"/>
              <w:rPr>
                <w:rFonts w:ascii="Times New Roman" w:hAnsi="Times New Roman"/>
                <w:highlight w:val="none"/>
              </w:rPr>
            </w:pPr>
            <w:r>
              <w:rPr>
                <w:rFonts w:hint="eastAsia" w:ascii="Times New Roman" w:hAnsi="Times New Roman"/>
                <w:highlight w:val="none"/>
              </w:rPr>
              <w:t>二、模板工程及支撑体系</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ind w:firstLine="480"/>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73" w:lineRule="auto"/>
              <w:ind w:firstLine="480"/>
              <w:jc w:val="left"/>
              <w:rPr>
                <w:rFonts w:ascii="Times New Roman" w:hAnsi="Times New Roman"/>
                <w:highlight w:val="none"/>
              </w:rPr>
            </w:pPr>
            <w:r>
              <w:rPr>
                <w:rFonts w:hint="eastAsia" w:ascii="Times New Roman" w:hAnsi="Times New Roman"/>
                <w:highlight w:val="none"/>
              </w:rPr>
              <w:t>（一）各类工具式模板工程：包括滑模、爬模、飞模、隧道模等工程。</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ind w:firstLine="480"/>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73" w:lineRule="auto"/>
              <w:ind w:firstLine="480"/>
              <w:jc w:val="left"/>
              <w:rPr>
                <w:rFonts w:ascii="Times New Roman" w:hAnsi="Times New Roman"/>
                <w:highlight w:val="none"/>
              </w:rPr>
            </w:pPr>
            <w:r>
              <w:rPr>
                <w:rFonts w:hint="eastAsia" w:ascii="Times New Roman" w:hAnsi="Times New Roman"/>
                <w:highlight w:val="none"/>
              </w:rPr>
              <w:t>（二）混凝土模板支撑工程：搭设高度8m</w:t>
            </w:r>
            <w:r>
              <w:rPr>
                <w:rFonts w:hint="eastAsia"/>
                <w:highlight w:val="none"/>
              </w:rPr>
              <w:t>及以上，或搭设跨度</w:t>
            </w:r>
            <w:r>
              <w:rPr>
                <w:rFonts w:hint="eastAsia" w:ascii="Times New Roman" w:hAnsi="Times New Roman"/>
                <w:highlight w:val="none"/>
              </w:rPr>
              <w:t>18m</w:t>
            </w:r>
            <w:r>
              <w:rPr>
                <w:rFonts w:hint="eastAsia"/>
                <w:highlight w:val="none"/>
              </w:rPr>
              <w:t>及以上，或施工总荷载（设计值）</w:t>
            </w:r>
            <w:r>
              <w:rPr>
                <w:rFonts w:hint="eastAsia" w:ascii="Times New Roman" w:hAnsi="Times New Roman"/>
                <w:highlight w:val="none"/>
              </w:rPr>
              <w:t>15kN/m2</w:t>
            </w:r>
            <w:r>
              <w:rPr>
                <w:rFonts w:hint="eastAsia"/>
                <w:highlight w:val="none"/>
              </w:rPr>
              <w:t>及以上，或集中线荷载（设计值）</w:t>
            </w:r>
            <w:r>
              <w:rPr>
                <w:rFonts w:hint="eastAsia" w:ascii="Times New Roman" w:hAnsi="Times New Roman"/>
                <w:highlight w:val="none"/>
              </w:rPr>
              <w:t>20kN/m</w:t>
            </w:r>
            <w:r>
              <w:rPr>
                <w:rFonts w:hint="eastAsia"/>
                <w:highlight w:val="none"/>
              </w:rPr>
              <w:t>及以上。</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73" w:lineRule="auto"/>
              <w:jc w:val="left"/>
              <w:rPr>
                <w:rFonts w:ascii="Times New Roman" w:hAnsi="Times New Roman"/>
                <w:highlight w:val="none"/>
              </w:rPr>
            </w:pPr>
            <w:r>
              <w:rPr>
                <w:rFonts w:hint="eastAsia" w:ascii="Times New Roman" w:hAnsi="Times New Roman"/>
                <w:highlight w:val="none"/>
              </w:rPr>
              <w:t>（三）承重支撑体系：用于钢结构安装等满堂支撑体系，承受单点集中荷载7kN</w:t>
            </w:r>
            <w:r>
              <w:rPr>
                <w:rFonts w:hint="eastAsia"/>
                <w:highlight w:val="none"/>
              </w:rPr>
              <w:t>及以上。</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73" w:lineRule="auto"/>
              <w:jc w:val="left"/>
              <w:rPr>
                <w:rFonts w:ascii="Times New Roman" w:hAnsi="Times New Roman"/>
                <w:highlight w:val="none"/>
              </w:rPr>
            </w:pPr>
            <w:r>
              <w:rPr>
                <w:rFonts w:hint="eastAsia" w:ascii="Times New Roman" w:hAnsi="Times New Roman"/>
                <w:highlight w:val="none"/>
              </w:rPr>
              <w:t>三、起重吊装及起重机械安装拆卸工程</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73" w:lineRule="auto"/>
              <w:jc w:val="left"/>
              <w:rPr>
                <w:rFonts w:ascii="Times New Roman" w:hAnsi="Times New Roman"/>
                <w:highlight w:val="none"/>
              </w:rPr>
            </w:pPr>
            <w:r>
              <w:rPr>
                <w:rFonts w:hint="eastAsia" w:ascii="Times New Roman" w:hAnsi="Times New Roman"/>
                <w:highlight w:val="none"/>
              </w:rPr>
              <w:t>（一）采用非常规起重设备、方法，且单件起吊重量在100kN</w:t>
            </w:r>
            <w:r>
              <w:rPr>
                <w:rFonts w:hint="eastAsia"/>
                <w:highlight w:val="none"/>
              </w:rPr>
              <w:t>及以上的起重吊装工程。</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73" w:lineRule="auto"/>
              <w:jc w:val="left"/>
              <w:rPr>
                <w:rFonts w:ascii="Times New Roman" w:hAnsi="Times New Roman"/>
                <w:highlight w:val="none"/>
              </w:rPr>
            </w:pPr>
            <w:r>
              <w:rPr>
                <w:rFonts w:hint="eastAsia" w:ascii="Times New Roman" w:hAnsi="Times New Roman"/>
                <w:highlight w:val="none"/>
              </w:rPr>
              <w:t>（二）起重量300kN</w:t>
            </w:r>
            <w:r>
              <w:rPr>
                <w:rFonts w:hint="eastAsia"/>
                <w:highlight w:val="none"/>
              </w:rPr>
              <w:t>及以上，或搭设总高度</w:t>
            </w:r>
            <w:r>
              <w:rPr>
                <w:rFonts w:hint="eastAsia" w:ascii="Times New Roman" w:hAnsi="Times New Roman"/>
                <w:highlight w:val="none"/>
              </w:rPr>
              <w:t>200m</w:t>
            </w:r>
            <w:r>
              <w:rPr>
                <w:rFonts w:hint="eastAsia"/>
                <w:highlight w:val="none"/>
              </w:rPr>
              <w:t>及以上，或搭设基础标高在</w:t>
            </w:r>
            <w:r>
              <w:rPr>
                <w:rFonts w:hint="eastAsia" w:ascii="Times New Roman" w:hAnsi="Times New Roman"/>
                <w:highlight w:val="none"/>
              </w:rPr>
              <w:t>200m</w:t>
            </w:r>
            <w:r>
              <w:rPr>
                <w:rFonts w:hint="eastAsia"/>
                <w:highlight w:val="none"/>
              </w:rPr>
              <w:t>及以上的起重机械安装和拆卸工程。</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73" w:lineRule="auto"/>
              <w:jc w:val="left"/>
              <w:rPr>
                <w:rFonts w:ascii="Times New Roman" w:hAnsi="Times New Roman"/>
                <w:highlight w:val="none"/>
              </w:rPr>
            </w:pPr>
            <w:r>
              <w:rPr>
                <w:rFonts w:hint="eastAsia" w:ascii="Times New Roman" w:hAnsi="Times New Roman"/>
                <w:highlight w:val="none"/>
              </w:rPr>
              <w:t>四、脚手架工程</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73" w:lineRule="auto"/>
              <w:jc w:val="left"/>
              <w:rPr>
                <w:rFonts w:ascii="Times New Roman" w:hAnsi="Times New Roman"/>
                <w:highlight w:val="none"/>
              </w:rPr>
            </w:pPr>
            <w:r>
              <w:rPr>
                <w:rFonts w:hint="eastAsia" w:ascii="Times New Roman" w:hAnsi="Times New Roman"/>
                <w:highlight w:val="none"/>
              </w:rPr>
              <w:t>（一）搭设高度50m</w:t>
            </w:r>
            <w:r>
              <w:rPr>
                <w:rFonts w:hint="eastAsia"/>
                <w:highlight w:val="none"/>
              </w:rPr>
              <w:t>及以上的落地式钢管脚手架工程。</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73" w:lineRule="auto"/>
              <w:jc w:val="left"/>
              <w:rPr>
                <w:rFonts w:ascii="Times New Roman" w:hAnsi="Times New Roman"/>
                <w:highlight w:val="none"/>
              </w:rPr>
            </w:pPr>
            <w:r>
              <w:rPr>
                <w:rFonts w:hint="eastAsia" w:ascii="Times New Roman" w:hAnsi="Times New Roman"/>
                <w:highlight w:val="none"/>
              </w:rPr>
              <w:t>（二）提升高度在150m</w:t>
            </w:r>
            <w:r>
              <w:rPr>
                <w:rFonts w:hint="eastAsia"/>
                <w:highlight w:val="none"/>
              </w:rPr>
              <w:t>及以上的附着式升降脚手架工程或附着式升降操作平台工程。</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73" w:lineRule="auto"/>
              <w:jc w:val="left"/>
              <w:rPr>
                <w:rFonts w:ascii="Times New Roman" w:hAnsi="Times New Roman"/>
                <w:highlight w:val="none"/>
              </w:rPr>
            </w:pPr>
            <w:r>
              <w:rPr>
                <w:rFonts w:hint="eastAsia" w:ascii="Times New Roman" w:hAnsi="Times New Roman"/>
                <w:highlight w:val="none"/>
              </w:rPr>
              <w:t>（三）分段架体搭设高度20m</w:t>
            </w:r>
            <w:r>
              <w:rPr>
                <w:rFonts w:hint="eastAsia"/>
                <w:highlight w:val="none"/>
              </w:rPr>
              <w:t>及以上的悬挑式脚手架工程。</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73" w:lineRule="auto"/>
              <w:jc w:val="left"/>
              <w:rPr>
                <w:rFonts w:ascii="Times New Roman" w:hAnsi="Times New Roman"/>
                <w:highlight w:val="none"/>
              </w:rPr>
            </w:pPr>
            <w:r>
              <w:rPr>
                <w:rFonts w:hint="eastAsia" w:ascii="Times New Roman" w:hAnsi="Times New Roman"/>
                <w:highlight w:val="none"/>
              </w:rPr>
              <w:t>五、拆除工程</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73" w:lineRule="auto"/>
              <w:jc w:val="left"/>
              <w:rPr>
                <w:rFonts w:ascii="Times New Roman" w:hAnsi="Times New Roman"/>
                <w:highlight w:val="none"/>
              </w:rPr>
            </w:pPr>
            <w:r>
              <w:rPr>
                <w:rFonts w:hint="eastAsia" w:ascii="Times New Roman" w:hAnsi="Times New Roman"/>
                <w:highlight w:val="none"/>
              </w:rPr>
              <w:t>（一）码头、桥梁、高架、烟囱、水塔或拆除中容易引起有毒有害气（液）体或粉尘扩散、易燃易爆事故发生的特殊建、构筑物的拆除工程。</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73" w:lineRule="auto"/>
              <w:jc w:val="left"/>
              <w:rPr>
                <w:rFonts w:ascii="Times New Roman" w:hAnsi="Times New Roman"/>
                <w:highlight w:val="none"/>
              </w:rPr>
            </w:pPr>
            <w:r>
              <w:rPr>
                <w:rFonts w:hint="eastAsia" w:ascii="Times New Roman" w:hAnsi="Times New Roman"/>
                <w:highlight w:val="none"/>
              </w:rPr>
              <w:t>（二）文物保护建筑、优秀历史建筑或历史文化风貌区影响范围内的拆除工程。</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73" w:lineRule="auto"/>
              <w:jc w:val="left"/>
              <w:rPr>
                <w:rFonts w:ascii="Times New Roman" w:hAnsi="Times New Roman"/>
                <w:highlight w:val="none"/>
              </w:rPr>
            </w:pPr>
            <w:r>
              <w:rPr>
                <w:rFonts w:hint="eastAsia" w:ascii="Times New Roman" w:hAnsi="Times New Roman"/>
                <w:highlight w:val="none"/>
              </w:rPr>
              <w:t>六、暗挖工程</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73" w:lineRule="auto"/>
              <w:jc w:val="left"/>
              <w:rPr>
                <w:rFonts w:ascii="Times New Roman" w:hAnsi="Times New Roman"/>
                <w:highlight w:val="none"/>
              </w:rPr>
            </w:pPr>
            <w:r>
              <w:rPr>
                <w:rFonts w:hint="eastAsia" w:ascii="Times New Roman" w:hAnsi="Times New Roman"/>
                <w:highlight w:val="none"/>
              </w:rPr>
              <w:t>采用矿山法、盾构法、顶管法施工的隧道、洞室工程。</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73" w:lineRule="auto"/>
              <w:jc w:val="left"/>
              <w:rPr>
                <w:rFonts w:ascii="Times New Roman" w:hAnsi="Times New Roman"/>
                <w:highlight w:val="none"/>
              </w:rPr>
            </w:pPr>
            <w:r>
              <w:rPr>
                <w:rFonts w:hint="eastAsia" w:ascii="Times New Roman" w:hAnsi="Times New Roman"/>
                <w:highlight w:val="none"/>
              </w:rPr>
              <w:t>七、其它</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73" w:lineRule="auto"/>
              <w:jc w:val="left"/>
              <w:rPr>
                <w:rFonts w:ascii="Times New Roman" w:hAnsi="Times New Roman"/>
                <w:highlight w:val="none"/>
              </w:rPr>
            </w:pPr>
            <w:r>
              <w:rPr>
                <w:rFonts w:hint="eastAsia" w:ascii="Times New Roman" w:hAnsi="Times New Roman"/>
                <w:highlight w:val="none"/>
              </w:rPr>
              <w:t>（一）施工高度50m</w:t>
            </w:r>
            <w:r>
              <w:rPr>
                <w:rFonts w:hint="eastAsia"/>
                <w:highlight w:val="none"/>
              </w:rPr>
              <w:t>及以上的建筑幕墙安装工程。</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73" w:lineRule="auto"/>
              <w:jc w:val="left"/>
              <w:rPr>
                <w:rFonts w:ascii="Times New Roman" w:hAnsi="Times New Roman"/>
                <w:highlight w:val="none"/>
              </w:rPr>
            </w:pPr>
            <w:r>
              <w:rPr>
                <w:rFonts w:hint="eastAsia" w:ascii="Times New Roman" w:hAnsi="Times New Roman"/>
                <w:highlight w:val="none"/>
              </w:rPr>
              <w:t>（二）跨度36m</w:t>
            </w:r>
            <w:r>
              <w:rPr>
                <w:rFonts w:hint="eastAsia"/>
                <w:highlight w:val="none"/>
              </w:rPr>
              <w:t>及以上的钢结构安装工程，或跨度</w:t>
            </w:r>
            <w:r>
              <w:rPr>
                <w:rFonts w:hint="eastAsia" w:ascii="Times New Roman" w:hAnsi="Times New Roman"/>
                <w:highlight w:val="none"/>
              </w:rPr>
              <w:t>60m</w:t>
            </w:r>
            <w:r>
              <w:rPr>
                <w:rFonts w:hint="eastAsia"/>
                <w:highlight w:val="none"/>
              </w:rPr>
              <w:t>及以上的网架和索膜结构安装工程。</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73" w:lineRule="auto"/>
              <w:jc w:val="left"/>
              <w:rPr>
                <w:rFonts w:ascii="Times New Roman" w:hAnsi="Times New Roman"/>
                <w:highlight w:val="none"/>
              </w:rPr>
            </w:pPr>
            <w:r>
              <w:rPr>
                <w:rFonts w:hint="eastAsia" w:ascii="Times New Roman" w:hAnsi="Times New Roman"/>
                <w:highlight w:val="none"/>
              </w:rPr>
              <w:t>（三）开挖深度16m</w:t>
            </w:r>
            <w:r>
              <w:rPr>
                <w:rFonts w:hint="eastAsia"/>
                <w:highlight w:val="none"/>
              </w:rPr>
              <w:t>及以上的人工挖孔桩工程。</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73" w:lineRule="auto"/>
              <w:jc w:val="left"/>
              <w:rPr>
                <w:rFonts w:ascii="Times New Roman" w:hAnsi="Times New Roman"/>
                <w:highlight w:val="none"/>
              </w:rPr>
            </w:pPr>
            <w:r>
              <w:rPr>
                <w:rFonts w:hint="eastAsia" w:ascii="Times New Roman" w:hAnsi="Times New Roman"/>
                <w:highlight w:val="none"/>
              </w:rPr>
              <w:t>（四）水下作业工程。</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73" w:lineRule="auto"/>
              <w:jc w:val="left"/>
              <w:rPr>
                <w:rFonts w:ascii="Times New Roman" w:hAnsi="Times New Roman"/>
                <w:highlight w:val="none"/>
              </w:rPr>
            </w:pPr>
            <w:r>
              <w:rPr>
                <w:rFonts w:hint="eastAsia" w:ascii="Times New Roman" w:hAnsi="Times New Roman"/>
                <w:highlight w:val="none"/>
              </w:rPr>
              <w:t>（五）重量1000kN</w:t>
            </w:r>
            <w:r>
              <w:rPr>
                <w:rFonts w:hint="eastAsia"/>
                <w:highlight w:val="none"/>
              </w:rPr>
              <w:t>及以上的大型结构整体顶升、平移、转体等施工工艺。</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73" w:lineRule="auto"/>
              <w:jc w:val="left"/>
              <w:rPr>
                <w:rFonts w:ascii="Times New Roman" w:hAnsi="Times New Roman"/>
                <w:highlight w:val="none"/>
              </w:rPr>
            </w:pPr>
            <w:r>
              <w:rPr>
                <w:rFonts w:hint="eastAsia" w:ascii="Times New Roman" w:hAnsi="Times New Roman"/>
                <w:highlight w:val="none"/>
              </w:rPr>
              <w:t>（六）采用新技术、新工艺、新材料、新设备可能影响工程施工安全，尚无国家、行业及地方技术标准的分部分项工程。</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b/>
                <w:bCs/>
                <w:highlight w:val="none"/>
              </w:rPr>
            </w:pPr>
            <w:r>
              <w:rPr>
                <w:rFonts w:hint="eastAsia" w:ascii="Times New Roman" w:hAnsi="Times New Roman"/>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r>
              <w:rPr>
                <w:rFonts w:hint="eastAsia" w:ascii="Times New Roman" w:hAnsi="Times New Roman"/>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73" w:lineRule="auto"/>
              <w:jc w:val="center"/>
              <w:rPr>
                <w:rFonts w:ascii="Times New Roman" w:hAnsi="Times New Roman"/>
                <w:highlight w:val="none"/>
              </w:rPr>
            </w:pPr>
          </w:p>
        </w:tc>
      </w:tr>
    </w:tbl>
    <w:p>
      <w:pPr>
        <w:autoSpaceDE w:val="0"/>
        <w:autoSpaceDN w:val="0"/>
        <w:adjustRightInd w:val="0"/>
        <w:spacing w:line="360" w:lineRule="auto"/>
        <w:jc w:val="left"/>
        <w:rPr>
          <w:sz w:val="24"/>
          <w:szCs w:val="28"/>
          <w:highlight w:val="none"/>
        </w:rPr>
      </w:pPr>
    </w:p>
    <w:p>
      <w:pPr>
        <w:topLinePunct/>
        <w:adjustRightInd w:val="0"/>
        <w:snapToGrid w:val="0"/>
        <w:spacing w:line="360" w:lineRule="auto"/>
        <w:ind w:firstLine="496" w:firstLineChars="200"/>
        <w:rPr>
          <w:spacing w:val="4"/>
          <w:kern w:val="0"/>
          <w:sz w:val="24"/>
          <w:szCs w:val="24"/>
          <w:highlight w:val="none"/>
        </w:rPr>
      </w:pPr>
    </w:p>
    <w:p>
      <w:pPr>
        <w:topLinePunct/>
        <w:adjustRightInd w:val="0"/>
        <w:snapToGrid w:val="0"/>
        <w:spacing w:line="360" w:lineRule="auto"/>
        <w:ind w:firstLine="691" w:firstLineChars="279"/>
        <w:rPr>
          <w:rFonts w:cs="宋体"/>
          <w:snapToGrid w:val="0"/>
          <w:spacing w:val="4"/>
          <w:kern w:val="0"/>
          <w:sz w:val="24"/>
          <w:szCs w:val="24"/>
          <w:highlight w:val="none"/>
        </w:rPr>
      </w:pPr>
      <w:r>
        <w:rPr>
          <w:rFonts w:hint="eastAsia" w:cs="宋体"/>
          <w:snapToGrid w:val="0"/>
          <w:spacing w:val="4"/>
          <w:kern w:val="0"/>
          <w:sz w:val="24"/>
          <w:szCs w:val="24"/>
          <w:highlight w:val="none"/>
        </w:rPr>
        <w:t>投 标 人：    （盖章）</w:t>
      </w:r>
    </w:p>
    <w:p>
      <w:pPr>
        <w:topLinePunct/>
        <w:adjustRightInd w:val="0"/>
        <w:snapToGrid w:val="0"/>
        <w:spacing w:line="360" w:lineRule="auto"/>
        <w:ind w:firstLine="691" w:firstLineChars="279"/>
        <w:rPr>
          <w:rFonts w:cs="宋体"/>
          <w:snapToGrid w:val="0"/>
          <w:spacing w:val="4"/>
          <w:kern w:val="0"/>
          <w:sz w:val="24"/>
          <w:szCs w:val="24"/>
          <w:highlight w:val="none"/>
        </w:rPr>
      </w:pPr>
      <w:r>
        <w:rPr>
          <w:rFonts w:hint="eastAsia" w:cs="宋体"/>
          <w:snapToGrid w:val="0"/>
          <w:spacing w:val="4"/>
          <w:kern w:val="0"/>
          <w:sz w:val="24"/>
          <w:szCs w:val="24"/>
          <w:highlight w:val="none"/>
        </w:rPr>
        <w:t>法定代表人或授权代理人（签字或盖章）：</w:t>
      </w:r>
    </w:p>
    <w:p>
      <w:pPr>
        <w:autoSpaceDE w:val="0"/>
        <w:autoSpaceDN w:val="0"/>
        <w:adjustRightInd w:val="0"/>
        <w:spacing w:line="360" w:lineRule="auto"/>
        <w:ind w:firstLine="691" w:firstLineChars="279"/>
        <w:rPr>
          <w:rFonts w:cs="宋体"/>
          <w:bCs/>
          <w:sz w:val="24"/>
          <w:szCs w:val="24"/>
          <w:highlight w:val="none"/>
        </w:rPr>
      </w:pPr>
      <w:r>
        <w:rPr>
          <w:rFonts w:hint="eastAsia" w:cs="宋体"/>
          <w:snapToGrid w:val="0"/>
          <w:spacing w:val="4"/>
          <w:kern w:val="0"/>
          <w:sz w:val="24"/>
          <w:szCs w:val="24"/>
          <w:highlight w:val="none"/>
        </w:rPr>
        <w:t>日    期：    年    月    日</w:t>
      </w:r>
    </w:p>
    <w:p>
      <w:pPr>
        <w:rPr>
          <w:highlight w:val="none"/>
        </w:rPr>
      </w:pPr>
    </w:p>
    <w:p>
      <w:pPr>
        <w:ind w:right="-130" w:rightChars="-62"/>
        <w:rPr>
          <w:color w:val="auto"/>
          <w:highlight w:val="none"/>
        </w:rPr>
      </w:pPr>
    </w:p>
    <w:p>
      <w:pPr>
        <w:widowControl/>
        <w:jc w:val="left"/>
        <w:rPr>
          <w:color w:val="auto"/>
          <w:highlight w:val="none"/>
        </w:rPr>
      </w:pPr>
      <w:r>
        <w:rPr>
          <w:color w:val="auto"/>
          <w:highlight w:val="none"/>
        </w:rPr>
        <w:br w:type="page"/>
      </w:r>
    </w:p>
    <w:p>
      <w:pPr>
        <w:pStyle w:val="4"/>
        <w:rPr>
          <w:color w:val="auto"/>
          <w:highlight w:val="none"/>
        </w:rPr>
      </w:pPr>
      <w:bookmarkStart w:id="40" w:name="_Toc60070631"/>
      <w:bookmarkStart w:id="41" w:name="_Toc58838603"/>
      <w:bookmarkStart w:id="42" w:name="_Toc61541795"/>
      <w:r>
        <w:rPr>
          <w:rFonts w:hint="eastAsia"/>
          <w:color w:val="auto"/>
          <w:highlight w:val="none"/>
        </w:rPr>
        <w:t>格式九：</w:t>
      </w:r>
      <w:bookmarkEnd w:id="40"/>
      <w:bookmarkEnd w:id="41"/>
      <w:bookmarkEnd w:id="42"/>
    </w:p>
    <w:p>
      <w:pPr>
        <w:jc w:val="center"/>
        <w:rPr>
          <w:b/>
          <w:color w:val="auto"/>
          <w:sz w:val="36"/>
          <w:szCs w:val="36"/>
          <w:highlight w:val="none"/>
        </w:rPr>
      </w:pPr>
      <w:r>
        <w:rPr>
          <w:rFonts w:hint="eastAsia"/>
          <w:b/>
          <w:color w:val="auto"/>
          <w:sz w:val="36"/>
          <w:szCs w:val="36"/>
          <w:highlight w:val="none"/>
        </w:rPr>
        <w:t>参与编制技术标投标文件人员名单</w:t>
      </w:r>
    </w:p>
    <w:tbl>
      <w:tblPr>
        <w:tblStyle w:val="25"/>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470"/>
        <w:gridCol w:w="2520"/>
        <w:gridCol w:w="2415"/>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116"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r>
              <w:rPr>
                <w:rFonts w:hint="eastAsia" w:cs="宋体"/>
                <w:color w:val="auto"/>
                <w:szCs w:val="21"/>
                <w:highlight w:val="none"/>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r>
              <w:rPr>
                <w:rFonts w:hint="eastAsia" w:cs="宋体"/>
                <w:color w:val="auto"/>
                <w:szCs w:val="21"/>
                <w:highlight w:val="none"/>
              </w:rPr>
              <w:t>姓名</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r>
              <w:rPr>
                <w:rFonts w:hint="eastAsia" w:cs="宋体"/>
                <w:color w:val="auto"/>
                <w:szCs w:val="21"/>
                <w:highlight w:val="none"/>
              </w:rPr>
              <w:t>职务</w:t>
            </w: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r>
              <w:rPr>
                <w:rFonts w:hint="eastAsia" w:cs="宋体"/>
                <w:color w:val="auto"/>
                <w:szCs w:val="21"/>
                <w:highlight w:val="none"/>
              </w:rPr>
              <w:t>所承担工作</w:t>
            </w:r>
          </w:p>
        </w:tc>
        <w:tc>
          <w:tcPr>
            <w:tcW w:w="241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r>
              <w:rPr>
                <w:rFonts w:hint="eastAsia" w:cs="宋体"/>
                <w:color w:val="auto"/>
                <w:szCs w:val="21"/>
                <w:highlight w:val="none"/>
              </w:rPr>
              <w:t>身份证号码</w:t>
            </w:r>
          </w:p>
        </w:tc>
        <w:tc>
          <w:tcPr>
            <w:tcW w:w="1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r>
              <w:rPr>
                <w:rFonts w:hint="eastAsia" w:cs="宋体"/>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cs="宋体"/>
                <w:color w:val="auto"/>
                <w:szCs w:val="21"/>
                <w:highlight w:val="none"/>
              </w:rPr>
            </w:pPr>
          </w:p>
        </w:tc>
      </w:tr>
    </w:tbl>
    <w:p>
      <w:pPr>
        <w:autoSpaceDE w:val="0"/>
        <w:autoSpaceDN w:val="0"/>
        <w:adjustRightInd w:val="0"/>
        <w:spacing w:line="360" w:lineRule="auto"/>
        <w:rPr>
          <w:rFonts w:cs="宋体"/>
          <w:bCs/>
          <w:color w:val="auto"/>
          <w:sz w:val="24"/>
          <w:szCs w:val="24"/>
          <w:highlight w:val="none"/>
        </w:rPr>
      </w:pPr>
      <w:r>
        <w:rPr>
          <w:rFonts w:hint="eastAsia" w:cs="宋体"/>
          <w:color w:val="auto"/>
          <w:sz w:val="24"/>
          <w:szCs w:val="24"/>
          <w:highlight w:val="none"/>
        </w:rPr>
        <w:t>注：参与编制技术标书所有人员名单应包括如编制技术投标方案、负责清样校对、负责打印及复印等所有人员在内的人员名单。</w:t>
      </w:r>
    </w:p>
    <w:p>
      <w:pPr>
        <w:rPr>
          <w:color w:val="auto"/>
          <w:highlight w:val="none"/>
        </w:rPr>
      </w:pPr>
    </w:p>
    <w:p>
      <w:pPr>
        <w:pStyle w:val="4"/>
        <w:rPr>
          <w:rFonts w:hint="default" w:eastAsia="宋体" w:cs="宋体"/>
          <w:b/>
          <w:bCs/>
          <w:color w:val="auto"/>
          <w:sz w:val="44"/>
          <w:szCs w:val="44"/>
          <w:highlight w:val="none"/>
          <w:lang w:val="en-US" w:eastAsia="zh-CN"/>
        </w:rPr>
      </w:pPr>
      <w:r>
        <w:rPr>
          <w:color w:val="auto"/>
          <w:highlight w:val="none"/>
        </w:rPr>
        <w:br w:type="page"/>
      </w:r>
      <w:r>
        <w:rPr>
          <w:rFonts w:hint="eastAsia"/>
          <w:snapToGrid w:val="0"/>
          <w:color w:val="auto"/>
          <w:highlight w:val="none"/>
        </w:rPr>
        <w:t>格式十：</w:t>
      </w:r>
      <w:r>
        <w:rPr>
          <w:rFonts w:hint="eastAsia"/>
          <w:snapToGrid w:val="0"/>
          <w:color w:val="auto"/>
          <w:highlight w:val="none"/>
          <w:lang w:val="en-US" w:eastAsia="zh-CN"/>
        </w:rPr>
        <w:t>施工组织设计或施工方案（格式自拟）</w:t>
      </w:r>
    </w:p>
    <w:p>
      <w:pPr>
        <w:rPr>
          <w:color w:val="auto"/>
          <w:highlight w:val="none"/>
        </w:rPr>
      </w:pPr>
    </w:p>
    <w:p>
      <w:pPr>
        <w:pStyle w:val="24"/>
        <w:rPr>
          <w:color w:val="auto"/>
          <w:highlight w:val="none"/>
        </w:rPr>
      </w:pPr>
    </w:p>
    <w:p>
      <w:pPr>
        <w:rPr>
          <w:rFonts w:hint="eastAsia"/>
          <w:color w:val="auto"/>
          <w:highlight w:val="none"/>
        </w:rPr>
      </w:pPr>
      <w:bookmarkStart w:id="43" w:name="_Toc58838604"/>
      <w:bookmarkStart w:id="44" w:name="_Toc61541796"/>
      <w:r>
        <w:rPr>
          <w:rFonts w:hint="eastAsia"/>
          <w:color w:val="auto"/>
          <w:highlight w:val="none"/>
        </w:rPr>
        <w:br w:type="page"/>
      </w:r>
    </w:p>
    <w:p>
      <w:pPr>
        <w:pStyle w:val="3"/>
        <w:rPr>
          <w:bCs/>
          <w:color w:val="auto"/>
          <w:highlight w:val="none"/>
        </w:rPr>
      </w:pPr>
      <w:r>
        <w:rPr>
          <w:rFonts w:hint="eastAsia"/>
          <w:color w:val="auto"/>
          <w:highlight w:val="none"/>
        </w:rPr>
        <w:t>二、经济标投标文件格式</w:t>
      </w:r>
      <w:bookmarkEnd w:id="43"/>
      <w:bookmarkEnd w:id="44"/>
    </w:p>
    <w:p>
      <w:pPr>
        <w:pStyle w:val="4"/>
        <w:rPr>
          <w:rFonts w:cs="宋体"/>
          <w:b/>
          <w:bCs/>
          <w:color w:val="auto"/>
          <w:sz w:val="44"/>
          <w:szCs w:val="44"/>
          <w:highlight w:val="none"/>
          <w:lang w:val="zh-CN"/>
        </w:rPr>
      </w:pPr>
      <w:bookmarkStart w:id="45" w:name="_Toc6493862"/>
      <w:bookmarkStart w:id="46" w:name="_Toc58838605"/>
      <w:bookmarkStart w:id="47" w:name="_Toc60070633"/>
      <w:bookmarkStart w:id="48" w:name="_Toc61541797"/>
      <w:r>
        <w:rPr>
          <w:rFonts w:hint="eastAsia"/>
          <w:snapToGrid w:val="0"/>
          <w:color w:val="auto"/>
          <w:highlight w:val="none"/>
        </w:rPr>
        <w:t>格式十</w:t>
      </w:r>
      <w:bookmarkEnd w:id="45"/>
      <w:bookmarkEnd w:id="46"/>
      <w:r>
        <w:rPr>
          <w:rFonts w:hint="eastAsia"/>
          <w:snapToGrid w:val="0"/>
          <w:color w:val="auto"/>
          <w:highlight w:val="none"/>
          <w:lang w:val="en-US" w:eastAsia="zh-CN"/>
        </w:rPr>
        <w:t>一</w:t>
      </w:r>
      <w:r>
        <w:rPr>
          <w:rFonts w:hint="eastAsia"/>
          <w:snapToGrid w:val="0"/>
          <w:color w:val="auto"/>
          <w:highlight w:val="none"/>
        </w:rPr>
        <w:t>：</w:t>
      </w:r>
      <w:bookmarkEnd w:id="47"/>
      <w:bookmarkEnd w:id="48"/>
    </w:p>
    <w:p>
      <w:pPr>
        <w:jc w:val="center"/>
        <w:rPr>
          <w:b/>
          <w:color w:val="auto"/>
          <w:sz w:val="36"/>
          <w:szCs w:val="36"/>
          <w:highlight w:val="none"/>
        </w:rPr>
      </w:pPr>
      <w:bookmarkStart w:id="49" w:name="_Toc58838606"/>
      <w:r>
        <w:rPr>
          <w:rFonts w:hint="eastAsia"/>
          <w:b/>
          <w:color w:val="auto"/>
          <w:sz w:val="36"/>
          <w:szCs w:val="36"/>
          <w:highlight w:val="none"/>
        </w:rPr>
        <w:t>广州建设工程施工招标投标书（经济标）</w:t>
      </w:r>
      <w:bookmarkEnd w:id="49"/>
    </w:p>
    <w:tbl>
      <w:tblPr>
        <w:tblStyle w:val="25"/>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33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bCs/>
                <w:color w:val="auto"/>
                <w:sz w:val="24"/>
                <w:szCs w:val="24"/>
                <w:highlight w:val="none"/>
                <w:lang w:val="zh-CN"/>
              </w:rPr>
            </w:pPr>
            <w:r>
              <w:rPr>
                <w:rFonts w:hint="eastAsia" w:cs="宋体"/>
                <w:color w:val="auto"/>
                <w:sz w:val="24"/>
                <w:szCs w:val="24"/>
                <w:highlight w:val="none"/>
                <w:lang w:val="zh-CN"/>
              </w:rPr>
              <w:t>工程名称</w:t>
            </w:r>
          </w:p>
        </w:tc>
        <w:tc>
          <w:tcPr>
            <w:tcW w:w="6045"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334"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bCs/>
                <w:color w:val="auto"/>
                <w:sz w:val="24"/>
                <w:szCs w:val="24"/>
                <w:highlight w:val="none"/>
                <w:lang w:val="zh-CN"/>
              </w:rPr>
            </w:pPr>
            <w:r>
              <w:rPr>
                <w:rFonts w:hint="eastAsia" w:cs="宋体"/>
                <w:color w:val="auto"/>
                <w:sz w:val="24"/>
                <w:szCs w:val="24"/>
                <w:highlight w:val="none"/>
                <w:lang w:val="zh-CN"/>
              </w:rPr>
              <w:t>投标总报价（元）</w:t>
            </w:r>
          </w:p>
        </w:tc>
        <w:tc>
          <w:tcPr>
            <w:tcW w:w="60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cs="宋体"/>
                <w:bCs/>
                <w:color w:val="auto"/>
                <w:sz w:val="24"/>
                <w:szCs w:val="24"/>
                <w:highlight w:val="none"/>
                <w:lang w:val="zh-CN"/>
              </w:rPr>
            </w:pPr>
            <w:r>
              <w:rPr>
                <w:rFonts w:hint="eastAsia"/>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3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bCs/>
                <w:color w:val="auto"/>
                <w:sz w:val="24"/>
                <w:szCs w:val="24"/>
                <w:highlight w:val="none"/>
                <w:lang w:val="zh-CN"/>
              </w:rPr>
            </w:pPr>
          </w:p>
        </w:tc>
        <w:tc>
          <w:tcPr>
            <w:tcW w:w="60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cs="宋体"/>
                <w:bCs/>
                <w:color w:val="auto"/>
                <w:sz w:val="24"/>
                <w:szCs w:val="24"/>
                <w:highlight w:val="none"/>
                <w:lang w:val="zh-CN"/>
              </w:rPr>
            </w:pPr>
            <w:r>
              <w:rPr>
                <w:rFonts w:hint="eastAsia"/>
                <w:color w:val="auto"/>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334"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bCs/>
                <w:color w:val="auto"/>
                <w:sz w:val="24"/>
                <w:szCs w:val="24"/>
                <w:highlight w:val="none"/>
                <w:lang w:val="zh-CN"/>
              </w:rPr>
            </w:pPr>
            <w:r>
              <w:rPr>
                <w:rFonts w:hint="eastAsia" w:cs="宋体"/>
                <w:color w:val="auto"/>
                <w:sz w:val="24"/>
                <w:szCs w:val="24"/>
                <w:highlight w:val="none"/>
                <w:lang w:val="zh-CN"/>
              </w:rPr>
              <w:t>其中：</w:t>
            </w:r>
            <w:r>
              <w:rPr>
                <w:rFonts w:hint="eastAsia" w:cs="宋体"/>
                <w:bCs/>
                <w:color w:val="auto"/>
                <w:sz w:val="24"/>
                <w:szCs w:val="24"/>
                <w:highlight w:val="none"/>
                <w:lang w:val="zh-CN"/>
              </w:rPr>
              <w:t>人工费</w:t>
            </w:r>
            <w:r>
              <w:rPr>
                <w:rFonts w:hint="eastAsia" w:cs="宋体"/>
                <w:color w:val="auto"/>
                <w:sz w:val="24"/>
                <w:szCs w:val="24"/>
                <w:highlight w:val="none"/>
                <w:lang w:val="zh-CN"/>
              </w:rPr>
              <w:t>（元）</w:t>
            </w:r>
          </w:p>
        </w:tc>
        <w:tc>
          <w:tcPr>
            <w:tcW w:w="60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cs="宋体"/>
                <w:bCs/>
                <w:color w:val="auto"/>
                <w:sz w:val="24"/>
                <w:szCs w:val="24"/>
                <w:highlight w:val="none"/>
                <w:lang w:val="zh-CN"/>
              </w:rPr>
            </w:pPr>
            <w:r>
              <w:rPr>
                <w:rFonts w:hint="eastAsia"/>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bCs/>
                <w:color w:val="auto"/>
                <w:sz w:val="24"/>
                <w:szCs w:val="24"/>
                <w:highlight w:val="none"/>
                <w:lang w:val="zh-CN"/>
              </w:rPr>
            </w:pPr>
          </w:p>
        </w:tc>
        <w:tc>
          <w:tcPr>
            <w:tcW w:w="60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cs="宋体"/>
                <w:bCs/>
                <w:color w:val="auto"/>
                <w:sz w:val="24"/>
                <w:szCs w:val="24"/>
                <w:highlight w:val="none"/>
                <w:lang w:val="zh-CN"/>
              </w:rPr>
            </w:pPr>
            <w:r>
              <w:rPr>
                <w:rFonts w:hint="eastAsia"/>
                <w:color w:val="auto"/>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restart"/>
            <w:tcBorders>
              <w:top w:val="single" w:color="auto" w:sz="4" w:space="0"/>
              <w:left w:val="single" w:color="auto" w:sz="4" w:space="0"/>
              <w:right w:val="single" w:color="auto" w:sz="4" w:space="0"/>
            </w:tcBorders>
            <w:vAlign w:val="center"/>
          </w:tcPr>
          <w:p>
            <w:pPr>
              <w:widowControl/>
              <w:jc w:val="left"/>
              <w:rPr>
                <w:rFonts w:cs="宋体"/>
                <w:b/>
                <w:color w:val="auto"/>
                <w:sz w:val="24"/>
                <w:szCs w:val="24"/>
                <w:highlight w:val="none"/>
                <w:lang w:val="zh-CN"/>
              </w:rPr>
            </w:pPr>
            <w:r>
              <w:rPr>
                <w:rFonts w:hint="eastAsia" w:cs="宋体"/>
                <w:bCs/>
                <w:color w:val="auto"/>
                <w:sz w:val="24"/>
                <w:szCs w:val="24"/>
                <w:highlight w:val="none"/>
                <w:lang w:val="zh-CN"/>
              </w:rPr>
              <w:t>其中：</w:t>
            </w:r>
            <w:r>
              <w:rPr>
                <w:rFonts w:hint="eastAsia" w:cs="宋体"/>
                <w:color w:val="auto"/>
                <w:sz w:val="24"/>
                <w:szCs w:val="24"/>
                <w:highlight w:val="none"/>
                <w:lang w:val="zh-CN"/>
              </w:rPr>
              <w:t>绿色施工安全防护措施费（元）</w:t>
            </w:r>
          </w:p>
        </w:tc>
        <w:tc>
          <w:tcPr>
            <w:tcW w:w="60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cs="宋体"/>
                <w:bCs/>
                <w:color w:val="auto"/>
                <w:sz w:val="24"/>
                <w:szCs w:val="24"/>
                <w:highlight w:val="none"/>
                <w:lang w:val="zh-CN"/>
              </w:rPr>
            </w:pPr>
            <w:r>
              <w:rPr>
                <w:rFonts w:hint="eastAsia"/>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continue"/>
            <w:tcBorders>
              <w:left w:val="single" w:color="auto" w:sz="4" w:space="0"/>
              <w:right w:val="single" w:color="auto" w:sz="4" w:space="0"/>
            </w:tcBorders>
            <w:vAlign w:val="center"/>
          </w:tcPr>
          <w:p>
            <w:pPr>
              <w:widowControl/>
              <w:jc w:val="left"/>
              <w:rPr>
                <w:rFonts w:cs="宋体"/>
                <w:bCs/>
                <w:color w:val="auto"/>
                <w:sz w:val="24"/>
                <w:szCs w:val="24"/>
                <w:highlight w:val="none"/>
                <w:lang w:val="zh-CN"/>
              </w:rPr>
            </w:pPr>
          </w:p>
        </w:tc>
        <w:tc>
          <w:tcPr>
            <w:tcW w:w="60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cs="宋体"/>
                <w:bCs/>
                <w:color w:val="auto"/>
                <w:sz w:val="24"/>
                <w:szCs w:val="24"/>
                <w:highlight w:val="none"/>
                <w:lang w:val="zh-CN"/>
              </w:rPr>
            </w:pPr>
            <w:r>
              <w:rPr>
                <w:rFonts w:hint="eastAsia"/>
                <w:color w:val="auto"/>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restart"/>
            <w:tcBorders>
              <w:left w:val="single" w:color="auto" w:sz="4" w:space="0"/>
              <w:right w:val="single" w:color="auto" w:sz="4" w:space="0"/>
            </w:tcBorders>
            <w:vAlign w:val="center"/>
          </w:tcPr>
          <w:p>
            <w:pPr>
              <w:widowControl/>
              <w:jc w:val="left"/>
              <w:rPr>
                <w:rFonts w:cs="宋体"/>
                <w:bCs/>
                <w:color w:val="auto"/>
                <w:sz w:val="24"/>
                <w:szCs w:val="24"/>
                <w:highlight w:val="none"/>
                <w:lang w:val="zh-CN"/>
              </w:rPr>
            </w:pPr>
            <w:r>
              <w:rPr>
                <w:rFonts w:hint="eastAsia" w:cs="宋体"/>
                <w:bCs/>
                <w:color w:val="auto"/>
                <w:sz w:val="24"/>
                <w:szCs w:val="24"/>
                <w:highlight w:val="none"/>
                <w:lang w:val="zh-CN"/>
              </w:rPr>
              <w:t>其中： 暂列金额</w:t>
            </w:r>
            <w:r>
              <w:rPr>
                <w:rFonts w:hint="eastAsia" w:cs="宋体"/>
                <w:color w:val="auto"/>
                <w:sz w:val="24"/>
                <w:szCs w:val="24"/>
                <w:highlight w:val="none"/>
                <w:lang w:val="zh-CN"/>
              </w:rPr>
              <w:t>（元）</w:t>
            </w:r>
          </w:p>
        </w:tc>
        <w:tc>
          <w:tcPr>
            <w:tcW w:w="60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cs="宋体"/>
                <w:bCs/>
                <w:color w:val="auto"/>
                <w:sz w:val="24"/>
                <w:szCs w:val="24"/>
                <w:highlight w:val="none"/>
                <w:lang w:val="zh-CN"/>
              </w:rPr>
            </w:pPr>
            <w:r>
              <w:rPr>
                <w:rFonts w:hint="eastAsia"/>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continue"/>
            <w:tcBorders>
              <w:left w:val="single" w:color="auto" w:sz="4" w:space="0"/>
              <w:right w:val="single" w:color="auto" w:sz="4" w:space="0"/>
            </w:tcBorders>
            <w:vAlign w:val="center"/>
          </w:tcPr>
          <w:p>
            <w:pPr>
              <w:widowControl/>
              <w:jc w:val="left"/>
              <w:rPr>
                <w:rFonts w:cs="宋体"/>
                <w:bCs/>
                <w:color w:val="auto"/>
                <w:sz w:val="24"/>
                <w:szCs w:val="24"/>
                <w:highlight w:val="none"/>
                <w:lang w:val="zh-CN"/>
              </w:rPr>
            </w:pPr>
          </w:p>
        </w:tc>
        <w:tc>
          <w:tcPr>
            <w:tcW w:w="60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cs="宋体"/>
                <w:bCs/>
                <w:color w:val="auto"/>
                <w:sz w:val="24"/>
                <w:szCs w:val="24"/>
                <w:highlight w:val="none"/>
                <w:lang w:val="zh-CN"/>
              </w:rPr>
            </w:pPr>
            <w:r>
              <w:rPr>
                <w:rFonts w:hint="eastAsia"/>
                <w:color w:val="auto"/>
                <w:sz w:val="24"/>
                <w:szCs w:val="24"/>
                <w:highlight w:val="none"/>
              </w:rPr>
              <w:t>小写：</w:t>
            </w:r>
          </w:p>
        </w:tc>
      </w:tr>
    </w:tbl>
    <w:p>
      <w:pPr>
        <w:autoSpaceDE w:val="0"/>
        <w:autoSpaceDN w:val="0"/>
        <w:adjustRightInd w:val="0"/>
        <w:jc w:val="left"/>
        <w:rPr>
          <w:rFonts w:cs="宋体"/>
          <w:b/>
          <w:color w:val="auto"/>
          <w:sz w:val="24"/>
          <w:szCs w:val="24"/>
          <w:highlight w:val="none"/>
          <w:lang w:val="zh-CN"/>
        </w:rPr>
      </w:pPr>
      <w:r>
        <w:rPr>
          <w:color w:val="auto"/>
          <w:highlight w:val="none"/>
        </w:rPr>
        <w:br w:type="page"/>
      </w:r>
      <w:bookmarkStart w:id="50" w:name="_Toc6493863"/>
      <w:bookmarkStart w:id="51" w:name="_Toc58838607"/>
      <w:bookmarkStart w:id="52" w:name="_Toc61541798"/>
      <w:bookmarkStart w:id="53" w:name="_Toc60070634"/>
    </w:p>
    <w:p>
      <w:pPr>
        <w:pStyle w:val="4"/>
        <w:rPr>
          <w:bCs/>
          <w:color w:val="auto"/>
          <w:highlight w:val="none"/>
        </w:rPr>
      </w:pPr>
      <w:r>
        <w:rPr>
          <w:rFonts w:hint="eastAsia"/>
          <w:snapToGrid w:val="0"/>
          <w:color w:val="auto"/>
          <w:highlight w:val="none"/>
        </w:rPr>
        <w:t>格式十</w:t>
      </w:r>
      <w:bookmarkEnd w:id="50"/>
      <w:bookmarkEnd w:id="51"/>
      <w:r>
        <w:rPr>
          <w:rFonts w:hint="eastAsia"/>
          <w:snapToGrid w:val="0"/>
          <w:color w:val="auto"/>
          <w:highlight w:val="none"/>
          <w:lang w:val="en-US" w:eastAsia="zh-CN"/>
        </w:rPr>
        <w:t>二</w:t>
      </w:r>
      <w:r>
        <w:rPr>
          <w:rFonts w:hint="eastAsia"/>
          <w:snapToGrid w:val="0"/>
          <w:color w:val="auto"/>
          <w:highlight w:val="none"/>
        </w:rPr>
        <w:t>：</w:t>
      </w:r>
      <w:bookmarkEnd w:id="52"/>
      <w:bookmarkEnd w:id="53"/>
    </w:p>
    <w:p>
      <w:pPr>
        <w:jc w:val="center"/>
        <w:rPr>
          <w:b/>
          <w:color w:val="auto"/>
          <w:sz w:val="36"/>
          <w:szCs w:val="36"/>
          <w:highlight w:val="none"/>
        </w:rPr>
      </w:pPr>
      <w:bookmarkStart w:id="54" w:name="_Toc58838608"/>
      <w:r>
        <w:rPr>
          <w:rFonts w:hint="eastAsia"/>
          <w:b/>
          <w:color w:val="auto"/>
          <w:sz w:val="36"/>
          <w:szCs w:val="36"/>
          <w:highlight w:val="none"/>
        </w:rPr>
        <w:t>参与编制经济标投标文件人员名单</w:t>
      </w:r>
      <w:bookmarkEnd w:id="54"/>
    </w:p>
    <w:tbl>
      <w:tblPr>
        <w:tblStyle w:val="25"/>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41"/>
        <w:gridCol w:w="2461"/>
        <w:gridCol w:w="2359"/>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919" w:type="dxa"/>
            <w:gridSpan w:val="5"/>
            <w:vAlign w:val="center"/>
          </w:tcPr>
          <w:p>
            <w:pPr>
              <w:tabs>
                <w:tab w:val="left" w:pos="720"/>
              </w:tabs>
              <w:snapToGrid w:val="0"/>
              <w:spacing w:line="360" w:lineRule="auto"/>
              <w:jc w:val="center"/>
              <w:rPr>
                <w:color w:val="auto"/>
                <w:sz w:val="24"/>
                <w:szCs w:val="24"/>
                <w:highlight w:val="none"/>
              </w:rPr>
            </w:pPr>
            <w:r>
              <w:rPr>
                <w:rFonts w:hint="eastAsia"/>
                <w:color w:val="auto"/>
                <w:sz w:val="24"/>
                <w:szCs w:val="24"/>
                <w:highlight w:val="none"/>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39" w:type="dxa"/>
            <w:vAlign w:val="center"/>
          </w:tcPr>
          <w:p>
            <w:pPr>
              <w:tabs>
                <w:tab w:val="left" w:pos="720"/>
              </w:tabs>
              <w:snapToGrid w:val="0"/>
              <w:spacing w:line="360" w:lineRule="auto"/>
              <w:jc w:val="center"/>
              <w:rPr>
                <w:color w:val="auto"/>
                <w:sz w:val="24"/>
                <w:szCs w:val="24"/>
                <w:highlight w:val="none"/>
              </w:rPr>
            </w:pPr>
            <w:r>
              <w:rPr>
                <w:rFonts w:hint="eastAsia"/>
                <w:color w:val="auto"/>
                <w:sz w:val="24"/>
                <w:szCs w:val="24"/>
                <w:highlight w:val="none"/>
              </w:rPr>
              <w:t>姓名</w:t>
            </w:r>
          </w:p>
        </w:tc>
        <w:tc>
          <w:tcPr>
            <w:tcW w:w="1441" w:type="dxa"/>
            <w:vAlign w:val="center"/>
          </w:tcPr>
          <w:p>
            <w:pPr>
              <w:tabs>
                <w:tab w:val="left" w:pos="720"/>
              </w:tabs>
              <w:snapToGrid w:val="0"/>
              <w:spacing w:line="360" w:lineRule="auto"/>
              <w:jc w:val="center"/>
              <w:rPr>
                <w:color w:val="auto"/>
                <w:sz w:val="24"/>
                <w:szCs w:val="24"/>
                <w:highlight w:val="none"/>
              </w:rPr>
            </w:pPr>
            <w:r>
              <w:rPr>
                <w:rFonts w:hint="eastAsia"/>
                <w:color w:val="auto"/>
                <w:sz w:val="24"/>
                <w:szCs w:val="24"/>
                <w:highlight w:val="none"/>
              </w:rPr>
              <w:t>职务</w:t>
            </w:r>
          </w:p>
        </w:tc>
        <w:tc>
          <w:tcPr>
            <w:tcW w:w="2461" w:type="dxa"/>
            <w:vAlign w:val="center"/>
          </w:tcPr>
          <w:p>
            <w:pPr>
              <w:tabs>
                <w:tab w:val="left" w:pos="720"/>
              </w:tabs>
              <w:snapToGrid w:val="0"/>
              <w:spacing w:line="360" w:lineRule="auto"/>
              <w:jc w:val="center"/>
              <w:rPr>
                <w:color w:val="auto"/>
                <w:sz w:val="24"/>
                <w:szCs w:val="24"/>
                <w:highlight w:val="none"/>
              </w:rPr>
            </w:pPr>
            <w:r>
              <w:rPr>
                <w:rFonts w:hint="eastAsia"/>
                <w:color w:val="auto"/>
                <w:sz w:val="24"/>
                <w:szCs w:val="24"/>
                <w:highlight w:val="none"/>
              </w:rPr>
              <w:t>所承担工作</w:t>
            </w:r>
          </w:p>
        </w:tc>
        <w:tc>
          <w:tcPr>
            <w:tcW w:w="2359" w:type="dxa"/>
            <w:vAlign w:val="center"/>
          </w:tcPr>
          <w:p>
            <w:pPr>
              <w:tabs>
                <w:tab w:val="left" w:pos="720"/>
              </w:tabs>
              <w:snapToGrid w:val="0"/>
              <w:spacing w:line="360" w:lineRule="auto"/>
              <w:jc w:val="center"/>
              <w:rPr>
                <w:color w:val="auto"/>
                <w:sz w:val="24"/>
                <w:szCs w:val="24"/>
                <w:highlight w:val="none"/>
              </w:rPr>
            </w:pPr>
            <w:r>
              <w:rPr>
                <w:rFonts w:hint="eastAsia"/>
                <w:color w:val="auto"/>
                <w:sz w:val="24"/>
                <w:szCs w:val="24"/>
                <w:highlight w:val="none"/>
              </w:rPr>
              <w:t>身份证号码</w:t>
            </w:r>
          </w:p>
        </w:tc>
        <w:tc>
          <w:tcPr>
            <w:tcW w:w="1419" w:type="dxa"/>
            <w:vAlign w:val="center"/>
          </w:tcPr>
          <w:p>
            <w:pPr>
              <w:tabs>
                <w:tab w:val="left" w:pos="720"/>
              </w:tabs>
              <w:snapToGrid w:val="0"/>
              <w:spacing w:line="360" w:lineRule="auto"/>
              <w:jc w:val="center"/>
              <w:rPr>
                <w:color w:val="auto"/>
                <w:sz w:val="24"/>
                <w:szCs w:val="24"/>
                <w:highlight w:val="none"/>
              </w:rPr>
            </w:pPr>
            <w:r>
              <w:rPr>
                <w:rFonts w:hint="eastAsia"/>
                <w:color w:val="auto"/>
                <w:sz w:val="24"/>
                <w:szCs w:val="24"/>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39" w:type="dxa"/>
            <w:vAlign w:val="center"/>
          </w:tcPr>
          <w:p>
            <w:pPr>
              <w:tabs>
                <w:tab w:val="left" w:pos="720"/>
              </w:tabs>
              <w:snapToGrid w:val="0"/>
              <w:spacing w:line="360" w:lineRule="auto"/>
              <w:jc w:val="center"/>
              <w:rPr>
                <w:color w:val="auto"/>
                <w:sz w:val="24"/>
                <w:szCs w:val="24"/>
                <w:highlight w:val="none"/>
              </w:rPr>
            </w:pPr>
          </w:p>
        </w:tc>
        <w:tc>
          <w:tcPr>
            <w:tcW w:w="1441" w:type="dxa"/>
            <w:vAlign w:val="center"/>
          </w:tcPr>
          <w:p>
            <w:pPr>
              <w:tabs>
                <w:tab w:val="left" w:pos="720"/>
              </w:tabs>
              <w:snapToGrid w:val="0"/>
              <w:spacing w:line="360" w:lineRule="auto"/>
              <w:jc w:val="center"/>
              <w:rPr>
                <w:color w:val="auto"/>
                <w:sz w:val="24"/>
                <w:szCs w:val="24"/>
                <w:highlight w:val="none"/>
              </w:rPr>
            </w:pPr>
          </w:p>
        </w:tc>
        <w:tc>
          <w:tcPr>
            <w:tcW w:w="2461" w:type="dxa"/>
            <w:vAlign w:val="center"/>
          </w:tcPr>
          <w:p>
            <w:pPr>
              <w:tabs>
                <w:tab w:val="left" w:pos="720"/>
              </w:tabs>
              <w:snapToGrid w:val="0"/>
              <w:spacing w:line="360" w:lineRule="auto"/>
              <w:jc w:val="center"/>
              <w:rPr>
                <w:color w:val="auto"/>
                <w:sz w:val="24"/>
                <w:szCs w:val="24"/>
                <w:highlight w:val="none"/>
              </w:rPr>
            </w:pPr>
          </w:p>
        </w:tc>
        <w:tc>
          <w:tcPr>
            <w:tcW w:w="2359" w:type="dxa"/>
            <w:vAlign w:val="center"/>
          </w:tcPr>
          <w:p>
            <w:pPr>
              <w:tabs>
                <w:tab w:val="left" w:pos="720"/>
              </w:tabs>
              <w:snapToGrid w:val="0"/>
              <w:spacing w:line="360" w:lineRule="auto"/>
              <w:jc w:val="center"/>
              <w:rPr>
                <w:color w:val="auto"/>
                <w:sz w:val="24"/>
                <w:szCs w:val="24"/>
                <w:highlight w:val="none"/>
              </w:rPr>
            </w:pPr>
          </w:p>
        </w:tc>
        <w:tc>
          <w:tcPr>
            <w:tcW w:w="1419" w:type="dxa"/>
            <w:vAlign w:val="center"/>
          </w:tcPr>
          <w:p>
            <w:pPr>
              <w:tabs>
                <w:tab w:val="left" w:pos="720"/>
              </w:tabs>
              <w:snapToGrid w:val="0"/>
              <w:spacing w:line="360" w:lineRule="auto"/>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vAlign w:val="center"/>
          </w:tcPr>
          <w:p>
            <w:pPr>
              <w:tabs>
                <w:tab w:val="left" w:pos="720"/>
              </w:tabs>
              <w:snapToGrid w:val="0"/>
              <w:spacing w:line="360" w:lineRule="auto"/>
              <w:jc w:val="center"/>
              <w:rPr>
                <w:color w:val="auto"/>
                <w:sz w:val="24"/>
                <w:szCs w:val="24"/>
                <w:highlight w:val="none"/>
              </w:rPr>
            </w:pPr>
          </w:p>
        </w:tc>
        <w:tc>
          <w:tcPr>
            <w:tcW w:w="1441" w:type="dxa"/>
            <w:vAlign w:val="center"/>
          </w:tcPr>
          <w:p>
            <w:pPr>
              <w:tabs>
                <w:tab w:val="left" w:pos="720"/>
              </w:tabs>
              <w:snapToGrid w:val="0"/>
              <w:spacing w:line="360" w:lineRule="auto"/>
              <w:jc w:val="center"/>
              <w:rPr>
                <w:color w:val="auto"/>
                <w:sz w:val="24"/>
                <w:szCs w:val="24"/>
                <w:highlight w:val="none"/>
              </w:rPr>
            </w:pPr>
          </w:p>
        </w:tc>
        <w:tc>
          <w:tcPr>
            <w:tcW w:w="2461" w:type="dxa"/>
            <w:vAlign w:val="center"/>
          </w:tcPr>
          <w:p>
            <w:pPr>
              <w:tabs>
                <w:tab w:val="left" w:pos="720"/>
              </w:tabs>
              <w:snapToGrid w:val="0"/>
              <w:spacing w:line="360" w:lineRule="auto"/>
              <w:jc w:val="center"/>
              <w:rPr>
                <w:color w:val="auto"/>
                <w:sz w:val="24"/>
                <w:szCs w:val="24"/>
                <w:highlight w:val="none"/>
              </w:rPr>
            </w:pPr>
          </w:p>
        </w:tc>
        <w:tc>
          <w:tcPr>
            <w:tcW w:w="2359" w:type="dxa"/>
            <w:vAlign w:val="center"/>
          </w:tcPr>
          <w:p>
            <w:pPr>
              <w:tabs>
                <w:tab w:val="left" w:pos="720"/>
              </w:tabs>
              <w:snapToGrid w:val="0"/>
              <w:spacing w:line="360" w:lineRule="auto"/>
              <w:jc w:val="center"/>
              <w:rPr>
                <w:color w:val="auto"/>
                <w:sz w:val="24"/>
                <w:szCs w:val="24"/>
                <w:highlight w:val="none"/>
              </w:rPr>
            </w:pPr>
          </w:p>
        </w:tc>
        <w:tc>
          <w:tcPr>
            <w:tcW w:w="1419" w:type="dxa"/>
            <w:vAlign w:val="center"/>
          </w:tcPr>
          <w:p>
            <w:pPr>
              <w:tabs>
                <w:tab w:val="left" w:pos="720"/>
              </w:tabs>
              <w:snapToGrid w:val="0"/>
              <w:spacing w:line="360" w:lineRule="auto"/>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vAlign w:val="center"/>
          </w:tcPr>
          <w:p>
            <w:pPr>
              <w:tabs>
                <w:tab w:val="left" w:pos="720"/>
              </w:tabs>
              <w:snapToGrid w:val="0"/>
              <w:spacing w:line="360" w:lineRule="auto"/>
              <w:jc w:val="center"/>
              <w:rPr>
                <w:color w:val="auto"/>
                <w:sz w:val="24"/>
                <w:szCs w:val="24"/>
                <w:highlight w:val="none"/>
              </w:rPr>
            </w:pPr>
          </w:p>
        </w:tc>
        <w:tc>
          <w:tcPr>
            <w:tcW w:w="1441" w:type="dxa"/>
            <w:vAlign w:val="center"/>
          </w:tcPr>
          <w:p>
            <w:pPr>
              <w:tabs>
                <w:tab w:val="left" w:pos="720"/>
              </w:tabs>
              <w:snapToGrid w:val="0"/>
              <w:spacing w:line="360" w:lineRule="auto"/>
              <w:jc w:val="center"/>
              <w:rPr>
                <w:color w:val="auto"/>
                <w:sz w:val="24"/>
                <w:szCs w:val="24"/>
                <w:highlight w:val="none"/>
              </w:rPr>
            </w:pPr>
          </w:p>
        </w:tc>
        <w:tc>
          <w:tcPr>
            <w:tcW w:w="2461" w:type="dxa"/>
            <w:vAlign w:val="center"/>
          </w:tcPr>
          <w:p>
            <w:pPr>
              <w:tabs>
                <w:tab w:val="left" w:pos="720"/>
              </w:tabs>
              <w:snapToGrid w:val="0"/>
              <w:spacing w:line="360" w:lineRule="auto"/>
              <w:jc w:val="center"/>
              <w:rPr>
                <w:color w:val="auto"/>
                <w:sz w:val="24"/>
                <w:szCs w:val="24"/>
                <w:highlight w:val="none"/>
              </w:rPr>
            </w:pPr>
          </w:p>
        </w:tc>
        <w:tc>
          <w:tcPr>
            <w:tcW w:w="2359" w:type="dxa"/>
            <w:vAlign w:val="center"/>
          </w:tcPr>
          <w:p>
            <w:pPr>
              <w:tabs>
                <w:tab w:val="left" w:pos="720"/>
              </w:tabs>
              <w:snapToGrid w:val="0"/>
              <w:spacing w:line="360" w:lineRule="auto"/>
              <w:jc w:val="center"/>
              <w:rPr>
                <w:color w:val="auto"/>
                <w:sz w:val="24"/>
                <w:szCs w:val="24"/>
                <w:highlight w:val="none"/>
              </w:rPr>
            </w:pPr>
          </w:p>
        </w:tc>
        <w:tc>
          <w:tcPr>
            <w:tcW w:w="1419" w:type="dxa"/>
            <w:vAlign w:val="center"/>
          </w:tcPr>
          <w:p>
            <w:pPr>
              <w:tabs>
                <w:tab w:val="left" w:pos="720"/>
              </w:tabs>
              <w:snapToGrid w:val="0"/>
              <w:spacing w:line="360" w:lineRule="auto"/>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vAlign w:val="center"/>
          </w:tcPr>
          <w:p>
            <w:pPr>
              <w:tabs>
                <w:tab w:val="left" w:pos="720"/>
              </w:tabs>
              <w:snapToGrid w:val="0"/>
              <w:spacing w:line="360" w:lineRule="auto"/>
              <w:jc w:val="center"/>
              <w:rPr>
                <w:color w:val="auto"/>
                <w:sz w:val="24"/>
                <w:szCs w:val="24"/>
                <w:highlight w:val="none"/>
              </w:rPr>
            </w:pPr>
          </w:p>
        </w:tc>
        <w:tc>
          <w:tcPr>
            <w:tcW w:w="1441" w:type="dxa"/>
            <w:vAlign w:val="center"/>
          </w:tcPr>
          <w:p>
            <w:pPr>
              <w:tabs>
                <w:tab w:val="left" w:pos="720"/>
              </w:tabs>
              <w:snapToGrid w:val="0"/>
              <w:spacing w:line="360" w:lineRule="auto"/>
              <w:jc w:val="center"/>
              <w:rPr>
                <w:color w:val="auto"/>
                <w:sz w:val="24"/>
                <w:szCs w:val="24"/>
                <w:highlight w:val="none"/>
              </w:rPr>
            </w:pPr>
          </w:p>
        </w:tc>
        <w:tc>
          <w:tcPr>
            <w:tcW w:w="2461" w:type="dxa"/>
            <w:vAlign w:val="center"/>
          </w:tcPr>
          <w:p>
            <w:pPr>
              <w:tabs>
                <w:tab w:val="left" w:pos="720"/>
              </w:tabs>
              <w:snapToGrid w:val="0"/>
              <w:spacing w:line="360" w:lineRule="auto"/>
              <w:jc w:val="center"/>
              <w:rPr>
                <w:color w:val="auto"/>
                <w:sz w:val="24"/>
                <w:szCs w:val="24"/>
                <w:highlight w:val="none"/>
              </w:rPr>
            </w:pPr>
          </w:p>
        </w:tc>
        <w:tc>
          <w:tcPr>
            <w:tcW w:w="2359" w:type="dxa"/>
            <w:vAlign w:val="center"/>
          </w:tcPr>
          <w:p>
            <w:pPr>
              <w:tabs>
                <w:tab w:val="left" w:pos="720"/>
              </w:tabs>
              <w:snapToGrid w:val="0"/>
              <w:spacing w:line="360" w:lineRule="auto"/>
              <w:jc w:val="center"/>
              <w:rPr>
                <w:color w:val="auto"/>
                <w:sz w:val="24"/>
                <w:szCs w:val="24"/>
                <w:highlight w:val="none"/>
              </w:rPr>
            </w:pPr>
          </w:p>
        </w:tc>
        <w:tc>
          <w:tcPr>
            <w:tcW w:w="1419" w:type="dxa"/>
            <w:vAlign w:val="center"/>
          </w:tcPr>
          <w:p>
            <w:pPr>
              <w:tabs>
                <w:tab w:val="left" w:pos="720"/>
              </w:tabs>
              <w:snapToGrid w:val="0"/>
              <w:spacing w:line="360" w:lineRule="auto"/>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vAlign w:val="center"/>
          </w:tcPr>
          <w:p>
            <w:pPr>
              <w:tabs>
                <w:tab w:val="left" w:pos="720"/>
              </w:tabs>
              <w:snapToGrid w:val="0"/>
              <w:spacing w:line="360" w:lineRule="auto"/>
              <w:jc w:val="center"/>
              <w:rPr>
                <w:color w:val="auto"/>
                <w:sz w:val="24"/>
                <w:szCs w:val="24"/>
                <w:highlight w:val="none"/>
              </w:rPr>
            </w:pPr>
          </w:p>
        </w:tc>
        <w:tc>
          <w:tcPr>
            <w:tcW w:w="1441" w:type="dxa"/>
            <w:vAlign w:val="center"/>
          </w:tcPr>
          <w:p>
            <w:pPr>
              <w:tabs>
                <w:tab w:val="left" w:pos="720"/>
              </w:tabs>
              <w:snapToGrid w:val="0"/>
              <w:spacing w:line="360" w:lineRule="auto"/>
              <w:jc w:val="center"/>
              <w:rPr>
                <w:color w:val="auto"/>
                <w:sz w:val="24"/>
                <w:szCs w:val="24"/>
                <w:highlight w:val="none"/>
              </w:rPr>
            </w:pPr>
          </w:p>
        </w:tc>
        <w:tc>
          <w:tcPr>
            <w:tcW w:w="2461" w:type="dxa"/>
            <w:vAlign w:val="center"/>
          </w:tcPr>
          <w:p>
            <w:pPr>
              <w:tabs>
                <w:tab w:val="left" w:pos="720"/>
              </w:tabs>
              <w:snapToGrid w:val="0"/>
              <w:spacing w:line="360" w:lineRule="auto"/>
              <w:jc w:val="center"/>
              <w:rPr>
                <w:color w:val="auto"/>
                <w:sz w:val="24"/>
                <w:szCs w:val="24"/>
                <w:highlight w:val="none"/>
              </w:rPr>
            </w:pPr>
          </w:p>
        </w:tc>
        <w:tc>
          <w:tcPr>
            <w:tcW w:w="2359" w:type="dxa"/>
            <w:vAlign w:val="center"/>
          </w:tcPr>
          <w:p>
            <w:pPr>
              <w:tabs>
                <w:tab w:val="left" w:pos="720"/>
              </w:tabs>
              <w:snapToGrid w:val="0"/>
              <w:spacing w:line="360" w:lineRule="auto"/>
              <w:jc w:val="center"/>
              <w:rPr>
                <w:color w:val="auto"/>
                <w:sz w:val="24"/>
                <w:szCs w:val="24"/>
                <w:highlight w:val="none"/>
              </w:rPr>
            </w:pPr>
          </w:p>
        </w:tc>
        <w:tc>
          <w:tcPr>
            <w:tcW w:w="1419" w:type="dxa"/>
            <w:vAlign w:val="center"/>
          </w:tcPr>
          <w:p>
            <w:pPr>
              <w:tabs>
                <w:tab w:val="left" w:pos="720"/>
              </w:tabs>
              <w:snapToGrid w:val="0"/>
              <w:spacing w:line="360" w:lineRule="auto"/>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vAlign w:val="center"/>
          </w:tcPr>
          <w:p>
            <w:pPr>
              <w:tabs>
                <w:tab w:val="left" w:pos="720"/>
              </w:tabs>
              <w:snapToGrid w:val="0"/>
              <w:spacing w:line="360" w:lineRule="auto"/>
              <w:jc w:val="center"/>
              <w:rPr>
                <w:color w:val="auto"/>
                <w:sz w:val="24"/>
                <w:szCs w:val="24"/>
                <w:highlight w:val="none"/>
              </w:rPr>
            </w:pPr>
          </w:p>
        </w:tc>
        <w:tc>
          <w:tcPr>
            <w:tcW w:w="1441" w:type="dxa"/>
            <w:vAlign w:val="center"/>
          </w:tcPr>
          <w:p>
            <w:pPr>
              <w:tabs>
                <w:tab w:val="left" w:pos="720"/>
              </w:tabs>
              <w:snapToGrid w:val="0"/>
              <w:spacing w:line="360" w:lineRule="auto"/>
              <w:jc w:val="center"/>
              <w:rPr>
                <w:color w:val="auto"/>
                <w:sz w:val="24"/>
                <w:szCs w:val="24"/>
                <w:highlight w:val="none"/>
              </w:rPr>
            </w:pPr>
          </w:p>
        </w:tc>
        <w:tc>
          <w:tcPr>
            <w:tcW w:w="2461" w:type="dxa"/>
            <w:vAlign w:val="center"/>
          </w:tcPr>
          <w:p>
            <w:pPr>
              <w:tabs>
                <w:tab w:val="left" w:pos="720"/>
              </w:tabs>
              <w:snapToGrid w:val="0"/>
              <w:spacing w:line="360" w:lineRule="auto"/>
              <w:jc w:val="center"/>
              <w:rPr>
                <w:color w:val="auto"/>
                <w:sz w:val="24"/>
                <w:szCs w:val="24"/>
                <w:highlight w:val="none"/>
              </w:rPr>
            </w:pPr>
          </w:p>
        </w:tc>
        <w:tc>
          <w:tcPr>
            <w:tcW w:w="2359" w:type="dxa"/>
            <w:vAlign w:val="center"/>
          </w:tcPr>
          <w:p>
            <w:pPr>
              <w:tabs>
                <w:tab w:val="left" w:pos="720"/>
              </w:tabs>
              <w:snapToGrid w:val="0"/>
              <w:spacing w:line="360" w:lineRule="auto"/>
              <w:jc w:val="center"/>
              <w:rPr>
                <w:color w:val="auto"/>
                <w:sz w:val="24"/>
                <w:szCs w:val="24"/>
                <w:highlight w:val="none"/>
              </w:rPr>
            </w:pPr>
          </w:p>
        </w:tc>
        <w:tc>
          <w:tcPr>
            <w:tcW w:w="1419" w:type="dxa"/>
            <w:vAlign w:val="center"/>
          </w:tcPr>
          <w:p>
            <w:pPr>
              <w:tabs>
                <w:tab w:val="left" w:pos="720"/>
              </w:tabs>
              <w:snapToGrid w:val="0"/>
              <w:spacing w:line="360" w:lineRule="auto"/>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39" w:type="dxa"/>
            <w:vAlign w:val="center"/>
          </w:tcPr>
          <w:p>
            <w:pPr>
              <w:tabs>
                <w:tab w:val="left" w:pos="720"/>
              </w:tabs>
              <w:snapToGrid w:val="0"/>
              <w:spacing w:line="360" w:lineRule="auto"/>
              <w:jc w:val="center"/>
              <w:rPr>
                <w:color w:val="auto"/>
                <w:sz w:val="24"/>
                <w:szCs w:val="24"/>
                <w:highlight w:val="none"/>
              </w:rPr>
            </w:pPr>
          </w:p>
        </w:tc>
        <w:tc>
          <w:tcPr>
            <w:tcW w:w="1441" w:type="dxa"/>
            <w:vAlign w:val="center"/>
          </w:tcPr>
          <w:p>
            <w:pPr>
              <w:tabs>
                <w:tab w:val="left" w:pos="720"/>
              </w:tabs>
              <w:snapToGrid w:val="0"/>
              <w:spacing w:line="360" w:lineRule="auto"/>
              <w:jc w:val="center"/>
              <w:rPr>
                <w:color w:val="auto"/>
                <w:sz w:val="24"/>
                <w:szCs w:val="24"/>
                <w:highlight w:val="none"/>
              </w:rPr>
            </w:pPr>
          </w:p>
        </w:tc>
        <w:tc>
          <w:tcPr>
            <w:tcW w:w="2461" w:type="dxa"/>
            <w:vAlign w:val="center"/>
          </w:tcPr>
          <w:p>
            <w:pPr>
              <w:tabs>
                <w:tab w:val="left" w:pos="720"/>
              </w:tabs>
              <w:snapToGrid w:val="0"/>
              <w:spacing w:line="360" w:lineRule="auto"/>
              <w:jc w:val="center"/>
              <w:rPr>
                <w:color w:val="auto"/>
                <w:sz w:val="24"/>
                <w:szCs w:val="24"/>
                <w:highlight w:val="none"/>
              </w:rPr>
            </w:pPr>
          </w:p>
        </w:tc>
        <w:tc>
          <w:tcPr>
            <w:tcW w:w="2359" w:type="dxa"/>
            <w:vAlign w:val="center"/>
          </w:tcPr>
          <w:p>
            <w:pPr>
              <w:tabs>
                <w:tab w:val="left" w:pos="720"/>
              </w:tabs>
              <w:snapToGrid w:val="0"/>
              <w:spacing w:line="360" w:lineRule="auto"/>
              <w:jc w:val="center"/>
              <w:rPr>
                <w:color w:val="auto"/>
                <w:sz w:val="24"/>
                <w:szCs w:val="24"/>
                <w:highlight w:val="none"/>
              </w:rPr>
            </w:pPr>
          </w:p>
        </w:tc>
        <w:tc>
          <w:tcPr>
            <w:tcW w:w="1419" w:type="dxa"/>
            <w:vAlign w:val="center"/>
          </w:tcPr>
          <w:p>
            <w:pPr>
              <w:tabs>
                <w:tab w:val="left" w:pos="720"/>
              </w:tabs>
              <w:snapToGrid w:val="0"/>
              <w:spacing w:line="360" w:lineRule="auto"/>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39" w:type="dxa"/>
            <w:vAlign w:val="center"/>
          </w:tcPr>
          <w:p>
            <w:pPr>
              <w:tabs>
                <w:tab w:val="left" w:pos="720"/>
              </w:tabs>
              <w:snapToGrid w:val="0"/>
              <w:spacing w:line="360" w:lineRule="auto"/>
              <w:jc w:val="center"/>
              <w:rPr>
                <w:color w:val="auto"/>
                <w:sz w:val="24"/>
                <w:szCs w:val="24"/>
                <w:highlight w:val="none"/>
              </w:rPr>
            </w:pPr>
          </w:p>
        </w:tc>
        <w:tc>
          <w:tcPr>
            <w:tcW w:w="1441" w:type="dxa"/>
            <w:vAlign w:val="center"/>
          </w:tcPr>
          <w:p>
            <w:pPr>
              <w:tabs>
                <w:tab w:val="left" w:pos="720"/>
              </w:tabs>
              <w:snapToGrid w:val="0"/>
              <w:spacing w:line="360" w:lineRule="auto"/>
              <w:jc w:val="center"/>
              <w:rPr>
                <w:color w:val="auto"/>
                <w:sz w:val="24"/>
                <w:szCs w:val="24"/>
                <w:highlight w:val="none"/>
              </w:rPr>
            </w:pPr>
          </w:p>
        </w:tc>
        <w:tc>
          <w:tcPr>
            <w:tcW w:w="2461" w:type="dxa"/>
            <w:vAlign w:val="center"/>
          </w:tcPr>
          <w:p>
            <w:pPr>
              <w:tabs>
                <w:tab w:val="left" w:pos="720"/>
              </w:tabs>
              <w:snapToGrid w:val="0"/>
              <w:spacing w:line="360" w:lineRule="auto"/>
              <w:jc w:val="center"/>
              <w:rPr>
                <w:color w:val="auto"/>
                <w:sz w:val="24"/>
                <w:szCs w:val="24"/>
                <w:highlight w:val="none"/>
              </w:rPr>
            </w:pPr>
          </w:p>
        </w:tc>
        <w:tc>
          <w:tcPr>
            <w:tcW w:w="2359" w:type="dxa"/>
            <w:vAlign w:val="center"/>
          </w:tcPr>
          <w:p>
            <w:pPr>
              <w:tabs>
                <w:tab w:val="left" w:pos="720"/>
              </w:tabs>
              <w:snapToGrid w:val="0"/>
              <w:spacing w:line="360" w:lineRule="auto"/>
              <w:jc w:val="center"/>
              <w:rPr>
                <w:color w:val="auto"/>
                <w:sz w:val="24"/>
                <w:szCs w:val="24"/>
                <w:highlight w:val="none"/>
              </w:rPr>
            </w:pPr>
          </w:p>
        </w:tc>
        <w:tc>
          <w:tcPr>
            <w:tcW w:w="1419" w:type="dxa"/>
            <w:vAlign w:val="center"/>
          </w:tcPr>
          <w:p>
            <w:pPr>
              <w:tabs>
                <w:tab w:val="left" w:pos="720"/>
              </w:tabs>
              <w:snapToGrid w:val="0"/>
              <w:spacing w:line="360" w:lineRule="auto"/>
              <w:jc w:val="center"/>
              <w:rPr>
                <w:color w:val="auto"/>
                <w:sz w:val="24"/>
                <w:szCs w:val="24"/>
                <w:highlight w:val="none"/>
              </w:rPr>
            </w:pPr>
          </w:p>
        </w:tc>
      </w:tr>
    </w:tbl>
    <w:p>
      <w:pPr>
        <w:tabs>
          <w:tab w:val="left" w:pos="720"/>
        </w:tabs>
        <w:snapToGrid w:val="0"/>
        <w:spacing w:line="360" w:lineRule="auto"/>
        <w:rPr>
          <w:color w:val="auto"/>
          <w:sz w:val="24"/>
          <w:szCs w:val="24"/>
          <w:highlight w:val="none"/>
        </w:rPr>
      </w:pPr>
    </w:p>
    <w:p>
      <w:pPr>
        <w:rPr>
          <w:color w:val="auto"/>
          <w:highlight w:val="none"/>
        </w:rPr>
      </w:pPr>
      <w:r>
        <w:rPr>
          <w:rFonts w:hint="eastAsia"/>
          <w:color w:val="auto"/>
          <w:spacing w:val="4"/>
          <w:kern w:val="0"/>
          <w:sz w:val="24"/>
          <w:szCs w:val="24"/>
          <w:highlight w:val="none"/>
        </w:rPr>
        <w:t>注：参与编制经济标书所有人员名单应包括如编制各种专业工程量清单投标报价、负责清样校对、负责打印及复印等所有人员在内的人员名单。</w:t>
      </w:r>
    </w:p>
    <w:p>
      <w:pPr>
        <w:widowControl/>
        <w:jc w:val="left"/>
        <w:rPr>
          <w:rFonts w:cs="宋体"/>
          <w:b/>
          <w:color w:val="auto"/>
          <w:kern w:val="0"/>
          <w:sz w:val="24"/>
          <w:szCs w:val="24"/>
          <w:highlight w:val="none"/>
        </w:rPr>
      </w:pPr>
      <w:r>
        <w:rPr>
          <w:color w:val="auto"/>
          <w:highlight w:val="none"/>
        </w:rPr>
        <w:br w:type="page"/>
      </w:r>
    </w:p>
    <w:p>
      <w:pPr>
        <w:pStyle w:val="4"/>
        <w:rPr>
          <w:color w:val="auto"/>
          <w:highlight w:val="none"/>
        </w:rPr>
      </w:pPr>
      <w:bookmarkStart w:id="55" w:name="_Toc60070635"/>
      <w:bookmarkStart w:id="56" w:name="_Toc61541799"/>
      <w:r>
        <w:rPr>
          <w:rFonts w:hint="eastAsia"/>
          <w:color w:val="auto"/>
          <w:highlight w:val="none"/>
        </w:rPr>
        <w:t>格式</w:t>
      </w:r>
      <w:r>
        <w:rPr>
          <w:rFonts w:hint="eastAsia"/>
          <w:snapToGrid w:val="0"/>
          <w:color w:val="auto"/>
          <w:highlight w:val="none"/>
        </w:rPr>
        <w:t>十</w:t>
      </w:r>
      <w:r>
        <w:rPr>
          <w:rFonts w:hint="eastAsia"/>
          <w:snapToGrid w:val="0"/>
          <w:color w:val="auto"/>
          <w:highlight w:val="none"/>
          <w:lang w:val="en-US" w:eastAsia="zh-CN"/>
        </w:rPr>
        <w:t>三</w:t>
      </w:r>
      <w:r>
        <w:rPr>
          <w:rFonts w:hint="eastAsia"/>
          <w:color w:val="auto"/>
          <w:kern w:val="2"/>
          <w:highlight w:val="none"/>
        </w:rPr>
        <w:t>：</w:t>
      </w:r>
      <w:bookmarkEnd w:id="55"/>
      <w:bookmarkEnd w:id="56"/>
    </w:p>
    <w:p>
      <w:pPr>
        <w:pStyle w:val="23"/>
        <w:spacing w:after="0" w:line="360" w:lineRule="auto"/>
        <w:ind w:firstLine="0"/>
        <w:jc w:val="center"/>
        <w:rPr>
          <w:rFonts w:ascii="宋体" w:hAnsi="宋体" w:cs="宋体"/>
          <w:color w:val="auto"/>
          <w:sz w:val="36"/>
          <w:szCs w:val="36"/>
          <w:highlight w:val="none"/>
        </w:rPr>
      </w:pPr>
      <w:r>
        <w:rPr>
          <w:rFonts w:hint="eastAsia" w:ascii="宋体" w:hAnsi="宋体" w:cs="宋体"/>
          <w:b/>
          <w:color w:val="auto"/>
          <w:sz w:val="36"/>
          <w:szCs w:val="36"/>
          <w:highlight w:val="none"/>
        </w:rPr>
        <w:t>对投标文件编制的承诺</w:t>
      </w:r>
    </w:p>
    <w:p>
      <w:pPr>
        <w:pStyle w:val="23"/>
        <w:spacing w:after="0" w:line="360" w:lineRule="auto"/>
        <w:ind w:left="-2" w:leftChars="-1" w:firstLine="540" w:firstLineChars="225"/>
        <w:rPr>
          <w:rFonts w:ascii="宋体" w:hAnsi="宋体" w:cs="宋体"/>
          <w:color w:val="auto"/>
          <w:sz w:val="24"/>
          <w:szCs w:val="24"/>
          <w:highlight w:val="none"/>
        </w:rPr>
      </w:pPr>
      <w:r>
        <w:rPr>
          <w:rFonts w:hint="eastAsia" w:ascii="宋体" w:hAnsi="宋体" w:cs="宋体"/>
          <w:color w:val="auto"/>
          <w:sz w:val="24"/>
          <w:szCs w:val="24"/>
          <w:highlight w:val="none"/>
        </w:rPr>
        <w:t>本公司授权</w:t>
      </w:r>
      <w:r>
        <w:rPr>
          <w:rFonts w:hint="eastAsia" w:ascii="宋体" w:hAnsi="宋体" w:cs="宋体"/>
          <w:color w:val="auto"/>
          <w:sz w:val="24"/>
          <w:szCs w:val="24"/>
          <w:highlight w:val="none"/>
          <w:u w:val="single"/>
        </w:rPr>
        <w:t xml:space="preserve">         （身份证号：               ）</w:t>
      </w:r>
      <w:r>
        <w:rPr>
          <w:rFonts w:hint="eastAsia" w:ascii="宋体" w:hAnsi="宋体" w:cs="宋体"/>
          <w:color w:val="auto"/>
          <w:sz w:val="24"/>
          <w:szCs w:val="24"/>
          <w:highlight w:val="none"/>
        </w:rPr>
        <w:t>负责对投标文件的编制及内容进行解释、说明，并承诺以下事项：</w:t>
      </w:r>
    </w:p>
    <w:p>
      <w:pPr>
        <w:pStyle w:val="23"/>
        <w:spacing w:after="0" w:line="360" w:lineRule="auto"/>
        <w:ind w:left="-2" w:leftChars="-1" w:firstLine="540" w:firstLineChars="225"/>
        <w:rPr>
          <w:rFonts w:ascii="宋体" w:hAnsi="宋体" w:cs="宋体"/>
          <w:color w:val="auto"/>
          <w:sz w:val="24"/>
          <w:szCs w:val="24"/>
          <w:highlight w:val="none"/>
        </w:rPr>
      </w:pPr>
      <w:r>
        <w:rPr>
          <w:rFonts w:hint="eastAsia" w:ascii="宋体" w:hAnsi="宋体" w:cs="宋体"/>
          <w:color w:val="auto"/>
          <w:sz w:val="24"/>
          <w:szCs w:val="24"/>
          <w:highlight w:val="none"/>
        </w:rPr>
        <w:t>1.被授权人清楚投标文件编制的具体情况，包括工程量清单、以及投标文件的加密打包的理解；</w:t>
      </w:r>
    </w:p>
    <w:p>
      <w:pPr>
        <w:pStyle w:val="23"/>
        <w:spacing w:after="0" w:line="360" w:lineRule="auto"/>
        <w:ind w:left="-2" w:leftChars="-1" w:firstLine="540" w:firstLineChars="225"/>
        <w:rPr>
          <w:rFonts w:ascii="宋体" w:hAnsi="宋体" w:cs="宋体"/>
          <w:color w:val="auto"/>
          <w:sz w:val="24"/>
          <w:szCs w:val="24"/>
          <w:highlight w:val="none"/>
        </w:rPr>
      </w:pPr>
      <w:r>
        <w:rPr>
          <w:rFonts w:hint="eastAsia" w:ascii="宋体" w:hAnsi="宋体" w:cs="宋体"/>
          <w:color w:val="auto"/>
          <w:sz w:val="24"/>
          <w:szCs w:val="24"/>
          <w:highlight w:val="none"/>
        </w:rPr>
        <w:t>2.在本项目开标至评标结束前，努力确保被授权人在项目评标所在地附近；</w:t>
      </w:r>
    </w:p>
    <w:p>
      <w:pPr>
        <w:pStyle w:val="23"/>
        <w:spacing w:after="0" w:line="360" w:lineRule="auto"/>
        <w:ind w:left="-2" w:leftChars="-1" w:firstLine="540" w:firstLineChars="225"/>
        <w:rPr>
          <w:rFonts w:ascii="宋体" w:hAnsi="宋体" w:cs="宋体"/>
          <w:color w:val="auto"/>
          <w:sz w:val="24"/>
          <w:szCs w:val="24"/>
          <w:highlight w:val="none"/>
        </w:rPr>
      </w:pPr>
      <w:r>
        <w:rPr>
          <w:rFonts w:hint="eastAsia" w:ascii="宋体" w:hAnsi="宋体" w:cs="宋体"/>
          <w:color w:val="auto"/>
          <w:sz w:val="24"/>
          <w:szCs w:val="24"/>
          <w:highlight w:val="none"/>
        </w:rPr>
        <w:t>3.从评标委员会要求澄清起二小时内，被授权人应如实地书面澄清。</w:t>
      </w:r>
    </w:p>
    <w:p>
      <w:pPr>
        <w:pStyle w:val="23"/>
        <w:spacing w:after="0" w:line="360" w:lineRule="auto"/>
        <w:ind w:left="-2" w:leftChars="-1" w:firstLine="540" w:firstLineChars="225"/>
        <w:rPr>
          <w:rFonts w:ascii="宋体" w:hAnsi="宋体" w:cs="宋体"/>
          <w:color w:val="auto"/>
          <w:sz w:val="24"/>
          <w:szCs w:val="24"/>
          <w:highlight w:val="none"/>
        </w:rPr>
      </w:pPr>
      <w:r>
        <w:rPr>
          <w:rFonts w:hint="eastAsia" w:ascii="宋体" w:hAnsi="宋体" w:cs="宋体"/>
          <w:color w:val="auto"/>
          <w:sz w:val="24"/>
          <w:szCs w:val="24"/>
          <w:highlight w:val="none"/>
        </w:rPr>
        <w:t xml:space="preserve">如由于未遵守上述承诺内容之一导致无法进行澄清的，我公司认可和接受评标委员会作出的评审结论。                                 </w:t>
      </w:r>
    </w:p>
    <w:p>
      <w:pPr>
        <w:pStyle w:val="23"/>
        <w:spacing w:after="0" w:line="360" w:lineRule="auto"/>
        <w:ind w:firstLine="360" w:firstLineChars="150"/>
        <w:rPr>
          <w:rFonts w:ascii="宋体" w:hAnsi="宋体" w:cs="宋体"/>
          <w:color w:val="auto"/>
          <w:sz w:val="24"/>
          <w:szCs w:val="24"/>
          <w:highlight w:val="none"/>
        </w:rPr>
      </w:pPr>
    </w:p>
    <w:p>
      <w:pPr>
        <w:pStyle w:val="23"/>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附件：《投标文件编制情况》</w:t>
      </w:r>
    </w:p>
    <w:p>
      <w:pPr>
        <w:spacing w:line="360" w:lineRule="auto"/>
        <w:ind w:right="90" w:firstLine="3240" w:firstLineChars="1350"/>
        <w:rPr>
          <w:rFonts w:cs="宋体"/>
          <w:color w:val="auto"/>
          <w:sz w:val="24"/>
          <w:szCs w:val="24"/>
          <w:highlight w:val="none"/>
        </w:rPr>
      </w:pPr>
      <w:r>
        <w:rPr>
          <w:rFonts w:hint="eastAsia" w:cs="宋体"/>
          <w:color w:val="auto"/>
          <w:sz w:val="24"/>
          <w:szCs w:val="24"/>
          <w:highlight w:val="none"/>
        </w:rPr>
        <w:t>投 标 人：    （盖章）</w:t>
      </w:r>
    </w:p>
    <w:p>
      <w:pPr>
        <w:spacing w:line="360" w:lineRule="auto"/>
        <w:ind w:right="90" w:firstLine="3240" w:firstLineChars="1350"/>
        <w:rPr>
          <w:rFonts w:cs="宋体"/>
          <w:color w:val="auto"/>
          <w:sz w:val="24"/>
          <w:szCs w:val="24"/>
          <w:highlight w:val="none"/>
        </w:rPr>
      </w:pPr>
      <w:r>
        <w:rPr>
          <w:rFonts w:hint="eastAsia" w:cs="宋体"/>
          <w:color w:val="auto"/>
          <w:sz w:val="24"/>
          <w:szCs w:val="24"/>
          <w:highlight w:val="none"/>
        </w:rPr>
        <w:t>法定代表人或授权代理人（签字或盖章）：</w:t>
      </w:r>
    </w:p>
    <w:p>
      <w:pPr>
        <w:spacing w:line="360" w:lineRule="auto"/>
        <w:ind w:right="90" w:firstLine="3240" w:firstLineChars="1350"/>
        <w:rPr>
          <w:rFonts w:cs="宋体"/>
          <w:color w:val="auto"/>
          <w:sz w:val="24"/>
          <w:szCs w:val="24"/>
          <w:highlight w:val="none"/>
        </w:rPr>
      </w:pPr>
      <w:r>
        <w:rPr>
          <w:rFonts w:hint="eastAsia" w:cs="宋体"/>
          <w:color w:val="auto"/>
          <w:sz w:val="24"/>
          <w:szCs w:val="24"/>
          <w:highlight w:val="none"/>
        </w:rPr>
        <w:t>日    期：    年    月    日</w:t>
      </w:r>
    </w:p>
    <w:p>
      <w:pPr>
        <w:pStyle w:val="23"/>
        <w:spacing w:after="0" w:line="360" w:lineRule="auto"/>
        <w:ind w:firstLine="0"/>
        <w:jc w:val="center"/>
        <w:rPr>
          <w:rFonts w:ascii="宋体" w:hAnsi="宋体" w:cs="宋体"/>
          <w:color w:val="auto"/>
          <w:sz w:val="36"/>
          <w:szCs w:val="36"/>
          <w:highlight w:val="none"/>
        </w:rPr>
      </w:pPr>
      <w:r>
        <w:rPr>
          <w:rFonts w:hint="eastAsia" w:ascii="宋体" w:hAnsi="宋体" w:cs="宋体"/>
          <w:b/>
          <w:color w:val="auto"/>
          <w:sz w:val="36"/>
          <w:szCs w:val="36"/>
          <w:highlight w:val="none"/>
        </w:rPr>
        <w:t>投标文件编制情况</w:t>
      </w:r>
    </w:p>
    <w:p>
      <w:pPr>
        <w:pStyle w:val="23"/>
        <w:spacing w:after="0"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1.投标文件报价编制方式: □自行编制的，编制的负责人：</w:t>
      </w:r>
      <w:r>
        <w:rPr>
          <w:rFonts w:hint="eastAsia" w:ascii="宋体" w:hAnsi="宋体" w:cs="宋体"/>
          <w:color w:val="auto"/>
          <w:sz w:val="24"/>
          <w:szCs w:val="24"/>
          <w:highlight w:val="none"/>
          <w:u w:val="single"/>
        </w:rPr>
        <w:t xml:space="preserve"> （盖造价工程师执业专用章或全国建设工程造价员章，执业单位应与投标人一致） </w:t>
      </w:r>
      <w:r>
        <w:rPr>
          <w:rFonts w:hint="eastAsia" w:ascii="宋体" w:hAnsi="宋体" w:cs="宋体"/>
          <w:color w:val="auto"/>
          <w:sz w:val="24"/>
          <w:szCs w:val="24"/>
          <w:highlight w:val="none"/>
        </w:rPr>
        <w:t>。□委托编制的，受委托单位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，编制的负责人：</w:t>
      </w:r>
      <w:r>
        <w:rPr>
          <w:rFonts w:hint="eastAsia" w:ascii="宋体" w:hAnsi="宋体" w:cs="宋体"/>
          <w:color w:val="auto"/>
          <w:sz w:val="24"/>
          <w:szCs w:val="24"/>
          <w:highlight w:val="none"/>
          <w:u w:val="single"/>
        </w:rPr>
        <w:t xml:space="preserve"> （盖造价工程师执业专用章或全国建设工程造价员章，执业单位应与受委托单位一致） </w:t>
      </w:r>
      <w:r>
        <w:rPr>
          <w:rFonts w:hint="eastAsia" w:ascii="宋体" w:hAnsi="宋体" w:cs="宋体"/>
          <w:color w:val="auto"/>
          <w:sz w:val="24"/>
          <w:szCs w:val="24"/>
          <w:highlight w:val="none"/>
        </w:rPr>
        <w:t>。</w:t>
      </w:r>
    </w:p>
    <w:p>
      <w:pPr>
        <w:pStyle w:val="23"/>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2.投标文件加密打包的电脑情况</w:t>
      </w:r>
    </w:p>
    <w:tbl>
      <w:tblPr>
        <w:tblStyle w:val="25"/>
        <w:tblW w:w="8522" w:type="dxa"/>
        <w:tblInd w:w="0" w:type="dxa"/>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2819" w:hRule="atLeast"/>
        </w:trPr>
        <w:tc>
          <w:tcPr>
            <w:tcW w:w="8522" w:type="dxa"/>
          </w:tcPr>
          <w:p>
            <w:pPr>
              <w:pStyle w:val="23"/>
              <w:spacing w:after="0" w:line="360" w:lineRule="auto"/>
              <w:ind w:firstLine="0"/>
              <w:rPr>
                <w:rFonts w:ascii="宋体" w:hAnsi="宋体" w:cs="宋体"/>
                <w:color w:val="auto"/>
                <w:kern w:val="2"/>
                <w:sz w:val="24"/>
                <w:szCs w:val="24"/>
                <w:highlight w:val="none"/>
              </w:rPr>
            </w:pPr>
            <w:r>
              <w:rPr>
                <w:rFonts w:hint="eastAsia" w:ascii="宋体" w:hAnsi="宋体" w:cs="宋体"/>
                <w:color w:val="auto"/>
                <w:kern w:val="2"/>
                <w:sz w:val="24"/>
                <w:szCs w:val="24"/>
                <w:highlight w:val="none"/>
              </w:rPr>
              <w:t>投标文件加密打包的电脑  自有    □      外包    □   其他    □</w:t>
            </w:r>
          </w:p>
          <w:p>
            <w:pPr>
              <w:pStyle w:val="23"/>
              <w:spacing w:after="0" w:line="360" w:lineRule="auto"/>
              <w:ind w:firstLine="0"/>
              <w:rPr>
                <w:rFonts w:ascii="宋体" w:hAnsi="宋体" w:cs="宋体"/>
                <w:color w:val="auto"/>
                <w:kern w:val="2"/>
                <w:sz w:val="24"/>
                <w:szCs w:val="24"/>
                <w:highlight w:val="none"/>
              </w:rPr>
            </w:pPr>
            <w:r>
              <w:rPr>
                <w:rFonts w:hint="eastAsia" w:ascii="宋体" w:hAnsi="宋体" w:cs="宋体"/>
                <w:color w:val="auto"/>
                <w:kern w:val="2"/>
                <w:sz w:val="24"/>
                <w:szCs w:val="24"/>
                <w:highlight w:val="none"/>
              </w:rPr>
              <w:t>电脑类型</w:t>
            </w:r>
          </w:p>
          <w:p>
            <w:pPr>
              <w:pStyle w:val="23"/>
              <w:spacing w:after="0" w:line="360" w:lineRule="auto"/>
              <w:ind w:firstLine="0"/>
              <w:rPr>
                <w:rFonts w:ascii="宋体" w:hAnsi="宋体" w:cs="宋体"/>
                <w:color w:val="auto"/>
                <w:kern w:val="2"/>
                <w:sz w:val="24"/>
                <w:szCs w:val="24"/>
                <w:highlight w:val="none"/>
              </w:rPr>
            </w:pPr>
            <w:r>
              <w:rPr>
                <w:rFonts w:hint="eastAsia" w:ascii="宋体" w:hAnsi="宋体" w:cs="宋体"/>
                <w:color w:val="auto"/>
                <w:kern w:val="2"/>
                <w:sz w:val="24"/>
                <w:szCs w:val="24"/>
                <w:highlight w:val="none"/>
              </w:rPr>
              <w:t>电脑所属单位</w:t>
            </w:r>
          </w:p>
          <w:p>
            <w:pPr>
              <w:pStyle w:val="23"/>
              <w:spacing w:after="0" w:line="360" w:lineRule="auto"/>
              <w:ind w:firstLine="0"/>
              <w:rPr>
                <w:rFonts w:ascii="宋体" w:hAnsi="宋体" w:cs="宋体"/>
                <w:color w:val="auto"/>
                <w:kern w:val="2"/>
                <w:sz w:val="24"/>
                <w:szCs w:val="24"/>
                <w:highlight w:val="none"/>
              </w:rPr>
            </w:pPr>
            <w:r>
              <w:rPr>
                <w:rFonts w:hint="eastAsia" w:ascii="宋体" w:hAnsi="宋体" w:cs="宋体"/>
                <w:color w:val="auto"/>
                <w:kern w:val="2"/>
                <w:sz w:val="24"/>
                <w:szCs w:val="24"/>
                <w:highlight w:val="none"/>
              </w:rPr>
              <w:t>电脑所在地址        （如××市××区(县) ××街（路）××号××大厦××房）</w:t>
            </w:r>
          </w:p>
        </w:tc>
      </w:tr>
    </w:tbl>
    <w:p>
      <w:pPr>
        <w:tabs>
          <w:tab w:val="left" w:pos="720"/>
        </w:tabs>
        <w:snapToGrid w:val="0"/>
        <w:spacing w:line="360" w:lineRule="auto"/>
        <w:outlineLvl w:val="0"/>
        <w:rPr>
          <w:rFonts w:cs="宋体"/>
          <w:color w:val="auto"/>
          <w:szCs w:val="21"/>
          <w:highlight w:val="none"/>
        </w:rPr>
      </w:pPr>
    </w:p>
    <w:p>
      <w:pPr>
        <w:tabs>
          <w:tab w:val="left" w:pos="720"/>
        </w:tabs>
        <w:snapToGrid w:val="0"/>
        <w:spacing w:line="360" w:lineRule="auto"/>
        <w:ind w:firstLine="482" w:firstLineChars="100"/>
        <w:jc w:val="left"/>
        <w:outlineLvl w:val="0"/>
        <w:rPr>
          <w:rStyle w:val="40"/>
          <w:rFonts w:hint="default"/>
          <w:color w:val="auto"/>
          <w:highlight w:val="none"/>
        </w:rPr>
      </w:pPr>
      <w:r>
        <w:rPr>
          <w:rStyle w:val="40"/>
          <w:rFonts w:hint="default"/>
          <w:color w:val="auto"/>
          <w:highlight w:val="none"/>
        </w:rPr>
        <w:t>第五章  技术条件（工程建设标准）</w:t>
      </w:r>
    </w:p>
    <w:p>
      <w:pPr>
        <w:topLinePunct/>
        <w:adjustRightIn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下列文件应被认为是组成本章内容的一部分，并互为补充和解释，如各文件存在冲突之处，以如下排列次序在前者优先适用：</w:t>
      </w:r>
    </w:p>
    <w:p>
      <w:pPr>
        <w:topLinePunct/>
        <w:adjustRightInd w:val="0"/>
        <w:snapToGri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1、遵照招标人相关管理规定要求；</w:t>
      </w:r>
    </w:p>
    <w:p>
      <w:pPr>
        <w:topLinePunct/>
        <w:adjustRightInd w:val="0"/>
        <w:snapToGri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2、采用图纸中规定的其它技术和验收标准；</w:t>
      </w:r>
    </w:p>
    <w:p>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3、采用中华人民共和国现行技术和验收规范。</w:t>
      </w:r>
    </w:p>
    <w:p>
      <w:pPr>
        <w:topLinePunct/>
        <w:adjustRightInd w:val="0"/>
        <w:spacing w:line="360" w:lineRule="auto"/>
        <w:ind w:firstLine="482" w:firstLineChars="200"/>
        <w:rPr>
          <w:rFonts w:ascii="宋体" w:hAnsi="宋体"/>
          <w:b/>
          <w:color w:val="auto"/>
          <w:highlight w:val="none"/>
        </w:rPr>
      </w:pPr>
      <w:r>
        <w:rPr>
          <w:rFonts w:hint="eastAsia" w:ascii="宋体" w:hAnsi="宋体" w:cs="宋体"/>
          <w:b/>
          <w:color w:val="auto"/>
          <w:sz w:val="24"/>
          <w:szCs w:val="24"/>
          <w:highlight w:val="none"/>
        </w:rPr>
        <w:t>以现行的中华人民共和国及有关</w:t>
      </w:r>
      <w:r>
        <w:rPr>
          <w:rFonts w:hint="eastAsia" w:ascii="宋体" w:hAnsi="宋体" w:cs="宋体"/>
          <w:b/>
          <w:color w:val="auto"/>
          <w:spacing w:val="4"/>
          <w:kern w:val="0"/>
          <w:sz w:val="24"/>
          <w:szCs w:val="24"/>
          <w:highlight w:val="none"/>
        </w:rPr>
        <w:t>部委</w:t>
      </w:r>
      <w:r>
        <w:rPr>
          <w:rFonts w:hint="eastAsia" w:ascii="宋体" w:hAnsi="宋体" w:cs="宋体"/>
          <w:b/>
          <w:color w:val="auto"/>
          <w:sz w:val="24"/>
          <w:szCs w:val="24"/>
          <w:highlight w:val="none"/>
        </w:rPr>
        <w:t>颁布的标准、规范、和规程。若施工时期建设主管部门颁布新的规范、标准，则按照新的规范、标准执行。</w:t>
      </w:r>
    </w:p>
    <w:p>
      <w:pPr>
        <w:spacing w:line="276" w:lineRule="auto"/>
        <w:ind w:firstLine="424" w:firstLineChars="177"/>
        <w:rPr>
          <w:rFonts w:cs="宋体"/>
          <w:color w:val="auto"/>
          <w:sz w:val="24"/>
          <w:szCs w:val="24"/>
          <w:highlight w:val="none"/>
        </w:rPr>
      </w:pPr>
    </w:p>
    <w:p>
      <w:pPr>
        <w:pStyle w:val="5"/>
        <w:ind w:firstLine="480"/>
        <w:rPr>
          <w:rFonts w:cs="宋体"/>
          <w:color w:val="auto"/>
          <w:sz w:val="24"/>
          <w:szCs w:val="24"/>
          <w:highlight w:val="none"/>
        </w:rPr>
      </w:pPr>
    </w:p>
    <w:p>
      <w:pPr>
        <w:rPr>
          <w:rFonts w:cs="宋体"/>
          <w:color w:val="auto"/>
          <w:sz w:val="24"/>
          <w:szCs w:val="24"/>
          <w:highlight w:val="none"/>
        </w:rPr>
      </w:pPr>
    </w:p>
    <w:p>
      <w:pPr>
        <w:pStyle w:val="5"/>
        <w:ind w:firstLine="480"/>
        <w:rPr>
          <w:rFonts w:cs="宋体"/>
          <w:color w:val="auto"/>
          <w:sz w:val="24"/>
          <w:szCs w:val="24"/>
          <w:highlight w:val="none"/>
        </w:rPr>
      </w:pPr>
    </w:p>
    <w:p>
      <w:pPr>
        <w:rPr>
          <w:rFonts w:cs="宋体"/>
          <w:color w:val="auto"/>
          <w:sz w:val="24"/>
          <w:szCs w:val="24"/>
          <w:highlight w:val="none"/>
        </w:rPr>
      </w:pPr>
    </w:p>
    <w:p>
      <w:pPr>
        <w:pStyle w:val="5"/>
        <w:ind w:firstLine="480"/>
        <w:rPr>
          <w:rFonts w:cs="宋体"/>
          <w:color w:val="auto"/>
          <w:sz w:val="24"/>
          <w:szCs w:val="24"/>
          <w:highlight w:val="none"/>
        </w:rPr>
      </w:pPr>
    </w:p>
    <w:p>
      <w:pPr>
        <w:rPr>
          <w:rFonts w:cs="宋体"/>
          <w:color w:val="auto"/>
          <w:sz w:val="24"/>
          <w:szCs w:val="24"/>
          <w:highlight w:val="none"/>
        </w:rPr>
      </w:pPr>
    </w:p>
    <w:p>
      <w:pPr>
        <w:pStyle w:val="5"/>
        <w:ind w:firstLine="480"/>
        <w:rPr>
          <w:rFonts w:cs="宋体"/>
          <w:color w:val="auto"/>
          <w:sz w:val="24"/>
          <w:szCs w:val="24"/>
          <w:highlight w:val="none"/>
        </w:rPr>
      </w:pPr>
    </w:p>
    <w:p>
      <w:pPr>
        <w:rPr>
          <w:rFonts w:cs="宋体"/>
          <w:color w:val="auto"/>
          <w:sz w:val="24"/>
          <w:szCs w:val="24"/>
          <w:highlight w:val="none"/>
        </w:rPr>
      </w:pPr>
    </w:p>
    <w:p>
      <w:pPr>
        <w:pStyle w:val="5"/>
        <w:ind w:firstLine="480"/>
        <w:rPr>
          <w:rFonts w:cs="宋体"/>
          <w:color w:val="auto"/>
          <w:sz w:val="24"/>
          <w:szCs w:val="24"/>
          <w:highlight w:val="none"/>
        </w:rPr>
      </w:pPr>
    </w:p>
    <w:p>
      <w:pPr>
        <w:rPr>
          <w:rFonts w:cs="宋体"/>
          <w:color w:val="auto"/>
          <w:sz w:val="24"/>
          <w:szCs w:val="24"/>
          <w:highlight w:val="none"/>
        </w:rPr>
      </w:pPr>
    </w:p>
    <w:p>
      <w:pPr>
        <w:pStyle w:val="5"/>
        <w:ind w:firstLine="480"/>
        <w:rPr>
          <w:rFonts w:cs="宋体"/>
          <w:color w:val="auto"/>
          <w:sz w:val="24"/>
          <w:szCs w:val="24"/>
          <w:highlight w:val="none"/>
        </w:rPr>
      </w:pPr>
    </w:p>
    <w:p>
      <w:pPr>
        <w:rPr>
          <w:rFonts w:cs="宋体"/>
          <w:color w:val="auto"/>
          <w:sz w:val="24"/>
          <w:szCs w:val="24"/>
          <w:highlight w:val="none"/>
        </w:rPr>
      </w:pPr>
    </w:p>
    <w:p>
      <w:pPr>
        <w:pStyle w:val="5"/>
        <w:ind w:firstLine="480"/>
        <w:rPr>
          <w:rFonts w:cs="宋体"/>
          <w:color w:val="auto"/>
          <w:sz w:val="24"/>
          <w:szCs w:val="24"/>
          <w:highlight w:val="none"/>
        </w:rPr>
      </w:pPr>
    </w:p>
    <w:p>
      <w:pPr>
        <w:rPr>
          <w:rFonts w:cs="宋体"/>
          <w:color w:val="auto"/>
          <w:sz w:val="24"/>
          <w:szCs w:val="24"/>
          <w:highlight w:val="none"/>
        </w:rPr>
      </w:pPr>
    </w:p>
    <w:p>
      <w:pPr>
        <w:pStyle w:val="5"/>
        <w:ind w:firstLine="480"/>
        <w:rPr>
          <w:rFonts w:cs="宋体"/>
          <w:color w:val="auto"/>
          <w:sz w:val="24"/>
          <w:szCs w:val="24"/>
          <w:highlight w:val="none"/>
        </w:rPr>
      </w:pPr>
    </w:p>
    <w:p>
      <w:pPr>
        <w:rPr>
          <w:rFonts w:cs="宋体"/>
          <w:color w:val="auto"/>
          <w:sz w:val="24"/>
          <w:szCs w:val="24"/>
          <w:highlight w:val="none"/>
        </w:rPr>
      </w:pPr>
    </w:p>
    <w:p>
      <w:pPr>
        <w:pStyle w:val="5"/>
        <w:ind w:firstLine="480"/>
        <w:rPr>
          <w:rFonts w:cs="宋体"/>
          <w:color w:val="auto"/>
          <w:sz w:val="24"/>
          <w:szCs w:val="24"/>
          <w:highlight w:val="none"/>
        </w:rPr>
      </w:pPr>
    </w:p>
    <w:p>
      <w:pPr>
        <w:rPr>
          <w:rFonts w:cs="宋体"/>
          <w:color w:val="auto"/>
          <w:sz w:val="24"/>
          <w:szCs w:val="24"/>
          <w:highlight w:val="none"/>
        </w:rPr>
      </w:pPr>
    </w:p>
    <w:p>
      <w:pPr>
        <w:pStyle w:val="5"/>
        <w:ind w:firstLine="480"/>
        <w:rPr>
          <w:rFonts w:cs="宋体"/>
          <w:color w:val="auto"/>
          <w:sz w:val="24"/>
          <w:szCs w:val="24"/>
          <w:highlight w:val="none"/>
        </w:rPr>
      </w:pPr>
    </w:p>
    <w:p>
      <w:pPr>
        <w:rPr>
          <w:rFonts w:cs="宋体"/>
          <w:color w:val="auto"/>
          <w:sz w:val="24"/>
          <w:szCs w:val="24"/>
          <w:highlight w:val="none"/>
        </w:rPr>
      </w:pPr>
    </w:p>
    <w:p>
      <w:pPr>
        <w:pStyle w:val="5"/>
        <w:ind w:firstLine="480"/>
        <w:rPr>
          <w:rFonts w:cs="宋体"/>
          <w:color w:val="auto"/>
          <w:sz w:val="24"/>
          <w:szCs w:val="24"/>
          <w:highlight w:val="none"/>
        </w:rPr>
      </w:pPr>
    </w:p>
    <w:p>
      <w:pPr>
        <w:rPr>
          <w:rFonts w:cs="宋体"/>
          <w:color w:val="auto"/>
          <w:sz w:val="24"/>
          <w:szCs w:val="24"/>
          <w:highlight w:val="none"/>
        </w:rPr>
      </w:pPr>
    </w:p>
    <w:p>
      <w:pPr>
        <w:pStyle w:val="5"/>
        <w:ind w:firstLine="480"/>
        <w:rPr>
          <w:rFonts w:cs="宋体"/>
          <w:color w:val="auto"/>
          <w:sz w:val="24"/>
          <w:szCs w:val="24"/>
          <w:highlight w:val="none"/>
        </w:rPr>
      </w:pPr>
    </w:p>
    <w:p>
      <w:pPr>
        <w:pStyle w:val="4"/>
        <w:spacing w:before="156" w:after="120"/>
        <w:rPr>
          <w:snapToGrid w:val="0"/>
          <w:color w:val="auto"/>
          <w:spacing w:val="4"/>
          <w:highlight w:val="none"/>
        </w:rPr>
      </w:pPr>
    </w:p>
    <w:p>
      <w:pPr>
        <w:pStyle w:val="2"/>
        <w:jc w:val="center"/>
        <w:rPr>
          <w:rFonts w:hint="default"/>
          <w:color w:val="auto"/>
          <w:highlight w:val="none"/>
        </w:rPr>
      </w:pPr>
      <w:bookmarkStart w:id="57" w:name="_Toc18664075"/>
      <w:r>
        <w:rPr>
          <w:color w:val="auto"/>
          <w:highlight w:val="none"/>
        </w:rPr>
        <w:t>第六章  图纸及勘察资料</w:t>
      </w:r>
      <w:bookmarkEnd w:id="57"/>
    </w:p>
    <w:p>
      <w:pPr>
        <w:topLinePunct/>
        <w:adjustRightInd w:val="0"/>
        <w:snapToGrid w:val="0"/>
        <w:spacing w:line="360" w:lineRule="auto"/>
        <w:rPr>
          <w:rFonts w:cs="宋体"/>
          <w:snapToGrid w:val="0"/>
          <w:color w:val="auto"/>
          <w:spacing w:val="4"/>
          <w:kern w:val="0"/>
          <w:sz w:val="24"/>
          <w:szCs w:val="24"/>
          <w:highlight w:val="none"/>
        </w:rPr>
      </w:pPr>
      <w:r>
        <w:rPr>
          <w:rFonts w:hint="eastAsia" w:cs="宋体"/>
          <w:snapToGrid w:val="0"/>
          <w:color w:val="auto"/>
          <w:spacing w:val="4"/>
          <w:kern w:val="0"/>
          <w:sz w:val="24"/>
          <w:szCs w:val="24"/>
          <w:highlight w:val="none"/>
        </w:rPr>
        <w:t>招标图纸（另册）。</w:t>
      </w:r>
    </w:p>
    <w:p>
      <w:pPr>
        <w:topLinePunct/>
        <w:adjustRightInd w:val="0"/>
        <w:snapToGrid w:val="0"/>
        <w:spacing w:line="360" w:lineRule="auto"/>
        <w:ind w:firstLine="496" w:firstLineChars="200"/>
        <w:rPr>
          <w:rFonts w:cs="宋体"/>
          <w:snapToGrid w:val="0"/>
          <w:color w:val="auto"/>
          <w:spacing w:val="4"/>
          <w:kern w:val="0"/>
          <w:sz w:val="24"/>
          <w:szCs w:val="24"/>
          <w:highlight w:val="none"/>
        </w:rPr>
      </w:pPr>
    </w:p>
    <w:p>
      <w:pPr>
        <w:topLinePunct/>
        <w:adjustRightInd w:val="0"/>
        <w:snapToGrid w:val="0"/>
        <w:spacing w:before="156" w:after="156" w:line="360" w:lineRule="auto"/>
        <w:ind w:firstLine="496" w:firstLineChars="200"/>
        <w:rPr>
          <w:rFonts w:cs="宋体"/>
          <w:snapToGrid w:val="0"/>
          <w:color w:val="auto"/>
          <w:spacing w:val="4"/>
          <w:kern w:val="0"/>
          <w:sz w:val="24"/>
          <w:szCs w:val="24"/>
          <w:highlight w:val="none"/>
        </w:rPr>
      </w:pPr>
      <w:r>
        <w:rPr>
          <w:rFonts w:hint="eastAsia" w:cs="宋体"/>
          <w:snapToGrid w:val="0"/>
          <w:color w:val="auto"/>
          <w:spacing w:val="4"/>
          <w:kern w:val="0"/>
          <w:sz w:val="24"/>
          <w:szCs w:val="24"/>
          <w:highlight w:val="none"/>
        </w:rPr>
        <w:t>注：本项目所有招标图纸、资料知识产权属招标人所有，不得用于除本次招标项目外其它用途，否则应承担由此所引起的全部法律责任。</w:t>
      </w:r>
    </w:p>
    <w:p>
      <w:pPr>
        <w:jc w:val="center"/>
        <w:rPr>
          <w:rFonts w:cs="宋体"/>
          <w:b/>
          <w:bCs/>
          <w:color w:val="auto"/>
          <w:sz w:val="28"/>
          <w:szCs w:val="28"/>
          <w:highlight w:val="none"/>
        </w:rPr>
      </w:pPr>
    </w:p>
    <w:p>
      <w:pPr>
        <w:pStyle w:val="2"/>
        <w:jc w:val="center"/>
        <w:rPr>
          <w:rFonts w:hint="default"/>
          <w:color w:val="auto"/>
          <w:highlight w:val="none"/>
        </w:rPr>
      </w:pPr>
      <w:r>
        <w:rPr>
          <w:color w:val="auto"/>
          <w:sz w:val="24"/>
          <w:szCs w:val="24"/>
          <w:highlight w:val="none"/>
        </w:rPr>
        <w:br w:type="page"/>
      </w:r>
      <w:bookmarkStart w:id="58" w:name="_Toc18664076"/>
      <w:r>
        <w:rPr>
          <w:color w:val="auto"/>
          <w:highlight w:val="none"/>
        </w:rPr>
        <w:t>第七章  工程量清单</w:t>
      </w:r>
      <w:bookmarkEnd w:id="58"/>
    </w:p>
    <w:p>
      <w:pPr>
        <w:rPr>
          <w:b/>
          <w:color w:val="auto"/>
          <w:sz w:val="24"/>
          <w:szCs w:val="24"/>
          <w:highlight w:val="none"/>
        </w:rPr>
      </w:pPr>
      <w:r>
        <w:rPr>
          <w:rFonts w:hint="eastAsia"/>
          <w:color w:val="auto"/>
          <w:sz w:val="24"/>
          <w:szCs w:val="24"/>
          <w:highlight w:val="none"/>
        </w:rPr>
        <w:t>注：另册。</w:t>
      </w:r>
    </w:p>
    <w:p>
      <w:pPr>
        <w:pStyle w:val="23"/>
        <w:spacing w:after="0" w:line="360" w:lineRule="auto"/>
        <w:ind w:left="-2" w:leftChars="-1" w:firstLine="960" w:firstLineChars="400"/>
        <w:rPr>
          <w:rFonts w:ascii="宋体"/>
          <w:color w:val="auto"/>
          <w:sz w:val="24"/>
          <w:highlight w:val="none"/>
        </w:rPr>
      </w:pPr>
    </w:p>
    <w:p>
      <w:pPr>
        <w:pStyle w:val="2"/>
        <w:rPr>
          <w:rFonts w:hint="default"/>
          <w:color w:val="auto"/>
          <w:highlight w:val="none"/>
        </w:rPr>
      </w:pPr>
    </w:p>
    <w:p>
      <w:pPr>
        <w:pStyle w:val="2"/>
        <w:jc w:val="center"/>
        <w:rPr>
          <w:rFonts w:hint="default"/>
          <w:color w:val="auto"/>
          <w:highlight w:val="none"/>
        </w:rPr>
      </w:pPr>
      <w:r>
        <w:rPr>
          <w:color w:val="auto"/>
          <w:sz w:val="24"/>
          <w:szCs w:val="24"/>
          <w:highlight w:val="none"/>
        </w:rPr>
        <w:br w:type="page"/>
      </w:r>
      <w:bookmarkStart w:id="59" w:name="_Toc18664077"/>
      <w:r>
        <w:rPr>
          <w:color w:val="auto"/>
          <w:highlight w:val="none"/>
        </w:rPr>
        <w:t>第八章  最高投标限价</w:t>
      </w:r>
      <w:bookmarkEnd w:id="59"/>
    </w:p>
    <w:p>
      <w:pPr>
        <w:spacing w:line="360" w:lineRule="auto"/>
        <w:ind w:firstLine="480"/>
        <w:rPr>
          <w:color w:val="auto"/>
          <w:sz w:val="24"/>
          <w:szCs w:val="24"/>
          <w:highlight w:val="none"/>
        </w:rPr>
      </w:pPr>
      <w:r>
        <w:rPr>
          <w:rFonts w:hint="eastAsia"/>
          <w:color w:val="auto"/>
          <w:sz w:val="24"/>
          <w:szCs w:val="24"/>
          <w:highlight w:val="none"/>
        </w:rPr>
        <w:t>招标人应当在发布招标文件时，公布最高投标限价的总价，分部分项工程费、措施项目费、其他项目费、规费和税金，以及绿色施工安全防护措施费、暂列金额等投标人不可竞争的固定报价。</w:t>
      </w:r>
    </w:p>
    <w:p>
      <w:pPr>
        <w:spacing w:line="600" w:lineRule="exact"/>
        <w:jc w:val="center"/>
        <w:rPr>
          <w:color w:val="auto"/>
          <w:sz w:val="24"/>
          <w:szCs w:val="24"/>
          <w:highlight w:val="none"/>
        </w:rPr>
      </w:pPr>
      <w:r>
        <w:rPr>
          <w:rFonts w:hint="eastAsia"/>
          <w:color w:val="auto"/>
          <w:sz w:val="24"/>
          <w:szCs w:val="24"/>
          <w:highlight w:val="none"/>
        </w:rPr>
        <w:t>详见《最高投标限价公布函》</w:t>
      </w:r>
    </w:p>
    <w:p>
      <w:pPr>
        <w:rPr>
          <w:color w:val="auto"/>
          <w:highlight w:val="none"/>
        </w:rPr>
      </w:pPr>
    </w:p>
    <w:p>
      <w:pPr>
        <w:rPr>
          <w:color w:val="auto"/>
          <w:highlight w:val="none"/>
        </w:rPr>
      </w:pPr>
    </w:p>
    <w:sectPr>
      <w:headerReference r:id="rId16" w:type="first"/>
      <w:footerReference r:id="rId18" w:type="first"/>
      <w:headerReference r:id="rId15" w:type="default"/>
      <w:footerReference r:id="rId17" w:type="default"/>
      <w:pgSz w:w="11905" w:h="16838"/>
      <w:pgMar w:top="1440" w:right="1803" w:bottom="1440" w:left="1803" w:header="850" w:footer="907" w:gutter="0"/>
      <w:cols w:space="0" w:num="1"/>
      <w:titlePg/>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92"/>
      <w:jc w:val="right"/>
      <w:rPr>
        <w:rStyle w:val="27"/>
      </w:rPr>
    </w:pPr>
    <w:r>
      <mc:AlternateContent>
        <mc:Choice Requires="wps">
          <w:drawing>
            <wp:anchor distT="0" distB="0" distL="114300" distR="114300" simplePos="0" relativeHeight="251659264" behindDoc="0" locked="0" layoutInCell="1" allowOverlap="1">
              <wp:simplePos x="0" y="0"/>
              <wp:positionH relativeFrom="margin">
                <wp:posOffset>2705735</wp:posOffset>
              </wp:positionH>
              <wp:positionV relativeFrom="paragraph">
                <wp:posOffset>109855</wp:posOffset>
              </wp:positionV>
              <wp:extent cx="307340" cy="27876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307340" cy="278765"/>
                      </a:xfrm>
                      <a:prstGeom prst="rect">
                        <a:avLst/>
                      </a:prstGeom>
                      <a:noFill/>
                      <a:ln>
                        <a:noFill/>
                      </a:ln>
                    </wps:spPr>
                    <wps:txbx>
                      <w:txbxContent>
                        <w:p>
                          <w:pPr>
                            <w:pStyle w:val="14"/>
                            <w:ind w:firstLine="392"/>
                            <w:jc w:val="right"/>
                          </w:pPr>
                          <w:r>
                            <w:fldChar w:fldCharType="begin"/>
                          </w:r>
                          <w:r>
                            <w:rPr>
                              <w:rStyle w:val="27"/>
                            </w:rPr>
                            <w:instrText xml:space="preserve">PAGE  </w:instrText>
                          </w:r>
                          <w:r>
                            <w:fldChar w:fldCharType="separate"/>
                          </w:r>
                          <w:r>
                            <w:rPr>
                              <w:rStyle w:val="27"/>
                            </w:rPr>
                            <w:t>16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left:213.05pt;margin-top:8.65pt;height:21.95pt;width:24.2pt;mso-position-horizontal-relative:margin;mso-wrap-style:none;z-index:251659264;mso-width-relative:page;mso-height-relative:page;" filled="f" stroked="f" coordsize="21600,21600" o:gfxdata="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jPbHk1gAAAAkBAAAPAAAAAAAAAAEAIAAAACIAAABkcnMvZG93bnJl&#10;di54bWxQSwECFAAUAAAACACHTuJAZH5H28YBAACNAwAADgAAAAAAAAABACAAAAAlAQAAZHJzL2Uy&#10;b0RvYy54bWxQSwUGAAAAAAYABgBZAQAAXQUAAAAA&#10;">
              <v:fill on="f" focussize="0,0"/>
              <v:stroke on="f"/>
              <v:imagedata o:title=""/>
              <o:lock v:ext="edit" aspectratio="f"/>
              <v:textbox inset="0mm,0mm,0mm,0mm" style="mso-fit-shape-to-text:t;">
                <w:txbxContent>
                  <w:p>
                    <w:pPr>
                      <w:pStyle w:val="14"/>
                      <w:ind w:firstLine="392"/>
                      <w:jc w:val="right"/>
                    </w:pPr>
                    <w:r>
                      <w:fldChar w:fldCharType="begin"/>
                    </w:r>
                    <w:r>
                      <w:rPr>
                        <w:rStyle w:val="27"/>
                      </w:rPr>
                      <w:instrText xml:space="preserve">PAGE  </w:instrText>
                    </w:r>
                    <w:r>
                      <w:fldChar w:fldCharType="separate"/>
                    </w:r>
                    <w:r>
                      <w:rPr>
                        <w:rStyle w:val="27"/>
                      </w:rPr>
                      <w:t>16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92"/>
      <w:rPr>
        <w:rStyle w:val="27"/>
      </w:rPr>
    </w:pPr>
    <w:r>
      <w:fldChar w:fldCharType="begin"/>
    </w:r>
    <w:r>
      <w:rPr>
        <w:rStyle w:val="27"/>
      </w:rPr>
      <w:instrText xml:space="preserve">PAGE  </w:instrText>
    </w:r>
    <w:r>
      <w:fldChar w:fldCharType="separate"/>
    </w:r>
    <w:r>
      <w:rPr>
        <w:rStyle w:val="27"/>
        <w:rFonts w:hint="eastAsia"/>
      </w:rPr>
      <w:t>一</w:t>
    </w:r>
    <w:r>
      <w:rPr>
        <w:rStyle w:val="27"/>
      </w:rPr>
      <w:t>–2</w:t>
    </w:r>
    <w:r>
      <w:fldChar w:fldCharType="end"/>
    </w:r>
  </w:p>
  <w:p>
    <w:pPr>
      <w:pStyle w:val="14"/>
      <w:ind w:firstLine="392"/>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9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07340" cy="278765"/>
              <wp:effectExtent l="0" t="0" r="0" b="0"/>
              <wp:wrapNone/>
              <wp:docPr id="9" name="文本框 9"/>
              <wp:cNvGraphicFramePr/>
              <a:graphic xmlns:a="http://schemas.openxmlformats.org/drawingml/2006/main">
                <a:graphicData uri="http://schemas.microsoft.com/office/word/2010/wordprocessingShape">
                  <wps:wsp>
                    <wps:cNvSpPr txBox="1"/>
                    <wps:spPr>
                      <a:xfrm>
                        <a:off x="0" y="0"/>
                        <a:ext cx="307340" cy="278765"/>
                      </a:xfrm>
                      <a:prstGeom prst="rect">
                        <a:avLst/>
                      </a:prstGeom>
                      <a:noFill/>
                      <a:ln>
                        <a:noFill/>
                      </a:ln>
                    </wps:spPr>
                    <wps:txbx>
                      <w:txbxContent>
                        <w:p>
                          <w:pPr>
                            <w:pStyle w:val="14"/>
                            <w:ind w:firstLine="392"/>
                          </w:pPr>
                          <w:r>
                            <w:fldChar w:fldCharType="begin"/>
                          </w:r>
                          <w:r>
                            <w:rPr>
                              <w:rStyle w:val="27"/>
                            </w:rPr>
                            <w:instrText xml:space="preserve"> PAGE </w:instrText>
                          </w:r>
                          <w:r>
                            <w:fldChar w:fldCharType="separate"/>
                          </w:r>
                          <w:r>
                            <w:rPr>
                              <w:rStyle w:val="27"/>
                            </w:rP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21.95pt;width:24.2pt;mso-position-horizontal:center;mso-position-horizontal-relative:margin;mso-wrap-style:none;z-index:251660288;mso-width-relative:page;mso-height-relative:page;" filled="f" stroked="f" coordsize="21600,21600" o:gfxdata="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hwM7/RAAAAAwEAAA8AAAAAAAAAAQAgAAAAIgAAAGRycy9kb3ducmV2Lnht&#10;bFBLAQIUABQAAAAIAIdO4kDZECtXxwEAAIsDAAAOAAAAAAAAAAEAIAAAACABAABkcnMvZTJvRG9j&#10;LnhtbFBLBQYAAAAABgAGAFkBAABZBQAAAAA=&#10;">
              <v:fill on="f" focussize="0,0"/>
              <v:stroke on="f"/>
              <v:imagedata o:title=""/>
              <o:lock v:ext="edit" aspectratio="f"/>
              <v:textbox inset="0mm,0mm,0mm,0mm" style="mso-fit-shape-to-text:t;">
                <w:txbxContent>
                  <w:p>
                    <w:pPr>
                      <w:pStyle w:val="14"/>
                      <w:ind w:firstLine="392"/>
                    </w:pPr>
                    <w:r>
                      <w:fldChar w:fldCharType="begin"/>
                    </w:r>
                    <w:r>
                      <w:rPr>
                        <w:rStyle w:val="27"/>
                      </w:rPr>
                      <w:instrText xml:space="preserve"> PAGE </w:instrText>
                    </w:r>
                    <w:r>
                      <w:fldChar w:fldCharType="separate"/>
                    </w:r>
                    <w:r>
                      <w:rPr>
                        <w:rStyle w:val="27"/>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jc w:val="cente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jc w:val="center"/>
                            <w:rPr>
                              <w:rStyle w:val="27"/>
                            </w:rPr>
                          </w:pPr>
                          <w:r>
                            <w:fldChar w:fldCharType="begin"/>
                          </w:r>
                          <w:r>
                            <w:rPr>
                              <w:rStyle w:val="27"/>
                            </w:rPr>
                            <w:instrText xml:space="preserve">PAGE  </w:instrText>
                          </w:r>
                          <w:r>
                            <w:fldChar w:fldCharType="separate"/>
                          </w:r>
                          <w:r>
                            <w:rPr>
                              <w:rStyle w:val="27"/>
                            </w:rPr>
                            <w:t>61</w:t>
                          </w:r>
                          <w:r>
                            <w:fldChar w:fldCharType="end"/>
                          </w:r>
                        </w:p>
                        <w:p>
                          <w:pPr>
                            <w:pStyle w:val="14"/>
                            <w:ind w:left="-4410" w:leftChars="-2100" w:right="-4439" w:rightChars="-2114"/>
                            <w:rPr>
                              <w:rStyle w:val="27"/>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5cC/M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FtQ5c4d8ctTvz888f515/z7+8E&#10;fShQH6DGvLuAmWn44Adcm9kP6My8BxVt/iIjgnGU93SRVw6JiPxotVytKgwJjM0XxGdPz0OE9FF6&#10;S7LR0IjzK7Ly42dIY+qckqs5f6uNKTM07i8HYmYPy72PPWYrDbthIrTz7Qn59Dj6hjrcdErMJ4fK&#10;5i2ZjTgbu8nINSC8PyQsXPrJqCPUVAznVBhNO5UX4fm9ZD39R5t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POXAvzCAQAAjwMAAA4AAAAAAAAAAQAgAAAAHgEAAGRycy9lMm9Eb2MueG1sUEsF&#10;BgAAAAAGAAYAWQEAAFIFAAAAAA==&#10;">
              <v:fill on="f" focussize="0,0"/>
              <v:stroke on="f"/>
              <v:imagedata o:title=""/>
              <o:lock v:ext="edit" aspectratio="f"/>
              <v:textbox inset="0mm,0mm,0mm,0mm" style="mso-fit-shape-to-text:t;">
                <w:txbxContent>
                  <w:p>
                    <w:pPr>
                      <w:pStyle w:val="14"/>
                      <w:jc w:val="center"/>
                      <w:rPr>
                        <w:rStyle w:val="27"/>
                      </w:rPr>
                    </w:pPr>
                    <w:r>
                      <w:fldChar w:fldCharType="begin"/>
                    </w:r>
                    <w:r>
                      <w:rPr>
                        <w:rStyle w:val="27"/>
                      </w:rPr>
                      <w:instrText xml:space="preserve">PAGE  </w:instrText>
                    </w:r>
                    <w:r>
                      <w:fldChar w:fldCharType="separate"/>
                    </w:r>
                    <w:r>
                      <w:rPr>
                        <w:rStyle w:val="27"/>
                      </w:rPr>
                      <w:t>61</w:t>
                    </w:r>
                    <w:r>
                      <w:fldChar w:fldCharType="end"/>
                    </w:r>
                  </w:p>
                  <w:p>
                    <w:pPr>
                      <w:pStyle w:val="14"/>
                      <w:ind w:left="-4410" w:leftChars="-2100" w:right="-4439" w:rightChars="-2114"/>
                      <w:rPr>
                        <w:rStyle w:val="27"/>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7"/>
      </w:rPr>
    </w:pPr>
    <w:r>
      <w:fldChar w:fldCharType="begin"/>
    </w:r>
    <w:r>
      <w:rPr>
        <w:rStyle w:val="27"/>
      </w:rPr>
      <w:instrText xml:space="preserve">PAGE  </w:instrText>
    </w:r>
    <w:r>
      <w:fldChar w:fldCharType="separate"/>
    </w:r>
    <w:r>
      <w:rPr>
        <w:rStyle w:val="27"/>
        <w:rFonts w:hint="eastAsia"/>
      </w:rPr>
      <w:t>一</w:t>
    </w:r>
    <w:r>
      <w:rPr>
        <w:rStyle w:val="27"/>
      </w:rPr>
      <w:t>–2</w:t>
    </w:r>
    <w:r>
      <w:fldChar w:fldCharType="end"/>
    </w:r>
  </w:p>
  <w:p>
    <w:pPr>
      <w:pStyle w:val="14"/>
      <w:ind w:right="360" w:firstLine="360"/>
      <w:jc w:val="center"/>
    </w:pPr>
    <w:r>
      <w:rPr>
        <w:sz w:val="2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jc w:val="center"/>
                          </w:pPr>
                          <w:r>
                            <w:fldChar w:fldCharType="begin"/>
                          </w:r>
                          <w:r>
                            <w:rPr>
                              <w:rStyle w:val="27"/>
                            </w:rPr>
                            <w:instrText xml:space="preserve"> PAGE </w:instrText>
                          </w:r>
                          <w:r>
                            <w:fldChar w:fldCharType="separate"/>
                          </w:r>
                          <w:r>
                            <w:rPr>
                              <w:rStyle w:val="27"/>
                            </w:rPr>
                            <w:t>59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SNzGcMBAACP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5dvKXHc4sTPP3+cfz2eH74T&#10;9KFAfYAa8+4CZqbhvR9wbWY/oDPzHlS0+YuMCMZR3tNFXjkkIvKj1XK1qjAkMDZfEJ89PQ8R0gfp&#10;LclGQyPOr8jKj58gjalzSq7m/K02pszQuL8ciJk9LPc+9pitNOyGidDOtyfk0+PoG+pw0ykxHx0q&#10;m7dkNuJs7CYj14Dw7pCwcOkno45QUzGcU2E07VRehD/vJevpP9r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pI3MZwwEAAI8DAAAOAAAAAAAAAAEAIAAAAB4BAABkcnMvZTJvRG9jLnhtbFBL&#10;BQYAAAAABgAGAFkBAABTBQAAAAA=&#10;">
              <v:fill on="f" focussize="0,0"/>
              <v:stroke on="f"/>
              <v:imagedata o:title=""/>
              <o:lock v:ext="edit" aspectratio="f"/>
              <v:textbox inset="0mm,0mm,0mm,0mm" style="mso-fit-shape-to-text:t;">
                <w:txbxContent>
                  <w:p>
                    <w:pPr>
                      <w:pStyle w:val="14"/>
                      <w:jc w:val="center"/>
                    </w:pPr>
                    <w:r>
                      <w:fldChar w:fldCharType="begin"/>
                    </w:r>
                    <w:r>
                      <w:rPr>
                        <w:rStyle w:val="27"/>
                      </w:rPr>
                      <w:instrText xml:space="preserve"> PAGE </w:instrText>
                    </w:r>
                    <w:r>
                      <w:fldChar w:fldCharType="separate"/>
                    </w:r>
                    <w:r>
                      <w:rPr>
                        <w:rStyle w:val="27"/>
                      </w:rPr>
                      <w:t>59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7"/>
      </w:rPr>
    </w:pPr>
    <w:r>
      <w:fldChar w:fldCharType="begin"/>
    </w:r>
    <w:r>
      <w:rPr>
        <w:rStyle w:val="27"/>
      </w:rPr>
      <w:instrText xml:space="preserve">PAGE  </w:instrText>
    </w:r>
    <w:r>
      <w:fldChar w:fldCharType="separate"/>
    </w:r>
    <w:r>
      <w:rPr>
        <w:rStyle w:val="27"/>
      </w:rPr>
      <w:t>86</w:t>
    </w:r>
    <w:r>
      <w:fldChar w:fldCharType="end"/>
    </w:r>
  </w:p>
  <w:p>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7CjRcIBAACP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teUOG5x4pcf3y8/f19+fSPo&#10;Q4GGAA3m3QfMTONbP+LaLH5AZ+Y9qmjzFxkRjKO856u8ckxE5Efrer2uMCQwtlwQnz08DxHSO+kt&#10;yUZLI86vyMpPHyBNqUtKrub8nTamzNC4vxyImT0s9z71mK007seZ0N53Z+Qz4Ohb6nDTKTHvHSqb&#10;t2Qx4mLsZyPXgPDmmLBw6SejTlBzMZxTYTTvVF6Ex/eS9fAfbf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wo0XCAQAAjwMAAA4AAAAAAAAAAQAgAAAAHgEAAGRycy9lMm9Eb2MueG1sUEsF&#10;BgAAAAAGAAYAWQEAAFIFAAAAAA==&#10;">
              <v:fill on="f" focussize="0,0"/>
              <v:stroke on="f"/>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i/>
        <w:iCs/>
      </w:rPr>
    </w:pPr>
    <w:r>
      <w:rPr>
        <w:rFonts w:hint="eastAsia"/>
        <w:i/>
        <w:iCs/>
      </w:rPr>
      <w:t>横枝岗路道路排水改造工程招标文件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right"/>
      <w:rPr>
        <w:i/>
        <w:iC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621ED7"/>
    <w:multiLevelType w:val="singleLevel"/>
    <w:tmpl w:val="D2621ED7"/>
    <w:lvl w:ilvl="0" w:tentative="0">
      <w:start w:val="1"/>
      <w:numFmt w:val="decimal"/>
      <w:suff w:val="nothing"/>
      <w:lvlText w:val="（%1）"/>
      <w:lvlJc w:val="left"/>
      <w:rPr>
        <w:rFonts w:hint="default"/>
        <w:b w:val="0"/>
        <w:bCs w:val="0"/>
      </w:rPr>
    </w:lvl>
  </w:abstractNum>
  <w:abstractNum w:abstractNumId="1">
    <w:nsid w:val="EA084C35"/>
    <w:multiLevelType w:val="singleLevel"/>
    <w:tmpl w:val="EA084C35"/>
    <w:lvl w:ilvl="0" w:tentative="0">
      <w:start w:val="1"/>
      <w:numFmt w:val="decimal"/>
      <w:suff w:val="nothing"/>
      <w:lvlText w:val="（%1）"/>
      <w:lvlJc w:val="left"/>
      <w:rPr>
        <w:rFonts w:hint="default"/>
        <w:b w:val="0"/>
        <w:bCs w:val="0"/>
      </w:rPr>
    </w:lvl>
  </w:abstractNum>
  <w:abstractNum w:abstractNumId="2">
    <w:nsid w:val="00000003"/>
    <w:multiLevelType w:val="multilevel"/>
    <w:tmpl w:val="00000003"/>
    <w:lvl w:ilvl="0" w:tentative="0">
      <w:start w:val="1"/>
      <w:numFmt w:val="decimal"/>
      <w:lvlText w:val="（%1）"/>
      <w:lvlJc w:val="left"/>
      <w:pPr>
        <w:ind w:left="1080" w:hanging="720"/>
      </w:pPr>
      <w:rPr>
        <w:rFonts w:hint="default"/>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3">
    <w:nsid w:val="1BD8861F"/>
    <w:multiLevelType w:val="singleLevel"/>
    <w:tmpl w:val="1BD8861F"/>
    <w:lvl w:ilvl="0" w:tentative="0">
      <w:start w:val="1"/>
      <w:numFmt w:val="decimal"/>
      <w:suff w:val="nothing"/>
      <w:lvlText w:val="（%1）"/>
      <w:lvlJc w:val="left"/>
      <w:rPr>
        <w:rFonts w:hint="default"/>
        <w:b w:val="0"/>
        <w:bCs w:val="0"/>
      </w:rPr>
    </w:lvl>
  </w:abstractNum>
  <w:abstractNum w:abstractNumId="4">
    <w:nsid w:val="2CBC1A12"/>
    <w:multiLevelType w:val="singleLevel"/>
    <w:tmpl w:val="2CBC1A12"/>
    <w:lvl w:ilvl="0" w:tentative="0">
      <w:start w:val="1"/>
      <w:numFmt w:val="decimal"/>
      <w:suff w:val="nothing"/>
      <w:lvlText w:val="（%1）"/>
      <w:lvlJc w:val="left"/>
      <w:rPr>
        <w:rFonts w:hint="default"/>
        <w:b w:val="0"/>
        <w:bCs w:val="0"/>
      </w:rPr>
    </w:lvl>
  </w:abstractNum>
  <w:abstractNum w:abstractNumId="5">
    <w:nsid w:val="3AD5465A"/>
    <w:multiLevelType w:val="multilevel"/>
    <w:tmpl w:val="3AD5465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3FE0A99"/>
    <w:multiLevelType w:val="singleLevel"/>
    <w:tmpl w:val="43FE0A99"/>
    <w:lvl w:ilvl="0" w:tentative="0">
      <w:start w:val="1"/>
      <w:numFmt w:val="decimal"/>
      <w:suff w:val="nothing"/>
      <w:lvlText w:val="（%1）"/>
      <w:lvlJc w:val="left"/>
      <w:rPr>
        <w:rFonts w:hint="default"/>
        <w:b w:val="0"/>
        <w:bCs w:val="0"/>
      </w:rPr>
    </w:lvl>
  </w:abstractNum>
  <w:abstractNum w:abstractNumId="7">
    <w:nsid w:val="56BDBB51"/>
    <w:multiLevelType w:val="singleLevel"/>
    <w:tmpl w:val="56BDBB51"/>
    <w:lvl w:ilvl="0" w:tentative="0">
      <w:start w:val="1"/>
      <w:numFmt w:val="decimal"/>
      <w:suff w:val="nothing"/>
      <w:lvlText w:val="（%1）"/>
      <w:lvlJc w:val="left"/>
      <w:rPr>
        <w:rFonts w:hint="default"/>
        <w:b w:val="0"/>
        <w:bCs w:val="0"/>
      </w:rPr>
    </w:lvl>
  </w:abstractNum>
  <w:num w:numId="1">
    <w:abstractNumId w:val="3"/>
  </w:num>
  <w:num w:numId="2">
    <w:abstractNumId w:val="4"/>
  </w:num>
  <w:num w:numId="3">
    <w:abstractNumId w:val="0"/>
  </w:num>
  <w:num w:numId="4">
    <w:abstractNumId w:val="7"/>
  </w:num>
  <w:num w:numId="5">
    <w:abstractNumId w:val="1"/>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18691B45"/>
    <w:rsid w:val="00012143"/>
    <w:rsid w:val="0012367E"/>
    <w:rsid w:val="001A07DA"/>
    <w:rsid w:val="001D7D62"/>
    <w:rsid w:val="003B49AE"/>
    <w:rsid w:val="006D1F01"/>
    <w:rsid w:val="007742EC"/>
    <w:rsid w:val="00825D35"/>
    <w:rsid w:val="00833D65"/>
    <w:rsid w:val="00900B41"/>
    <w:rsid w:val="009D0EA3"/>
    <w:rsid w:val="00A55C49"/>
    <w:rsid w:val="00B43058"/>
    <w:rsid w:val="00B93B8C"/>
    <w:rsid w:val="00C00249"/>
    <w:rsid w:val="00C558E9"/>
    <w:rsid w:val="00C64F76"/>
    <w:rsid w:val="00D022D0"/>
    <w:rsid w:val="00D3263A"/>
    <w:rsid w:val="00D36F05"/>
    <w:rsid w:val="00D52326"/>
    <w:rsid w:val="00D9637F"/>
    <w:rsid w:val="00E23DEF"/>
    <w:rsid w:val="00E32D5A"/>
    <w:rsid w:val="00EB7AAD"/>
    <w:rsid w:val="00FA2F8E"/>
    <w:rsid w:val="01011432"/>
    <w:rsid w:val="01233A9E"/>
    <w:rsid w:val="014545C7"/>
    <w:rsid w:val="016E22E2"/>
    <w:rsid w:val="01B77A9C"/>
    <w:rsid w:val="01D60B10"/>
    <w:rsid w:val="01FA208E"/>
    <w:rsid w:val="01FD609D"/>
    <w:rsid w:val="028431EE"/>
    <w:rsid w:val="02BC1AB4"/>
    <w:rsid w:val="02F76F90"/>
    <w:rsid w:val="03031C16"/>
    <w:rsid w:val="03394EB3"/>
    <w:rsid w:val="033E7560"/>
    <w:rsid w:val="037E4FBC"/>
    <w:rsid w:val="039E740C"/>
    <w:rsid w:val="03AE7BFE"/>
    <w:rsid w:val="03B56C10"/>
    <w:rsid w:val="03B80CBC"/>
    <w:rsid w:val="03E07A24"/>
    <w:rsid w:val="04970EC6"/>
    <w:rsid w:val="04A40B73"/>
    <w:rsid w:val="04F03C97"/>
    <w:rsid w:val="054E7C7B"/>
    <w:rsid w:val="05544226"/>
    <w:rsid w:val="05CC0E93"/>
    <w:rsid w:val="06334763"/>
    <w:rsid w:val="06514C09"/>
    <w:rsid w:val="06ED4932"/>
    <w:rsid w:val="07041C7C"/>
    <w:rsid w:val="0768220B"/>
    <w:rsid w:val="076E6A24"/>
    <w:rsid w:val="078761D7"/>
    <w:rsid w:val="07895A92"/>
    <w:rsid w:val="078D3A1F"/>
    <w:rsid w:val="0857253A"/>
    <w:rsid w:val="088272FC"/>
    <w:rsid w:val="08931509"/>
    <w:rsid w:val="08BB45BC"/>
    <w:rsid w:val="08DB3834"/>
    <w:rsid w:val="0922463B"/>
    <w:rsid w:val="09364906"/>
    <w:rsid w:val="09727371"/>
    <w:rsid w:val="098736D2"/>
    <w:rsid w:val="09C94AB7"/>
    <w:rsid w:val="09EE1E07"/>
    <w:rsid w:val="0A2763AD"/>
    <w:rsid w:val="0A6054E6"/>
    <w:rsid w:val="0A925106"/>
    <w:rsid w:val="0ACF434F"/>
    <w:rsid w:val="0AE20526"/>
    <w:rsid w:val="0AFD0EBC"/>
    <w:rsid w:val="0B3F7726"/>
    <w:rsid w:val="0B683CDE"/>
    <w:rsid w:val="0BC82E73"/>
    <w:rsid w:val="0BE402D8"/>
    <w:rsid w:val="0BF036A0"/>
    <w:rsid w:val="0C5F656B"/>
    <w:rsid w:val="0DE6032D"/>
    <w:rsid w:val="0DFF4F4B"/>
    <w:rsid w:val="0E4312DC"/>
    <w:rsid w:val="0E6179B4"/>
    <w:rsid w:val="0EFA4D2B"/>
    <w:rsid w:val="0FEB4237"/>
    <w:rsid w:val="104B091B"/>
    <w:rsid w:val="10790FE5"/>
    <w:rsid w:val="10AD6EE0"/>
    <w:rsid w:val="10B77D5F"/>
    <w:rsid w:val="10C4382B"/>
    <w:rsid w:val="10E568E6"/>
    <w:rsid w:val="10F95BF0"/>
    <w:rsid w:val="118045F5"/>
    <w:rsid w:val="119360D6"/>
    <w:rsid w:val="11AC0F46"/>
    <w:rsid w:val="11BF511D"/>
    <w:rsid w:val="125A4C9C"/>
    <w:rsid w:val="126D4B79"/>
    <w:rsid w:val="12CF2EB1"/>
    <w:rsid w:val="12E47DB7"/>
    <w:rsid w:val="12EA441C"/>
    <w:rsid w:val="13B567D8"/>
    <w:rsid w:val="13E96481"/>
    <w:rsid w:val="145002AE"/>
    <w:rsid w:val="14520854"/>
    <w:rsid w:val="14946D53"/>
    <w:rsid w:val="149A1732"/>
    <w:rsid w:val="15DE1964"/>
    <w:rsid w:val="15FD6452"/>
    <w:rsid w:val="1626576B"/>
    <w:rsid w:val="16797F90"/>
    <w:rsid w:val="177D07FE"/>
    <w:rsid w:val="178A2E0D"/>
    <w:rsid w:val="179E7583"/>
    <w:rsid w:val="179F076E"/>
    <w:rsid w:val="17E70F2A"/>
    <w:rsid w:val="18431A11"/>
    <w:rsid w:val="186146C9"/>
    <w:rsid w:val="18691B45"/>
    <w:rsid w:val="187F5606"/>
    <w:rsid w:val="18820C52"/>
    <w:rsid w:val="188624F1"/>
    <w:rsid w:val="18BF5A03"/>
    <w:rsid w:val="193208CA"/>
    <w:rsid w:val="198729C4"/>
    <w:rsid w:val="199D4EE4"/>
    <w:rsid w:val="19AD7F51"/>
    <w:rsid w:val="1A111CB4"/>
    <w:rsid w:val="1A8C3594"/>
    <w:rsid w:val="1A9A04D5"/>
    <w:rsid w:val="1AAC0209"/>
    <w:rsid w:val="1ABF00EC"/>
    <w:rsid w:val="1AF123A4"/>
    <w:rsid w:val="1B010022"/>
    <w:rsid w:val="1B9868CE"/>
    <w:rsid w:val="1BDD4B1E"/>
    <w:rsid w:val="1C44694B"/>
    <w:rsid w:val="1C586E96"/>
    <w:rsid w:val="1C746B04"/>
    <w:rsid w:val="1CC50728"/>
    <w:rsid w:val="1D0D2626"/>
    <w:rsid w:val="1D3D13F5"/>
    <w:rsid w:val="1D6A0633"/>
    <w:rsid w:val="1DB65EEF"/>
    <w:rsid w:val="1DC35F95"/>
    <w:rsid w:val="1DD00905"/>
    <w:rsid w:val="1DD957B9"/>
    <w:rsid w:val="1DFF2796"/>
    <w:rsid w:val="1F6F425A"/>
    <w:rsid w:val="1F78690B"/>
    <w:rsid w:val="207634FB"/>
    <w:rsid w:val="208C08C0"/>
    <w:rsid w:val="209414F1"/>
    <w:rsid w:val="21020B82"/>
    <w:rsid w:val="211508B6"/>
    <w:rsid w:val="216B2BCB"/>
    <w:rsid w:val="219043E0"/>
    <w:rsid w:val="219E2991"/>
    <w:rsid w:val="21F515F0"/>
    <w:rsid w:val="223C0D99"/>
    <w:rsid w:val="2246751B"/>
    <w:rsid w:val="226A4C31"/>
    <w:rsid w:val="22A91AE4"/>
    <w:rsid w:val="22AC349C"/>
    <w:rsid w:val="22B12860"/>
    <w:rsid w:val="22BE3D16"/>
    <w:rsid w:val="22FF194A"/>
    <w:rsid w:val="235002CB"/>
    <w:rsid w:val="2393640A"/>
    <w:rsid w:val="23C245F9"/>
    <w:rsid w:val="23E26A49"/>
    <w:rsid w:val="242330D3"/>
    <w:rsid w:val="242A0B1C"/>
    <w:rsid w:val="24521931"/>
    <w:rsid w:val="245711E5"/>
    <w:rsid w:val="24635DDC"/>
    <w:rsid w:val="24772334"/>
    <w:rsid w:val="24C0322E"/>
    <w:rsid w:val="24EC5DD1"/>
    <w:rsid w:val="255D282B"/>
    <w:rsid w:val="25AA68F3"/>
    <w:rsid w:val="25F43166"/>
    <w:rsid w:val="26155209"/>
    <w:rsid w:val="27041BFB"/>
    <w:rsid w:val="273A72C8"/>
    <w:rsid w:val="274E68CF"/>
    <w:rsid w:val="27537CF7"/>
    <w:rsid w:val="27992516"/>
    <w:rsid w:val="27E47234"/>
    <w:rsid w:val="28344D9D"/>
    <w:rsid w:val="283F26BC"/>
    <w:rsid w:val="288B5901"/>
    <w:rsid w:val="28C17575"/>
    <w:rsid w:val="28C20802"/>
    <w:rsid w:val="28CD24DA"/>
    <w:rsid w:val="29705C05"/>
    <w:rsid w:val="298962E5"/>
    <w:rsid w:val="29E43C61"/>
    <w:rsid w:val="2A297180"/>
    <w:rsid w:val="2A587A65"/>
    <w:rsid w:val="2ABA427C"/>
    <w:rsid w:val="2AC670C5"/>
    <w:rsid w:val="2B550223"/>
    <w:rsid w:val="2BDB26FC"/>
    <w:rsid w:val="2BE459DF"/>
    <w:rsid w:val="2BE5357A"/>
    <w:rsid w:val="2C136E31"/>
    <w:rsid w:val="2D6C39C1"/>
    <w:rsid w:val="2DF61A6F"/>
    <w:rsid w:val="2E2800D5"/>
    <w:rsid w:val="2E312AA7"/>
    <w:rsid w:val="2E4B1DBB"/>
    <w:rsid w:val="2E4E59E5"/>
    <w:rsid w:val="2E7A591C"/>
    <w:rsid w:val="2E8E1CA7"/>
    <w:rsid w:val="2F25260C"/>
    <w:rsid w:val="2F3C7955"/>
    <w:rsid w:val="2F475651"/>
    <w:rsid w:val="2F5702EB"/>
    <w:rsid w:val="2FD3275F"/>
    <w:rsid w:val="2FE204FD"/>
    <w:rsid w:val="2FF51C98"/>
    <w:rsid w:val="308B6B06"/>
    <w:rsid w:val="30A9726C"/>
    <w:rsid w:val="30FA7AC8"/>
    <w:rsid w:val="3112096E"/>
    <w:rsid w:val="313E79B5"/>
    <w:rsid w:val="316310AA"/>
    <w:rsid w:val="318F7A31"/>
    <w:rsid w:val="31A812D2"/>
    <w:rsid w:val="31B61C41"/>
    <w:rsid w:val="325B4596"/>
    <w:rsid w:val="32CF7AE2"/>
    <w:rsid w:val="33105381"/>
    <w:rsid w:val="332B3F69"/>
    <w:rsid w:val="337A6C9E"/>
    <w:rsid w:val="339935C8"/>
    <w:rsid w:val="33D25BF5"/>
    <w:rsid w:val="348778C5"/>
    <w:rsid w:val="34B61CCD"/>
    <w:rsid w:val="34EE524E"/>
    <w:rsid w:val="35773495"/>
    <w:rsid w:val="358F4C83"/>
    <w:rsid w:val="359D0A22"/>
    <w:rsid w:val="35A72B84"/>
    <w:rsid w:val="35D22DC1"/>
    <w:rsid w:val="36266C69"/>
    <w:rsid w:val="363650FE"/>
    <w:rsid w:val="36453593"/>
    <w:rsid w:val="368220F2"/>
    <w:rsid w:val="36B424C7"/>
    <w:rsid w:val="36E032BC"/>
    <w:rsid w:val="36F56D67"/>
    <w:rsid w:val="377E062E"/>
    <w:rsid w:val="37991DE9"/>
    <w:rsid w:val="37B87D95"/>
    <w:rsid w:val="38084878"/>
    <w:rsid w:val="38156F95"/>
    <w:rsid w:val="388163D9"/>
    <w:rsid w:val="38910D12"/>
    <w:rsid w:val="38B14C59"/>
    <w:rsid w:val="38B36EDA"/>
    <w:rsid w:val="392477C9"/>
    <w:rsid w:val="3929719C"/>
    <w:rsid w:val="394538AA"/>
    <w:rsid w:val="398C14D9"/>
    <w:rsid w:val="39DC01CA"/>
    <w:rsid w:val="39EB6200"/>
    <w:rsid w:val="3A0054D6"/>
    <w:rsid w:val="3A053765"/>
    <w:rsid w:val="3A06303A"/>
    <w:rsid w:val="3A43428E"/>
    <w:rsid w:val="3AC86541"/>
    <w:rsid w:val="3ACE5480"/>
    <w:rsid w:val="3B095BAB"/>
    <w:rsid w:val="3B147FDE"/>
    <w:rsid w:val="3B8714F7"/>
    <w:rsid w:val="3BDE289D"/>
    <w:rsid w:val="3C905550"/>
    <w:rsid w:val="3CA414C6"/>
    <w:rsid w:val="3D6F6D49"/>
    <w:rsid w:val="3DCB6A74"/>
    <w:rsid w:val="3E682515"/>
    <w:rsid w:val="3E703177"/>
    <w:rsid w:val="3E7F160D"/>
    <w:rsid w:val="3E926BAB"/>
    <w:rsid w:val="3EBA1C33"/>
    <w:rsid w:val="3EFC4A0B"/>
    <w:rsid w:val="3F285800"/>
    <w:rsid w:val="3F6D76B7"/>
    <w:rsid w:val="3F7D3D9E"/>
    <w:rsid w:val="3FBF43B6"/>
    <w:rsid w:val="3FD046A9"/>
    <w:rsid w:val="3FD85478"/>
    <w:rsid w:val="400B75FC"/>
    <w:rsid w:val="40182376"/>
    <w:rsid w:val="40420E03"/>
    <w:rsid w:val="40B3559D"/>
    <w:rsid w:val="40B96AB0"/>
    <w:rsid w:val="40E02836"/>
    <w:rsid w:val="4176520B"/>
    <w:rsid w:val="41AA4043"/>
    <w:rsid w:val="42707BEA"/>
    <w:rsid w:val="427C1DBE"/>
    <w:rsid w:val="42C817D4"/>
    <w:rsid w:val="42D737C5"/>
    <w:rsid w:val="42E46002"/>
    <w:rsid w:val="42E83C24"/>
    <w:rsid w:val="42F14AFA"/>
    <w:rsid w:val="430B16C1"/>
    <w:rsid w:val="43452E25"/>
    <w:rsid w:val="438352B1"/>
    <w:rsid w:val="43853221"/>
    <w:rsid w:val="43C024AB"/>
    <w:rsid w:val="43D9356D"/>
    <w:rsid w:val="44125A4F"/>
    <w:rsid w:val="441C6812"/>
    <w:rsid w:val="447D039C"/>
    <w:rsid w:val="4497636C"/>
    <w:rsid w:val="44C91833"/>
    <w:rsid w:val="44F468B0"/>
    <w:rsid w:val="45235AC3"/>
    <w:rsid w:val="454A55E8"/>
    <w:rsid w:val="45617644"/>
    <w:rsid w:val="45635565"/>
    <w:rsid w:val="4574179F"/>
    <w:rsid w:val="458F0387"/>
    <w:rsid w:val="459A4240"/>
    <w:rsid w:val="459E681C"/>
    <w:rsid w:val="45A65588"/>
    <w:rsid w:val="45ED3300"/>
    <w:rsid w:val="46513FED"/>
    <w:rsid w:val="466B6926"/>
    <w:rsid w:val="4692697E"/>
    <w:rsid w:val="46D01742"/>
    <w:rsid w:val="471C61F6"/>
    <w:rsid w:val="473A2575"/>
    <w:rsid w:val="477D15A8"/>
    <w:rsid w:val="477F442B"/>
    <w:rsid w:val="47904FA0"/>
    <w:rsid w:val="47CF53B3"/>
    <w:rsid w:val="47D817FE"/>
    <w:rsid w:val="47FF698D"/>
    <w:rsid w:val="486A0C38"/>
    <w:rsid w:val="488937B4"/>
    <w:rsid w:val="489D13C1"/>
    <w:rsid w:val="495711BC"/>
    <w:rsid w:val="49627B61"/>
    <w:rsid w:val="49F337AF"/>
    <w:rsid w:val="4A2A5A2A"/>
    <w:rsid w:val="4A4A0D21"/>
    <w:rsid w:val="4A982AFD"/>
    <w:rsid w:val="4AB87029"/>
    <w:rsid w:val="4ADB30B3"/>
    <w:rsid w:val="4B0E1D4E"/>
    <w:rsid w:val="4B425E9C"/>
    <w:rsid w:val="4B683B54"/>
    <w:rsid w:val="4B78366B"/>
    <w:rsid w:val="4B7F482B"/>
    <w:rsid w:val="4BB24DCF"/>
    <w:rsid w:val="4BCD7E5B"/>
    <w:rsid w:val="4C293D83"/>
    <w:rsid w:val="4CEF5BAF"/>
    <w:rsid w:val="4D834C75"/>
    <w:rsid w:val="4D9724CF"/>
    <w:rsid w:val="4DB43CAA"/>
    <w:rsid w:val="4E035DB6"/>
    <w:rsid w:val="4E6F6FA8"/>
    <w:rsid w:val="4E7740AE"/>
    <w:rsid w:val="4EA36C51"/>
    <w:rsid w:val="4EB87E76"/>
    <w:rsid w:val="4ED4505D"/>
    <w:rsid w:val="4F7800DE"/>
    <w:rsid w:val="4FE17A31"/>
    <w:rsid w:val="5019541D"/>
    <w:rsid w:val="506F7733"/>
    <w:rsid w:val="50AD26B0"/>
    <w:rsid w:val="50B4412D"/>
    <w:rsid w:val="50E377D9"/>
    <w:rsid w:val="50E7551B"/>
    <w:rsid w:val="51112598"/>
    <w:rsid w:val="51752B27"/>
    <w:rsid w:val="51C57DE7"/>
    <w:rsid w:val="51FF0643"/>
    <w:rsid w:val="52194C6B"/>
    <w:rsid w:val="52285CE0"/>
    <w:rsid w:val="52522E68"/>
    <w:rsid w:val="52632790"/>
    <w:rsid w:val="526F3A1A"/>
    <w:rsid w:val="527C1C93"/>
    <w:rsid w:val="532C6CD6"/>
    <w:rsid w:val="536F3BF2"/>
    <w:rsid w:val="539C5BBB"/>
    <w:rsid w:val="54041F40"/>
    <w:rsid w:val="5440577E"/>
    <w:rsid w:val="54882B71"/>
    <w:rsid w:val="54E57FC4"/>
    <w:rsid w:val="551663CF"/>
    <w:rsid w:val="557355CF"/>
    <w:rsid w:val="55E464CD"/>
    <w:rsid w:val="55FD4A17"/>
    <w:rsid w:val="55FF08D9"/>
    <w:rsid w:val="562C39D0"/>
    <w:rsid w:val="564F3020"/>
    <w:rsid w:val="56BB64C5"/>
    <w:rsid w:val="56F55AD9"/>
    <w:rsid w:val="5740613F"/>
    <w:rsid w:val="574A2360"/>
    <w:rsid w:val="578D2B30"/>
    <w:rsid w:val="581A3584"/>
    <w:rsid w:val="58745F47"/>
    <w:rsid w:val="588072FF"/>
    <w:rsid w:val="58D36385"/>
    <w:rsid w:val="594B23BF"/>
    <w:rsid w:val="59B461B6"/>
    <w:rsid w:val="59DD74BB"/>
    <w:rsid w:val="5A111301"/>
    <w:rsid w:val="5AAA1D9C"/>
    <w:rsid w:val="5B5159DA"/>
    <w:rsid w:val="5B525C87"/>
    <w:rsid w:val="5B5C4D58"/>
    <w:rsid w:val="5B68187B"/>
    <w:rsid w:val="5B745BFD"/>
    <w:rsid w:val="5BB274F1"/>
    <w:rsid w:val="5CB52971"/>
    <w:rsid w:val="5CB63FF4"/>
    <w:rsid w:val="5CFF3025"/>
    <w:rsid w:val="5D7B0CF3"/>
    <w:rsid w:val="5E0314BA"/>
    <w:rsid w:val="5E3E0745"/>
    <w:rsid w:val="5E421FE3"/>
    <w:rsid w:val="5EA345D2"/>
    <w:rsid w:val="5F0A29BB"/>
    <w:rsid w:val="5F0B6879"/>
    <w:rsid w:val="5F1B1E6B"/>
    <w:rsid w:val="5F8E1258"/>
    <w:rsid w:val="5F9021D8"/>
    <w:rsid w:val="5FD37DBD"/>
    <w:rsid w:val="605E0C2A"/>
    <w:rsid w:val="60B116A2"/>
    <w:rsid w:val="60BD381C"/>
    <w:rsid w:val="60C05441"/>
    <w:rsid w:val="61243C22"/>
    <w:rsid w:val="613F7CC2"/>
    <w:rsid w:val="61565DA5"/>
    <w:rsid w:val="61617172"/>
    <w:rsid w:val="6170330B"/>
    <w:rsid w:val="61820481"/>
    <w:rsid w:val="619031FE"/>
    <w:rsid w:val="61A30FEA"/>
    <w:rsid w:val="61A92379"/>
    <w:rsid w:val="61C83E7A"/>
    <w:rsid w:val="61D02526"/>
    <w:rsid w:val="61E41603"/>
    <w:rsid w:val="62095144"/>
    <w:rsid w:val="629C7683"/>
    <w:rsid w:val="62F33259"/>
    <w:rsid w:val="63E87188"/>
    <w:rsid w:val="64096896"/>
    <w:rsid w:val="64243F39"/>
    <w:rsid w:val="64473FCD"/>
    <w:rsid w:val="64711EC8"/>
    <w:rsid w:val="64B61035"/>
    <w:rsid w:val="64D836A1"/>
    <w:rsid w:val="65037FF2"/>
    <w:rsid w:val="653D1756"/>
    <w:rsid w:val="65590BCD"/>
    <w:rsid w:val="65834337"/>
    <w:rsid w:val="65C9123C"/>
    <w:rsid w:val="66263F98"/>
    <w:rsid w:val="66692CE9"/>
    <w:rsid w:val="66862C89"/>
    <w:rsid w:val="66882EA5"/>
    <w:rsid w:val="66AE2D81"/>
    <w:rsid w:val="67705E13"/>
    <w:rsid w:val="679B09B6"/>
    <w:rsid w:val="67BA0E3C"/>
    <w:rsid w:val="67D53EC8"/>
    <w:rsid w:val="68534F51"/>
    <w:rsid w:val="685F66EA"/>
    <w:rsid w:val="6873723D"/>
    <w:rsid w:val="68FC5484"/>
    <w:rsid w:val="69196036"/>
    <w:rsid w:val="692F13B6"/>
    <w:rsid w:val="69CA3B35"/>
    <w:rsid w:val="69FA19C4"/>
    <w:rsid w:val="6A171EE2"/>
    <w:rsid w:val="6B1765A5"/>
    <w:rsid w:val="6B282560"/>
    <w:rsid w:val="6B347157"/>
    <w:rsid w:val="6B856D63"/>
    <w:rsid w:val="6B9320D0"/>
    <w:rsid w:val="6BC24763"/>
    <w:rsid w:val="6BEC358E"/>
    <w:rsid w:val="6C2B2308"/>
    <w:rsid w:val="6C6C46CF"/>
    <w:rsid w:val="6C7D4B2E"/>
    <w:rsid w:val="6C8336A5"/>
    <w:rsid w:val="6D432789"/>
    <w:rsid w:val="6D643EDD"/>
    <w:rsid w:val="6D73789E"/>
    <w:rsid w:val="6D934AB3"/>
    <w:rsid w:val="6DBE0F5A"/>
    <w:rsid w:val="6E641B01"/>
    <w:rsid w:val="6E736BA0"/>
    <w:rsid w:val="6E894432"/>
    <w:rsid w:val="6EA2087C"/>
    <w:rsid w:val="6EA26388"/>
    <w:rsid w:val="6EEA5B42"/>
    <w:rsid w:val="6F0C2ABA"/>
    <w:rsid w:val="6F655ACF"/>
    <w:rsid w:val="6F667AFB"/>
    <w:rsid w:val="6F6B6EC0"/>
    <w:rsid w:val="6FC07DEB"/>
    <w:rsid w:val="6FC211D5"/>
    <w:rsid w:val="70FC02D9"/>
    <w:rsid w:val="71B25DFA"/>
    <w:rsid w:val="71BD2A24"/>
    <w:rsid w:val="71C43FD8"/>
    <w:rsid w:val="71CF0CFD"/>
    <w:rsid w:val="71D85554"/>
    <w:rsid w:val="724A7260"/>
    <w:rsid w:val="724C37F3"/>
    <w:rsid w:val="72895FDA"/>
    <w:rsid w:val="728F13B0"/>
    <w:rsid w:val="731C29AB"/>
    <w:rsid w:val="733F6699"/>
    <w:rsid w:val="734E4B2E"/>
    <w:rsid w:val="737248AC"/>
    <w:rsid w:val="738357A3"/>
    <w:rsid w:val="74130252"/>
    <w:rsid w:val="74135534"/>
    <w:rsid w:val="744A7C59"/>
    <w:rsid w:val="74510D7A"/>
    <w:rsid w:val="74DB663A"/>
    <w:rsid w:val="74E41BEE"/>
    <w:rsid w:val="74FF2584"/>
    <w:rsid w:val="75E023B5"/>
    <w:rsid w:val="75E874BC"/>
    <w:rsid w:val="760F67F7"/>
    <w:rsid w:val="763C6F9C"/>
    <w:rsid w:val="7735228D"/>
    <w:rsid w:val="776963DA"/>
    <w:rsid w:val="776B5CAF"/>
    <w:rsid w:val="779571D0"/>
    <w:rsid w:val="77BF424C"/>
    <w:rsid w:val="77C75E03"/>
    <w:rsid w:val="77F75794"/>
    <w:rsid w:val="78281DF2"/>
    <w:rsid w:val="7862793A"/>
    <w:rsid w:val="7883527A"/>
    <w:rsid w:val="78882890"/>
    <w:rsid w:val="78B13B95"/>
    <w:rsid w:val="793D48A8"/>
    <w:rsid w:val="794744F9"/>
    <w:rsid w:val="795135CA"/>
    <w:rsid w:val="798017B9"/>
    <w:rsid w:val="79826AF6"/>
    <w:rsid w:val="79A27982"/>
    <w:rsid w:val="7A721A4A"/>
    <w:rsid w:val="7ABB519F"/>
    <w:rsid w:val="7B3F7B7E"/>
    <w:rsid w:val="7B803A8A"/>
    <w:rsid w:val="7BB5729C"/>
    <w:rsid w:val="7C66698D"/>
    <w:rsid w:val="7CAB2FF1"/>
    <w:rsid w:val="7D3104DE"/>
    <w:rsid w:val="7D717D97"/>
    <w:rsid w:val="7DC11F98"/>
    <w:rsid w:val="7E0E3838"/>
    <w:rsid w:val="7E1A215C"/>
    <w:rsid w:val="7E24305B"/>
    <w:rsid w:val="7EAD1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Times New Roman"/>
      <w:kern w:val="2"/>
      <w:sz w:val="21"/>
      <w:szCs w:val="22"/>
      <w:lang w:val="en-US" w:eastAsia="zh-CN" w:bidi="ar-SA"/>
    </w:rPr>
  </w:style>
  <w:style w:type="paragraph" w:styleId="2">
    <w:name w:val="heading 1"/>
    <w:basedOn w:val="1"/>
    <w:next w:val="1"/>
    <w:link w:val="50"/>
    <w:autoRedefine/>
    <w:qFormat/>
    <w:uiPriority w:val="0"/>
    <w:pPr>
      <w:spacing w:before="100" w:beforeAutospacing="1" w:after="100" w:afterAutospacing="1"/>
      <w:jc w:val="left"/>
      <w:outlineLvl w:val="0"/>
    </w:pPr>
    <w:rPr>
      <w:rFonts w:hint="eastAsia"/>
      <w:kern w:val="44"/>
      <w:sz w:val="48"/>
      <w:szCs w:val="48"/>
    </w:rPr>
  </w:style>
  <w:style w:type="paragraph" w:styleId="3">
    <w:name w:val="heading 2"/>
    <w:basedOn w:val="1"/>
    <w:next w:val="1"/>
    <w:autoRedefine/>
    <w:qFormat/>
    <w:uiPriority w:val="0"/>
    <w:pPr>
      <w:keepNext/>
      <w:keepLines/>
      <w:spacing w:before="120" w:after="120" w:line="415" w:lineRule="auto"/>
      <w:ind w:left="454"/>
      <w:jc w:val="center"/>
      <w:outlineLvl w:val="1"/>
    </w:pPr>
    <w:rPr>
      <w:rFonts w:ascii="Arial" w:hAnsi="Arial"/>
      <w:b/>
      <w:color w:val="000000"/>
      <w:kern w:val="0"/>
      <w:sz w:val="24"/>
      <w:szCs w:val="24"/>
    </w:rPr>
  </w:style>
  <w:style w:type="paragraph" w:styleId="4">
    <w:name w:val="heading 3"/>
    <w:basedOn w:val="1"/>
    <w:next w:val="1"/>
    <w:autoRedefine/>
    <w:qFormat/>
    <w:uiPriority w:val="0"/>
    <w:pPr>
      <w:widowControl/>
      <w:spacing w:before="100" w:beforeAutospacing="1" w:after="100" w:afterAutospacing="1"/>
      <w:jc w:val="left"/>
      <w:outlineLvl w:val="2"/>
    </w:pPr>
    <w:rPr>
      <w:kern w:val="0"/>
      <w:sz w:val="27"/>
      <w:szCs w:val="27"/>
    </w:rPr>
  </w:style>
  <w:style w:type="character" w:default="1" w:styleId="26">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annotation text"/>
    <w:basedOn w:val="1"/>
    <w:link w:val="51"/>
    <w:autoRedefine/>
    <w:unhideWhenUsed/>
    <w:qFormat/>
    <w:uiPriority w:val="99"/>
    <w:pPr>
      <w:jc w:val="left"/>
    </w:pPr>
    <w:rPr>
      <w:rFonts w:ascii="Calibri" w:hAnsi="Calibri"/>
    </w:rPr>
  </w:style>
  <w:style w:type="paragraph" w:styleId="7">
    <w:name w:val="Body Text"/>
    <w:basedOn w:val="1"/>
    <w:autoRedefine/>
    <w:unhideWhenUsed/>
    <w:qFormat/>
    <w:uiPriority w:val="99"/>
    <w:pPr>
      <w:spacing w:after="120"/>
    </w:pPr>
    <w:rPr>
      <w:rFonts w:ascii="Calibri" w:hAnsi="Calibri"/>
      <w:kern w:val="0"/>
      <w:sz w:val="20"/>
      <w:szCs w:val="20"/>
    </w:rPr>
  </w:style>
  <w:style w:type="paragraph" w:styleId="8">
    <w:name w:val="Body Text Indent"/>
    <w:basedOn w:val="1"/>
    <w:next w:val="9"/>
    <w:autoRedefine/>
    <w:qFormat/>
    <w:uiPriority w:val="0"/>
    <w:pPr>
      <w:spacing w:after="120"/>
      <w:ind w:left="420" w:leftChars="200"/>
    </w:pPr>
  </w:style>
  <w:style w:type="paragraph" w:styleId="9">
    <w:name w:val="envelope return"/>
    <w:basedOn w:val="1"/>
    <w:autoRedefine/>
    <w:qFormat/>
    <w:uiPriority w:val="0"/>
    <w:pPr>
      <w:snapToGrid w:val="0"/>
    </w:pPr>
    <w:rPr>
      <w:rFonts w:ascii="Arial" w:hAnsi="Arial"/>
      <w:szCs w:val="24"/>
    </w:rPr>
  </w:style>
  <w:style w:type="paragraph" w:styleId="10">
    <w:name w:val="toc 3"/>
    <w:basedOn w:val="1"/>
    <w:next w:val="1"/>
    <w:autoRedefine/>
    <w:qFormat/>
    <w:uiPriority w:val="39"/>
    <w:pPr>
      <w:snapToGrid w:val="0"/>
      <w:spacing w:line="360" w:lineRule="auto"/>
      <w:ind w:left="400" w:leftChars="400"/>
      <w:jc w:val="left"/>
    </w:pPr>
    <w:rPr>
      <w:rFonts w:ascii="Times New Roman" w:hAnsi="Times New Roman"/>
      <w:sz w:val="24"/>
      <w:szCs w:val="20"/>
    </w:rPr>
  </w:style>
  <w:style w:type="paragraph" w:styleId="11">
    <w:name w:val="Plain Text"/>
    <w:basedOn w:val="1"/>
    <w:autoRedefine/>
    <w:qFormat/>
    <w:uiPriority w:val="0"/>
    <w:rPr>
      <w:rFonts w:hAnsi="Courier New"/>
      <w:kern w:val="0"/>
      <w:sz w:val="20"/>
      <w:szCs w:val="20"/>
    </w:rPr>
  </w:style>
  <w:style w:type="paragraph" w:styleId="12">
    <w:name w:val="Date"/>
    <w:basedOn w:val="1"/>
    <w:next w:val="1"/>
    <w:autoRedefine/>
    <w:qFormat/>
    <w:uiPriority w:val="0"/>
    <w:rPr>
      <w:rFonts w:ascii="Times New Roman" w:hAnsi="Times New Roman"/>
      <w:kern w:val="0"/>
      <w:sz w:val="20"/>
      <w:szCs w:val="20"/>
    </w:rPr>
  </w:style>
  <w:style w:type="paragraph" w:styleId="13">
    <w:name w:val="Balloon Text"/>
    <w:basedOn w:val="1"/>
    <w:link w:val="53"/>
    <w:autoRedefine/>
    <w:qFormat/>
    <w:uiPriority w:val="0"/>
    <w:rPr>
      <w:sz w:val="18"/>
      <w:szCs w:val="18"/>
    </w:rPr>
  </w:style>
  <w:style w:type="paragraph" w:styleId="14">
    <w:name w:val="footer"/>
    <w:basedOn w:val="1"/>
    <w:autoRedefine/>
    <w:unhideWhenUsed/>
    <w:qFormat/>
    <w:uiPriority w:val="99"/>
    <w:pPr>
      <w:tabs>
        <w:tab w:val="center" w:pos="4153"/>
        <w:tab w:val="right" w:pos="8306"/>
      </w:tabs>
      <w:snapToGrid w:val="0"/>
      <w:jc w:val="left"/>
    </w:pPr>
    <w:rPr>
      <w:rFonts w:ascii="Calibri" w:hAnsi="Calibri"/>
      <w:kern w:val="0"/>
      <w:sz w:val="18"/>
      <w:szCs w:val="18"/>
    </w:rPr>
  </w:style>
  <w:style w:type="paragraph" w:styleId="15">
    <w:name w:val="header"/>
    <w:basedOn w:val="1"/>
    <w:autoRedefine/>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6">
    <w:name w:val="toc 1"/>
    <w:basedOn w:val="1"/>
    <w:next w:val="1"/>
    <w:autoRedefine/>
    <w:qFormat/>
    <w:uiPriority w:val="39"/>
    <w:pPr>
      <w:tabs>
        <w:tab w:val="right" w:leader="dot" w:pos="9060"/>
      </w:tabs>
      <w:adjustRightInd w:val="0"/>
      <w:snapToGrid w:val="0"/>
      <w:spacing w:line="360" w:lineRule="auto"/>
      <w:jc w:val="left"/>
      <w:textAlignment w:val="baseline"/>
    </w:pPr>
    <w:rPr>
      <w:caps/>
      <w:kern w:val="0"/>
      <w:sz w:val="24"/>
      <w:szCs w:val="32"/>
    </w:rPr>
  </w:style>
  <w:style w:type="paragraph" w:styleId="17">
    <w:name w:val="toc 2"/>
    <w:basedOn w:val="1"/>
    <w:next w:val="1"/>
    <w:autoRedefine/>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18">
    <w:name w:val="Body Text 2"/>
    <w:basedOn w:val="1"/>
    <w:autoRedefine/>
    <w:qFormat/>
    <w:uiPriority w:val="0"/>
    <w:rPr>
      <w:kern w:val="0"/>
      <w:sz w:val="20"/>
      <w:szCs w:val="24"/>
      <w:u w:val="single"/>
    </w:rPr>
  </w:style>
  <w:style w:type="paragraph" w:styleId="19">
    <w:name w:val="Normal (Web)"/>
    <w:basedOn w:val="1"/>
    <w:autoRedefine/>
    <w:qFormat/>
    <w:uiPriority w:val="0"/>
    <w:rPr>
      <w:sz w:val="24"/>
    </w:rPr>
  </w:style>
  <w:style w:type="paragraph" w:styleId="20">
    <w:name w:val="index 1"/>
    <w:basedOn w:val="1"/>
    <w:next w:val="1"/>
    <w:autoRedefine/>
    <w:qFormat/>
    <w:uiPriority w:val="0"/>
    <w:rPr>
      <w:rFonts w:ascii="Times New Roman" w:hAnsi="Times New Roman" w:eastAsia="仿宋_GB2312"/>
      <w:sz w:val="28"/>
      <w:szCs w:val="20"/>
    </w:rPr>
  </w:style>
  <w:style w:type="paragraph" w:styleId="21">
    <w:name w:val="Title"/>
    <w:basedOn w:val="1"/>
    <w:autoRedefine/>
    <w:qFormat/>
    <w:uiPriority w:val="0"/>
    <w:pPr>
      <w:spacing w:before="120" w:after="60"/>
      <w:jc w:val="center"/>
    </w:pPr>
    <w:rPr>
      <w:rFonts w:ascii="Arial" w:hAnsi="Arial"/>
      <w:b/>
      <w:kern w:val="0"/>
      <w:sz w:val="44"/>
      <w:szCs w:val="20"/>
    </w:rPr>
  </w:style>
  <w:style w:type="paragraph" w:styleId="22">
    <w:name w:val="annotation subject"/>
    <w:basedOn w:val="6"/>
    <w:next w:val="6"/>
    <w:link w:val="52"/>
    <w:autoRedefine/>
    <w:qFormat/>
    <w:uiPriority w:val="0"/>
    <w:rPr>
      <w:rFonts w:ascii="宋体" w:hAnsi="宋体"/>
      <w:b/>
      <w:bCs/>
    </w:rPr>
  </w:style>
  <w:style w:type="paragraph" w:styleId="23">
    <w:name w:val="Body Text First Indent"/>
    <w:basedOn w:val="7"/>
    <w:autoRedefine/>
    <w:qFormat/>
    <w:uiPriority w:val="0"/>
    <w:pPr>
      <w:ind w:firstLine="420"/>
    </w:pPr>
    <w:rPr>
      <w:rFonts w:ascii="Times New Roman" w:hAnsi="Times New Roman"/>
    </w:rPr>
  </w:style>
  <w:style w:type="paragraph" w:styleId="24">
    <w:name w:val="Body Text First Indent 2"/>
    <w:basedOn w:val="8"/>
    <w:autoRedefine/>
    <w:qFormat/>
    <w:uiPriority w:val="0"/>
    <w:pPr>
      <w:ind w:firstLine="420" w:firstLineChars="200"/>
    </w:pPr>
  </w:style>
  <w:style w:type="character" w:styleId="27">
    <w:name w:val="page number"/>
    <w:autoRedefine/>
    <w:qFormat/>
    <w:uiPriority w:val="0"/>
    <w:rPr>
      <w:rFonts w:cs="Times New Roman"/>
    </w:rPr>
  </w:style>
  <w:style w:type="character" w:styleId="28">
    <w:name w:val="Hyperlink"/>
    <w:autoRedefine/>
    <w:unhideWhenUsed/>
    <w:qFormat/>
    <w:uiPriority w:val="99"/>
    <w:rPr>
      <w:color w:val="000000"/>
      <w:u w:val="none"/>
    </w:rPr>
  </w:style>
  <w:style w:type="character" w:styleId="29">
    <w:name w:val="annotation reference"/>
    <w:basedOn w:val="26"/>
    <w:autoRedefine/>
    <w:qFormat/>
    <w:uiPriority w:val="0"/>
    <w:rPr>
      <w:sz w:val="21"/>
      <w:szCs w:val="21"/>
    </w:rPr>
  </w:style>
  <w:style w:type="paragraph" w:customStyle="1" w:styleId="30">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1">
    <w:name w:val="font51"/>
    <w:autoRedefine/>
    <w:qFormat/>
    <w:uiPriority w:val="0"/>
    <w:rPr>
      <w:rFonts w:hint="eastAsia" w:ascii="宋体" w:hAnsi="宋体" w:eastAsia="宋体" w:cs="宋体"/>
      <w:color w:val="000000"/>
      <w:sz w:val="20"/>
      <w:szCs w:val="20"/>
      <w:u w:val="none"/>
    </w:rPr>
  </w:style>
  <w:style w:type="paragraph" w:customStyle="1" w:styleId="32">
    <w:name w:val="文一"/>
    <w:basedOn w:val="1"/>
    <w:autoRedefine/>
    <w:qFormat/>
    <w:uiPriority w:val="0"/>
    <w:pPr>
      <w:topLinePunct/>
      <w:adjustRightInd w:val="0"/>
      <w:snapToGrid w:val="0"/>
      <w:spacing w:line="360" w:lineRule="auto"/>
      <w:ind w:firstLine="200" w:firstLineChars="200"/>
    </w:pPr>
    <w:rPr>
      <w:rFonts w:hint="eastAsia"/>
      <w:snapToGrid w:val="0"/>
      <w:spacing w:val="4"/>
      <w:kern w:val="0"/>
      <w:sz w:val="24"/>
      <w:szCs w:val="24"/>
    </w:rPr>
  </w:style>
  <w:style w:type="paragraph" w:customStyle="1" w:styleId="33">
    <w:name w:val="章节二"/>
    <w:basedOn w:val="1"/>
    <w:next w:val="1"/>
    <w:autoRedefine/>
    <w:qFormat/>
    <w:uiPriority w:val="0"/>
    <w:pPr>
      <w:topLinePunct/>
      <w:adjustRightInd w:val="0"/>
      <w:snapToGrid w:val="0"/>
      <w:spacing w:beforeLines="50"/>
      <w:jc w:val="center"/>
      <w:outlineLvl w:val="1"/>
    </w:pPr>
    <w:rPr>
      <w:rFonts w:eastAsia="黑体"/>
      <w:b/>
      <w:spacing w:val="4"/>
      <w:kern w:val="0"/>
      <w:sz w:val="30"/>
      <w:szCs w:val="30"/>
    </w:rPr>
  </w:style>
  <w:style w:type="paragraph" w:customStyle="1" w:styleId="34">
    <w:name w:val="封二"/>
    <w:basedOn w:val="32"/>
    <w:next w:val="32"/>
    <w:autoRedefine/>
    <w:qFormat/>
    <w:uiPriority w:val="0"/>
    <w:pPr>
      <w:ind w:firstLine="0" w:firstLineChars="0"/>
      <w:jc w:val="center"/>
    </w:pPr>
    <w:rPr>
      <w:rFonts w:ascii="Times New Roman" w:hAnsi="Times New Roman" w:eastAsia="黑体"/>
      <w:b/>
      <w:sz w:val="36"/>
      <w:szCs w:val="36"/>
    </w:rPr>
  </w:style>
  <w:style w:type="paragraph" w:customStyle="1" w:styleId="35">
    <w:name w:val="封一"/>
    <w:basedOn w:val="32"/>
    <w:next w:val="32"/>
    <w:autoRedefine/>
    <w:qFormat/>
    <w:uiPriority w:val="0"/>
    <w:pPr>
      <w:ind w:firstLine="0" w:firstLineChars="0"/>
      <w:jc w:val="center"/>
    </w:pPr>
    <w:rPr>
      <w:rFonts w:ascii="Times New Roman" w:hAnsi="Times New Roman" w:eastAsia="黑体"/>
      <w:b/>
      <w:sz w:val="84"/>
      <w:szCs w:val="84"/>
    </w:rPr>
  </w:style>
  <w:style w:type="paragraph" w:customStyle="1" w:styleId="36">
    <w:name w:val="封四"/>
    <w:basedOn w:val="32"/>
    <w:next w:val="32"/>
    <w:autoRedefine/>
    <w:qFormat/>
    <w:uiPriority w:val="0"/>
    <w:pPr>
      <w:jc w:val="left"/>
    </w:pPr>
    <w:rPr>
      <w:rFonts w:ascii="Times New Roman" w:hAnsi="Times New Roman"/>
      <w:sz w:val="30"/>
      <w:szCs w:val="30"/>
    </w:rPr>
  </w:style>
  <w:style w:type="paragraph" w:customStyle="1" w:styleId="37">
    <w:name w:val="正题"/>
    <w:basedOn w:val="32"/>
    <w:next w:val="32"/>
    <w:autoRedefine/>
    <w:qFormat/>
    <w:uiPriority w:val="0"/>
    <w:pPr>
      <w:ind w:firstLine="0" w:firstLineChars="0"/>
      <w:jc w:val="center"/>
    </w:pPr>
    <w:rPr>
      <w:rFonts w:eastAsia="黑体"/>
      <w:b/>
      <w:sz w:val="36"/>
      <w:szCs w:val="36"/>
    </w:rPr>
  </w:style>
  <w:style w:type="paragraph" w:customStyle="1" w:styleId="38">
    <w:name w:val="文二"/>
    <w:basedOn w:val="1"/>
    <w:autoRedefine/>
    <w:qFormat/>
    <w:uiPriority w:val="0"/>
    <w:pPr>
      <w:jc w:val="left"/>
    </w:pPr>
    <w:rPr>
      <w:szCs w:val="21"/>
    </w:rPr>
  </w:style>
  <w:style w:type="paragraph" w:customStyle="1" w:styleId="39">
    <w:name w:val="Char Char Char Char"/>
    <w:basedOn w:val="1"/>
    <w:autoRedefine/>
    <w:qFormat/>
    <w:uiPriority w:val="0"/>
    <w:rPr>
      <w:rFonts w:ascii="Times New Roman" w:hAnsi="Times New Roman"/>
      <w:sz w:val="30"/>
      <w:szCs w:val="24"/>
    </w:rPr>
  </w:style>
  <w:style w:type="character" w:customStyle="1" w:styleId="40">
    <w:name w:val="标题 1 字符"/>
    <w:autoRedefine/>
    <w:qFormat/>
    <w:uiPriority w:val="0"/>
    <w:rPr>
      <w:rFonts w:hint="eastAsia"/>
      <w:b/>
      <w:kern w:val="44"/>
      <w:sz w:val="48"/>
      <w:szCs w:val="48"/>
    </w:rPr>
  </w:style>
  <w:style w:type="paragraph" w:styleId="41">
    <w:name w:val="List Paragraph"/>
    <w:basedOn w:val="1"/>
    <w:autoRedefine/>
    <w:qFormat/>
    <w:uiPriority w:val="0"/>
    <w:pPr>
      <w:ind w:firstLine="420" w:firstLineChars="200"/>
    </w:pPr>
    <w:rPr>
      <w:rFonts w:ascii="Times New Roman" w:hAnsi="Times New Roman"/>
      <w:szCs w:val="20"/>
    </w:rPr>
  </w:style>
  <w:style w:type="paragraph" w:customStyle="1" w:styleId="42">
    <w:name w:val="文提"/>
    <w:basedOn w:val="32"/>
    <w:autoRedefine/>
    <w:qFormat/>
    <w:uiPriority w:val="0"/>
    <w:pPr>
      <w:ind w:firstLine="0" w:firstLineChars="0"/>
    </w:pPr>
    <w:rPr>
      <w:rFonts w:ascii="Times New Roman" w:hAnsi="Times New Roman" w:eastAsia="黑体" w:cs="宋体"/>
      <w:b/>
    </w:rPr>
  </w:style>
  <w:style w:type="character" w:customStyle="1" w:styleId="43">
    <w:name w:val="font71"/>
    <w:autoRedefine/>
    <w:qFormat/>
    <w:uiPriority w:val="0"/>
    <w:rPr>
      <w:rFonts w:hint="eastAsia" w:ascii="宋体" w:hAnsi="宋体" w:eastAsia="宋体" w:cs="宋体"/>
      <w:color w:val="000000"/>
      <w:sz w:val="20"/>
      <w:szCs w:val="20"/>
      <w:u w:val="none"/>
    </w:rPr>
  </w:style>
  <w:style w:type="paragraph" w:customStyle="1" w:styleId="44">
    <w:name w:val="正文5"/>
    <w:autoRedefine/>
    <w:qFormat/>
    <w:uiPriority w:val="0"/>
    <w:pPr>
      <w:jc w:val="both"/>
    </w:pPr>
    <w:rPr>
      <w:rFonts w:ascii="Calibri" w:hAnsi="Calibri" w:eastAsia="宋体" w:cs="宋体"/>
      <w:kern w:val="2"/>
      <w:sz w:val="21"/>
      <w:szCs w:val="21"/>
      <w:lang w:val="en-US" w:eastAsia="zh-CN" w:bidi="ar-SA"/>
    </w:rPr>
  </w:style>
  <w:style w:type="paragraph" w:customStyle="1" w:styleId="45">
    <w:name w:val="正文文本缩进 New New"/>
    <w:basedOn w:val="1"/>
    <w:autoRedefine/>
    <w:qFormat/>
    <w:uiPriority w:val="0"/>
    <w:pPr>
      <w:spacing w:after="120"/>
      <w:ind w:left="420" w:leftChars="200"/>
    </w:pPr>
    <w:rPr>
      <w:rFonts w:ascii="Times New Roman" w:eastAsia="楷体_GB2312"/>
      <w:szCs w:val="20"/>
    </w:rPr>
  </w:style>
  <w:style w:type="paragraph" w:customStyle="1" w:styleId="46">
    <w:name w:val="表头"/>
    <w:basedOn w:val="1"/>
    <w:autoRedefine/>
    <w:qFormat/>
    <w:uiPriority w:val="0"/>
    <w:pPr>
      <w:spacing w:line="360" w:lineRule="auto"/>
      <w:jc w:val="center"/>
    </w:pPr>
    <w:rPr>
      <w:rFonts w:ascii="黑体" w:hAnsi="Times New Roman" w:eastAsia="黑体"/>
      <w:kern w:val="0"/>
      <w:sz w:val="24"/>
      <w:szCs w:val="20"/>
    </w:rPr>
  </w:style>
  <w:style w:type="paragraph" w:customStyle="1" w:styleId="47">
    <w:name w:val="正文 New New New New New New New New New New New New New"/>
    <w:autoRedefine/>
    <w:qFormat/>
    <w:uiPriority w:val="0"/>
    <w:pPr>
      <w:widowControl w:val="0"/>
      <w:jc w:val="both"/>
    </w:pPr>
    <w:rPr>
      <w:rFonts w:ascii="仿宋_GB2312" w:hAnsi="仿宋_GB2312" w:eastAsia="宋体" w:cs="宋体"/>
      <w:snapToGrid w:val="0"/>
      <w:sz w:val="21"/>
      <w:szCs w:val="32"/>
      <w:lang w:val="en-US" w:eastAsia="zh-CN" w:bidi="ar-SA"/>
    </w:rPr>
  </w:style>
  <w:style w:type="character" w:customStyle="1" w:styleId="48">
    <w:name w:val="font01"/>
    <w:autoRedefine/>
    <w:qFormat/>
    <w:uiPriority w:val="0"/>
    <w:rPr>
      <w:rFonts w:hint="eastAsia" w:ascii="仿宋" w:hAnsi="仿宋" w:eastAsia="仿宋" w:cs="仿宋"/>
      <w:color w:val="000000"/>
      <w:sz w:val="28"/>
      <w:szCs w:val="28"/>
      <w:u w:val="none"/>
    </w:rPr>
  </w:style>
  <w:style w:type="character" w:customStyle="1" w:styleId="49">
    <w:name w:val="font11"/>
    <w:autoRedefine/>
    <w:qFormat/>
    <w:uiPriority w:val="0"/>
    <w:rPr>
      <w:rFonts w:hint="eastAsia" w:ascii="宋体" w:hAnsi="宋体" w:eastAsia="宋体"/>
      <w:color w:val="000000"/>
      <w:sz w:val="24"/>
      <w:szCs w:val="24"/>
      <w:u w:val="single"/>
    </w:rPr>
  </w:style>
  <w:style w:type="character" w:customStyle="1" w:styleId="50">
    <w:name w:val="标题 1 字符1"/>
    <w:link w:val="2"/>
    <w:autoRedefine/>
    <w:qFormat/>
    <w:uiPriority w:val="0"/>
    <w:rPr>
      <w:rFonts w:ascii="宋体" w:hAnsi="宋体" w:eastAsia="宋体" w:cs="宋体"/>
      <w:b/>
      <w:kern w:val="44"/>
      <w:sz w:val="28"/>
      <w:szCs w:val="28"/>
    </w:rPr>
  </w:style>
  <w:style w:type="character" w:customStyle="1" w:styleId="51">
    <w:name w:val="批注文字 字符"/>
    <w:basedOn w:val="26"/>
    <w:link w:val="6"/>
    <w:autoRedefine/>
    <w:qFormat/>
    <w:uiPriority w:val="99"/>
    <w:rPr>
      <w:kern w:val="2"/>
      <w:sz w:val="21"/>
      <w:szCs w:val="22"/>
    </w:rPr>
  </w:style>
  <w:style w:type="character" w:customStyle="1" w:styleId="52">
    <w:name w:val="批注主题 字符"/>
    <w:basedOn w:val="51"/>
    <w:link w:val="22"/>
    <w:autoRedefine/>
    <w:qFormat/>
    <w:uiPriority w:val="0"/>
    <w:rPr>
      <w:rFonts w:ascii="宋体" w:hAnsi="宋体"/>
      <w:b/>
      <w:bCs/>
      <w:kern w:val="2"/>
      <w:sz w:val="21"/>
      <w:szCs w:val="22"/>
    </w:rPr>
  </w:style>
  <w:style w:type="character" w:customStyle="1" w:styleId="53">
    <w:name w:val="批注框文本 字符"/>
    <w:basedOn w:val="26"/>
    <w:link w:val="13"/>
    <w:autoRedefine/>
    <w:qFormat/>
    <w:uiPriority w:val="0"/>
    <w:rPr>
      <w:rFonts w:ascii="宋体" w:hAnsi="宋体"/>
      <w:kern w:val="2"/>
      <w:sz w:val="18"/>
      <w:szCs w:val="18"/>
    </w:rPr>
  </w:style>
  <w:style w:type="character" w:customStyle="1" w:styleId="54">
    <w:name w:val="s2"/>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86</Pages>
  <Words>52513</Words>
  <Characters>55458</Characters>
  <Lines>436</Lines>
  <Paragraphs>122</Paragraphs>
  <TotalTime>0</TotalTime>
  <ScaleCrop>false</ScaleCrop>
  <LinksUpToDate>false</LinksUpToDate>
  <CharactersWithSpaces>58586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2021-07-16T06:16:00Z</dcterms:created>
  <dc:creator>GX</dc:creator>
  <cp:lastModifiedBy>mu</cp:lastModifiedBy>
  <cp:lastPrinted>2024-04-28T00:56:00Z</cp:lastPrinted>
  <dcterms:modified xsi:type="dcterms:W3CDTF">2024-04-30T02:41:00Z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D83EBF5476AE472D8FF856A0543F17EB_13</vt:lpwstr>
  </property>
</Properties>
</file>