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bookmarkStart w:id="0" w:name="_Toc844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附件A-项目信息清单（</w:t>
      </w:r>
      <w:r>
        <w:rPr>
          <w:rFonts w:hint="eastAsia" w:ascii="仿宋" w:hAnsi="仿宋" w:eastAsia="仿宋" w:cs="仿宋"/>
          <w:b/>
          <w:bCs/>
          <w:snapToGrid w:val="0"/>
          <w:color w:val="FF0000"/>
          <w:kern w:val="0"/>
          <w:sz w:val="32"/>
          <w:szCs w:val="32"/>
          <w:highlight w:val="none"/>
          <w:u w:val="none"/>
          <w:lang w:val="en-US" w:eastAsia="zh-CN"/>
        </w:rPr>
        <w:t>标的2</w:t>
      </w:r>
      <w:bookmarkStart w:id="5" w:name="_GoBack"/>
      <w:bookmarkEnd w:id="5"/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一、标段名称：汕头110千伏试验区输变电工程施工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default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二、项目基本情况</w:t>
      </w:r>
    </w:p>
    <w:tbl>
      <w:tblPr>
        <w:tblStyle w:val="12"/>
        <w:tblW w:w="8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65"/>
        <w:gridCol w:w="4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汕头110千伏试验区输变电</w:t>
            </w: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可研批复文号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汕头电计〔2023〕38号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项目核准备案文号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汕市发改〔2023〕242号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汕头电建〔2023〕95号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初设批复总投资（万元）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12716.56万元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施工图设计批复文号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汕头电建〔2024〕27号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项目建设单位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汕头供电局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项目建设地点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工        期</w:t>
            </w:r>
          </w:p>
        </w:tc>
        <w:tc>
          <w:tcPr>
            <w:tcW w:w="425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计划工期：335日历天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计划开工日期：2024年7月30日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atLeas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计划竣工日期：2025年6月30日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项目可研单位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汕头善能达产业管理有限公司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项目勘察设计单位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汕头善能达产业管理有限公司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889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16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项目监理单位</w:t>
            </w:r>
          </w:p>
        </w:tc>
        <w:tc>
          <w:tcPr>
            <w:tcW w:w="42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/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sectPr>
          <w:pgSz w:w="16838" w:h="11906" w:orient="landscape"/>
          <w:pgMar w:top="118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三、项目概况：</w:t>
      </w:r>
      <w:bookmarkEnd w:id="0"/>
      <w:bookmarkStart w:id="1" w:name="_Toc4755"/>
      <w:bookmarkStart w:id="2" w:name="_Toc13498"/>
      <w:bookmarkStart w:id="3" w:name="_Toc28718"/>
    </w:p>
    <w:bookmarkEnd w:id="1"/>
    <w:bookmarkEnd w:id="2"/>
    <w:bookmarkEnd w:id="3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(1)汕头110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千伏</w:t>
      </w:r>
      <w:r>
        <w:rPr>
          <w:rFonts w:hint="eastAsia" w:ascii="仿宋" w:hAnsi="仿宋" w:eastAsia="仿宋" w:cs="仿宋"/>
          <w:b/>
          <w:sz w:val="28"/>
          <w:szCs w:val="28"/>
        </w:rPr>
        <w:t>试验区输变电工程施工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※变电部分: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1、110kV试验区变电站工程：本期建设2台63兆伏安主变、110千伏出线2回，10千伏出线32回，每台主变低压侧装设2*2组6兆乏电容器组。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2、220kV弼臣站扩建110kV间隔工程：扩建110kV户内 GIS电缆出线间隔2个，扩建接线同前期。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※线路部分: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1、110kV弼臣至试验区线路工程:新建110kV双回电缆线路长2×4.38km。新建电缆采用FY-YJLW03-Z-64/110 1×1200型交联聚乙烯绝缘电力电缆。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※通信部分: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Cs/>
          <w:sz w:val="28"/>
          <w:szCs w:val="28"/>
        </w:rPr>
        <w:t>配套通信设备工程：配套建设相关通信设备。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2、110kV弼臣至试验区线路配套管道光缆工程（第一回）：沿试验区站至弼臣站110kV新建线路建设2条48芯管道光缆，形成弼臣站至试验区站的2条光缆路由，新建光缆路径长度约2×4.38km。新建光缆均为G.652D光纤。</w:t>
      </w: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3、110kV弼臣至试验区线路配套管道光缆工程（第二回）：沿新建的试验区10kV出线线路和现有10kV弼园乙线建设1条48芯管道光缆，形成弼臣站至试验区站的1条光缆路由，新建光缆路径长度约4.55km，采用G.652D光纤。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sz w:val="28"/>
          <w:szCs w:val="28"/>
          <w:u w:val="single"/>
        </w:rPr>
        <w:t>注：具体建设规模以施工图纸为准。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>
      <w:pPr>
        <w:pStyle w:val="2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仿宋"/>
          <w:snapToGrid w:val="0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u w:val="none"/>
          <w:lang w:val="en-US" w:eastAsia="zh-CN"/>
        </w:rPr>
        <w:t>四、采购范围：</w:t>
      </w:r>
      <w:bookmarkStart w:id="4" w:name="施工招标范围综合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包括施工图范围内的建筑、安装及调试工程。施工图范围内的下列工作内容，无□及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-5"/>
          <w:sz w:val="42"/>
          <w:szCs w:val="28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0"/>
          <w:sz w:val="28"/>
          <w:szCs w:val="28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的为本次报价范围；□未打√的，不在本次报价范围内</w:t>
      </w:r>
      <w:bookmarkEnd w:id="4"/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，特殊情况在“其他”中说明。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(1)汕头110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千伏</w:t>
      </w:r>
      <w:r>
        <w:rPr>
          <w:rFonts w:hint="eastAsia" w:ascii="仿宋" w:hAnsi="仿宋" w:eastAsia="仿宋" w:cs="仿宋"/>
          <w:b/>
          <w:sz w:val="28"/>
          <w:szCs w:val="28"/>
        </w:rPr>
        <w:t>试验区输变电工程施工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 xml:space="preserve"> ※变电部分：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变电建筑工程：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主要生产工程：主要生产建筑，配电装置建筑，供水系统，消防系统；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辅助生产工程：辅助生产建筑，站区性建筑，特殊构筑物，全站沉降观测点，站区绿化；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与站址有关的单项工程：</w:t>
      </w:r>
    </w:p>
    <w:p>
      <w:pPr>
        <w:autoSpaceDE w:val="0"/>
        <w:autoSpaceDN w:val="0"/>
        <w:adjustRightInd w:val="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地基处理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站外道路（其中□桥涵），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站外水源，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站外排水，□站外蒸发池，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施工降水，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临时施工电源，□临时施工水源，□临时施工道路，□临时施工通信线路，□临时施工防护工程；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其他费用工程：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白蚁防治，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拆除工程；</w:t>
      </w:r>
    </w:p>
    <w:p>
      <w:pPr>
        <w:numPr>
          <w:ilvl w:val="0"/>
          <w:numId w:val="1"/>
        </w:num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其他：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>暂估价：预应力混凝土管桩中使用的螺旋钻机引孔费用4.50万元，投标按照最高投标限价公布的金额固定报价,结算时按实际发生费用计算。</w:t>
      </w:r>
    </w:p>
    <w:p>
      <w:pPr>
        <w:autoSpaceDE w:val="0"/>
        <w:autoSpaceDN w:val="0"/>
        <w:adjustRightInd w:val="0"/>
        <w:ind w:left="420" w:left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变电安装工程：</w:t>
      </w:r>
    </w:p>
    <w:p>
      <w:pPr>
        <w:numPr>
          <w:ilvl w:val="0"/>
          <w:numId w:val="2"/>
        </w:numPr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主要生产工程：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主变压器系统，配电装置，无功补偿，控制及直流系统，站用电系统，电缆及接地，远动系统（含总调、中调、地调调度端的扩容），计费系统，全站调试（其中特殊调试以合同附件特殊调试项目为准）；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（二）辅助生产工程：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检修及修配设备；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（三）与站址有关的单项工程：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□站外电源，□站外通信；</w:t>
      </w:r>
    </w:p>
    <w:p>
      <w:pPr>
        <w:autoSpaceDE w:val="0"/>
        <w:autoSpaceDN w:val="0"/>
        <w:adjustRightInd w:val="0"/>
        <w:spacing w:line="120" w:lineRule="atLeast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（四）其他费用工程：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A3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标志牌安装，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A3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拆除工程；</w:t>
      </w:r>
    </w:p>
    <w:p>
      <w:pPr>
        <w:autoSpaceDE w:val="0"/>
        <w:autoSpaceDN w:val="0"/>
        <w:adjustRightInd w:val="0"/>
        <w:ind w:firstLine="42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（五）其他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 xml:space="preserve"> / 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※电缆线路部分：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施工图纸范围内的电缆建筑：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（一）土石方：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材料运输，土石方挖填，开挖路面，修复路面，隧道挖填；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（二）构筑物：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材料运输，直埋电缆垫层及盖板，电缆沟、浅槽，工作井，电缆埋管，隧道，隧道工作井，栈桥，基础；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（三）辅助工程：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材料运输，通风，照明，排水，消防，围护，地基处理；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（四）其他费用工程：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白蚁防治，□拆除工程 ，□电缆走廊绿化赔偿，□沿线建（构）筑物的拆除，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与城市规划、市政、园林、交警、城监、公路等部门联系办理施工许可手续，□施工临时占用地补偿费；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（五）其他：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u w:val="single"/>
          <w:lang w:val="en-US" w:eastAsia="zh-CN" w:bidi="ar-SA"/>
        </w:rPr>
        <w:t>/。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施工图纸范围内的电缆安装：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（一）电缆桥、支架制作安装：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材料运输，电缆桥架，电缆支架；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（二）电缆敷设：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材料运输，直埋敷设，电缆沟、浅槽敷设，埋管内敷设，电缆隧道敷设，桥架敷设，栈桥敷设；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（三）电缆附件：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材料运输，终端头制作安装，中间接头制作安装，接地安装，设备安装，电缆保护管；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（四）电缆防火：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材料运输，构筑物防火，电缆本体防火；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（五）调试与试验：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电缆试验（其中：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电缆局部放电试验，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电缆参数测定），设备试验；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（六）电缆监测（控）系统：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材料运输，在线监测，安保监控；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（七）其他费用工程：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标志牌安装，□拆除工程，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线路牌挂牌；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（八）其他：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 xml:space="preserve">     /    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※通信部分: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变电站工程：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施工图纸范围内的通信设备安装及测试、光缆单盘测试、中继测试、接续、光缆及联络光缆敷设、通信子管敷设、通道开通及业务接入、割接等；设备、光缆及金具卸车清点、验收及保管，与施工相关的所有其他费用项目。</w:t>
      </w:r>
    </w:p>
    <w:p>
      <w:pPr>
        <w:pStyle w:val="2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电缆线路部分：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施工图纸范围内的光缆单盘测试、中继测试、接续、光缆及联络光缆敷设、通信子管敷设、通道开通及业务接入、割接等；光缆及金具卸车清点、验收及保管，与施工相关的所有其他费用项目。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lang w:eastAsia="zh-CN"/>
        </w:rPr>
        <w:t>五、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</w:rPr>
        <w:t>承包方式：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包工、部分包料，施工图纸范围内如有下列设备、材料，无□及</w: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begin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instrText xml:space="preserve"> EQ \o\ac(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-5"/>
          <w:sz w:val="42"/>
          <w:szCs w:val="28"/>
          <w:u w:val="single"/>
        </w:rPr>
        <w:instrText xml:space="preserve">□</w:instrText>
      </w:r>
      <w:r>
        <w:rPr>
          <w:rFonts w:hint="eastAsia" w:ascii="仿宋" w:hAnsi="仿宋" w:eastAsia="仿宋" w:cs="仿宋"/>
          <w:b/>
          <w:bCs/>
          <w:snapToGrid w:val="0"/>
          <w:kern w:val="0"/>
          <w:position w:val="0"/>
          <w:sz w:val="28"/>
          <w:szCs w:val="28"/>
          <w:u w:val="single"/>
        </w:rPr>
        <w:instrText xml:space="preserve">,√)</w:instrText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fldChar w:fldCharType="end"/>
      </w:r>
      <w:r>
        <w:rPr>
          <w:rFonts w:hint="eastAsia" w:ascii="仿宋" w:hAnsi="仿宋" w:eastAsia="仿宋" w:cs="仿宋"/>
          <w:b/>
          <w:bCs/>
          <w:snapToGrid w:val="0"/>
          <w:kern w:val="0"/>
          <w:sz w:val="28"/>
          <w:szCs w:val="28"/>
          <w:u w:val="single"/>
        </w:rPr>
        <w:t>的为甲供，□未打√的及不在下列的为乙供。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(1)汕头110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千伏</w:t>
      </w:r>
      <w:r>
        <w:rPr>
          <w:rFonts w:hint="eastAsia" w:ascii="仿宋" w:hAnsi="仿宋" w:eastAsia="仿宋" w:cs="仿宋"/>
          <w:b/>
          <w:sz w:val="28"/>
          <w:szCs w:val="28"/>
        </w:rPr>
        <w:t>试验区输变电工程施工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 xml:space="preserve"> ※变电部分：</w:t>
      </w:r>
    </w:p>
    <w:p>
      <w:pPr>
        <w:numPr>
          <w:ilvl w:val="0"/>
          <w:numId w:val="3"/>
        </w:num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甲供物资：</w:t>
      </w:r>
    </w:p>
    <w:p>
      <w:pPr>
        <w:autoSpaceDE w:val="0"/>
        <w:autoSpaceDN w:val="0"/>
        <w:adjustRightInd w:val="0"/>
        <w:ind w:firstLine="762" w:firstLineChars="271"/>
        <w:jc w:val="left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变电建筑工程：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840" w:firstLineChars="3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1、不锈钢材质检修电源箱，不锈钢材质配电箱（含照明和动力配电箱），电力电缆，控制电缆，低压电线，铜铝端子，铜端子，构支架钢结构（含构支架、横梁，爬梯、避雷针）、标准成品预制电缆沟盖板（包括混凝土盖板和复合盖板）、装配式变电站围墙和主变防火墙（含混凝土和复合材质，厂家包安装及基础灌浆）、电缆支架（铝合金、角钢、复合材质），电杆（含混凝土和复合材料），电缆保护管材（HDPE管、涂塑钢管、PVC管、MPP管）、电缆管塞封堵器，防爆空调（蓄电池室）、智能围栏。</w:t>
      </w:r>
    </w:p>
    <w:p>
      <w:pPr>
        <w:numPr>
          <w:ilvl w:val="0"/>
          <w:numId w:val="0"/>
        </w:numPr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2、□装配式电缆沟、□消防电缆、□吊车、□电梯（不含货物电梯）、□嵌入式空调（天井式）、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专用空调（生产场所、带自动启动功能）。</w:t>
      </w:r>
    </w:p>
    <w:p>
      <w:pPr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变电安装工程：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1、电气一、二次设备，铝镁合金管形母线及其配套金具，金具及附件（含线夹），钢绞线，铝绞线，红外热像仪，变电站智能巡检机器人，独立五防系统，检修隔离装置，视频及环境监控系统，监测装置，变压器配电箱（SMC材质、不锈钢材质），不锈钢材质端子箱，不锈钢材质检修电源箱，不锈钢材质发电车开关箱，不锈钢材质配电箱（含照明和动力配电箱），电力电缆，控制电缆，低压电线，10kV及以上电缆头，各种类型绝缘子，封闭母线桥，10kV绝缘铜管母线，穿墙套管，电缆支架（铝合金、角钢、复合材质）、铝合金电缆桥架、计量接引装置、电抗器接地装置、小电流接地选线装置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sym w:font="Wingdings 2" w:char="0052"/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标志牌、□吊车。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（二）其他甲供物资：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u w:val="single"/>
          <w:lang w:val="en-US" w:eastAsia="zh-CN" w:bidi="ar-SA"/>
        </w:rPr>
        <w:t>/ 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※电缆线路部分：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建设单位提供部分设备及材料：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（一）甲供物资：</w:t>
      </w:r>
    </w:p>
    <w:p>
      <w:pPr>
        <w:shd w:val="clear" w:color="auto" w:fill="auto"/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1、电力电缆，电缆终端头，电缆直通接头，电缆绝缘接头，电缆T接头，电缆固定夹，带保护器接地箱，直接接地箱，同轴电缆，接地线，回流线，接地箱，避雷器，故障指示器，故障精确定位装置，监测装置，光缆及光缆附件，电缆隧道装置（含隧道专用LED灯具、电缆隧道巡检机器人轨道、电缆隧道智能巡检机器人、电缆防火防爆装置、电缆隧道立柱支架、成套稳压供水设备、电缆隧道户外动力箱（IP66）、全不锈钢潜污泵）、接头区灭火装置，电缆支架（铝合金、角钢、复合材质），电缆保护管材（包括HDPE管、涂塑钢管、PVC-C管、PVC管、MPP管）、电缆管塞封堵器，标准成品预制电缆沟盖板（包括混凝土盖板和复合盖板）、智能围栏，标志牌（电缆标志牌、警示牌、标示桩、走向标志、安装支架）。</w:t>
      </w:r>
    </w:p>
    <w:p>
      <w:pPr>
        <w:shd w:val="clear" w:color="auto" w:fill="auto"/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2、□装配式电缆沟，□玻璃钢管。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（二）其他甲供物资：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 xml:space="preserve">   /      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※通信部分：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1、变电部分：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甲供物资：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通信相关设备（含电话、电池、监控等），数据网设备，机架，通信电源，各类光缆，综合配线设备及材料，电缆保护管材（HDPE管、涂塑钢管、PVC管、MPP管）。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其他甲供物资：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u w:val="single"/>
          <w:lang w:val="en-US" w:eastAsia="zh-CN" w:bidi="ar-SA"/>
        </w:rPr>
        <w:t>/。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2、电缆线路部分：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甲供物资：</w:t>
      </w:r>
    </w:p>
    <w:p>
      <w:pPr>
        <w:shd w:val="clear" w:color="auto" w:fill="auto"/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1、光缆及光缆附件，电缆保护管材（HDPE管、涂塑钢管、PVC管、MPP管）。</w:t>
      </w:r>
    </w:p>
    <w:p>
      <w:pPr>
        <w:shd w:val="clear" w:color="auto" w:fill="auto"/>
        <w:autoSpaceDE w:val="0"/>
        <w:autoSpaceDN w:val="0"/>
        <w:adjustRightInd w:val="0"/>
        <w:ind w:firstLine="560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  <w:t>2、□装配式电缆沟，□玻璃钢管。</w:t>
      </w:r>
    </w:p>
    <w:p>
      <w:pPr>
        <w:shd w:val="clear" w:color="auto" w:fill="auto"/>
        <w:autoSpaceDE w:val="0"/>
        <w:autoSpaceDN w:val="0"/>
        <w:adjustRightInd w:val="0"/>
        <w:ind w:firstLine="562" w:firstLineChars="200"/>
        <w:jc w:val="left"/>
        <w:rPr>
          <w:rFonts w:hint="eastAsia" w:ascii="仿宋" w:hAnsi="仿宋" w:eastAsia="仿宋" w:cs="仿宋"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-SA"/>
        </w:rPr>
        <w:t>（二）其他甲供物资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u w:val="single"/>
          <w:lang w:val="en-US" w:eastAsia="zh-CN" w:bidi="ar-SA"/>
        </w:rPr>
        <w:t>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  <w:lang w:val="en-US" w:eastAsia="zh-CN" w:bidi="ar-SA"/>
        </w:rPr>
        <w:t xml:space="preserve">  /    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注：建设单位提供的设备、材料以合同附件</w:t>
      </w:r>
      <w:r>
        <w:rPr>
          <w:rFonts w:hint="eastAsia" w:ascii="仿宋" w:hAnsi="仿宋" w:eastAsia="仿宋" w:cs="仿宋"/>
          <w:b/>
          <w:color w:val="FF000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FF0000"/>
          <w:sz w:val="28"/>
          <w:szCs w:val="28"/>
        </w:rPr>
        <w:t>甲供设备材料明细表为准。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958CEC"/>
    <w:multiLevelType w:val="singleLevel"/>
    <w:tmpl w:val="E0958CE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862E749"/>
    <w:multiLevelType w:val="singleLevel"/>
    <w:tmpl w:val="5862E749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abstractNum w:abstractNumId="2">
    <w:nsid w:val="5F8B8271"/>
    <w:multiLevelType w:val="singleLevel"/>
    <w:tmpl w:val="5F8B8271"/>
    <w:lvl w:ilvl="0" w:tentative="0">
      <w:start w:val="1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737D8"/>
    <w:rsid w:val="00675492"/>
    <w:rsid w:val="00C073B0"/>
    <w:rsid w:val="01000F1F"/>
    <w:rsid w:val="0270337E"/>
    <w:rsid w:val="050E07AE"/>
    <w:rsid w:val="05B87515"/>
    <w:rsid w:val="068D71D9"/>
    <w:rsid w:val="0BC07002"/>
    <w:rsid w:val="0CB91C03"/>
    <w:rsid w:val="0D0758F3"/>
    <w:rsid w:val="10A919C2"/>
    <w:rsid w:val="116419AD"/>
    <w:rsid w:val="11DF6CFE"/>
    <w:rsid w:val="11FC1228"/>
    <w:rsid w:val="1221206F"/>
    <w:rsid w:val="12617BA5"/>
    <w:rsid w:val="13C71878"/>
    <w:rsid w:val="14440D4B"/>
    <w:rsid w:val="15056A61"/>
    <w:rsid w:val="15701FEA"/>
    <w:rsid w:val="17241016"/>
    <w:rsid w:val="17311749"/>
    <w:rsid w:val="18E57496"/>
    <w:rsid w:val="193066EB"/>
    <w:rsid w:val="196B23E3"/>
    <w:rsid w:val="1A2F2F81"/>
    <w:rsid w:val="1B1435D1"/>
    <w:rsid w:val="1B663F82"/>
    <w:rsid w:val="1BA9108A"/>
    <w:rsid w:val="1EA379B5"/>
    <w:rsid w:val="20957CD4"/>
    <w:rsid w:val="216F4D5B"/>
    <w:rsid w:val="22D01CE9"/>
    <w:rsid w:val="24E46BF4"/>
    <w:rsid w:val="24F737D8"/>
    <w:rsid w:val="26F863F9"/>
    <w:rsid w:val="274170EE"/>
    <w:rsid w:val="2785030E"/>
    <w:rsid w:val="278F57AD"/>
    <w:rsid w:val="27E47C4B"/>
    <w:rsid w:val="28F46A2A"/>
    <w:rsid w:val="296555D1"/>
    <w:rsid w:val="2BED7EC0"/>
    <w:rsid w:val="2D8E3667"/>
    <w:rsid w:val="2E9A5E18"/>
    <w:rsid w:val="2F362DFB"/>
    <w:rsid w:val="2FF65FF8"/>
    <w:rsid w:val="300D195C"/>
    <w:rsid w:val="3044134F"/>
    <w:rsid w:val="306C7E8C"/>
    <w:rsid w:val="30BF37B5"/>
    <w:rsid w:val="33431B08"/>
    <w:rsid w:val="361736AD"/>
    <w:rsid w:val="36905D28"/>
    <w:rsid w:val="36D200CF"/>
    <w:rsid w:val="38382DC3"/>
    <w:rsid w:val="3B2A0F67"/>
    <w:rsid w:val="3BCA27B8"/>
    <w:rsid w:val="3C1E17EA"/>
    <w:rsid w:val="3C4A35F1"/>
    <w:rsid w:val="3D6C6E26"/>
    <w:rsid w:val="3F9B7EF1"/>
    <w:rsid w:val="415A7E63"/>
    <w:rsid w:val="42E701E3"/>
    <w:rsid w:val="44D414C9"/>
    <w:rsid w:val="460D1423"/>
    <w:rsid w:val="46472D5E"/>
    <w:rsid w:val="469B4709"/>
    <w:rsid w:val="46A85B41"/>
    <w:rsid w:val="47C83E92"/>
    <w:rsid w:val="47CB2C71"/>
    <w:rsid w:val="49332FB5"/>
    <w:rsid w:val="4A90093C"/>
    <w:rsid w:val="4B3A1BDA"/>
    <w:rsid w:val="4D392B7F"/>
    <w:rsid w:val="4DC759F3"/>
    <w:rsid w:val="4DFB0DA3"/>
    <w:rsid w:val="4E040B17"/>
    <w:rsid w:val="4EA560D6"/>
    <w:rsid w:val="50667F11"/>
    <w:rsid w:val="546F308A"/>
    <w:rsid w:val="55734D49"/>
    <w:rsid w:val="55C3156A"/>
    <w:rsid w:val="56677483"/>
    <w:rsid w:val="57092F8E"/>
    <w:rsid w:val="58D01BB7"/>
    <w:rsid w:val="599017B7"/>
    <w:rsid w:val="5F8E0C51"/>
    <w:rsid w:val="5FE724D4"/>
    <w:rsid w:val="608606DE"/>
    <w:rsid w:val="61ED5B7D"/>
    <w:rsid w:val="66C35559"/>
    <w:rsid w:val="66D91A76"/>
    <w:rsid w:val="68B337CC"/>
    <w:rsid w:val="69311D38"/>
    <w:rsid w:val="6A287B5E"/>
    <w:rsid w:val="6A6B37FA"/>
    <w:rsid w:val="6B303A1A"/>
    <w:rsid w:val="6D897695"/>
    <w:rsid w:val="6DAA2FDF"/>
    <w:rsid w:val="6E121228"/>
    <w:rsid w:val="70873960"/>
    <w:rsid w:val="70B81233"/>
    <w:rsid w:val="70D1495F"/>
    <w:rsid w:val="73641402"/>
    <w:rsid w:val="74E73186"/>
    <w:rsid w:val="76015DEA"/>
    <w:rsid w:val="763B2CF0"/>
    <w:rsid w:val="764E470D"/>
    <w:rsid w:val="76850D49"/>
    <w:rsid w:val="7842124A"/>
    <w:rsid w:val="79435213"/>
    <w:rsid w:val="7C766170"/>
    <w:rsid w:val="7D26550D"/>
    <w:rsid w:val="7D2D6A7C"/>
    <w:rsid w:val="7E3420E0"/>
    <w:rsid w:val="7E40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9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4">
    <w:name w:val="heading 2"/>
    <w:basedOn w:val="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jc w:val="both"/>
    </w:pPr>
    <w:rPr>
      <w:rFonts w:ascii="宋体" w:hAnsi="Courier New"/>
      <w:kern w:val="0"/>
      <w:sz w:val="20"/>
      <w:szCs w:val="20"/>
      <w:lang w:val="en-US" w:eastAsia="zh-CN"/>
    </w:rPr>
  </w:style>
  <w:style w:type="paragraph" w:styleId="5">
    <w:name w:val="Normal Indent"/>
    <w:basedOn w:val="1"/>
    <w:qFormat/>
    <w:uiPriority w:val="0"/>
    <w:pPr>
      <w:ind w:firstLine="420"/>
    </w:pPr>
    <w:rPr>
      <w:rFonts w:ascii="Times New Roman" w:hAnsi="Times New Roman" w:cs="Times New Roman"/>
      <w:kern w:val="0"/>
      <w:sz w:val="20"/>
      <w:szCs w:val="20"/>
    </w:rPr>
  </w:style>
  <w:style w:type="paragraph" w:styleId="6">
    <w:name w:val="Body Text"/>
    <w:basedOn w:val="7"/>
    <w:next w:val="7"/>
    <w:unhideWhenUsed/>
    <w:qFormat/>
    <w:uiPriority w:val="99"/>
    <w:pPr>
      <w:spacing w:after="120"/>
    </w:pPr>
  </w:style>
  <w:style w:type="paragraph" w:styleId="7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"/>
    <w:basedOn w:val="6"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pacing w:line="360" w:lineRule="auto"/>
      <w:ind w:firstLine="200" w:firstLineChars="200"/>
      <w:jc w:val="both"/>
    </w:pPr>
    <w:rPr>
      <w:kern w:val="0"/>
      <w:sz w:val="24"/>
      <w:lang w:val="en-US" w:eastAsia="zh-CN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目录 21"/>
    <w:basedOn w:val="1"/>
    <w:next w:val="1"/>
    <w:qFormat/>
    <w:uiPriority w:val="0"/>
    <w:pPr>
      <w:spacing w:before="100" w:beforeAutospacing="1" w:after="100" w:afterAutospacing="1"/>
      <w:ind w:left="420" w:leftChars="200"/>
    </w:pPr>
  </w:style>
  <w:style w:type="paragraph" w:customStyle="1" w:styleId="15">
    <w:name w:val="_Style 5"/>
    <w:basedOn w:val="1"/>
    <w:qFormat/>
    <w:uiPriority w:val="0"/>
    <w:pPr>
      <w:adjustRightInd/>
      <w:spacing w:line="240" w:lineRule="auto"/>
      <w:ind w:firstLine="420" w:firstLineChars="200"/>
      <w:textAlignment w:val="auto"/>
    </w:pPr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2021-02-24T07:45:00Z</dcterms:created>
  <dc:creator>maja</dc:creator>
  <cp:lastModifiedBy>吴旻</cp:lastModifiedBy>
  <cp:lastPrinted>2022-02-11T02:00:00Z</cp:lastPrinted>
  <dcterms:modified xsi:type="dcterms:W3CDTF">2024-03-29T09:33:52Z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7C3CE12BB8954E25B60328968434832A</vt:lpwstr>
  </property>
</Properties>
</file>