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s="宋体"/>
          <w:color w:val="auto"/>
          <w:highlight w:val="none"/>
        </w:rPr>
      </w:pPr>
    </w:p>
    <w:p>
      <w:pPr>
        <w:pStyle w:val="36"/>
        <w:jc w:val="center"/>
        <w:rPr>
          <w:rFonts w:ascii="宋体" w:hAnsi="宋体" w:cs="宋体"/>
          <w:b/>
          <w:bCs/>
          <w:color w:val="auto"/>
          <w:spacing w:val="40"/>
          <w:sz w:val="72"/>
          <w:szCs w:val="96"/>
          <w:highlight w:val="none"/>
        </w:rPr>
      </w:pPr>
      <w:r>
        <w:rPr>
          <w:rFonts w:hint="eastAsia" w:ascii="宋体" w:hAnsi="宋体" w:cs="宋体"/>
          <w:b/>
          <w:bCs/>
          <w:color w:val="auto"/>
          <w:spacing w:val="40"/>
          <w:sz w:val="72"/>
          <w:szCs w:val="96"/>
          <w:highlight w:val="none"/>
        </w:rPr>
        <w:t>达安基因香山路19号地块厂区2号楼8层耗材与提取试剂生产部装修工程</w:t>
      </w:r>
    </w:p>
    <w:p>
      <w:pPr>
        <w:spacing w:line="360" w:lineRule="auto"/>
        <w:ind w:firstLine="420"/>
        <w:jc w:val="center"/>
        <w:rPr>
          <w:rFonts w:ascii="宋体" w:hAnsi="宋体" w:cs="宋体"/>
          <w:b/>
          <w:bCs/>
          <w:color w:val="auto"/>
          <w:spacing w:val="26"/>
          <w:sz w:val="110"/>
          <w:szCs w:val="110"/>
          <w:highlight w:val="none"/>
        </w:rPr>
      </w:pPr>
    </w:p>
    <w:p>
      <w:pPr>
        <w:pStyle w:val="19"/>
        <w:rPr>
          <w:rFonts w:hAnsi="宋体" w:cs="宋体"/>
          <w:color w:val="auto"/>
          <w:highlight w:val="none"/>
        </w:rPr>
      </w:pPr>
    </w:p>
    <w:p>
      <w:pPr>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pPr>
        <w:spacing w:line="360" w:lineRule="auto"/>
        <w:jc w:val="center"/>
        <w:rPr>
          <w:rFonts w:ascii="宋体" w:hAnsi="宋体" w:cs="宋体"/>
          <w:color w:val="auto"/>
          <w:sz w:val="32"/>
          <w:highlight w:val="none"/>
        </w:rPr>
      </w:pPr>
    </w:p>
    <w:p>
      <w:pPr>
        <w:spacing w:line="360" w:lineRule="auto"/>
        <w:ind w:firstLine="2560" w:firstLineChars="800"/>
        <w:rPr>
          <w:rFonts w:ascii="宋体" w:hAnsi="宋体" w:cs="宋体"/>
          <w:color w:val="auto"/>
          <w:sz w:val="32"/>
          <w:highlight w:val="none"/>
        </w:rPr>
      </w:pPr>
    </w:p>
    <w:p>
      <w:pPr>
        <w:spacing w:line="360" w:lineRule="auto"/>
        <w:rPr>
          <w:rFonts w:ascii="宋体" w:hAnsi="宋体" w:cs="宋体"/>
          <w:color w:val="auto"/>
          <w:sz w:val="30"/>
          <w:szCs w:val="30"/>
          <w:highlight w:val="none"/>
        </w:rPr>
      </w:pPr>
    </w:p>
    <w:p>
      <w:pPr>
        <w:spacing w:line="360" w:lineRule="auto"/>
        <w:ind w:firstLine="900" w:firstLineChars="300"/>
        <w:rPr>
          <w:rFonts w:ascii="宋体" w:hAnsi="宋体" w:cs="宋体"/>
          <w:color w:val="auto"/>
          <w:sz w:val="30"/>
          <w:szCs w:val="30"/>
          <w:highlight w:val="none"/>
        </w:rPr>
      </w:pPr>
    </w:p>
    <w:p>
      <w:pPr>
        <w:rPr>
          <w:rFonts w:ascii="宋体" w:hAnsi="宋体" w:cs="宋体"/>
          <w:color w:val="auto"/>
          <w:highlight w:val="none"/>
        </w:rPr>
      </w:pPr>
    </w:p>
    <w:p>
      <w:pPr>
        <w:pStyle w:val="19"/>
        <w:rPr>
          <w:rFonts w:hAnsi="宋体" w:cs="宋体"/>
          <w:color w:val="auto"/>
          <w:highlight w:val="none"/>
        </w:rPr>
      </w:pPr>
    </w:p>
    <w:p>
      <w:pPr>
        <w:pStyle w:val="19"/>
        <w:rPr>
          <w:rFonts w:hAnsi="宋体" w:cs="宋体"/>
          <w:color w:val="auto"/>
          <w:highlight w:val="none"/>
        </w:rPr>
      </w:pPr>
    </w:p>
    <w:p>
      <w:pPr>
        <w:pStyle w:val="19"/>
        <w:rPr>
          <w:rFonts w:hAnsi="宋体" w:cs="宋体"/>
          <w:color w:val="auto"/>
          <w:highlight w:val="none"/>
        </w:rPr>
      </w:pPr>
    </w:p>
    <w:p>
      <w:pPr>
        <w:spacing w:line="360" w:lineRule="auto"/>
        <w:ind w:firstLine="900" w:firstLineChars="300"/>
        <w:rPr>
          <w:rFonts w:ascii="宋体" w:hAnsi="宋体" w:cs="宋体"/>
          <w:color w:val="auto"/>
          <w:sz w:val="30"/>
          <w:szCs w:val="30"/>
          <w:highlight w:val="none"/>
        </w:rPr>
      </w:pPr>
    </w:p>
    <w:p>
      <w:pPr>
        <w:spacing w:line="360" w:lineRule="auto"/>
        <w:ind w:firstLine="900" w:firstLineChars="300"/>
        <w:rPr>
          <w:rFonts w:ascii="宋体" w:hAnsi="宋体" w:cs="宋体"/>
          <w:color w:val="auto"/>
          <w:sz w:val="30"/>
          <w:szCs w:val="30"/>
          <w:highlight w:val="none"/>
          <w:u w:val="single"/>
        </w:rPr>
      </w:pPr>
      <w:r>
        <w:rPr>
          <w:rFonts w:hint="eastAsia" w:ascii="宋体" w:hAnsi="宋体" w:cs="宋体"/>
          <w:color w:val="auto"/>
          <w:sz w:val="30"/>
          <w:szCs w:val="30"/>
          <w:highlight w:val="none"/>
        </w:rPr>
        <w:t>招  标 单 位：</w:t>
      </w:r>
      <w:r>
        <w:rPr>
          <w:rFonts w:hint="eastAsia" w:ascii="宋体" w:hAnsi="宋体" w:cs="宋体"/>
          <w:color w:val="auto"/>
          <w:sz w:val="30"/>
          <w:szCs w:val="30"/>
          <w:highlight w:val="none"/>
          <w:u w:val="single"/>
        </w:rPr>
        <w:t>广州达安基因股份有限公司</w:t>
      </w:r>
    </w:p>
    <w:p>
      <w:pPr>
        <w:spacing w:line="360" w:lineRule="auto"/>
        <w:ind w:firstLine="900" w:firstLineChars="300"/>
        <w:rPr>
          <w:rFonts w:ascii="宋体" w:hAnsi="宋体" w:cs="宋体"/>
          <w:color w:val="auto"/>
          <w:sz w:val="30"/>
          <w:szCs w:val="30"/>
          <w:highlight w:val="none"/>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rPr>
        <w:t>广东省机电设备招标中心有限公司</w:t>
      </w:r>
    </w:p>
    <w:p>
      <w:pPr>
        <w:spacing w:line="360" w:lineRule="auto"/>
        <w:ind w:firstLine="900" w:firstLineChars="300"/>
        <w:rPr>
          <w:rFonts w:ascii="宋体" w:hAnsi="宋体" w:cs="宋体"/>
          <w:color w:val="auto"/>
          <w:sz w:val="30"/>
          <w:szCs w:val="30"/>
          <w:highlight w:val="none"/>
        </w:rPr>
      </w:pPr>
      <w:r>
        <w:rPr>
          <w:rFonts w:hint="eastAsia" w:ascii="宋体" w:hAnsi="宋体" w:cs="宋体"/>
          <w:color w:val="auto"/>
          <w:sz w:val="30"/>
          <w:szCs w:val="30"/>
          <w:highlight w:val="none"/>
        </w:rPr>
        <w:t>日        期：2024年4月  日</w:t>
      </w:r>
    </w:p>
    <w:p>
      <w:pPr>
        <w:spacing w:line="360" w:lineRule="auto"/>
        <w:ind w:firstLine="900" w:firstLineChars="300"/>
        <w:jc w:val="center"/>
        <w:rPr>
          <w:rFonts w:ascii="宋体" w:hAnsi="宋体" w:cs="宋体"/>
          <w:color w:val="auto"/>
          <w:sz w:val="30"/>
          <w:szCs w:val="30"/>
          <w:highlight w:val="none"/>
        </w:rPr>
        <w:sectPr>
          <w:footerReference r:id="rId5" w:type="first"/>
          <w:headerReference r:id="rId3" w:type="default"/>
          <w:footerReference r:id="rId4" w:type="default"/>
          <w:endnotePr>
            <w:numFmt w:val="decimal"/>
          </w:endnotePr>
          <w:pgSz w:w="11906" w:h="16838"/>
          <w:pgMar w:top="1134" w:right="1418" w:bottom="1247" w:left="1418" w:header="851" w:footer="907" w:gutter="0"/>
          <w:cols w:space="720" w:num="1"/>
          <w:titlePg/>
          <w:docGrid w:type="lines" w:linePitch="312" w:charSpace="0"/>
        </w:sectPr>
      </w:pPr>
    </w:p>
    <w:p>
      <w:pPr>
        <w:spacing w:line="360" w:lineRule="auto"/>
        <w:ind w:firstLine="904" w:firstLineChars="300"/>
        <w:jc w:val="center"/>
        <w:rPr>
          <w:rFonts w:ascii="宋体" w:hAnsi="宋体" w:cs="宋体"/>
          <w:b/>
          <w:caps/>
          <w:color w:val="auto"/>
          <w:kern w:val="0"/>
          <w:highlight w:val="none"/>
        </w:rPr>
      </w:pPr>
      <w:r>
        <w:rPr>
          <w:rStyle w:val="48"/>
          <w:rFonts w:hint="eastAsia" w:ascii="宋体" w:hAnsi="宋体" w:cs="宋体"/>
          <w:b/>
          <w:bCs/>
          <w:color w:val="auto"/>
          <w:sz w:val="30"/>
          <w:szCs w:val="30"/>
          <w:highlight w:val="none"/>
          <w:u w:val="none"/>
        </w:rPr>
        <w:t>目录</w:t>
      </w:r>
    </w:p>
    <w:p>
      <w:pPr>
        <w:pStyle w:val="26"/>
        <w:tabs>
          <w:tab w:val="right" w:leader="dot" w:pos="9070"/>
          <w:tab w:val="clear" w:pos="9060"/>
        </w:tabs>
        <w:rPr>
          <w:rFonts w:cs="宋体"/>
          <w:color w:val="auto"/>
          <w:highlight w:val="none"/>
        </w:rPr>
      </w:pPr>
      <w:r>
        <w:rPr>
          <w:rFonts w:hint="eastAsia" w:cs="宋体"/>
          <w:color w:val="auto"/>
          <w:highlight w:val="none"/>
        </w:rPr>
        <w:fldChar w:fldCharType="begin"/>
      </w:r>
      <w:r>
        <w:rPr>
          <w:rFonts w:hint="eastAsia" w:cs="宋体"/>
          <w:color w:val="auto"/>
          <w:highlight w:val="none"/>
        </w:rPr>
        <w:instrText xml:space="preserve"> TOC \o "1-3" \h \z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"_Toc9797" </w:instrText>
      </w:r>
      <w:r>
        <w:rPr>
          <w:color w:val="auto"/>
          <w:highlight w:val="none"/>
        </w:rPr>
        <w:fldChar w:fldCharType="separate"/>
      </w:r>
      <w:r>
        <w:rPr>
          <w:rFonts w:hint="eastAsia" w:cs="宋体"/>
          <w:color w:val="auto"/>
          <w:highlight w:val="none"/>
        </w:rPr>
        <w:t>第一章  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_Toc9797 \h </w:instrText>
      </w:r>
      <w:r>
        <w:rPr>
          <w:rFonts w:hint="eastAsia" w:cs="宋体"/>
          <w:color w:val="auto"/>
          <w:highlight w:val="none"/>
        </w:rPr>
        <w:fldChar w:fldCharType="separate"/>
      </w:r>
      <w:r>
        <w:rPr>
          <w:rFonts w:hint="eastAsia"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"_Toc32661" </w:instrText>
      </w:r>
      <w:r>
        <w:rPr>
          <w:color w:val="auto"/>
          <w:highlight w:val="none"/>
        </w:rPr>
        <w:fldChar w:fldCharType="separate"/>
      </w:r>
      <w:r>
        <w:rPr>
          <w:rFonts w:hint="eastAsia" w:ascii="宋体" w:hAnsi="宋体" w:cs="宋体"/>
          <w:color w:val="auto"/>
          <w:highlight w:val="none"/>
        </w:rPr>
        <w:t>一、投标须知前附表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_Toc32661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9"/>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"_Toc625" </w:instrText>
      </w:r>
      <w:r>
        <w:rPr>
          <w:color w:val="auto"/>
          <w:highlight w:val="none"/>
        </w:rPr>
        <w:fldChar w:fldCharType="separate"/>
      </w:r>
      <w:r>
        <w:rPr>
          <w:rFonts w:hint="eastAsia" w:ascii="宋体" w:hAnsi="宋体" w:cs="宋体"/>
          <w:color w:val="auto"/>
          <w:highlight w:val="none"/>
        </w:rPr>
        <w:t>二、投标须知修改表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_Toc625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9"/>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"_Toc4710" </w:instrText>
      </w:r>
      <w:r>
        <w:rPr>
          <w:color w:val="auto"/>
          <w:highlight w:val="none"/>
        </w:rPr>
        <w:fldChar w:fldCharType="separate"/>
      </w:r>
      <w:r>
        <w:rPr>
          <w:rFonts w:hint="eastAsia" w:ascii="宋体" w:hAnsi="宋体" w:cs="宋体"/>
          <w:color w:val="auto"/>
          <w:highlight w:val="none"/>
        </w:rPr>
        <w:t>三、投标须知通用条款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_Toc4710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"_Toc2585"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_Toc2585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"_Toc6335" </w:instrText>
      </w:r>
      <w:r>
        <w:rPr>
          <w:color w:val="auto"/>
          <w:highlight w:val="none"/>
        </w:rPr>
        <w:fldChar w:fldCharType="separate"/>
      </w:r>
      <w:r>
        <w:rPr>
          <w:rFonts w:hint="eastAsia" w:ascii="宋体" w:hAnsi="宋体" w:cs="宋体"/>
          <w:color w:val="auto"/>
          <w:highlight w:val="none"/>
        </w:rPr>
        <w:t>（二）招标文件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_Toc6335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"_Toc1598" </w:instrText>
      </w:r>
      <w:r>
        <w:rPr>
          <w:color w:val="auto"/>
          <w:highlight w:val="none"/>
        </w:rPr>
        <w:fldChar w:fldCharType="separate"/>
      </w:r>
      <w:r>
        <w:rPr>
          <w:rFonts w:hint="eastAsia" w:ascii="宋体" w:hAnsi="宋体" w:cs="宋体"/>
          <w:color w:val="auto"/>
          <w:highlight w:val="none"/>
        </w:rPr>
        <w:t>（三）投标文件的编制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_Toc1598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"_Toc16729" </w:instrText>
      </w:r>
      <w:r>
        <w:rPr>
          <w:color w:val="auto"/>
          <w:highlight w:val="none"/>
        </w:rPr>
        <w:fldChar w:fldCharType="separate"/>
      </w:r>
      <w:r>
        <w:rPr>
          <w:rFonts w:hint="eastAsia" w:ascii="宋体" w:hAnsi="宋体" w:cs="宋体"/>
          <w:color w:val="auto"/>
          <w:highlight w:val="none"/>
        </w:rPr>
        <w:t>（四）投标文件的提交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_Toc16729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"_Toc21877" </w:instrText>
      </w:r>
      <w:r>
        <w:rPr>
          <w:color w:val="auto"/>
          <w:highlight w:val="none"/>
        </w:rPr>
        <w:fldChar w:fldCharType="separate"/>
      </w:r>
      <w:r>
        <w:rPr>
          <w:rFonts w:hint="eastAsia" w:ascii="宋体" w:hAnsi="宋体" w:cs="宋体"/>
          <w:color w:val="auto"/>
          <w:highlight w:val="none"/>
        </w:rPr>
        <w:t>（五）开标、评标、定标及合同签定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_Toc21877 \h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"_Toc6217" </w:instrText>
      </w:r>
      <w:r>
        <w:rPr>
          <w:color w:val="auto"/>
          <w:highlight w:val="none"/>
        </w:rPr>
        <w:fldChar w:fldCharType="separate"/>
      </w:r>
      <w:r>
        <w:rPr>
          <w:rFonts w:hint="eastAsia" w:cs="宋体"/>
          <w:color w:val="auto"/>
          <w:highlight w:val="none"/>
        </w:rPr>
        <w:t>第二章  开标、评标及定标办法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_Toc6217 \h </w:instrText>
      </w:r>
      <w:r>
        <w:rPr>
          <w:rFonts w:hint="eastAsia" w:cs="宋体"/>
          <w:color w:val="auto"/>
          <w:highlight w:val="none"/>
        </w:rPr>
        <w:fldChar w:fldCharType="separate"/>
      </w:r>
      <w:r>
        <w:rPr>
          <w:rFonts w:hint="eastAsia" w:cs="宋体"/>
          <w:color w:val="auto"/>
          <w:highlight w:val="none"/>
        </w:rPr>
        <w:t>32</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"_Toc9221" </w:instrText>
      </w:r>
      <w:r>
        <w:rPr>
          <w:color w:val="auto"/>
          <w:highlight w:val="none"/>
        </w:rPr>
        <w:fldChar w:fldCharType="separate"/>
      </w:r>
      <w:r>
        <w:rPr>
          <w:rFonts w:hint="eastAsia" w:ascii="宋体" w:hAnsi="宋体" w:cs="宋体"/>
          <w:color w:val="auto"/>
          <w:szCs w:val="28"/>
          <w:highlight w:val="none"/>
        </w:rPr>
        <w:t>一、</w:t>
      </w:r>
      <w:r>
        <w:rPr>
          <w:rFonts w:hint="eastAsia" w:ascii="宋体" w:hAnsi="宋体" w:cs="宋体"/>
          <w:color w:val="auto"/>
          <w:highlight w:val="none"/>
        </w:rPr>
        <w:t>开标、评标及定标办法修改表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_Toc9221 \h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9"/>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"_Toc20254" </w:instrText>
      </w:r>
      <w:r>
        <w:rPr>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_Toc20254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"_Toc16920"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_Toc16920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"_Toc11976" </w:instrText>
      </w:r>
      <w:r>
        <w:rPr>
          <w:color w:val="auto"/>
          <w:highlight w:val="none"/>
        </w:rPr>
        <w:fldChar w:fldCharType="separate"/>
      </w:r>
      <w:r>
        <w:rPr>
          <w:rFonts w:hint="eastAsia" w:ascii="宋体" w:hAnsi="宋体" w:cs="宋体"/>
          <w:color w:val="auto"/>
          <w:szCs w:val="24"/>
          <w:highlight w:val="none"/>
        </w:rPr>
        <w:t>（二）开标评标办法程序和细则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_Toc11976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"_Toc28813" </w:instrText>
      </w:r>
      <w:r>
        <w:rPr>
          <w:color w:val="auto"/>
          <w:highlight w:val="none"/>
        </w:rPr>
        <w:fldChar w:fldCharType="separate"/>
      </w:r>
      <w:r>
        <w:rPr>
          <w:rFonts w:hint="eastAsia" w:ascii="宋体" w:hAnsi="宋体" w:cs="宋体"/>
          <w:color w:val="auto"/>
          <w:highlight w:val="none"/>
        </w:rPr>
        <w:t>可选办法七（适合综合评分法四，技术标与经济标同时开启）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_Toc28813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"_Toc18865" </w:instrText>
      </w:r>
      <w:r>
        <w:rPr>
          <w:color w:val="auto"/>
          <w:highlight w:val="none"/>
        </w:rPr>
        <w:fldChar w:fldCharType="separate"/>
      </w:r>
      <w:r>
        <w:rPr>
          <w:rFonts w:hint="eastAsia" w:cs="宋体"/>
          <w:color w:val="auto"/>
          <w:highlight w:val="none"/>
        </w:rPr>
        <w:t>第三章  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_Toc18865 \h </w:instrText>
      </w:r>
      <w:r>
        <w:rPr>
          <w:rFonts w:hint="eastAsia" w:cs="宋体"/>
          <w:color w:val="auto"/>
          <w:highlight w:val="none"/>
        </w:rPr>
        <w:fldChar w:fldCharType="separate"/>
      </w:r>
      <w:r>
        <w:rPr>
          <w:rFonts w:hint="eastAsia" w:cs="宋体"/>
          <w:color w:val="auto"/>
          <w:highlight w:val="none"/>
        </w:rPr>
        <w:t>60</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"_Toc287" </w:instrText>
      </w:r>
      <w:r>
        <w:rPr>
          <w:color w:val="auto"/>
          <w:highlight w:val="none"/>
        </w:rPr>
        <w:fldChar w:fldCharType="separate"/>
      </w:r>
      <w:r>
        <w:rPr>
          <w:rFonts w:hint="eastAsia" w:cs="宋体"/>
          <w:color w:val="auto"/>
          <w:highlight w:val="none"/>
        </w:rPr>
        <w:t>第四章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_Toc287 \h </w:instrText>
      </w:r>
      <w:r>
        <w:rPr>
          <w:rFonts w:hint="eastAsia" w:cs="宋体"/>
          <w:color w:val="auto"/>
          <w:highlight w:val="none"/>
        </w:rPr>
        <w:fldChar w:fldCharType="separate"/>
      </w:r>
      <w:r>
        <w:rPr>
          <w:rFonts w:hint="eastAsia" w:cs="宋体"/>
          <w:color w:val="auto"/>
          <w:highlight w:val="none"/>
        </w:rPr>
        <w:t>61</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"_Toc9190" </w:instrText>
      </w:r>
      <w:r>
        <w:rPr>
          <w:color w:val="auto"/>
          <w:highlight w:val="none"/>
        </w:rPr>
        <w:fldChar w:fldCharType="separate"/>
      </w:r>
      <w:r>
        <w:rPr>
          <w:rFonts w:hint="eastAsia" w:cs="宋体"/>
          <w:color w:val="auto"/>
          <w:highlight w:val="none"/>
        </w:rPr>
        <w:t>第五章  技术条件（工程建设标准）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_Toc9190 \h </w:instrText>
      </w:r>
      <w:r>
        <w:rPr>
          <w:rFonts w:hint="eastAsia" w:cs="宋体"/>
          <w:color w:val="auto"/>
          <w:highlight w:val="none"/>
        </w:rPr>
        <w:fldChar w:fldCharType="separate"/>
      </w:r>
      <w:r>
        <w:rPr>
          <w:rFonts w:hint="eastAsia" w:cs="宋体"/>
          <w:color w:val="auto"/>
          <w:highlight w:val="none"/>
        </w:rPr>
        <w:t>72</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"_Toc12270" </w:instrText>
      </w:r>
      <w:r>
        <w:rPr>
          <w:color w:val="auto"/>
          <w:highlight w:val="none"/>
        </w:rPr>
        <w:fldChar w:fldCharType="separate"/>
      </w:r>
      <w:r>
        <w:rPr>
          <w:rFonts w:hint="eastAsia" w:cs="宋体"/>
          <w:color w:val="auto"/>
          <w:highlight w:val="none"/>
        </w:rPr>
        <w:t>第六章  图纸及勘察资料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_Toc12270 \h </w:instrText>
      </w:r>
      <w:r>
        <w:rPr>
          <w:rFonts w:hint="eastAsia" w:cs="宋体"/>
          <w:color w:val="auto"/>
          <w:highlight w:val="none"/>
        </w:rPr>
        <w:fldChar w:fldCharType="separate"/>
      </w:r>
      <w:r>
        <w:rPr>
          <w:rFonts w:hint="eastAsia" w:cs="宋体"/>
          <w:color w:val="auto"/>
          <w:highlight w:val="none"/>
        </w:rPr>
        <w:t>73</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"_Toc20750" </w:instrText>
      </w:r>
      <w:r>
        <w:rPr>
          <w:color w:val="auto"/>
          <w:highlight w:val="none"/>
        </w:rPr>
        <w:fldChar w:fldCharType="separate"/>
      </w:r>
      <w:r>
        <w:rPr>
          <w:rFonts w:hint="eastAsia" w:cs="宋体"/>
          <w:color w:val="auto"/>
          <w:highlight w:val="none"/>
        </w:rPr>
        <w:t>第七章  工程量清单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_Toc20750 \h </w:instrText>
      </w:r>
      <w:r>
        <w:rPr>
          <w:rFonts w:hint="eastAsia" w:cs="宋体"/>
          <w:color w:val="auto"/>
          <w:highlight w:val="none"/>
        </w:rPr>
        <w:fldChar w:fldCharType="separate"/>
      </w:r>
      <w:r>
        <w:rPr>
          <w:rFonts w:hint="eastAsia" w:cs="宋体"/>
          <w:color w:val="auto"/>
          <w:highlight w:val="none"/>
        </w:rPr>
        <w:t>74</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"_Toc17523" </w:instrText>
      </w:r>
      <w:r>
        <w:rPr>
          <w:color w:val="auto"/>
          <w:highlight w:val="none"/>
        </w:rPr>
        <w:fldChar w:fldCharType="separate"/>
      </w:r>
      <w:r>
        <w:rPr>
          <w:rFonts w:hint="eastAsia" w:cs="宋体"/>
          <w:color w:val="auto"/>
          <w:highlight w:val="none"/>
        </w:rPr>
        <w:t>第八章  最高投标限价</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_Toc17523 \h </w:instrText>
      </w:r>
      <w:r>
        <w:rPr>
          <w:rFonts w:hint="eastAsia" w:cs="宋体"/>
          <w:color w:val="auto"/>
          <w:highlight w:val="none"/>
        </w:rPr>
        <w:fldChar w:fldCharType="separate"/>
      </w:r>
      <w:r>
        <w:rPr>
          <w:rFonts w:hint="eastAsia" w:cs="宋体"/>
          <w:color w:val="auto"/>
          <w:highlight w:val="none"/>
        </w:rPr>
        <w:t>75</w:t>
      </w:r>
      <w:r>
        <w:rPr>
          <w:rFonts w:hint="eastAsia" w:cs="宋体"/>
          <w:color w:val="auto"/>
          <w:highlight w:val="none"/>
        </w:rPr>
        <w:fldChar w:fldCharType="end"/>
      </w:r>
      <w:r>
        <w:rPr>
          <w:rFonts w:hint="eastAsia" w:cs="宋体"/>
          <w:color w:val="auto"/>
          <w:highlight w:val="none"/>
        </w:rPr>
        <w:fldChar w:fldCharType="end"/>
      </w:r>
    </w:p>
    <w:p>
      <w:pPr>
        <w:pStyle w:val="3"/>
        <w:rPr>
          <w:rFonts w:ascii="宋体" w:hAnsi="宋体" w:cs="宋体"/>
          <w:color w:val="auto"/>
          <w:highlight w:val="none"/>
        </w:rPr>
      </w:pPr>
      <w:r>
        <w:rPr>
          <w:rFonts w:hint="eastAsia" w:ascii="宋体" w:hAnsi="宋体" w:cs="宋体"/>
          <w:color w:val="auto"/>
          <w:highlight w:val="none"/>
        </w:rPr>
        <w:fldChar w:fldCharType="end"/>
      </w:r>
    </w:p>
    <w:p>
      <w:pPr>
        <w:pStyle w:val="3"/>
        <w:rPr>
          <w:rFonts w:ascii="宋体" w:hAnsi="宋体" w:cs="宋体"/>
          <w:color w:val="auto"/>
          <w:highlight w:val="none"/>
        </w:rPr>
      </w:pPr>
    </w:p>
    <w:p>
      <w:pPr>
        <w:pStyle w:val="3"/>
        <w:rPr>
          <w:rFonts w:ascii="宋体" w:hAnsi="宋体" w:cs="宋体"/>
          <w:color w:val="auto"/>
          <w:highlight w:val="none"/>
        </w:rPr>
      </w:pPr>
    </w:p>
    <w:p>
      <w:pPr>
        <w:pStyle w:val="3"/>
        <w:spacing w:after="0"/>
        <w:jc w:val="center"/>
        <w:rPr>
          <w:rFonts w:ascii="宋体" w:hAnsi="宋体" w:cs="宋体"/>
          <w:b/>
          <w:bCs/>
          <w:color w:val="auto"/>
          <w:highlight w:val="none"/>
        </w:rPr>
      </w:pPr>
      <w:r>
        <w:rPr>
          <w:rFonts w:hint="eastAsia" w:ascii="宋体" w:hAnsi="宋体" w:cs="宋体"/>
          <w:color w:val="auto"/>
          <w:highlight w:val="none"/>
        </w:rPr>
        <w:br w:type="page"/>
      </w:r>
      <w:bookmarkStart w:id="0" w:name="_Toc9797"/>
      <w:r>
        <w:rPr>
          <w:rFonts w:hint="eastAsia" w:ascii="宋体" w:hAnsi="宋体" w:cs="宋体"/>
          <w:b/>
          <w:bCs/>
          <w:color w:val="auto"/>
          <w:highlight w:val="none"/>
        </w:rPr>
        <w:t>第一章  投标须知</w:t>
      </w:r>
      <w:bookmarkEnd w:id="0"/>
    </w:p>
    <w:p>
      <w:pPr>
        <w:pStyle w:val="4"/>
        <w:spacing w:before="0" w:after="0" w:line="360" w:lineRule="auto"/>
        <w:ind w:left="0"/>
        <w:rPr>
          <w:rFonts w:ascii="宋体" w:hAnsi="宋体" w:cs="宋体"/>
          <w:color w:val="auto"/>
          <w:sz w:val="28"/>
          <w:szCs w:val="28"/>
          <w:highlight w:val="none"/>
        </w:rPr>
      </w:pPr>
      <w:bookmarkStart w:id="1" w:name="_Toc32661"/>
      <w:r>
        <w:rPr>
          <w:rFonts w:hint="eastAsia" w:ascii="宋体" w:hAnsi="宋体" w:cs="宋体"/>
          <w:color w:val="auto"/>
          <w:sz w:val="28"/>
          <w:szCs w:val="28"/>
          <w:highlight w:val="none"/>
        </w:rPr>
        <w:t>一、投标须知前附表</w:t>
      </w:r>
      <w:bookmarkEnd w:id="1"/>
    </w:p>
    <w:p>
      <w:pPr>
        <w:pStyle w:val="2"/>
        <w:ind w:firstLine="0"/>
        <w:rPr>
          <w:rFonts w:ascii="宋体" w:hAnsi="宋体" w:cs="宋体"/>
          <w:b/>
          <w:color w:val="auto"/>
          <w:sz w:val="22"/>
          <w:szCs w:val="22"/>
          <w:highlight w:val="none"/>
        </w:rPr>
      </w:pPr>
      <w:r>
        <w:rPr>
          <w:rFonts w:hint="eastAsia" w:ascii="宋体" w:hAnsi="宋体" w:cs="宋体"/>
          <w:b/>
          <w:color w:val="auto"/>
          <w:sz w:val="22"/>
          <w:szCs w:val="22"/>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8"/>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887"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1713"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6048" w:type="dxa"/>
            <w:tcBorders>
              <w:top w:val="double" w:color="auto" w:sz="4" w:space="0"/>
              <w:left w:val="single" w:color="auto" w:sz="4" w:space="0"/>
              <w:bottom w:val="single" w:color="auto" w:sz="4" w:space="0"/>
              <w:right w:val="double" w:color="auto" w:sz="4" w:space="0"/>
            </w:tcBorders>
            <w:vAlign w:val="center"/>
          </w:tcPr>
          <w:p>
            <w:pPr>
              <w:pStyle w:val="2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定义</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广州达安基因股份有限公司</w:t>
            </w:r>
          </w:p>
          <w:p>
            <w:pPr>
              <w:rPr>
                <w:rFonts w:ascii="宋体" w:hAnsi="宋体" w:cs="宋体"/>
                <w:color w:val="auto"/>
                <w:szCs w:val="21"/>
                <w:highlight w:val="none"/>
                <w:u w:val="singl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rPr>
              <w:t>广东省机电设备招标中心有限公司</w:t>
            </w:r>
          </w:p>
          <w:p>
            <w:pPr>
              <w:rPr>
                <w:rFonts w:ascii="宋体" w:hAnsi="宋体" w:cs="宋体"/>
                <w:color w:val="auto"/>
                <w:szCs w:val="21"/>
                <w:highlight w:val="none"/>
                <w:u w:val="single"/>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rPr>
              <w:t xml:space="preserve">广东粤建设计研究院有限公司 </w:t>
            </w: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    </w:t>
            </w:r>
          </w:p>
          <w:p>
            <w:pPr>
              <w:rPr>
                <w:rFonts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达安基因香山路19号地块厂区2号楼8层耗材与提取试剂生产部装修工程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广州市高新技术产业开发区香山路19号地块厂区2号楼8层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按照包工、包料、包图纸内容、包工期、包质量、包安全并按照本招标工程施工图纸和工程范围及内容采取总价包干，并要负责配合办理本工程报建及验收工作。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执行国家、省或行业现行的工程建设质量验收标准及规范，须达到合格验收质量等级标准并满足医疗器械生产D级洁净车间相关规范要求。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90日历天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2.5</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检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企业自筹资金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highlight w:val="none"/>
                <w:u w:val="single"/>
              </w:rPr>
              <w:t>自行踏勘，投标人不进行踏勘的，视为已熟知现场条件，自行承担相关风险。</w:t>
            </w:r>
            <w:r>
              <w:rPr>
                <w:rFonts w:hint="eastAsia" w:ascii="宋体" w:hAnsi="宋体" w:cs="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rPr>
              <w:t xml:space="preserve"> 2024</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分前；</w:t>
            </w:r>
          </w:p>
          <w:p>
            <w:pPr>
              <w:rPr>
                <w:rFonts w:ascii="宋体" w:hAnsi="宋体" w:cs="宋体"/>
                <w:color w:val="auto"/>
                <w:spacing w:val="-2"/>
                <w:szCs w:val="21"/>
                <w:highlight w:val="none"/>
              </w:rPr>
            </w:pPr>
            <w:r>
              <w:rPr>
                <w:rFonts w:hint="eastAsia" w:ascii="宋体" w:hAnsi="宋体" w:cs="宋体"/>
                <w:color w:val="auto"/>
                <w:szCs w:val="21"/>
                <w:highlight w:val="none"/>
              </w:rPr>
              <w:t>形式：</w:t>
            </w:r>
            <w:r>
              <w:rPr>
                <w:rFonts w:hint="eastAsia" w:ascii="宋体" w:hAnsi="宋体" w:cs="宋体"/>
                <w:color w:val="auto"/>
                <w:spacing w:val="-2"/>
                <w:szCs w:val="21"/>
                <w:highlight w:val="none"/>
              </w:rPr>
              <w:t>投标人的疑问通过</w:t>
            </w:r>
            <w:r>
              <w:rPr>
                <w:rFonts w:hint="eastAsia" w:ascii="宋体" w:hAnsi="宋体" w:cs="宋体"/>
                <w:color w:val="auto"/>
                <w:spacing w:val="-2"/>
                <w:szCs w:val="21"/>
                <w:highlight w:val="none"/>
                <w:u w:val="single"/>
              </w:rPr>
              <w:t>广州公共资源交易中心</w:t>
            </w:r>
            <w:r>
              <w:rPr>
                <w:rFonts w:hint="eastAsia" w:ascii="宋体" w:hAnsi="宋体" w:cs="宋体"/>
                <w:color w:val="auto"/>
                <w:spacing w:val="-2"/>
                <w:szCs w:val="21"/>
                <w:highlight w:val="none"/>
              </w:rPr>
              <w:t>交易平台提交。</w:t>
            </w:r>
          </w:p>
          <w:p>
            <w:pPr>
              <w:rPr>
                <w:rFonts w:ascii="宋体" w:hAnsi="宋体" w:cs="宋体"/>
                <w:color w:val="auto"/>
                <w:szCs w:val="21"/>
                <w:highlight w:val="none"/>
              </w:rPr>
            </w:pPr>
            <w:r>
              <w:rPr>
                <w:rFonts w:hint="eastAsia" w:ascii="宋体" w:hAnsi="宋体" w:cs="宋体"/>
                <w:color w:val="auto"/>
                <w:spacing w:val="-2"/>
                <w:szCs w:val="21"/>
                <w:highlight w:val="none"/>
              </w:rPr>
              <w:t>具体要求：按照交易平台关于全流程电子化项目的相关指南进行操作，详见：</w:t>
            </w:r>
            <w:r>
              <w:rPr>
                <w:rFonts w:hint="eastAsia" w:ascii="宋体" w:hAnsi="宋体" w:cs="宋体"/>
                <w:color w:val="auto"/>
                <w:spacing w:val="-2"/>
                <w:szCs w:val="21"/>
                <w:highlight w:val="none"/>
                <w:u w:val="single"/>
              </w:rPr>
              <w:t>广州公共资源交易中心网站</w:t>
            </w:r>
            <w:r>
              <w:rPr>
                <w:rFonts w:hint="eastAsia" w:ascii="宋体" w:hAnsi="宋体" w:cs="宋体"/>
                <w:color w:val="auto"/>
                <w:spacing w:val="-2"/>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招标文件的澄清或修改将在广州公共资源交易中心交易平台“项目答疑纪要”专区公开发布。答疑纪要一经在广州公共资源交易中心交易平台发布，视作已发放给所有投标人，以广州公共资源交易中心交易平台上网发布时间作为送达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9.4</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招标文件的澄清或修改均在广州公共资源交易中心网站“网上答疑”专区公开发布。当招标文件的澄清、修改、补充等在同一内容的表述不一致时，以最后发出的文件为准。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广州公共资源交易中心网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12.3</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投标文件应按照交易平台关于全流程电子化项目的相关指南进行编制，详见：广州公共资源交易中心网站。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工程量清单计价</w:t>
            </w:r>
            <w:r>
              <w:rPr>
                <w:rFonts w:hint="eastAsia" w:ascii="宋体" w:hAnsi="宋体" w:cs="宋体"/>
                <w:color w:val="auto"/>
                <w:szCs w:val="21"/>
                <w:highlight w:val="none"/>
                <w:u w:val="single"/>
              </w:rPr>
              <w:t>，按国家、省有关计价规范执行。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13.4、13.5.2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bCs/>
                <w:color w:val="auto"/>
                <w:szCs w:val="21"/>
                <w:highlight w:val="none"/>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如出现异议或投诉超过90日历天的，则投标有效期自动延长至异议或投诉处理结束。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是否要求投标人递交投标保证金：</w:t>
            </w:r>
          </w:p>
          <w:p>
            <w:pPr>
              <w:spacing w:line="24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不要求递交投标保证金。</w:t>
            </w:r>
          </w:p>
          <w:p>
            <w:pPr>
              <w:spacing w:line="240" w:lineRule="auto"/>
              <w:rPr>
                <w:rFonts w:ascii="宋体" w:hAnsi="宋体" w:cs="宋体"/>
                <w:color w:val="auto"/>
                <w:szCs w:val="21"/>
                <w:highlight w:val="none"/>
              </w:rPr>
            </w:pP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rPr>
              <w:t>要求递交投标保证金。投标保证金的金额：</w:t>
            </w:r>
            <w:r>
              <w:rPr>
                <w:rFonts w:hint="eastAsia" w:ascii="宋体" w:hAnsi="宋体" w:cs="宋体"/>
                <w:b w:val="0"/>
                <w:bCs/>
                <w:color w:val="auto"/>
                <w:szCs w:val="21"/>
                <w:highlight w:val="none"/>
                <w:u w:val="single"/>
                <w:lang w:val="en-US" w:eastAsia="zh-CN"/>
              </w:rPr>
              <w:t>15</w:t>
            </w:r>
            <w:r>
              <w:rPr>
                <w:rFonts w:hint="eastAsia" w:ascii="宋体" w:hAnsi="宋体" w:cs="宋体"/>
                <w:color w:val="auto"/>
                <w:szCs w:val="21"/>
                <w:highlight w:val="none"/>
              </w:rPr>
              <w:t>万元</w:t>
            </w:r>
          </w:p>
          <w:p>
            <w:pPr>
              <w:spacing w:line="240" w:lineRule="auto"/>
              <w:rPr>
                <w:rFonts w:ascii="宋体" w:hAnsi="宋体" w:cs="宋体"/>
                <w:color w:val="auto"/>
                <w:szCs w:val="21"/>
                <w:highlight w:val="none"/>
              </w:rPr>
            </w:pPr>
            <w:r>
              <w:rPr>
                <w:rFonts w:hint="eastAsia" w:ascii="宋体" w:hAnsi="宋体" w:cs="宋体"/>
                <w:color w:val="auto"/>
                <w:szCs w:val="21"/>
                <w:highlight w:val="none"/>
              </w:rPr>
              <w:t>缴纳时间：</w:t>
            </w:r>
            <w:r>
              <w:rPr>
                <w:rFonts w:hint="eastAsia" w:ascii="宋体" w:hAnsi="宋体" w:cs="宋体"/>
                <w:color w:val="auto"/>
                <w:szCs w:val="21"/>
                <w:highlight w:val="none"/>
                <w:u w:val="single"/>
              </w:rPr>
              <w:t>递交投标文件截止时间前。</w:t>
            </w:r>
          </w:p>
          <w:p>
            <w:pPr>
              <w:spacing w:line="240" w:lineRule="auto"/>
              <w:rPr>
                <w:rFonts w:ascii="宋体" w:hAnsi="宋体" w:cs="宋体"/>
                <w:color w:val="auto"/>
                <w:szCs w:val="21"/>
                <w:highlight w:val="none"/>
              </w:rPr>
            </w:pPr>
            <w:r>
              <w:rPr>
                <w:rFonts w:hint="eastAsia" w:ascii="宋体" w:hAnsi="宋体" w:cs="宋体"/>
                <w:color w:val="auto"/>
                <w:szCs w:val="21"/>
                <w:highlight w:val="none"/>
              </w:rPr>
              <w:t>投标保证金有效期：</w:t>
            </w:r>
            <w:r>
              <w:rPr>
                <w:rFonts w:hint="eastAsia" w:ascii="宋体" w:hAnsi="宋体" w:cs="宋体"/>
                <w:color w:val="auto"/>
                <w:szCs w:val="21"/>
                <w:highlight w:val="none"/>
                <w:u w:val="single"/>
              </w:rPr>
              <w:t>与投标有效期一致。</w:t>
            </w:r>
          </w:p>
          <w:p>
            <w:pPr>
              <w:spacing w:line="240" w:lineRule="auto"/>
              <w:rPr>
                <w:rFonts w:ascii="宋体" w:hAnsi="宋体" w:cs="宋体"/>
                <w:color w:val="auto"/>
                <w:szCs w:val="21"/>
                <w:highlight w:val="none"/>
                <w:u w:val="single"/>
              </w:rPr>
            </w:pPr>
            <w:r>
              <w:rPr>
                <w:rFonts w:hint="eastAsia" w:ascii="宋体" w:hAnsi="宋体" w:cs="宋体"/>
                <w:color w:val="auto"/>
                <w:szCs w:val="21"/>
                <w:highlight w:val="none"/>
                <w:u w:val="single"/>
              </w:rPr>
              <w:t>投标保证金相关事宜详见招标文件16款。</w:t>
            </w:r>
          </w:p>
          <w:p>
            <w:pPr>
              <w:spacing w:line="240" w:lineRule="auto"/>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、投标保证金的形式：投标保证金可采用现金、支票、转账、投标保证保险、投标保函（银行或专业担保公司出具）等形式，须在递交投标文件截止时间前完成缴纳。</w:t>
            </w:r>
          </w:p>
          <w:p>
            <w:pPr>
              <w:spacing w:line="240" w:lineRule="auto"/>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递交方式：（1）如采用现金或者转账或者支票形式提交的由广州交易集团有限公司代收。缴纳情况以开标时广州公共资源交易中心网站查询为准。具体操作流程详见广州公共资源交易中心最新的投标保证金缴纳操作指引或自行咨询交易中心。</w:t>
            </w:r>
          </w:p>
          <w:p>
            <w:pPr>
              <w:spacing w:line="240" w:lineRule="auto"/>
              <w:rPr>
                <w:rFonts w:ascii="宋体" w:hAnsi="宋体" w:cs="宋体"/>
                <w:color w:val="auto"/>
                <w:szCs w:val="21"/>
                <w:highlight w:val="none"/>
                <w:u w:val="single"/>
              </w:rPr>
            </w:pPr>
            <w:r>
              <w:rPr>
                <w:rFonts w:hint="eastAsia" w:ascii="宋体" w:hAnsi="宋体" w:cs="宋体"/>
                <w:color w:val="auto"/>
                <w:szCs w:val="21"/>
                <w:highlight w:val="none"/>
                <w:u w:val="single"/>
              </w:rPr>
              <w:t>（2）如采用投标保证保险、投标保函（银行或专业担保公司出具）形式提交投标保证金的，投标保证保险、投标保函（银行或专业担保公司出具）须开具给招标人（保险受益人须为招标人）。开标前可不提交纸质原件，但投标人应在投标文件中提交投标保证保险、投标保函（银行或专业担保公司出具）的扫描件并加盖投标人电子印章，完成评标后，由中标候选人在中标候选人公示前向招标代理单位提交纸质原件并在网上公示。如投标人选择在开标前提交纸质原件的，可在递交投标文件备用光盘的同时单独密封递交至开标室。（3）如采用电子保函形式递交投标保证金，按广州公共资源交易中心发布的《广州公共资源交易中心关于开通电子保函服务功能的通知》（详见：http://ggzy.gz.gov.cn/zxgg/822128.jhtml）和《广州公共资源交易中心关于进一步完善电子保函服务功能的通知》（详见：http://ggzy.gz.gov.cn/jtgg/842436.jhtml）操作。到账情况以开标时广州公共资源交易中心数据库查询信息为准。</w:t>
            </w:r>
          </w:p>
          <w:p>
            <w:pPr>
              <w:spacing w:line="240" w:lineRule="auto"/>
              <w:rPr>
                <w:rFonts w:ascii="宋体" w:hAnsi="宋体" w:cs="宋体"/>
                <w:color w:val="auto"/>
                <w:szCs w:val="21"/>
                <w:highlight w:val="none"/>
                <w:u w:val="single"/>
              </w:rPr>
            </w:pPr>
            <w:r>
              <w:rPr>
                <w:rFonts w:hint="eastAsia" w:ascii="宋体" w:hAnsi="宋体" w:cs="宋体"/>
                <w:color w:val="auto"/>
                <w:szCs w:val="21"/>
                <w:highlight w:val="none"/>
                <w:u w:val="single"/>
              </w:rPr>
              <w:t>3、开标时投标人没有按要求提供投标保证金的，其投标文件将被否决；未按招标文件要求提交符合免予提供投标保证金相关证明材料，且未提交投标保证金的投标人，视为未按要求提供投标保证金。</w:t>
            </w:r>
          </w:p>
          <w:p>
            <w:pPr>
              <w:widowControl/>
              <w:spacing w:line="240" w:lineRule="auto"/>
              <w:jc w:val="left"/>
              <w:rPr>
                <w:rFonts w:hint="eastAsia" w:ascii="宋体" w:hAnsi="宋体" w:eastAsia="宋体" w:cs="宋体"/>
                <w:b w:val="0"/>
                <w:color w:val="auto"/>
                <w:kern w:val="2"/>
                <w:sz w:val="21"/>
                <w:szCs w:val="21"/>
                <w:highlight w:val="none"/>
                <w:u w:val="single"/>
              </w:rPr>
            </w:pPr>
            <w:r>
              <w:rPr>
                <w:rFonts w:hint="eastAsia" w:ascii="宋体" w:hAnsi="宋体" w:cs="宋体"/>
                <w:color w:val="auto"/>
                <w:szCs w:val="21"/>
                <w:highlight w:val="none"/>
                <w:u w:val="single"/>
              </w:rPr>
              <w:t>注：</w:t>
            </w:r>
            <w:r>
              <w:rPr>
                <w:rFonts w:hint="eastAsia" w:ascii="宋体" w:hAnsi="宋体" w:eastAsia="宋体" w:cs="宋体"/>
                <w:b w:val="0"/>
                <w:bCs w:val="0"/>
                <w:color w:val="auto"/>
                <w:kern w:val="2"/>
                <w:sz w:val="21"/>
                <w:szCs w:val="21"/>
                <w:highlight w:val="none"/>
                <w:u w:val="single"/>
              </w:rPr>
              <w:t>1、</w:t>
            </w:r>
            <w:r>
              <w:rPr>
                <w:rFonts w:hint="eastAsia" w:ascii="宋体" w:hAnsi="宋体" w:eastAsia="宋体" w:cs="宋体"/>
                <w:b w:val="0"/>
                <w:color w:val="auto"/>
                <w:kern w:val="2"/>
                <w:sz w:val="21"/>
                <w:szCs w:val="21"/>
                <w:highlight w:val="none"/>
                <w:u w:val="single"/>
              </w:rPr>
              <w:t>政府投资项目不得收取投标保证金。</w:t>
            </w:r>
            <w:r>
              <w:rPr>
                <w:rFonts w:hint="eastAsia" w:ascii="宋体" w:hAnsi="宋体" w:eastAsia="宋体" w:cs="宋体"/>
                <w:bCs w:val="0"/>
                <w:color w:val="auto"/>
                <w:kern w:val="2"/>
                <w:sz w:val="21"/>
                <w:szCs w:val="21"/>
                <w:highlight w:val="none"/>
                <w:u w:val="single"/>
              </w:rPr>
              <w:t>鼓励招标人对简单小额项目不要求提供投标担保，对中小企业投标人免除投标担保。</w:t>
            </w:r>
          </w:p>
          <w:p>
            <w:pPr>
              <w:widowControl/>
              <w:spacing w:line="240" w:lineRule="auto"/>
              <w:jc w:val="left"/>
              <w:rPr>
                <w:rFonts w:hint="eastAsia" w:ascii="宋体" w:hAnsi="宋体" w:eastAsia="宋体" w:cs="宋体"/>
                <w:bCs w:val="0"/>
                <w:color w:val="auto"/>
                <w:kern w:val="2"/>
                <w:sz w:val="21"/>
                <w:szCs w:val="21"/>
                <w:highlight w:val="none"/>
                <w:u w:val="single"/>
              </w:rPr>
            </w:pPr>
            <w:r>
              <w:rPr>
                <w:rFonts w:hint="eastAsia" w:ascii="宋体" w:hAnsi="宋体" w:eastAsia="宋体" w:cs="宋体"/>
                <w:b w:val="0"/>
                <w:color w:val="auto"/>
                <w:kern w:val="2"/>
                <w:sz w:val="21"/>
                <w:szCs w:val="21"/>
                <w:highlight w:val="none"/>
                <w:u w:val="single"/>
              </w:rPr>
              <w:t>2、</w:t>
            </w:r>
            <w:r>
              <w:rPr>
                <w:rFonts w:hint="eastAsia" w:ascii="宋体" w:hAnsi="宋体" w:eastAsia="宋体" w:cs="宋体"/>
                <w:bCs w:val="0"/>
                <w:color w:val="auto"/>
                <w:kern w:val="2"/>
                <w:sz w:val="21"/>
                <w:szCs w:val="21"/>
                <w:highlight w:val="none"/>
                <w:u w:val="single"/>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rPr>
                <w:rFonts w:ascii="宋体" w:hAnsi="宋体" w:cs="宋体"/>
                <w:color w:val="auto"/>
                <w:highlight w:val="none"/>
              </w:rPr>
            </w:pPr>
            <w:r>
              <w:rPr>
                <w:rFonts w:hint="eastAsia" w:ascii="宋体" w:hAnsi="宋体" w:eastAsia="宋体" w:cs="宋体"/>
                <w:bCs w:val="0"/>
                <w:color w:val="auto"/>
                <w:kern w:val="2"/>
                <w:sz w:val="21"/>
                <w:szCs w:val="21"/>
                <w:highlight w:val="none"/>
                <w:u w:val="single"/>
              </w:rPr>
              <w:t>3、招标人在免收投标保证金的同时，应约定免交投标保证金的投标人存在16.4条款所列情形的后续处理措施</w:t>
            </w:r>
            <w:r>
              <w:rPr>
                <w:rFonts w:hint="eastAsia" w:ascii="宋体" w:hAnsi="宋体" w:cs="宋体"/>
                <w:bCs w:val="0"/>
                <w:color w:val="auto"/>
                <w:kern w:val="2"/>
                <w:sz w:val="21"/>
                <w:szCs w:val="21"/>
                <w:highlight w:val="none"/>
                <w:u w:val="singl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highlight w:val="none"/>
              </w:rPr>
            </w:pPr>
            <w:r>
              <w:rPr>
                <w:rFonts w:hint="eastAsia" w:ascii="宋体" w:hAnsi="宋体" w:cs="宋体"/>
                <w:color w:val="auto"/>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广州公共资源交易中心网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trike/>
                <w:color w:val="auto"/>
                <w:szCs w:val="21"/>
                <w:highlight w:val="none"/>
              </w:rPr>
            </w:pP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1、开标开始时间：</w:t>
            </w:r>
            <w:r>
              <w:rPr>
                <w:rFonts w:hint="eastAsia" w:ascii="宋体" w:hAnsi="宋体" w:cs="宋体"/>
                <w:bCs/>
                <w:color w:val="auto"/>
                <w:kern w:val="0"/>
                <w:szCs w:val="21"/>
                <w:highlight w:val="none"/>
                <w:u w:val="single"/>
              </w:rPr>
              <w:t>2024</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w:t>
            </w:r>
            <w:r>
              <w:rPr>
                <w:rFonts w:hint="eastAsia" w:ascii="宋体" w:hAnsi="宋体" w:cs="宋体"/>
                <w:bCs/>
                <w:color w:val="auto"/>
                <w:szCs w:val="21"/>
                <w:highlight w:val="none"/>
                <w:u w:val="single"/>
              </w:rPr>
              <w:t>广州公共资源交易中心第  开标室</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投标人也可选择参加在线开标，具体按照交易平台相关指南进行操作。详见：http://www.gzggzy.cn/fwznbszyjsgc/index.jhtml。</w:t>
            </w:r>
          </w:p>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2、递交投标文件备用光盘时间：</w:t>
            </w:r>
            <w:r>
              <w:rPr>
                <w:rFonts w:hint="eastAsia" w:ascii="宋体" w:hAnsi="宋体" w:cs="宋体"/>
                <w:bCs/>
                <w:color w:val="auto"/>
                <w:szCs w:val="21"/>
                <w:highlight w:val="none"/>
                <w:u w:val="single"/>
              </w:rPr>
              <w:t>2024</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分至</w:t>
            </w:r>
            <w:r>
              <w:rPr>
                <w:rFonts w:hint="eastAsia" w:ascii="宋体" w:hAnsi="宋体" w:cs="宋体"/>
                <w:bCs/>
                <w:color w:val="auto"/>
                <w:szCs w:val="21"/>
                <w:highlight w:val="none"/>
                <w:u w:val="single"/>
              </w:rPr>
              <w:t>2024</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分；递交地点：</w:t>
            </w:r>
            <w:r>
              <w:rPr>
                <w:rFonts w:hint="eastAsia" w:ascii="宋体" w:hAnsi="宋体" w:cs="宋体"/>
                <w:bCs/>
                <w:color w:val="auto"/>
                <w:szCs w:val="21"/>
                <w:highlight w:val="none"/>
                <w:u w:val="single"/>
              </w:rPr>
              <w:t>广州公共资源交易中心第  开标室</w:t>
            </w:r>
            <w:r>
              <w:rPr>
                <w:rFonts w:hint="eastAsia" w:ascii="宋体" w:hAnsi="宋体" w:cs="宋体"/>
                <w:bCs/>
                <w:color w:val="auto"/>
                <w:kern w:val="0"/>
                <w:szCs w:val="21"/>
                <w:highlight w:val="none"/>
              </w:rPr>
              <w:t>。(建议安排在投标文件截止时间前15分钟至投标文件截止时间）</w:t>
            </w:r>
          </w:p>
          <w:p>
            <w:pPr>
              <w:rPr>
                <w:rFonts w:ascii="宋体" w:hAnsi="宋体" w:cs="宋体"/>
                <w:color w:val="auto"/>
                <w:szCs w:val="21"/>
                <w:highlight w:val="none"/>
              </w:rPr>
            </w:pPr>
            <w:r>
              <w:rPr>
                <w:rFonts w:hint="eastAsia" w:ascii="宋体" w:hAnsi="宋体" w:cs="宋体"/>
                <w:bCs/>
                <w:color w:val="auto"/>
                <w:kern w:val="0"/>
                <w:szCs w:val="21"/>
                <w:highlight w:val="none"/>
              </w:rPr>
              <w:t>上述时间及地点是否有改变，请密切留意</w:t>
            </w:r>
            <w:r>
              <w:rPr>
                <w:rFonts w:hint="eastAsia" w:ascii="宋体" w:hAnsi="宋体" w:cs="宋体"/>
                <w:bCs/>
                <w:color w:val="auto"/>
                <w:kern w:val="0"/>
                <w:szCs w:val="21"/>
                <w:highlight w:val="none"/>
                <w:u w:val="single"/>
              </w:rPr>
              <w:t>补充公告和</w:t>
            </w:r>
            <w:r>
              <w:rPr>
                <w:rFonts w:hint="eastAsia" w:ascii="宋体" w:hAnsi="宋体" w:cs="宋体"/>
                <w:bCs/>
                <w:color w:val="auto"/>
                <w:kern w:val="0"/>
                <w:szCs w:val="21"/>
                <w:highlight w:val="none"/>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20.3</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bCs/>
                <w:color w:val="auto"/>
                <w:kern w:val="0"/>
                <w:szCs w:val="21"/>
                <w:highlight w:val="none"/>
              </w:rPr>
            </w:pPr>
            <w:r>
              <w:rPr>
                <w:rFonts w:hint="eastAsia" w:ascii="宋体" w:hAnsi="宋体" w:cs="宋体"/>
                <w:bCs/>
                <w:color w:val="auto"/>
                <w:kern w:val="0"/>
                <w:szCs w:val="21"/>
                <w:highlight w:val="none"/>
              </w:rPr>
              <w:t>到投标截止时间止，招标人收到的投标文件少于3家的，招标人将重新组织招标。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26</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pPr>
              <w:pStyle w:val="36"/>
              <w:spacing w:after="0"/>
              <w:ind w:firstLine="0"/>
              <w:rPr>
                <w:rFonts w:ascii="宋体" w:hAnsi="宋体" w:cs="宋体"/>
                <w:color w:val="auto"/>
                <w:sz w:val="21"/>
                <w:szCs w:val="21"/>
                <w:highlight w:val="none"/>
              </w:rPr>
            </w:pPr>
            <w:r>
              <w:rPr>
                <w:rFonts w:hint="eastAsia" w:ascii="宋体" w:hAnsi="宋体" w:cs="宋体"/>
                <w:color w:val="auto"/>
                <w:sz w:val="21"/>
                <w:szCs w:val="21"/>
                <w:highlight w:val="none"/>
              </w:rPr>
              <w:t>方式一：选取方法</w:t>
            </w:r>
            <w:r>
              <w:rPr>
                <w:rFonts w:hint="eastAsia" w:ascii="宋体" w:hAnsi="宋体" w:cs="宋体"/>
                <w:color w:val="auto"/>
                <w:sz w:val="21"/>
                <w:szCs w:val="21"/>
                <w:highlight w:val="none"/>
                <w:u w:val="single"/>
              </w:rPr>
              <w:t>七（综合评分法四，技术标与经济标同时开启）</w:t>
            </w:r>
            <w:r>
              <w:rPr>
                <w:rFonts w:hint="eastAsia" w:ascii="宋体" w:hAnsi="宋体" w:cs="宋体"/>
                <w:color w:val="auto"/>
                <w:sz w:val="21"/>
                <w:szCs w:val="21"/>
                <w:highlight w:val="none"/>
              </w:rPr>
              <w:t>；</w:t>
            </w:r>
          </w:p>
          <w:p>
            <w:pPr>
              <w:pStyle w:val="36"/>
              <w:spacing w:after="0"/>
              <w:ind w:firstLine="0"/>
              <w:rPr>
                <w:rFonts w:ascii="宋体" w:hAnsi="宋体" w:cs="宋体"/>
                <w:color w:val="auto"/>
                <w:sz w:val="21"/>
                <w:szCs w:val="21"/>
                <w:highlight w:val="none"/>
              </w:rPr>
            </w:pPr>
            <w:r>
              <w:rPr>
                <w:rFonts w:hint="eastAsia" w:ascii="宋体" w:hAnsi="宋体" w:cs="宋体"/>
                <w:color w:val="auto"/>
                <w:sz w:val="21"/>
                <w:szCs w:val="21"/>
                <w:highlight w:val="none"/>
              </w:rPr>
              <w:t>投标人总得分=技术得分（100分）×技术得分权重（20%）＋经济得分（100分）×经济得分权重（80%）。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27.1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pPr>
              <w:pStyle w:val="36"/>
              <w:spacing w:after="0"/>
              <w:ind w:firstLine="0"/>
              <w:rPr>
                <w:rFonts w:ascii="宋体" w:hAnsi="宋体" w:cs="宋体"/>
                <w:color w:val="auto"/>
                <w:sz w:val="21"/>
                <w:szCs w:val="21"/>
                <w:highlight w:val="none"/>
              </w:rPr>
            </w:pPr>
            <w:r>
              <w:rPr>
                <w:rFonts w:hint="eastAsia" w:ascii="宋体" w:hAnsi="宋体" w:cs="宋体"/>
                <w:color w:val="auto"/>
                <w:sz w:val="21"/>
                <w:szCs w:val="21"/>
                <w:highlight w:val="none"/>
              </w:rPr>
              <w:t>招标人将在广州公共资源交易中心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27.4</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pPr>
              <w:pStyle w:val="36"/>
              <w:spacing w:after="0"/>
              <w:ind w:firstLine="0"/>
              <w:rPr>
                <w:rFonts w:ascii="宋体" w:hAnsi="宋体" w:cs="宋体"/>
                <w:color w:val="auto"/>
                <w:sz w:val="21"/>
                <w:szCs w:val="21"/>
                <w:highlight w:val="none"/>
              </w:rPr>
            </w:pPr>
            <w:r>
              <w:rPr>
                <w:rFonts w:hint="eastAsia" w:ascii="宋体" w:hAnsi="宋体" w:cs="宋体"/>
                <w:color w:val="auto"/>
                <w:sz w:val="21"/>
                <w:szCs w:val="21"/>
                <w:highlight w:val="none"/>
              </w:rPr>
              <w:t>在产生中标候选人后，招标人将中标候选人的投标文件商务部分文件的所有内容（包括人员、业绩、奖项等资料）在广州公共资源交易中心交易平台和广东省招标投标监管网公开。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pPr>
              <w:pStyle w:val="36"/>
              <w:spacing w:after="0"/>
              <w:ind w:firstLine="0"/>
              <w:rPr>
                <w:rFonts w:hint="default" w:ascii="宋体" w:hAnsi="宋体" w:cs="宋体"/>
                <w:color w:val="auto"/>
                <w:kern w:val="2"/>
                <w:sz w:val="21"/>
                <w:szCs w:val="21"/>
                <w:highlight w:val="none"/>
                <w:u w:val="single"/>
                <w:lang w:val="en-US"/>
              </w:rPr>
            </w:pPr>
            <w:r>
              <w:rPr>
                <w:rFonts w:hint="eastAsia" w:ascii="宋体" w:hAnsi="宋体"/>
                <w:color w:val="auto"/>
                <w:szCs w:val="21"/>
                <w:highlight w:val="none"/>
                <w:lang w:val="en-US" w:eastAsia="zh-CN"/>
              </w:rPr>
              <w:t>本项目不需要中标单位提供履约担保。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29.3</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pPr>
              <w:pStyle w:val="36"/>
              <w:spacing w:after="0"/>
              <w:ind w:firstLine="0"/>
              <w:rPr>
                <w:rFonts w:ascii="宋体" w:hAnsi="宋体" w:cs="宋体"/>
                <w:color w:val="auto"/>
                <w:sz w:val="21"/>
                <w:szCs w:val="21"/>
                <w:highlight w:val="none"/>
              </w:rPr>
            </w:pPr>
            <w:r>
              <w:rPr>
                <w:rFonts w:hint="eastAsia" w:ascii="宋体" w:hAnsi="宋体" w:cs="宋体"/>
                <w:color w:val="auto"/>
                <w:sz w:val="21"/>
                <w:szCs w:val="21"/>
                <w:highlight w:val="none"/>
              </w:rPr>
              <w:t>中标单位在本项目结束中标公示后3天内，须提供与递交投标文件电子标书内容一致且每页加盖单位公章的纸质文件四套（二正二副）及电子文件二套（不用生成投标书）；包括用Microsoft Excel软件或广州公共资源交易中心提供的投标书制作软件制作的工程量清单报价表和单价分析表，用Microsoft Excel软件或广州公共资源交易中心提供的投标书制作软件制作的经济投标文件其它部分。电子文件介质使用CD-R光盘，所有电子文件不能采用压缩处理）给招标人。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rPr>
              <w:t>项目最高投标限价为人民币</w:t>
            </w:r>
            <w:r>
              <w:rPr>
                <w:rFonts w:hint="eastAsia" w:ascii="宋体" w:hAnsi="宋体" w:cs="宋体"/>
                <w:color w:val="auto"/>
                <w:szCs w:val="21"/>
                <w:highlight w:val="none"/>
                <w:u w:val="single"/>
              </w:rPr>
              <w:t>10,843,759.59</w:t>
            </w:r>
            <w:r>
              <w:rPr>
                <w:rFonts w:hint="eastAsia" w:ascii="宋体" w:hAnsi="宋体" w:cs="宋体"/>
                <w:color w:val="auto"/>
                <w:szCs w:val="21"/>
                <w:highlight w:val="none"/>
              </w:rPr>
              <w:t>元。</w:t>
            </w:r>
            <w:r>
              <w:rPr>
                <w:rFonts w:hint="eastAsia" w:ascii="宋体" w:hAnsi="宋体" w:cs="宋体"/>
                <w:color w:val="auto"/>
                <w:szCs w:val="21"/>
                <w:highlight w:val="none"/>
              </w:rPr>
              <w:t>投标总价超过最高投标限价的投标文件将被拒绝。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rPr>
              <w:t>568896.6</w:t>
            </w:r>
            <w:r>
              <w:rPr>
                <w:rFonts w:hint="eastAsia" w:ascii="宋体" w:hAnsi="宋体" w:cs="宋体"/>
                <w:color w:val="auto"/>
                <w:szCs w:val="21"/>
                <w:highlight w:val="none"/>
              </w:rPr>
              <w:t xml:space="preserve">元，暂列金额为 </w:t>
            </w:r>
            <w:r>
              <w:rPr>
                <w:rFonts w:hint="eastAsia" w:ascii="宋体" w:hAnsi="宋体" w:cs="宋体"/>
                <w:color w:val="auto"/>
                <w:szCs w:val="21"/>
                <w:highlight w:val="none"/>
                <w:u w:val="single"/>
              </w:rPr>
              <w:t xml:space="preserve">      802074.21</w:t>
            </w:r>
            <w:r>
              <w:rPr>
                <w:rFonts w:hint="eastAsia" w:ascii="宋体" w:hAnsi="宋体" w:cs="宋体"/>
                <w:color w:val="auto"/>
                <w:szCs w:val="21"/>
                <w:highlight w:val="none"/>
              </w:rPr>
              <w:t>元，暂估价为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150000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36"/>
              <w:spacing w:after="0"/>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szCs w:val="21"/>
                <w:highlight w:val="none"/>
                <w:u w:val="single"/>
                <w:lang w:val="en-US" w:eastAsia="zh-CN"/>
              </w:rPr>
              <w:t>9976258.82</w:t>
            </w:r>
            <w:r>
              <w:rPr>
                <w:rFonts w:hint="eastAsia" w:ascii="宋体" w:hAnsi="宋体" w:cs="宋体"/>
                <w:color w:val="auto"/>
                <w:szCs w:val="21"/>
                <w:highlight w:val="none"/>
              </w:rPr>
              <w:t>元（按最高投标限价的</w:t>
            </w:r>
            <w:r>
              <w:rPr>
                <w:rFonts w:hint="eastAsia" w:ascii="宋体" w:hAnsi="宋体" w:cs="宋体"/>
                <w:color w:val="auto"/>
                <w:szCs w:val="21"/>
                <w:highlight w:val="none"/>
                <w:u w:val="single"/>
                <w:lang w:val="en-US" w:eastAsia="zh-CN"/>
              </w:rPr>
              <w:t>92</w:t>
            </w:r>
            <w:r>
              <w:rPr>
                <w:rFonts w:hint="eastAsia" w:ascii="宋体" w:hAnsi="宋体" w:cs="宋体"/>
                <w:color w:val="auto"/>
                <w:szCs w:val="21"/>
                <w:highlight w:val="none"/>
              </w:rPr>
              <w:t>%）</w:t>
            </w:r>
            <w:r>
              <w:rPr>
                <w:rFonts w:hint="eastAsia" w:ascii="宋体" w:hAnsi="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本项目不采用企业综合诚信评价分数。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pPr>
              <w:spacing w:line="24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sym w:font="Wingdings 2" w:char="00A3"/>
            </w:r>
            <w:r>
              <w:rPr>
                <w:rFonts w:hint="eastAsia" w:ascii="宋体" w:hAnsi="宋体" w:cs="宋体"/>
                <w:color w:val="auto"/>
                <w:kern w:val="0"/>
                <w:szCs w:val="21"/>
                <w:highlight w:val="none"/>
                <w:lang w:val="zh-CN"/>
              </w:rPr>
              <w:t xml:space="preserve"> 不允许；</w:t>
            </w:r>
          </w:p>
          <w:p>
            <w:pPr>
              <w:spacing w:line="24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sym w:font="Wingdings 2" w:char="0052"/>
            </w:r>
            <w:r>
              <w:rPr>
                <w:rFonts w:hint="eastAsia" w:ascii="宋体" w:hAnsi="宋体" w:cs="宋体"/>
                <w:color w:val="auto"/>
                <w:kern w:val="0"/>
                <w:szCs w:val="21"/>
                <w:highlight w:val="none"/>
                <w:lang w:val="zh-CN"/>
              </w:rPr>
              <w:t>允许：分包内容要要求：</w:t>
            </w:r>
            <w:r>
              <w:rPr>
                <w:rFonts w:hint="eastAsia" w:ascii="宋体" w:hAnsi="宋体"/>
                <w:color w:val="auto"/>
                <w:szCs w:val="21"/>
                <w:highlight w:val="none"/>
                <w:u w:val="single"/>
              </w:rPr>
              <w:t>中标人按照合同约定或者经招标人同意，可以将中标项目的部分非主体、非关键性工作分包给他人完成。</w:t>
            </w:r>
          </w:p>
          <w:p>
            <w:pPr>
              <w:spacing w:line="24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分包金额要求：</w:t>
            </w:r>
            <w:r>
              <w:rPr>
                <w:rFonts w:hint="eastAsia" w:ascii="宋体" w:hAnsi="宋体"/>
                <w:color w:val="auto"/>
                <w:szCs w:val="21"/>
                <w:highlight w:val="none"/>
                <w:u w:val="single"/>
              </w:rPr>
              <w:t>根据实际情况确定。</w:t>
            </w:r>
          </w:p>
          <w:p>
            <w:pPr>
              <w:spacing w:line="24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对分包人的资质要求：</w:t>
            </w:r>
            <w:r>
              <w:rPr>
                <w:rFonts w:hint="eastAsia" w:ascii="宋体" w:hAnsi="宋体"/>
                <w:color w:val="auto"/>
                <w:szCs w:val="21"/>
                <w:highlight w:val="none"/>
                <w:u w:val="single"/>
                <w:lang w:val="zh-CN"/>
              </w:rPr>
              <w:t>按国家资质管理规定执行</w:t>
            </w:r>
            <w:r>
              <w:rPr>
                <w:rFonts w:hint="eastAsia" w:ascii="宋体" w:hAnsi="宋体"/>
                <w:color w:val="auto"/>
                <w:szCs w:val="21"/>
                <w:highlight w:val="none"/>
                <w:u w:val="single"/>
              </w:rPr>
              <w:t>。</w:t>
            </w:r>
          </w:p>
          <w:p>
            <w:pPr>
              <w:rPr>
                <w:rFonts w:ascii="宋体" w:hAnsi="宋体" w:cs="宋体"/>
                <w:color w:val="auto"/>
                <w:kern w:val="0"/>
                <w:szCs w:val="21"/>
                <w:highlight w:val="none"/>
              </w:rPr>
            </w:pPr>
            <w:r>
              <w:rPr>
                <w:rFonts w:hint="eastAsia" w:ascii="宋体" w:hAnsi="宋体" w:cs="宋体"/>
                <w:color w:val="auto"/>
                <w:kern w:val="0"/>
                <w:szCs w:val="21"/>
                <w:highlight w:val="none"/>
                <w:lang w:val="zh-CN"/>
              </w:rPr>
              <w:t>对分包人的其他要求：</w:t>
            </w:r>
            <w:r>
              <w:rPr>
                <w:rFonts w:hint="eastAsia" w:ascii="宋体" w:hAnsi="宋体" w:cs="宋体"/>
                <w:color w:val="auto"/>
                <w:kern w:val="0"/>
                <w:szCs w:val="21"/>
                <w:highlight w:val="none"/>
                <w:u w:val="single"/>
                <w:lang w:val="zh-CN"/>
              </w:rPr>
              <w:t xml:space="preserve"> </w:t>
            </w:r>
            <w:r>
              <w:rPr>
                <w:rFonts w:hint="eastAsia" w:ascii="宋体" w:hAnsi="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【房建市政】【交易系统】【投标人】全流程电子化交易系统操作手册</w:t>
            </w: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2、提交投标文件光盘备用</w:t>
            </w:r>
          </w:p>
          <w:p>
            <w:pPr>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25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宋体"/>
                <w:color w:val="auto"/>
                <w:szCs w:val="21"/>
                <w:highlight w:val="none"/>
              </w:rPr>
            </w:pPr>
            <w:r>
              <w:rPr>
                <w:rFonts w:hint="eastAsia" w:ascii="宋体" w:hAnsi="宋体" w:cs="宋体"/>
                <w:color w:val="auto"/>
                <w:szCs w:val="21"/>
                <w:highlight w:val="none"/>
              </w:rPr>
              <w:t xml:space="preserve"> 3、补救方案</w:t>
            </w:r>
          </w:p>
          <w:p>
            <w:pPr>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pPr>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pPr>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pPr>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pPr>
              <w:rPr>
                <w:rFonts w:ascii="宋体" w:hAnsi="宋体" w:cs="宋体"/>
                <w:color w:val="auto"/>
                <w:szCs w:val="21"/>
                <w:highlight w:val="none"/>
                <w:u w:val="single"/>
              </w:rPr>
            </w:pPr>
            <w:r>
              <w:rPr>
                <w:rFonts w:hint="eastAsia"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Style w:val="15"/>
              <w:jc w:val="center"/>
              <w:rPr>
                <w:rFonts w:ascii="宋体" w:hAnsi="宋体" w:cs="宋体"/>
                <w:color w:val="auto"/>
                <w:highlight w:val="none"/>
              </w:rPr>
            </w:pPr>
            <w:r>
              <w:rPr>
                <w:rFonts w:hint="eastAsia" w:ascii="宋体" w:hAnsi="宋体" w:cs="宋体"/>
                <w:color w:val="auto"/>
                <w:highlight w:val="none"/>
              </w:rPr>
              <w:t>48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交易服务费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中标人应根据政府有关规定，向广州公共资源交易中心缴纳公共资源交易服务费，投标单位应自行了解公共资源交易服务费收费标准，在投标报价中考虑此项费用。</w:t>
            </w:r>
          </w:p>
        </w:tc>
      </w:tr>
    </w:tbl>
    <w:p>
      <w:pPr>
        <w:pStyle w:val="4"/>
        <w:rPr>
          <w:rFonts w:ascii="宋体" w:hAnsi="宋体" w:cs="宋体"/>
          <w:color w:val="auto"/>
          <w:highlight w:val="none"/>
        </w:rPr>
      </w:pPr>
      <w:r>
        <w:rPr>
          <w:rFonts w:hint="eastAsia" w:ascii="宋体" w:hAnsi="宋体" w:cs="宋体"/>
          <w:color w:val="auto"/>
          <w:highlight w:val="none"/>
        </w:rPr>
        <w:br w:type="page"/>
      </w:r>
      <w:bookmarkStart w:id="2" w:name="_Toc625"/>
      <w:r>
        <w:rPr>
          <w:rFonts w:hint="eastAsia" w:ascii="宋体" w:hAnsi="宋体" w:cs="宋体"/>
          <w:color w:val="auto"/>
          <w:highlight w:val="none"/>
        </w:rPr>
        <w:t>二、投标须知修改表</w:t>
      </w:r>
      <w:bookmarkEnd w:id="2"/>
    </w:p>
    <w:p>
      <w:pPr>
        <w:pStyle w:val="36"/>
        <w:spacing w:line="360" w:lineRule="auto"/>
        <w:rPr>
          <w:rFonts w:ascii="宋体" w:hAnsi="宋体" w:cs="宋体"/>
          <w:b/>
          <w:color w:val="auto"/>
          <w:szCs w:val="21"/>
          <w:highlight w:val="none"/>
        </w:rPr>
      </w:pPr>
      <w:r>
        <w:rPr>
          <w:rFonts w:hint="eastAsia" w:ascii="宋体" w:hAnsi="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tabs>
          <w:tab w:val="left" w:pos="5620"/>
        </w:tabs>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条款号：2.5                    修改类型：增加</w:t>
      </w:r>
    </w:p>
    <w:p>
      <w:pPr>
        <w:pBdr>
          <w:bottom w:val="single" w:color="auto" w:sz="6" w:space="1"/>
        </w:pBdr>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2.5</w:t>
      </w:r>
      <w:r>
        <w:rPr>
          <w:rFonts w:hint="eastAsia" w:ascii="宋体" w:hAnsi="宋体" w:cs="宋体"/>
          <w:color w:val="auto"/>
          <w:kern w:val="0"/>
          <w:sz w:val="24"/>
          <w:szCs w:val="24"/>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检工作。</w:t>
      </w:r>
    </w:p>
    <w:p>
      <w:pPr>
        <w:tabs>
          <w:tab w:val="left" w:pos="5620"/>
        </w:tabs>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条款号：5.1                     修改类型：修改</w:t>
      </w:r>
    </w:p>
    <w:p>
      <w:pPr>
        <w:tabs>
          <w:tab w:val="left" w:pos="5620"/>
        </w:tabs>
        <w:spacing w:line="360" w:lineRule="auto"/>
        <w:ind w:firstLine="540" w:firstLineChars="224"/>
        <w:rPr>
          <w:rFonts w:ascii="宋体" w:hAnsi="宋体" w:cs="宋体"/>
          <w:color w:val="auto"/>
          <w:sz w:val="24"/>
          <w:szCs w:val="24"/>
          <w:highlight w:val="none"/>
        </w:rPr>
      </w:pPr>
      <w:r>
        <w:rPr>
          <w:rFonts w:hint="eastAsia" w:ascii="宋体" w:hAnsi="宋体" w:cs="宋体"/>
          <w:b/>
          <w:color w:val="auto"/>
          <w:sz w:val="24"/>
          <w:szCs w:val="24"/>
          <w:highlight w:val="none"/>
        </w:rPr>
        <w:t>原文：5</w:t>
      </w:r>
      <w:r>
        <w:rPr>
          <w:rFonts w:hint="eastAsia" w:ascii="宋体" w:hAnsi="宋体" w:cs="宋体"/>
          <w:color w:val="auto"/>
          <w:sz w:val="24"/>
          <w:szCs w:val="24"/>
          <w:highlight w:val="none"/>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4" w:space="1"/>
        </w:pBdr>
        <w:spacing w:line="360" w:lineRule="auto"/>
        <w:ind w:firstLine="482" w:firstLineChars="200"/>
        <w:rPr>
          <w:rFonts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5.1投标人应按本投标须知前附表第12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 w:val="24"/>
          <w:szCs w:val="24"/>
          <w:highlight w:val="none"/>
          <w:u w:val="single"/>
        </w:rPr>
        <w:t>投标人不进行踏勘的，视为已孰知现场条件，自行承担相关风险。</w:t>
      </w:r>
      <w:r>
        <w:rPr>
          <w:rFonts w:hint="eastAsia" w:ascii="宋体" w:hAnsi="宋体" w:cs="宋体"/>
          <w:color w:val="auto"/>
          <w:sz w:val="24"/>
          <w:szCs w:val="24"/>
          <w:highlight w:val="none"/>
        </w:rPr>
        <w:t>一旦中标，这种考察即被认为其结果已在中标文件中得到充分反映。考察现场的费用由投标人自己承担。</w:t>
      </w:r>
    </w:p>
    <w:p>
      <w:pPr>
        <w:tabs>
          <w:tab w:val="left" w:pos="5620"/>
        </w:tabs>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color w:val="auto"/>
          <w:sz w:val="24"/>
          <w:szCs w:val="24"/>
          <w:highlight w:val="none"/>
        </w:rPr>
        <w:t>7.1</w:t>
      </w:r>
      <w:r>
        <w:rPr>
          <w:rFonts w:hint="eastAsia" w:ascii="宋体" w:hAnsi="宋体" w:cs="宋体"/>
          <w:b/>
          <w:color w:val="auto"/>
          <w:sz w:val="24"/>
          <w:szCs w:val="24"/>
          <w:highlight w:val="none"/>
        </w:rPr>
        <w:t xml:space="preserve">            修改类型：修改</w:t>
      </w:r>
      <w:r>
        <w:rPr>
          <w:rFonts w:hint="eastAsia" w:ascii="宋体" w:hAnsi="宋体" w:cs="宋体"/>
          <w:b/>
          <w:color w:val="auto"/>
          <w:sz w:val="24"/>
          <w:szCs w:val="24"/>
          <w:highlight w:val="none"/>
        </w:rPr>
        <w:tab/>
      </w:r>
    </w:p>
    <w:p>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7.1</w:t>
      </w:r>
      <w:r>
        <w:rPr>
          <w:rFonts w:hint="eastAsia" w:ascii="宋体" w:hAnsi="宋体" w:cs="宋体"/>
          <w:color w:val="auto"/>
          <w:sz w:val="24"/>
          <w:szCs w:val="24"/>
          <w:highlight w:val="none"/>
        </w:rPr>
        <w:t>本招标文件包括下列文件，以及所有按本须知第8条发出的招标答疑会会议纪要和按本须知第9条发出的澄清或修改：</w:t>
      </w:r>
    </w:p>
    <w:p>
      <w:pPr>
        <w:pStyle w:val="36"/>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第一章  </w:t>
      </w:r>
      <w:r>
        <w:rPr>
          <w:rFonts w:hint="eastAsia" w:ascii="宋体" w:hAnsi="宋体" w:cs="宋体"/>
          <w:color w:val="auto"/>
          <w:sz w:val="24"/>
          <w:szCs w:val="24"/>
          <w:highlight w:val="none"/>
        </w:rPr>
        <w:t>投标须知</w:t>
      </w:r>
    </w:p>
    <w:p>
      <w:pPr>
        <w:pStyle w:val="36"/>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第二章  </w:t>
      </w:r>
      <w:r>
        <w:rPr>
          <w:rFonts w:hint="eastAsia" w:ascii="宋体" w:hAnsi="宋体" w:cs="宋体"/>
          <w:color w:val="auto"/>
          <w:sz w:val="24"/>
          <w:szCs w:val="24"/>
          <w:highlight w:val="none"/>
        </w:rPr>
        <w:t>开标、评标及定标办法</w:t>
      </w:r>
    </w:p>
    <w:p>
      <w:pPr>
        <w:pStyle w:val="36"/>
        <w:spacing w:after="0" w:line="360" w:lineRule="auto"/>
        <w:ind w:left="-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第三章  合同条款</w:t>
      </w:r>
    </w:p>
    <w:p>
      <w:pPr>
        <w:pStyle w:val="36"/>
        <w:spacing w:after="0"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第四章  </w:t>
      </w:r>
      <w:r>
        <w:rPr>
          <w:rFonts w:hint="eastAsia" w:ascii="宋体" w:hAnsi="宋体" w:cs="宋体"/>
          <w:color w:val="auto"/>
          <w:sz w:val="24"/>
          <w:szCs w:val="24"/>
          <w:highlight w:val="none"/>
        </w:rPr>
        <w:t>投标文件格式</w:t>
      </w:r>
    </w:p>
    <w:p>
      <w:pPr>
        <w:pStyle w:val="36"/>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第五章  </w:t>
      </w:r>
      <w:r>
        <w:rPr>
          <w:rFonts w:hint="eastAsia" w:ascii="宋体" w:hAnsi="宋体" w:cs="宋体"/>
          <w:color w:val="auto"/>
          <w:sz w:val="24"/>
          <w:szCs w:val="24"/>
          <w:highlight w:val="none"/>
        </w:rPr>
        <w:t>技术条件（工程建设标准）（另册）</w:t>
      </w:r>
    </w:p>
    <w:p>
      <w:pPr>
        <w:pStyle w:val="36"/>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第六章  </w:t>
      </w:r>
      <w:r>
        <w:rPr>
          <w:rFonts w:hint="eastAsia" w:ascii="宋体" w:hAnsi="宋体" w:cs="宋体"/>
          <w:color w:val="auto"/>
          <w:sz w:val="24"/>
          <w:szCs w:val="24"/>
          <w:highlight w:val="none"/>
        </w:rPr>
        <w:t>图纸及勘察资料（另册）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第七章  招标工程量清单（另册）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第八章  最高投标限价</w:t>
      </w:r>
    </w:p>
    <w:p>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7.1</w:t>
      </w:r>
      <w:r>
        <w:rPr>
          <w:rFonts w:hint="eastAsia" w:ascii="宋体" w:hAnsi="宋体" w:cs="宋体"/>
          <w:color w:val="auto"/>
          <w:sz w:val="24"/>
          <w:szCs w:val="24"/>
          <w:highlight w:val="none"/>
        </w:rPr>
        <w:t>本招标文件包括下列文件，以及所有按本须知第8条发出的招标答疑会会议纪要和按本须知第9条发出的澄清或修改：</w:t>
      </w:r>
    </w:p>
    <w:p>
      <w:pPr>
        <w:pStyle w:val="36"/>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第一章  </w:t>
      </w:r>
      <w:r>
        <w:rPr>
          <w:rFonts w:hint="eastAsia" w:ascii="宋体" w:hAnsi="宋体" w:cs="宋体"/>
          <w:color w:val="auto"/>
          <w:sz w:val="24"/>
          <w:szCs w:val="24"/>
          <w:highlight w:val="none"/>
        </w:rPr>
        <w:t>投标须知</w:t>
      </w:r>
    </w:p>
    <w:p>
      <w:pPr>
        <w:pStyle w:val="36"/>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第二章  </w:t>
      </w:r>
      <w:r>
        <w:rPr>
          <w:rFonts w:hint="eastAsia" w:ascii="宋体" w:hAnsi="宋体" w:cs="宋体"/>
          <w:color w:val="auto"/>
          <w:sz w:val="24"/>
          <w:szCs w:val="24"/>
          <w:highlight w:val="none"/>
        </w:rPr>
        <w:t>开标、评标及定标办法</w:t>
      </w:r>
    </w:p>
    <w:p>
      <w:pPr>
        <w:pStyle w:val="36"/>
        <w:spacing w:after="0" w:line="360" w:lineRule="auto"/>
        <w:ind w:left="-2"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第三章  合同条款（另册）</w:t>
      </w:r>
    </w:p>
    <w:p>
      <w:pPr>
        <w:pStyle w:val="36"/>
        <w:spacing w:after="0"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第四章  </w:t>
      </w:r>
      <w:r>
        <w:rPr>
          <w:rFonts w:hint="eastAsia" w:ascii="宋体" w:hAnsi="宋体" w:cs="宋体"/>
          <w:color w:val="auto"/>
          <w:sz w:val="24"/>
          <w:szCs w:val="24"/>
          <w:highlight w:val="none"/>
        </w:rPr>
        <w:t>投标文件格式</w:t>
      </w:r>
    </w:p>
    <w:p>
      <w:pPr>
        <w:pStyle w:val="36"/>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第五章  </w:t>
      </w:r>
      <w:r>
        <w:rPr>
          <w:rFonts w:hint="eastAsia" w:ascii="宋体" w:hAnsi="宋体" w:cs="宋体"/>
          <w:color w:val="auto"/>
          <w:sz w:val="24"/>
          <w:szCs w:val="24"/>
          <w:highlight w:val="none"/>
        </w:rPr>
        <w:t>技术条件（工程建设标准）（另册）</w:t>
      </w:r>
    </w:p>
    <w:p>
      <w:pPr>
        <w:pStyle w:val="36"/>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第六章  </w:t>
      </w:r>
      <w:r>
        <w:rPr>
          <w:rFonts w:hint="eastAsia" w:ascii="宋体" w:hAnsi="宋体" w:cs="宋体"/>
          <w:color w:val="auto"/>
          <w:sz w:val="24"/>
          <w:szCs w:val="24"/>
          <w:highlight w:val="none"/>
        </w:rPr>
        <w:t>图纸及勘察资料（另册）</w:t>
      </w:r>
    </w:p>
    <w:p>
      <w:pPr>
        <w:pStyle w:val="36"/>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第七章  招标</w:t>
      </w:r>
      <w:r>
        <w:rPr>
          <w:rFonts w:hint="eastAsia" w:ascii="宋体" w:hAnsi="宋体" w:cs="宋体"/>
          <w:color w:val="auto"/>
          <w:sz w:val="24"/>
          <w:szCs w:val="24"/>
          <w:highlight w:val="none"/>
        </w:rPr>
        <w:t xml:space="preserve">工程量清单（另册） </w:t>
      </w:r>
    </w:p>
    <w:p>
      <w:pPr>
        <w:pBdr>
          <w:bottom w:val="single" w:color="auto" w:sz="6" w:space="1"/>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第八章  最高投标限价</w:t>
      </w:r>
    </w:p>
    <w:p>
      <w:pPr>
        <w:pBdr>
          <w:bottom w:val="single" w:color="auto" w:sz="6" w:space="1"/>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注：招标人应在技术条件（工程建设标准）中明确施工现场建筑垃圾源头减量的具体要求和建筑垃圾综合利用产品的使用要求。</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8.1         </w:t>
      </w:r>
      <w:r>
        <w:rPr>
          <w:rFonts w:hint="eastAsia" w:ascii="宋体" w:hAnsi="宋体" w:cs="宋体"/>
          <w:b/>
          <w:color w:val="auto"/>
          <w:sz w:val="24"/>
          <w:szCs w:val="24"/>
          <w:highlight w:val="none"/>
        </w:rPr>
        <w:t>修改类型：修改</w:t>
      </w:r>
    </w:p>
    <w:p>
      <w:pPr>
        <w:pStyle w:val="36"/>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8.1 投标人若对招标文件（包括招标图纸）中有疑问，可以书面形式通过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交易平台提交给招标人或招标代理人，提交形式见本须知前附表第16项。</w:t>
      </w:r>
    </w:p>
    <w:p>
      <w:pPr>
        <w:pBdr>
          <w:bottom w:val="single" w:color="auto" w:sz="6" w:space="1"/>
        </w:pBdr>
        <w:spacing w:line="360" w:lineRule="auto"/>
        <w:ind w:firstLine="472" w:firstLineChars="196"/>
        <w:rPr>
          <w:rFonts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8.1 投标人若对招标文件（包括招标图纸）中有疑问，可以书面形式通过</w:t>
      </w:r>
      <w:r>
        <w:rPr>
          <w:rFonts w:hint="eastAsia" w:ascii="宋体" w:hAnsi="宋体" w:cs="宋体"/>
          <w:color w:val="auto"/>
          <w:sz w:val="24"/>
          <w:szCs w:val="24"/>
          <w:highlight w:val="none"/>
          <w:u w:val="single"/>
        </w:rPr>
        <w:t xml:space="preserve">        广州公共资源交易中心</w:t>
      </w:r>
      <w:r>
        <w:rPr>
          <w:rFonts w:hint="eastAsia" w:ascii="宋体" w:hAnsi="宋体" w:cs="宋体"/>
          <w:color w:val="auto"/>
          <w:sz w:val="24"/>
          <w:szCs w:val="24"/>
          <w:highlight w:val="none"/>
        </w:rPr>
        <w:t>交易平台提交给招标人或招标代理人，提交形式见本须知前附表第16项。</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8.2</w:t>
      </w:r>
      <w:r>
        <w:rPr>
          <w:rFonts w:hint="eastAsia" w:ascii="宋体" w:hAnsi="宋体" w:cs="宋体"/>
          <w:b/>
          <w:color w:val="auto"/>
          <w:sz w:val="24"/>
          <w:szCs w:val="24"/>
          <w:highlight w:val="none"/>
        </w:rPr>
        <w:t xml:space="preserve">             修改类型：修改</w:t>
      </w:r>
    </w:p>
    <w:p>
      <w:pPr>
        <w:pStyle w:val="36"/>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8.2招标答疑会会议纪要将在提交投标文件截止时间15日前在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 “项目答疑纪要”专区公开发布。答疑纪要一经在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交易平台发布，视作已发放给所有投标人。</w:t>
      </w:r>
    </w:p>
    <w:p>
      <w:pPr>
        <w:pBdr>
          <w:bottom w:val="single" w:color="auto" w:sz="6" w:space="1"/>
        </w:pBdr>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8.2招标答疑会会议纪要将在提交投标文件截止时间15日前在</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 “项目答疑纪要”专区公开发布。答疑纪要一经在</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交易平台发布，视作已发放给所有投标人。</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9.2</w:t>
      </w:r>
      <w:r>
        <w:rPr>
          <w:rFonts w:hint="eastAsia" w:ascii="宋体" w:hAnsi="宋体" w:cs="宋体"/>
          <w:b/>
          <w:color w:val="auto"/>
          <w:sz w:val="24"/>
          <w:szCs w:val="24"/>
          <w:highlight w:val="none"/>
        </w:rPr>
        <w:t xml:space="preserve">             修改类型：修改</w:t>
      </w:r>
    </w:p>
    <w:p>
      <w:pPr>
        <w:pStyle w:val="36"/>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9.2招标文件的澄清或修改将在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交易平台发布，视作已发放给所有投标人，以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交易平台上网发布时间作为送达时间。</w:t>
      </w:r>
    </w:p>
    <w:p>
      <w:pPr>
        <w:pBdr>
          <w:bottom w:val="single" w:color="auto" w:sz="6" w:space="1"/>
        </w:pBdr>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9.2招标文件的澄清或修改将在</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交易平台“项目答疑纪要”专区公开发布。答疑纪要一经在</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交易平台发布，视作已发放给所有投标人，以</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交易平台上网发布时间作为送达时间。</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9.4             </w:t>
      </w:r>
      <w:r>
        <w:rPr>
          <w:rFonts w:hint="eastAsia" w:ascii="宋体" w:hAnsi="宋体" w:cs="宋体"/>
          <w:b/>
          <w:color w:val="auto"/>
          <w:sz w:val="24"/>
          <w:szCs w:val="24"/>
          <w:highlight w:val="none"/>
        </w:rPr>
        <w:t>修改类型：修改</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9.4招标文件的澄清或修改均</w:t>
      </w:r>
      <w:r>
        <w:rPr>
          <w:rFonts w:hint="eastAsia" w:ascii="宋体" w:hAnsi="宋体" w:cs="宋体"/>
          <w:color w:val="auto"/>
          <w:sz w:val="24"/>
          <w:szCs w:val="24"/>
          <w:highlight w:val="none"/>
          <w:u w:val="single"/>
        </w:rPr>
        <w:t>在广州公共资源交易中心网站“网上答疑”专区公开发布。</w:t>
      </w:r>
      <w:r>
        <w:rPr>
          <w:rFonts w:hint="eastAsia" w:ascii="宋体" w:hAnsi="宋体" w:cs="宋体"/>
          <w:color w:val="auto"/>
          <w:sz w:val="24"/>
          <w:szCs w:val="24"/>
          <w:highlight w:val="none"/>
        </w:rPr>
        <w:t>当招标文件的澄清、修改、补充等在同一内容的表述不一致时，以最后发出的文件为准。</w:t>
      </w:r>
    </w:p>
    <w:p>
      <w:pPr>
        <w:spacing w:line="48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bCs/>
          <w:color w:val="auto"/>
          <w:sz w:val="24"/>
          <w:szCs w:val="24"/>
          <w:highlight w:val="none"/>
        </w:rPr>
        <w:t>11.2</w:t>
      </w:r>
      <w:r>
        <w:rPr>
          <w:rFonts w:hint="eastAsia" w:ascii="宋体" w:hAnsi="宋体" w:cs="宋体"/>
          <w:b/>
          <w:color w:val="auto"/>
          <w:sz w:val="24"/>
          <w:szCs w:val="24"/>
          <w:highlight w:val="none"/>
        </w:rPr>
        <w:t xml:space="preserve">            修改类型：修改</w:t>
      </w:r>
    </w:p>
    <w:p>
      <w:pPr>
        <w:pStyle w:val="36"/>
        <w:rPr>
          <w:rFonts w:ascii="宋体" w:hAnsi="宋体" w:cs="宋体"/>
          <w:bCs/>
          <w:color w:val="auto"/>
          <w:sz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highlight w:val="none"/>
        </w:rPr>
        <w:t>11.2投标文件技术标部分主要包括下列内容:</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11.2.1 技术投标文件</w:t>
      </w:r>
      <w:r>
        <w:rPr>
          <w:rFonts w:hint="eastAsia" w:ascii="宋体" w:hAnsi="宋体" w:cs="宋体"/>
          <w:color w:val="auto"/>
          <w:sz w:val="24"/>
          <w:highlight w:val="none"/>
        </w:rPr>
        <w:t>(按招标文件的要求填写)</w:t>
      </w:r>
      <w:r>
        <w:rPr>
          <w:rFonts w:hint="eastAsia" w:ascii="宋体" w:hAnsi="宋体" w:cs="宋体"/>
          <w:bCs/>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11.2.2 资格审查文件：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（1）投标人声明；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（2）法定代表人证明书、法定代表人签字或盖章的本投标文件授权委托证明书；</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（3）企业营业执照（取自平台内上传件）；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（4）企业资质证书（取自平台内上传件）；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（5）建筑施工企业安全生产许可证（取自平台内上传件）；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（6）</w:t>
      </w:r>
      <w:r>
        <w:rPr>
          <w:rFonts w:hint="eastAsia" w:ascii="宋体" w:hAnsi="宋体" w:cs="宋体"/>
          <w:bCs/>
          <w:color w:val="auto"/>
          <w:sz w:val="24"/>
          <w:szCs w:val="24"/>
          <w:highlight w:val="none"/>
        </w:rPr>
        <w:t>项目负责人（按网上投标登记时选择拟投标的项目负责人）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（7）专职安全员（按网上投标登记时选择拟投标的专职安全员）</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（8）拟委托技术负责人的相关证书、资料（具体要求由招标人明确）</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（9）拟委派项目负责人的建造师注册证书或小型项目负责人相关证明（取自平台内上传件）；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（10）项目负责人安全培训考核合格证明或在有效期内的安全考核合格证书（B类）或建筑施工企业项目负责人安全生产考核合格证书（取自平台内上传件）</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（11）专职安全员须具有在有效期内的安全考核合格证书（C类）或建筑施工企业专职安全生产管理人员安全生产考核合格证书</w:t>
      </w:r>
      <w:r>
        <w:rPr>
          <w:rFonts w:hint="eastAsia" w:ascii="宋体" w:hAnsi="宋体" w:cs="宋体"/>
          <w:bCs/>
          <w:color w:val="auto"/>
          <w:sz w:val="24"/>
          <w:szCs w:val="24"/>
          <w:highlight w:val="none"/>
        </w:rPr>
        <w:t>（取自平台内上传件）；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（12）用于资格审查的业绩（设置业绩要求时选择此项，投标人</w:t>
      </w:r>
      <w:r>
        <w:rPr>
          <w:rFonts w:hint="eastAsia" w:ascii="宋体" w:hAnsi="宋体" w:cs="宋体"/>
          <w:color w:val="auto"/>
          <w:sz w:val="24"/>
          <w:highlight w:val="none"/>
        </w:rPr>
        <w:t>须提供类似工程业绩的项目名称及项目编号，具体格式由招标人自定</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s="宋体"/>
          <w:color w:val="auto"/>
          <w:sz w:val="24"/>
          <w:szCs w:val="24"/>
          <w:highlight w:val="none"/>
        </w:rPr>
        <w:t>联合体工作协议应明确约定各方拟承担的工作和责任</w:t>
      </w:r>
      <w:r>
        <w:rPr>
          <w:rFonts w:hint="eastAsia" w:ascii="宋体" w:hAnsi="宋体" w:cs="宋体"/>
          <w:bCs/>
          <w:color w:val="auto"/>
          <w:sz w:val="24"/>
          <w:szCs w:val="24"/>
          <w:highlight w:val="none"/>
        </w:rPr>
        <w:t xml:space="preserve">）；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4"/>
          <w:highlight w:val="none"/>
        </w:rPr>
        <w:t>（15）</w:t>
      </w:r>
      <w:r>
        <w:rPr>
          <w:rFonts w:hint="eastAsia" w:ascii="宋体" w:hAnsi="宋体" w:cs="宋体"/>
          <w:color w:val="auto"/>
          <w:sz w:val="24"/>
          <w:szCs w:val="24"/>
          <w:highlight w:val="none"/>
        </w:rPr>
        <w:t>投标人具有在广州地区可使用适合本工程的机械设备的证明文件（</w:t>
      </w:r>
      <w:r>
        <w:rPr>
          <w:rFonts w:hint="eastAsia" w:ascii="宋体" w:hAnsi="宋体" w:cs="宋体"/>
          <w:color w:val="auto"/>
          <w:sz w:val="24"/>
          <w:highlight w:val="none"/>
        </w:rPr>
        <w:t>提供沥青摊铺机自有发票或权属证明及设备现场全貌彩照（彩照须能反映其规格型号）</w:t>
      </w:r>
      <w:r>
        <w:rPr>
          <w:rFonts w:hint="eastAsia" w:ascii="宋体" w:hAnsi="宋体" w:cs="宋体"/>
          <w:color w:val="auto"/>
          <w:sz w:val="24"/>
          <w:szCs w:val="24"/>
          <w:highlight w:val="none"/>
        </w:rPr>
        <w:t>）。（含有市政道路面层沥青摊铺且沥青摊铺占预计发包价50%或以上的大、中修市政公用工程需提供该项内容的证明文件）。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11.2.3项目管理机构配备。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（1）投标人应列出该项目工程的施工组织机构构成和画出机构框架图及其负责人；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（3）其他辅助说明资料。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11.2.5施工组织设计或施工方案。</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11.2.6按照</w:t>
      </w:r>
      <w:r>
        <w:rPr>
          <w:rFonts w:hint="eastAsia" w:ascii="宋体" w:hAnsi="宋体" w:cs="宋体"/>
          <w:bCs/>
          <w:color w:val="auto"/>
          <w:sz w:val="24"/>
          <w:highlight w:val="none"/>
        </w:rPr>
        <w:t>招标文件要求</w:t>
      </w:r>
      <w:r>
        <w:rPr>
          <w:rFonts w:hint="eastAsia" w:ascii="宋体" w:hAnsi="宋体" w:cs="宋体"/>
          <w:color w:val="auto"/>
          <w:sz w:val="24"/>
          <w:highlight w:val="none"/>
        </w:rPr>
        <w:t>填写的《参与编制技术标投标文件人员名单》。</w:t>
      </w:r>
    </w:p>
    <w:p>
      <w:pPr>
        <w:tabs>
          <w:tab w:val="left" w:pos="1125"/>
        </w:tabs>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11.2投标文件技术标部分主要包括下列内容: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11.2.1资格审查文件：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（1）投标人声明；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（2）法定代表人证明书、法定代表人签字或盖章的本投标文件授权委托证明书；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（3）企业营业执照（取自平台内上传件）；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（4）企业资质证书（取自平台内上传件）；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（5）建筑施工企业安全生产许可证（取自平台内上传件）；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（6）项目负责人（按网上投标登记时选择拟投标的项目负责人）；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（7）专职安全员（按网上投标登记时选择拟投标的专职安全员）；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（8）拟委托技术负责人的职称证书；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（9）拟委派项目负责人的建造师注册证书（取自平台内上传件）；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（10）项目负责人安全生产考核合格证明或在有效期内的安全考核合格证书（B类）或建筑施工企业项目负责人安全生产考核合格证书（取自平台内上传件）；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（11）专职安全员须具有在有效期内的安全考核合格证书（C类）或建筑施工企业专职安全生产管理人员安全生产考核合格证书（取自平台内上传件）；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11.2.2按照招标文件要求填写的《参与编制技术标投标文件人员名单》。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11.2.3技术标评分证明材料：</w:t>
      </w:r>
    </w:p>
    <w:p>
      <w:pPr>
        <w:pBdr>
          <w:bottom w:val="single" w:color="auto" w:sz="6" w:space="1"/>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11.2.4按照招标文件要求填写的《危险性较大的分部分项工程清单及超过一定规模的危险性较大的分部分项工程清单》。</w:t>
      </w:r>
    </w:p>
    <w:p>
      <w:pPr>
        <w:pBdr>
          <w:bottom w:val="single" w:color="auto" w:sz="6" w:space="1"/>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11.2.5其他投标人认为应该提供的资料。</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highlight w:val="none"/>
        </w:rPr>
        <w:t>条款号：  11.3               修改类型：修改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 经济部分投标文件主要包括下列内容：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11.3.1 经济投标文件(按招标文件的要求填写)。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（1）投标总价封面、扉页；</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（2）总说明；</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（3）工程项目投标报价汇总表；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（4）单项工程投标报价汇总表；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（5）单位工程投标报价汇总表；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（6）分部分项工程清单与计价表；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（7）单价措施项目清单与计价表；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（8）总价措施项目清单与计价表；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（9）综合单价分析表；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（10）其他项目清单与计价汇总表；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（11）暂列金额明细表；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（12）材料（工程设备）暂估价明细表；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（13）专业工程暂估价明细表；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（14）计日工表；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（15）总承包服务计价表；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（16）规费和税金项目计价表；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（17）人工、主要材料和设备一览表。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11.3.3按照招标文件要求填写的《参与编制经济标投标文件人员名单》。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 xml:space="preserve">11.3 </w:t>
      </w:r>
      <w:r>
        <w:rPr>
          <w:rFonts w:hint="eastAsia" w:ascii="宋体" w:hAnsi="宋体" w:cs="宋体"/>
          <w:b/>
          <w:bCs/>
          <w:color w:val="auto"/>
          <w:sz w:val="24"/>
          <w:szCs w:val="24"/>
          <w:highlight w:val="none"/>
          <w:u w:val="single"/>
        </w:rPr>
        <w:t>经济部分投标文件</w:t>
      </w:r>
      <w:r>
        <w:rPr>
          <w:rFonts w:hint="eastAsia" w:ascii="宋体" w:hAnsi="宋体" w:cs="宋体"/>
          <w:bCs/>
          <w:color w:val="auto"/>
          <w:sz w:val="24"/>
          <w:szCs w:val="24"/>
          <w:highlight w:val="none"/>
        </w:rPr>
        <w:t>主要包括下列内容:</w:t>
      </w:r>
    </w:p>
    <w:p>
      <w:pPr>
        <w:pBdr>
          <w:bottom w:val="single" w:color="auto" w:sz="6" w:space="1"/>
        </w:pBdr>
        <w:adjustRightIn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11.3.1 </w:t>
      </w:r>
      <w:r>
        <w:rPr>
          <w:rFonts w:hint="eastAsia" w:ascii="宋体" w:hAnsi="宋体" w:cs="宋体"/>
          <w:color w:val="auto"/>
          <w:sz w:val="24"/>
          <w:szCs w:val="24"/>
          <w:highlight w:val="none"/>
          <w:u w:val="single"/>
        </w:rPr>
        <w:t>经济投标文件（按招标文件的要求填写）。</w:t>
      </w:r>
    </w:p>
    <w:p>
      <w:pPr>
        <w:pBdr>
          <w:bottom w:val="single" w:color="auto" w:sz="6" w:space="1"/>
        </w:pBd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4"/>
          <w:szCs w:val="24"/>
          <w:highlight w:val="none"/>
          <w:u w:val="single"/>
        </w:rPr>
        <w:t>（投标报价的工程量清单的组成、格式等由广州公共资源交易中心的投标文件管理软件自动生成）</w:t>
      </w:r>
    </w:p>
    <w:p>
      <w:pPr>
        <w:pBdr>
          <w:bottom w:val="single" w:color="auto" w:sz="6" w:space="1"/>
        </w:pBd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11.3.3按照招标文件要求填写的《参与编制经济标投标文件人员名单》。</w:t>
      </w:r>
    </w:p>
    <w:p>
      <w:pPr>
        <w:pBdr>
          <w:bottom w:val="single" w:color="auto" w:sz="6" w:space="1"/>
        </w:pBdr>
        <w:adjustRightIn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11.3.4 《对投标文件编制的承诺》(按招标文件附件的要求填写)。</w:t>
      </w:r>
    </w:p>
    <w:p>
      <w:pPr>
        <w:pBdr>
          <w:bottom w:val="single" w:color="auto" w:sz="6" w:space="1"/>
        </w:pBd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11.3.5 若投标人的投标报价低于工程成本警戒价的，投标人还须提供详细的施工组织设计、单价、措施性费用、单价分析表、主要材料价格表、投标人成本分析供评标委员会评审。</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12.2       </w:t>
      </w:r>
      <w:r>
        <w:rPr>
          <w:rFonts w:hint="eastAsia" w:ascii="宋体" w:hAnsi="宋体" w:cs="宋体"/>
          <w:b/>
          <w:color w:val="auto"/>
          <w:sz w:val="24"/>
          <w:szCs w:val="24"/>
          <w:highlight w:val="none"/>
        </w:rPr>
        <w:t>修改类型：修改</w:t>
      </w:r>
    </w:p>
    <w:p>
      <w:pPr>
        <w:pStyle w:val="36"/>
        <w:spacing w:after="0"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原文：</w:t>
      </w:r>
      <w:r>
        <w:rPr>
          <w:rFonts w:hint="eastAsia" w:ascii="宋体" w:hAnsi="宋体" w:cs="宋体"/>
          <w:color w:val="auto"/>
          <w:sz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Bdr>
          <w:bottom w:val="single" w:color="auto" w:sz="6" w:space="1"/>
        </w:pBdr>
        <w:spacing w:line="360" w:lineRule="auto"/>
        <w:ind w:firstLine="472" w:firstLineChars="196"/>
        <w:rPr>
          <w:rFonts w:ascii="宋体" w:hAnsi="宋体" w:cs="宋体"/>
          <w:b/>
          <w:color w:val="auto"/>
          <w:sz w:val="24"/>
          <w:szCs w:val="24"/>
          <w:highlight w:val="non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szCs w:val="24"/>
          <w:highlight w:val="none"/>
          <w:u w:val="single"/>
        </w:rPr>
        <w:t>广州公共资源交易中心网站。</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12.3       </w:t>
      </w:r>
      <w:r>
        <w:rPr>
          <w:rFonts w:hint="eastAsia" w:ascii="宋体" w:hAnsi="宋体" w:cs="宋体"/>
          <w:b/>
          <w:color w:val="auto"/>
          <w:sz w:val="24"/>
          <w:szCs w:val="24"/>
          <w:highlight w:val="none"/>
        </w:rPr>
        <w:t>修改类型：修改</w:t>
      </w:r>
    </w:p>
    <w:p>
      <w:pPr>
        <w:pStyle w:val="2"/>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Bdr>
          <w:bottom w:val="single" w:color="auto" w:sz="6" w:space="1"/>
        </w:pBdr>
        <w:spacing w:line="360" w:lineRule="auto"/>
        <w:ind w:firstLine="472" w:firstLineChars="196"/>
        <w:rPr>
          <w:rFonts w:ascii="宋体" w:hAnsi="宋体" w:cs="宋体"/>
          <w:b/>
          <w:color w:val="auto"/>
          <w:sz w:val="24"/>
          <w:szCs w:val="24"/>
          <w:highlight w:val="non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ascii="宋体" w:hAnsi="宋体" w:cs="宋体"/>
          <w:color w:val="auto"/>
          <w:sz w:val="24"/>
          <w:szCs w:val="24"/>
          <w:highlight w:val="none"/>
          <w:u w:val="single"/>
        </w:rPr>
        <w:t>广州公共资源交易中心网站。</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条款号：13.1              修改类型：修改</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13.1 本工程的投标报价采用投标须知前附表第12项所规定的方式。投标报价（含单价及总价）精确到“分”。</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本工程的投标报价采用投标须知前附表第19项所规定的方式。</w:t>
      </w:r>
      <w:r>
        <w:rPr>
          <w:rFonts w:hint="eastAsia" w:ascii="宋体" w:hAnsi="宋体" w:cs="宋体"/>
          <w:color w:val="auto"/>
          <w:sz w:val="24"/>
          <w:szCs w:val="24"/>
          <w:highlight w:val="none"/>
          <w:u w:val="single"/>
        </w:rPr>
        <w:t>投标文件中的大写金额和小写金额不一致的，以大写金额为准，</w:t>
      </w:r>
      <w:r>
        <w:rPr>
          <w:rFonts w:hint="eastAsia" w:ascii="宋体" w:hAnsi="宋体" w:cs="宋体"/>
          <w:color w:val="auto"/>
          <w:sz w:val="24"/>
          <w:szCs w:val="24"/>
          <w:highlight w:val="none"/>
        </w:rPr>
        <w:t>投标报价（含单价及总价）精确到“分”。</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条款号：13.4              修改类型：修改</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602" w:firstLineChars="250"/>
        <w:rPr>
          <w:rFonts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13.4</w:t>
      </w:r>
      <w:r>
        <w:rPr>
          <w:rFonts w:hint="eastAsia" w:ascii="宋体" w:hAnsi="宋体" w:cs="宋体"/>
          <w:color w:val="auto"/>
          <w:sz w:val="24"/>
          <w:szCs w:val="24"/>
          <w:highlight w:val="none"/>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条款号：13.5  13.5.1  13.5.2  13.5.3  13.5.4          修改类型：修改</w:t>
      </w:r>
    </w:p>
    <w:p>
      <w:pPr>
        <w:pStyle w:val="36"/>
        <w:pBdr>
          <w:bottom w:val="single" w:color="auto" w:sz="6" w:space="1"/>
        </w:pBdr>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13.5工程项目实施期间……，中标后双方协商约定。</w:t>
      </w:r>
    </w:p>
    <w:p>
      <w:pPr>
        <w:pBdr>
          <w:bottom w:val="single" w:color="auto" w:sz="6" w:space="1"/>
        </w:pBdr>
        <w:spacing w:line="360" w:lineRule="auto"/>
        <w:ind w:firstLine="602" w:firstLineChars="250"/>
        <w:rPr>
          <w:rFonts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13.5</w:t>
      </w:r>
      <w:r>
        <w:rPr>
          <w:rFonts w:hint="eastAsia" w:ascii="宋体" w:hAnsi="宋体" w:cs="宋体"/>
          <w:color w:val="auto"/>
          <w:sz w:val="24"/>
          <w:szCs w:val="24"/>
          <w:highlight w:val="none"/>
          <w:u w:val="single"/>
        </w:rPr>
        <w:t>变更结算方式按招标文件及施工合同相关规定执行。</w:t>
      </w:r>
    </w:p>
    <w:p>
      <w:pPr>
        <w:spacing w:line="48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Cs/>
          <w:color w:val="auto"/>
          <w:sz w:val="24"/>
          <w:szCs w:val="24"/>
          <w:highlight w:val="none"/>
        </w:rPr>
        <w:t xml:space="preserve">13.9 </w:t>
      </w:r>
      <w:r>
        <w:rPr>
          <w:rFonts w:hint="eastAsia" w:ascii="宋体" w:hAnsi="宋体" w:cs="宋体"/>
          <w:b/>
          <w:color w:val="auto"/>
          <w:sz w:val="24"/>
          <w:szCs w:val="24"/>
          <w:highlight w:val="none"/>
        </w:rPr>
        <w:t xml:space="preserve">            修改类型：删除</w:t>
      </w:r>
    </w:p>
    <w:p>
      <w:pPr>
        <w:pBdr>
          <w:bottom w:val="single" w:color="auto" w:sz="6" w:space="1"/>
        </w:pBdr>
        <w:spacing w:line="360" w:lineRule="auto"/>
        <w:ind w:firstLine="602" w:firstLineChars="250"/>
        <w:rPr>
          <w:rFonts w:ascii="宋体" w:hAnsi="宋体" w:cs="宋体"/>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17.1</w:t>
      </w:r>
      <w:r>
        <w:rPr>
          <w:rFonts w:hint="eastAsia" w:ascii="宋体" w:hAnsi="宋体" w:cs="宋体"/>
          <w:b/>
          <w:color w:val="auto"/>
          <w:sz w:val="24"/>
          <w:szCs w:val="24"/>
          <w:highlight w:val="none"/>
        </w:rPr>
        <w:t xml:space="preserve">            修改类型：修改</w:t>
      </w:r>
    </w:p>
    <w:p>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szCs w:val="24"/>
          <w:highlight w:val="none"/>
          <w:u w:val="single"/>
        </w:rPr>
        <w:t>广州公共资源交易中心网站</w:t>
      </w:r>
      <w:r>
        <w:rPr>
          <w:rFonts w:hint="eastAsia" w:ascii="宋体" w:hAnsi="宋体" w:cs="宋体"/>
          <w:color w:val="auto"/>
          <w:sz w:val="24"/>
          <w:szCs w:val="24"/>
          <w:highlight w:val="none"/>
        </w:rPr>
        <w:t>。</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18、19</w:t>
      </w:r>
      <w:r>
        <w:rPr>
          <w:rFonts w:hint="eastAsia" w:ascii="宋体" w:hAnsi="宋体" w:cs="宋体"/>
          <w:b/>
          <w:color w:val="auto"/>
          <w:sz w:val="24"/>
          <w:szCs w:val="24"/>
          <w:highlight w:val="none"/>
        </w:rPr>
        <w:t xml:space="preserve">             修改类型：修改</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
          <w:bCs/>
          <w:color w:val="auto"/>
          <w:sz w:val="24"/>
          <w:szCs w:val="24"/>
          <w:highlight w:val="none"/>
        </w:rPr>
        <w:t>18．</w:t>
      </w:r>
      <w:r>
        <w:rPr>
          <w:rFonts w:hint="eastAsia" w:ascii="宋体" w:hAnsi="宋体" w:cs="宋体"/>
          <w:b/>
          <w:color w:val="auto"/>
          <w:sz w:val="24"/>
          <w:szCs w:val="24"/>
          <w:highlight w:val="none"/>
        </w:rPr>
        <w:t>投标文件的密封和标记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18.1递交的电子投标文件（不含备用光盘）必须进行加密。按照交易平台关于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 。</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18.2 未按要求加密的投标文件，</w:t>
      </w:r>
      <w:r>
        <w:rPr>
          <w:rFonts w:hint="eastAsia" w:ascii="宋体" w:hAnsi="宋体" w:cs="宋体"/>
          <w:color w:val="auto"/>
          <w:sz w:val="24"/>
          <w:szCs w:val="24"/>
          <w:highlight w:val="none"/>
        </w:rPr>
        <w:t>交易平台</w:t>
      </w:r>
      <w:r>
        <w:rPr>
          <w:rFonts w:hint="eastAsia" w:ascii="宋体" w:hAnsi="宋体" w:cs="宋体"/>
          <w:bCs/>
          <w:color w:val="auto"/>
          <w:sz w:val="24"/>
          <w:szCs w:val="24"/>
          <w:highlight w:val="none"/>
        </w:rPr>
        <w:t>将予以拒收。</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19．投标文件的递交和接收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19.1投标人通过</w:t>
      </w:r>
      <w:r>
        <w:rPr>
          <w:rFonts w:hint="eastAsia" w:ascii="宋体" w:hAnsi="宋体" w:cs="宋体"/>
          <w:color w:val="auto"/>
          <w:sz w:val="24"/>
          <w:szCs w:val="24"/>
          <w:highlight w:val="none"/>
        </w:rPr>
        <w:t>交易平台递交电子投标文件。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19.2投标人完成电子</w:t>
      </w:r>
      <w:r>
        <w:rPr>
          <w:rFonts w:hint="eastAsia" w:ascii="宋体" w:hAnsi="宋体" w:cs="宋体"/>
          <w:color w:val="auto"/>
          <w:sz w:val="24"/>
          <w:szCs w:val="24"/>
          <w:highlight w:val="none"/>
        </w:rPr>
        <w:t>投标文件</w:t>
      </w:r>
      <w:r>
        <w:rPr>
          <w:rFonts w:hint="eastAsia" w:ascii="宋体" w:hAnsi="宋体" w:cs="宋体"/>
          <w:bCs/>
          <w:color w:val="auto"/>
          <w:sz w:val="24"/>
          <w:szCs w:val="24"/>
          <w:highlight w:val="none"/>
        </w:rPr>
        <w:t>上传后，</w:t>
      </w:r>
      <w:r>
        <w:rPr>
          <w:rFonts w:hint="eastAsia" w:ascii="宋体" w:hAnsi="宋体" w:cs="宋体"/>
          <w:color w:val="auto"/>
          <w:sz w:val="24"/>
          <w:szCs w:val="24"/>
          <w:highlight w:val="none"/>
        </w:rPr>
        <w:t>交易平台即时向投标人发出递交回执通知。递交时间以递交回执通知载明的传输完成时间为准。</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19.3逾期送达的电子投标文件，</w:t>
      </w:r>
      <w:r>
        <w:rPr>
          <w:rFonts w:hint="eastAsia" w:ascii="宋体" w:hAnsi="宋体" w:cs="宋体"/>
          <w:color w:val="auto"/>
          <w:sz w:val="24"/>
          <w:szCs w:val="24"/>
          <w:highlight w:val="none"/>
        </w:rPr>
        <w:t>交易平台将予以拒收。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19.4 投标截止前，招标人拒绝接收符合条件的投标文件，投标人可向招标投标监督机构投诉。</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19.5如技术标和经济标先后分别开启，交易平台将按招标文件规定的时间分别开启技术标和经济标。</w:t>
      </w:r>
    </w:p>
    <w:p>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36"/>
        <w:spacing w:after="0" w:line="360" w:lineRule="auto"/>
        <w:ind w:firstLine="482" w:firstLineChars="200"/>
        <w:rPr>
          <w:rFonts w:ascii="宋体" w:hAnsi="宋体" w:cs="宋体"/>
          <w:b/>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18．</w:t>
      </w:r>
      <w:r>
        <w:rPr>
          <w:rFonts w:hint="eastAsia" w:ascii="宋体" w:hAnsi="宋体" w:cs="宋体"/>
          <w:b/>
          <w:color w:val="auto"/>
          <w:sz w:val="24"/>
          <w:szCs w:val="24"/>
          <w:highlight w:val="none"/>
        </w:rPr>
        <w:t>投标文件的密封和标记</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18.1递交的电子投标文件（不含备用光盘）必须进行加密。按照交易平台关于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广州公共资源交易中心网站</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18.2 未按要求加密的投标文件，</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w:t>
      </w:r>
      <w:r>
        <w:rPr>
          <w:rFonts w:hint="eastAsia" w:ascii="宋体" w:hAnsi="宋体" w:cs="宋体"/>
          <w:bCs/>
          <w:color w:val="auto"/>
          <w:sz w:val="24"/>
          <w:szCs w:val="24"/>
          <w:highlight w:val="none"/>
        </w:rPr>
        <w:t>将予以拒收。</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19．投标文件的递交和接收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19.1投标人通过</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交易平台递交电子投标文件。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19.2投标人完成电子</w:t>
      </w:r>
      <w:r>
        <w:rPr>
          <w:rFonts w:hint="eastAsia" w:ascii="宋体" w:hAnsi="宋体" w:cs="宋体"/>
          <w:color w:val="auto"/>
          <w:sz w:val="24"/>
          <w:szCs w:val="24"/>
          <w:highlight w:val="none"/>
        </w:rPr>
        <w:t>投标文件</w:t>
      </w:r>
      <w:r>
        <w:rPr>
          <w:rFonts w:hint="eastAsia" w:ascii="宋体" w:hAnsi="宋体" w:cs="宋体"/>
          <w:bCs/>
          <w:color w:val="auto"/>
          <w:sz w:val="24"/>
          <w:szCs w:val="24"/>
          <w:highlight w:val="none"/>
        </w:rPr>
        <w:t>上传后，</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交易平台即时向投标人发出递交回执通知。递交时间以递交回执通知载明的传输完成时间为准。</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19.3逾期送达的电子投标文件，</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交易平台将予以拒收。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19.4 投标截止前，招标人拒绝接收符合条件的投标文件，投标人可向招标投标监督机构投诉。</w:t>
      </w:r>
    </w:p>
    <w:p>
      <w:pPr>
        <w:pBdr>
          <w:bottom w:val="single" w:color="auto" w:sz="6" w:space="1"/>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19.5技术标和经济标同时开启，广州公共资源交易中心交易平台将按招标文件规定的时间同时开启技术标和经济标。</w:t>
      </w:r>
    </w:p>
    <w:p>
      <w:pPr>
        <w:adjustRightInd w:val="0"/>
        <w:spacing w:line="360" w:lineRule="auto"/>
        <w:ind w:firstLine="537" w:firstLineChars="223"/>
        <w:rPr>
          <w:rFonts w:ascii="宋体" w:hAnsi="宋体" w:cs="宋体"/>
          <w:b/>
          <w:color w:val="auto"/>
          <w:sz w:val="24"/>
          <w:szCs w:val="24"/>
          <w:highlight w:val="none"/>
        </w:rPr>
      </w:pPr>
      <w:r>
        <w:rPr>
          <w:rFonts w:hint="eastAsia" w:ascii="宋体" w:hAnsi="宋体" w:cs="宋体"/>
          <w:b/>
          <w:color w:val="auto"/>
          <w:sz w:val="24"/>
          <w:szCs w:val="24"/>
          <w:highlight w:val="none"/>
        </w:rPr>
        <w:t>条款号：20.3             修改类型：修改</w:t>
      </w:r>
    </w:p>
    <w:p>
      <w:pPr>
        <w:adjustRightInd w:val="0"/>
        <w:spacing w:line="360" w:lineRule="auto"/>
        <w:ind w:firstLine="540" w:firstLineChars="224"/>
        <w:rPr>
          <w:rFonts w:ascii="宋体" w:hAnsi="宋体" w:cs="宋体"/>
          <w:b/>
          <w:color w:val="auto"/>
          <w:sz w:val="24"/>
          <w:szCs w:val="24"/>
          <w:highlight w:val="none"/>
        </w:rPr>
      </w:pPr>
      <w:r>
        <w:rPr>
          <w:rFonts w:hint="eastAsia" w:ascii="宋体" w:hAnsi="宋体" w:cs="宋体"/>
          <w:b/>
          <w:bCs/>
          <w:color w:val="auto"/>
          <w:sz w:val="24"/>
          <w:szCs w:val="24"/>
          <w:highlight w:val="none"/>
        </w:rPr>
        <w:t>原文：</w:t>
      </w:r>
      <w:r>
        <w:rPr>
          <w:rFonts w:hint="eastAsia" w:ascii="宋体" w:hAnsi="宋体" w:cs="宋体"/>
          <w:color w:val="auto"/>
          <w:sz w:val="24"/>
          <w:szCs w:val="24"/>
          <w:highlight w:val="none"/>
        </w:rPr>
        <w:t>20.3 到投标截止时间止，招标人收到的投标文件少于3家的，招标人将重新组织招标（当N个标段同时招标且不允许兼中时，若有效投标单位不足N+4家，则重新组织招标）。</w:t>
      </w:r>
    </w:p>
    <w:p>
      <w:pPr>
        <w:pBdr>
          <w:bottom w:val="single" w:color="auto" w:sz="6" w:space="1"/>
        </w:pBdr>
        <w:adjustRightInd w:val="0"/>
        <w:spacing w:line="360" w:lineRule="auto"/>
        <w:ind w:firstLine="602" w:firstLineChars="250"/>
        <w:rPr>
          <w:rFonts w:ascii="宋体" w:hAnsi="宋体" w:cs="宋体"/>
          <w:b/>
          <w:color w:val="auto"/>
          <w:sz w:val="24"/>
          <w:szCs w:val="24"/>
          <w:highlight w:val="non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20.3 到投标截止时间止，招标人收到的投标文件少于</w:t>
      </w:r>
      <w:r>
        <w:rPr>
          <w:rFonts w:hint="eastAsia" w:ascii="宋体" w:hAnsi="宋体" w:cs="宋体"/>
          <w:color w:val="auto"/>
          <w:sz w:val="24"/>
          <w:szCs w:val="24"/>
          <w:highlight w:val="none"/>
          <w:u w:val="single"/>
        </w:rPr>
        <w:t>3家</w:t>
      </w:r>
      <w:r>
        <w:rPr>
          <w:rFonts w:hint="eastAsia" w:ascii="宋体" w:hAnsi="宋体" w:cs="宋体"/>
          <w:color w:val="auto"/>
          <w:sz w:val="24"/>
          <w:szCs w:val="24"/>
          <w:highlight w:val="none"/>
        </w:rPr>
        <w:t>的，招标人将重新组织招标。</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21.1</w:t>
      </w:r>
      <w:r>
        <w:rPr>
          <w:rFonts w:hint="eastAsia" w:ascii="宋体" w:hAnsi="宋体" w:cs="宋体"/>
          <w:b/>
          <w:color w:val="auto"/>
          <w:sz w:val="24"/>
          <w:szCs w:val="24"/>
          <w:highlight w:val="none"/>
        </w:rPr>
        <w:t xml:space="preserve">             修改类型：修改</w:t>
      </w:r>
    </w:p>
    <w:p>
      <w:pPr>
        <w:spacing w:line="360" w:lineRule="auto"/>
        <w:ind w:firstLine="482" w:firstLineChars="200"/>
        <w:rPr>
          <w:rFonts w:ascii="宋体" w:hAnsi="宋体" w:cs="宋体"/>
          <w:bCs/>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21.1 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rPr>
        <w:t>交易平台将予以拒收。</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21.1 本须知前附表第24项规定的投标截止时间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交易平台将予以拒收。</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条款号：27.1          修改类型：修改</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27.1招标人将在交易平台、广东省招标投标监管网和中国招标投标公共服务平台公示中标候选人，公示期为三天。</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27.1招标人将在广州公共资源交易中心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27.4</w:t>
      </w:r>
      <w:r>
        <w:rPr>
          <w:rFonts w:hint="eastAsia" w:ascii="宋体" w:hAnsi="宋体" w:cs="宋体"/>
          <w:b/>
          <w:color w:val="auto"/>
          <w:sz w:val="24"/>
          <w:szCs w:val="24"/>
          <w:highlight w:val="none"/>
        </w:rPr>
        <w:t xml:space="preserve">            修改类型：修改</w:t>
      </w:r>
    </w:p>
    <w:p>
      <w:pPr>
        <w:spacing w:line="360" w:lineRule="auto"/>
        <w:ind w:firstLine="482" w:firstLineChars="200"/>
        <w:rPr>
          <w:rFonts w:ascii="宋体" w:hAnsi="宋体" w:cs="宋体"/>
          <w:bCs/>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27.4在产生中标候选人后，招标人将中标候选人的投标文件商务部分文件的所有内容（包括报价清单、人员、业绩、奖项等资料）在交易平台和广东省招标投标监管网公开。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27.4在产生中标候选人后，招标人将中标候选人的投标文件商务部分文件的所有内容（包括人员、业绩、奖项等资料）在</w:t>
      </w:r>
      <w:r>
        <w:rPr>
          <w:rFonts w:hint="eastAsia" w:ascii="宋体" w:hAnsi="宋体" w:cs="宋体"/>
          <w:color w:val="auto"/>
          <w:kern w:val="0"/>
          <w:sz w:val="24"/>
          <w:szCs w:val="24"/>
          <w:highlight w:val="none"/>
          <w:u w:val="single"/>
        </w:rPr>
        <w:t>广州公共资源交易中心</w:t>
      </w:r>
      <w:r>
        <w:rPr>
          <w:rFonts w:hint="eastAsia" w:ascii="宋体" w:hAnsi="宋体" w:cs="宋体"/>
          <w:color w:val="auto"/>
          <w:sz w:val="24"/>
          <w:szCs w:val="24"/>
          <w:highlight w:val="none"/>
        </w:rPr>
        <w:t>交易平台和广东省招标投标监管网公开。</w:t>
      </w:r>
    </w:p>
    <w:p>
      <w:pPr>
        <w:spacing w:line="48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条款号：29.3            修改类型：增加</w:t>
      </w:r>
    </w:p>
    <w:p>
      <w:pPr>
        <w:pBdr>
          <w:bottom w:val="single" w:color="auto" w:sz="6" w:space="1"/>
        </w:pBdr>
        <w:tabs>
          <w:tab w:val="left" w:pos="1620"/>
        </w:tabs>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中</w:t>
      </w:r>
      <w:r>
        <w:rPr>
          <w:rFonts w:hint="eastAsia" w:ascii="宋体" w:hAnsi="宋体" w:cs="宋体"/>
          <w:color w:val="auto"/>
          <w:sz w:val="24"/>
          <w:szCs w:val="24"/>
          <w:highlight w:val="none"/>
        </w:rPr>
        <w:t>标单位在本项目结束中标公示后3天内，须提供与递交投标文件电子标书内容一致且每页加盖单位公章的纸质文件二套（一正一副）及电子文件一套（不用生成投标书）；包括用Microsoft Excel软件或广州公共资源交易中心提供的投标书制作软件制作的工程量清单报价表和单价分析表，用Microsoft Excel软件或广州公共资源交易中心提供的投标书制作软件制作的经济投标文件其它部分。电子文件介质使用CD-R光盘，所有电子文件不能采用压缩处理）给招标人。</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条款号：32.3         修改类型：修改</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条款号：33.         修改类型：删除</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原文：33.投标人信誉的要求</w:t>
      </w:r>
    </w:p>
    <w:p>
      <w:pPr>
        <w:pBdr>
          <w:bottom w:val="single" w:color="auto" w:sz="6" w:space="1"/>
        </w:pBdr>
        <w:spacing w:line="360" w:lineRule="auto"/>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存在下列情形之一的，招标人可以限制其投标（需在招标文件中明确评定方法）</w:t>
      </w:r>
    </w:p>
    <w:p>
      <w:pPr>
        <w:pBdr>
          <w:bottom w:val="single" w:color="auto" w:sz="6" w:space="1"/>
        </w:pBdr>
        <w:spacing w:line="360" w:lineRule="auto"/>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（1）被住房城乡建设行政主管部门在全国建筑市场监管一体化工作平台列入建筑市场主体“黑名单”；</w:t>
      </w:r>
    </w:p>
    <w:p>
      <w:pPr>
        <w:pBdr>
          <w:bottom w:val="single" w:color="auto" w:sz="6" w:space="1"/>
        </w:pBdr>
        <w:spacing w:line="360" w:lineRule="auto"/>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（2）被发改委、人力资源社会保障、质检总局等有关部门、单位在“信用中国”网站中列入联合惩戒失信黑名单。</w:t>
      </w:r>
    </w:p>
    <w:p>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pPr>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（以下无正文）</w:t>
      </w:r>
    </w:p>
    <w:p>
      <w:pPr>
        <w:spacing w:line="360" w:lineRule="auto"/>
        <w:ind w:firstLine="480" w:firstLineChars="200"/>
        <w:rPr>
          <w:rFonts w:ascii="宋体" w:hAnsi="宋体" w:cs="宋体"/>
          <w:color w:val="auto"/>
          <w:sz w:val="24"/>
          <w:highlight w:val="none"/>
        </w:rPr>
      </w:pPr>
    </w:p>
    <w:p>
      <w:pPr>
        <w:pStyle w:val="2"/>
        <w:spacing w:line="360" w:lineRule="auto"/>
        <w:ind w:firstLine="482" w:firstLineChars="200"/>
        <w:rPr>
          <w:rFonts w:ascii="宋体" w:hAnsi="宋体" w:cs="宋体"/>
          <w:b/>
          <w:bCs/>
          <w:color w:val="auto"/>
          <w:sz w:val="24"/>
          <w:szCs w:val="24"/>
          <w:highlight w:val="none"/>
        </w:rPr>
        <w:sectPr>
          <w:footerReference r:id="rId7" w:type="first"/>
          <w:footerReference r:id="rId6" w:type="default"/>
          <w:endnotePr>
            <w:numFmt w:val="decimal"/>
          </w:endnotePr>
          <w:pgSz w:w="11906" w:h="16838"/>
          <w:pgMar w:top="1134" w:right="1418" w:bottom="1247" w:left="1418" w:header="851" w:footer="907" w:gutter="0"/>
          <w:pgNumType w:start="1"/>
          <w:cols w:space="720" w:num="1"/>
          <w:docGrid w:type="lines" w:linePitch="312" w:charSpace="0"/>
        </w:sectPr>
      </w:pPr>
    </w:p>
    <w:p>
      <w:pPr>
        <w:pStyle w:val="4"/>
        <w:rPr>
          <w:rFonts w:ascii="宋体" w:hAnsi="宋体" w:cs="宋体"/>
          <w:color w:val="auto"/>
          <w:highlight w:val="none"/>
        </w:rPr>
      </w:pPr>
      <w:bookmarkStart w:id="3" w:name="_Toc4710"/>
      <w:r>
        <w:rPr>
          <w:rFonts w:hint="eastAsia" w:ascii="宋体" w:hAnsi="宋体" w:cs="宋体"/>
          <w:color w:val="auto"/>
          <w:highlight w:val="none"/>
        </w:rPr>
        <w:t>三、投标须知通用条款</w:t>
      </w:r>
      <w:bookmarkEnd w:id="3"/>
    </w:p>
    <w:p>
      <w:pPr>
        <w:pStyle w:val="5"/>
        <w:spacing w:before="156" w:after="156"/>
        <w:rPr>
          <w:rFonts w:cs="宋体"/>
          <w:color w:val="auto"/>
          <w:highlight w:val="none"/>
        </w:rPr>
      </w:pPr>
      <w:bookmarkStart w:id="4" w:name="_Toc21525493"/>
      <w:bookmarkStart w:id="5" w:name="_Toc2272549"/>
      <w:bookmarkStart w:id="6" w:name="_Toc2585"/>
      <w:r>
        <w:rPr>
          <w:rFonts w:hint="eastAsia" w:cs="宋体"/>
          <w:color w:val="auto"/>
          <w:highlight w:val="none"/>
        </w:rPr>
        <w:t>（一）总则</w:t>
      </w:r>
      <w:bookmarkEnd w:id="4"/>
      <w:bookmarkEnd w:id="5"/>
      <w:bookmarkEnd w:id="6"/>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1、定义</w:t>
      </w:r>
    </w:p>
    <w:p>
      <w:pPr>
        <w:pStyle w:val="36"/>
        <w:spacing w:after="0"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本招标文件使用的下列词语具有如下规定的意义：</w:t>
      </w:r>
    </w:p>
    <w:p>
      <w:pPr>
        <w:pStyle w:val="36"/>
        <w:spacing w:after="0"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（1）“招标人”（即发包人）、“项目建设管理单位”（或称“项目代建单位”）、“招标代理”、“设计单位”、“监理单位”均已在投标须知前附表中列明。</w:t>
      </w:r>
    </w:p>
    <w:p>
      <w:pPr>
        <w:pStyle w:val="36"/>
        <w:spacing w:after="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（2）“投标人”指向招标人提交投标文件的当事人。   </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（3）“承包人”指其投标被招标人接受并与其签订承包合同的当事人。</w:t>
      </w:r>
    </w:p>
    <w:p>
      <w:pPr>
        <w:pStyle w:val="36"/>
        <w:spacing w:after="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（4）“招标文件”指由招标代理发出的本文件（包括全部章节、附件）及招标答疑会会议纪要和</w:t>
      </w:r>
      <w:r>
        <w:rPr>
          <w:rFonts w:hint="eastAsia" w:ascii="宋体" w:hAnsi="宋体" w:cs="宋体"/>
          <w:bCs/>
          <w:color w:val="auto"/>
          <w:sz w:val="24"/>
          <w:highlight w:val="none"/>
        </w:rPr>
        <w:t>招标文件的澄清与修改</w:t>
      </w:r>
      <w:r>
        <w:rPr>
          <w:rFonts w:hint="eastAsia" w:ascii="宋体" w:hAnsi="宋体" w:cs="宋体"/>
          <w:color w:val="auto"/>
          <w:sz w:val="24"/>
          <w:highlight w:val="none"/>
        </w:rPr>
        <w:t>文件。</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（5）“投标文件”指投标人根据本项目招标文件向招标人提交的全部文件。</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（6）“书面形式”指打字或印刷的文件和数据电文（包括电报、电传、传真、电子数据交换和电子邮件）。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2、招标说明</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2.1本招标工程项目按照《中华人民共和国招标投标法》等有关法律、行政法规、规章和规范性文件，通过招标方式选定承包人。</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2.2工程名称、建设地点、建设规模、承包方式、质量标准、招标范围、工期要求等均在投标须知前附表中列明。</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2.3设计说明：详见招标图纸。</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2.4工程施工特点：详见招标图纸。</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3．资金来源</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3.1本招标工程项目资金来源见投标须知前附表第9项</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4．合格投标人的条件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4.1详见本项目招标公告</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5．踏勘现场</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5.1 投标人应按本投标须知前附表第15项所述时间和要求对工程现场及周围环境进行踏勘，</w:t>
      </w:r>
      <w:r>
        <w:rPr>
          <w:rFonts w:hint="eastAsia" w:ascii="宋体" w:hAnsi="宋体" w:cs="宋体"/>
          <w:color w:val="auto"/>
          <w:sz w:val="24"/>
          <w:highlight w:val="none"/>
        </w:rPr>
        <w:t>投标人应充分重视和仔细地进行这种考察，</w:t>
      </w:r>
      <w:r>
        <w:rPr>
          <w:rFonts w:hint="eastAsia" w:ascii="宋体" w:hAnsi="宋体" w:cs="宋体"/>
          <w:bCs/>
          <w:color w:val="auto"/>
          <w:sz w:val="24"/>
          <w:highlight w:val="none"/>
        </w:rPr>
        <w:t>以便投标人获取</w:t>
      </w:r>
      <w:r>
        <w:rPr>
          <w:rFonts w:hint="eastAsia" w:ascii="宋体" w:hAnsi="宋体" w:cs="宋体"/>
          <w:color w:val="auto"/>
          <w:sz w:val="24"/>
          <w:highlight w:val="none"/>
        </w:rPr>
        <w:t>那些须投标人自己负责的</w:t>
      </w:r>
      <w:r>
        <w:rPr>
          <w:rFonts w:hint="eastAsia" w:ascii="宋体" w:hAnsi="宋体" w:cs="宋体"/>
          <w:bCs/>
          <w:color w:val="auto"/>
          <w:sz w:val="24"/>
          <w:highlight w:val="none"/>
        </w:rPr>
        <w:t>有关编制投标文件和签署合同所涉及现场所有的资料。</w:t>
      </w:r>
      <w:r>
        <w:rPr>
          <w:rFonts w:hint="eastAsia" w:ascii="宋体" w:hAnsi="宋体" w:cs="宋体"/>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5.3 经招标人允许，投标人可为踏勘目的进入招标人的项目现场。</w:t>
      </w:r>
      <w:r>
        <w:rPr>
          <w:rFonts w:hint="eastAsia" w:ascii="宋体" w:hAnsi="宋体" w:cs="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6．投标费用</w:t>
      </w:r>
    </w:p>
    <w:p>
      <w:pPr>
        <w:tabs>
          <w:tab w:val="left" w:pos="10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6.1</w:t>
      </w:r>
      <w:r>
        <w:rPr>
          <w:rFonts w:hint="eastAsia" w:ascii="宋体" w:hAnsi="宋体" w:cs="宋体"/>
          <w:color w:val="auto"/>
          <w:sz w:val="24"/>
          <w:highlight w:val="none"/>
        </w:rPr>
        <w:t>不论投标结果如何，投标人应承担</w:t>
      </w:r>
      <w:r>
        <w:rPr>
          <w:rFonts w:hint="eastAsia" w:ascii="宋体" w:hAnsi="宋体" w:cs="宋体"/>
          <w:bCs/>
          <w:color w:val="auto"/>
          <w:sz w:val="24"/>
          <w:highlight w:val="none"/>
        </w:rPr>
        <w:t>自身</w:t>
      </w:r>
      <w:r>
        <w:rPr>
          <w:rFonts w:hint="eastAsia" w:ascii="宋体" w:hAnsi="宋体" w:cs="宋体"/>
          <w:color w:val="auto"/>
          <w:sz w:val="24"/>
          <w:highlight w:val="none"/>
        </w:rPr>
        <w:t>因投标文件编制、递交及其他</w:t>
      </w:r>
      <w:r>
        <w:rPr>
          <w:rFonts w:hint="eastAsia" w:ascii="宋体" w:hAnsi="宋体" w:cs="宋体"/>
          <w:bCs/>
          <w:color w:val="auto"/>
          <w:sz w:val="24"/>
          <w:highlight w:val="none"/>
        </w:rPr>
        <w:t>参加本招标活动</w:t>
      </w:r>
      <w:r>
        <w:rPr>
          <w:rFonts w:hint="eastAsia" w:ascii="宋体" w:hAnsi="宋体" w:cs="宋体"/>
          <w:color w:val="auto"/>
          <w:sz w:val="24"/>
          <w:highlight w:val="none"/>
        </w:rPr>
        <w:t>所涉及的一切费用，招标人对上述费用不负任何责任。</w:t>
      </w:r>
    </w:p>
    <w:p>
      <w:pPr>
        <w:pStyle w:val="5"/>
        <w:spacing w:before="156" w:after="156"/>
        <w:rPr>
          <w:rFonts w:cs="宋体"/>
          <w:color w:val="auto"/>
          <w:highlight w:val="none"/>
        </w:rPr>
      </w:pPr>
      <w:bookmarkStart w:id="7" w:name="_Toc6335"/>
      <w:bookmarkStart w:id="8" w:name="_Toc21525494"/>
      <w:bookmarkStart w:id="9" w:name="_Toc2272550"/>
      <w:r>
        <w:rPr>
          <w:rFonts w:hint="eastAsia" w:cs="宋体"/>
          <w:color w:val="auto"/>
          <w:highlight w:val="none"/>
        </w:rPr>
        <w:t>（二）招标文件</w:t>
      </w:r>
      <w:bookmarkEnd w:id="7"/>
      <w:bookmarkEnd w:id="8"/>
      <w:bookmarkEnd w:id="9"/>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7.招标文件的组成</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7.1</w:t>
      </w:r>
      <w:r>
        <w:rPr>
          <w:rFonts w:hint="eastAsia" w:ascii="宋体" w:hAnsi="宋体" w:cs="宋体"/>
          <w:color w:val="auto"/>
          <w:sz w:val="24"/>
          <w:highlight w:val="none"/>
        </w:rPr>
        <w:t>本招标文件包括下列文件，以及所有按本须知第8条发出的招标答疑会会议纪要和按本须知第9条发出的澄清或修改：</w:t>
      </w:r>
    </w:p>
    <w:p>
      <w:pPr>
        <w:pStyle w:val="36"/>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第一章  </w:t>
      </w:r>
      <w:r>
        <w:rPr>
          <w:rFonts w:hint="eastAsia" w:ascii="宋体" w:hAnsi="宋体" w:cs="宋体"/>
          <w:color w:val="auto"/>
          <w:sz w:val="24"/>
          <w:highlight w:val="none"/>
        </w:rPr>
        <w:t>投标须知</w:t>
      </w:r>
    </w:p>
    <w:p>
      <w:pPr>
        <w:pStyle w:val="36"/>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第二章  </w:t>
      </w:r>
      <w:r>
        <w:rPr>
          <w:rFonts w:hint="eastAsia" w:ascii="宋体" w:hAnsi="宋体" w:cs="宋体"/>
          <w:color w:val="auto"/>
          <w:sz w:val="24"/>
          <w:highlight w:val="none"/>
        </w:rPr>
        <w:t>开标、评标及定标办法</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第三章  合同条款</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第四章  </w:t>
      </w:r>
      <w:r>
        <w:rPr>
          <w:rFonts w:hint="eastAsia" w:ascii="宋体" w:hAnsi="宋体" w:cs="宋体"/>
          <w:color w:val="auto"/>
          <w:sz w:val="24"/>
          <w:highlight w:val="none"/>
        </w:rPr>
        <w:t>投标文件格式</w:t>
      </w:r>
    </w:p>
    <w:p>
      <w:pPr>
        <w:pStyle w:val="36"/>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第五章  </w:t>
      </w:r>
      <w:r>
        <w:rPr>
          <w:rFonts w:hint="eastAsia" w:ascii="宋体" w:hAnsi="宋体" w:cs="宋体"/>
          <w:color w:val="auto"/>
          <w:sz w:val="24"/>
          <w:highlight w:val="none"/>
        </w:rPr>
        <w:t>技术条件（工程建设标准）（另册）</w:t>
      </w:r>
    </w:p>
    <w:p>
      <w:pPr>
        <w:pStyle w:val="36"/>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第六章  </w:t>
      </w:r>
      <w:r>
        <w:rPr>
          <w:rFonts w:hint="eastAsia" w:ascii="宋体" w:hAnsi="宋体" w:cs="宋体"/>
          <w:color w:val="auto"/>
          <w:sz w:val="24"/>
          <w:highlight w:val="none"/>
        </w:rPr>
        <w:t>图纸及勘察资料（另册）</w:t>
      </w:r>
    </w:p>
    <w:p>
      <w:pPr>
        <w:pStyle w:val="36"/>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第七章  招标</w:t>
      </w:r>
      <w:r>
        <w:rPr>
          <w:rFonts w:hint="eastAsia" w:ascii="宋体" w:hAnsi="宋体" w:cs="宋体"/>
          <w:color w:val="auto"/>
          <w:sz w:val="24"/>
          <w:highlight w:val="none"/>
        </w:rPr>
        <w:t>工程量清单（另册）</w:t>
      </w:r>
    </w:p>
    <w:p>
      <w:pPr>
        <w:pStyle w:val="36"/>
        <w:spacing w:after="0"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第八章  最高投标限价</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投标人一旦中标，招标文件的内容对招标人和中标人双方均有约束力。</w:t>
      </w:r>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8．招标答疑</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 投标人若对招标文件（包括招标图纸）中有疑问，可以书面形式</w:t>
      </w:r>
      <w:r>
        <w:rPr>
          <w:rFonts w:hint="eastAsia" w:ascii="宋体" w:hAnsi="宋体" w:cs="宋体"/>
          <w:color w:val="auto"/>
          <w:sz w:val="24"/>
          <w:szCs w:val="24"/>
          <w:highlight w:val="none"/>
        </w:rPr>
        <w:t>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交易平台提交</w:t>
      </w:r>
      <w:r>
        <w:rPr>
          <w:rFonts w:hint="eastAsia" w:ascii="宋体" w:hAnsi="宋体" w:cs="宋体"/>
          <w:color w:val="auto"/>
          <w:sz w:val="24"/>
          <w:highlight w:val="none"/>
        </w:rPr>
        <w:t>给招标人或招标代理人，提交形式见本须知前附表第16项。</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8.2招标答疑会会议纪要将在提交投标文件截止时间15日前在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 xml:space="preserve"> “项目答疑纪要”专区公开发布。答疑纪要一经在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发布，视作已发放给所有投标人。</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8.3答疑会会议纪要为招标文件的一部分。</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8.4若招标答疑会会议纪要与招标文件有矛盾，以答疑会议纪要最后发出的书面形式的文件为准。</w:t>
      </w:r>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9.招标文件的澄清与修改</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9.1招标文件发出后,在提交投标文件截止时间15日前，招标人可对招标文件进行必要的澄清或修改。</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9.2招标文件的澄清或修改将在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发布，视作已发放给所有投标人，以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上网发布时间作为送达时间。</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9.3招标文件的修改内容为招标文件的组成部分。</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9.4招标文件的澄清或修改均以书面形式明确的内容为准。当招标文件的澄清、修改、补充等在同一内容的表述不一致时，以最后发出的书面形式的文件为准。</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5"/>
        <w:spacing w:before="156" w:after="156"/>
        <w:rPr>
          <w:rFonts w:cs="宋体"/>
          <w:color w:val="auto"/>
          <w:highlight w:val="none"/>
        </w:rPr>
      </w:pPr>
      <w:bookmarkStart w:id="10" w:name="_Toc1598"/>
      <w:bookmarkStart w:id="11" w:name="_Toc21525495"/>
      <w:bookmarkStart w:id="12" w:name="_Toc2272551"/>
      <w:r>
        <w:rPr>
          <w:rFonts w:hint="eastAsia" w:cs="宋体"/>
          <w:color w:val="auto"/>
          <w:highlight w:val="none"/>
        </w:rPr>
        <w:t>（三）投标文件的编制</w:t>
      </w:r>
      <w:bookmarkEnd w:id="10"/>
      <w:bookmarkEnd w:id="11"/>
      <w:bookmarkEnd w:id="12"/>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10．投标文件的语言及度量衡单位</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 投标文件和与投标有关的所有文件均应使用中文。</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10.2 除工程规范另有规定外，投标文件使用的度量衡单位，均采用中华人民共和国法定计量单位。</w:t>
      </w:r>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11．投标文件的组成</w:t>
      </w:r>
    </w:p>
    <w:p>
      <w:pPr>
        <w:pStyle w:val="36"/>
        <w:spacing w:after="0"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11.1 投标文件由技术部分（含资格审查文件）和经济部分二部分投标文件组成</w:t>
      </w:r>
      <w:r>
        <w:rPr>
          <w:rFonts w:hint="eastAsia" w:ascii="宋体" w:hAnsi="宋体" w:cs="宋体"/>
          <w:b/>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11.2投标文件技术标部分主要包括下列内容:</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11.2.1 技术投标文件</w:t>
      </w:r>
      <w:r>
        <w:rPr>
          <w:rFonts w:hint="eastAsia" w:ascii="宋体" w:hAnsi="宋体" w:cs="宋体"/>
          <w:color w:val="auto"/>
          <w:sz w:val="24"/>
          <w:highlight w:val="none"/>
        </w:rPr>
        <w:t>(按招标文件的要求填写)</w:t>
      </w:r>
      <w:r>
        <w:rPr>
          <w:rFonts w:hint="eastAsia" w:ascii="宋体" w:hAnsi="宋体" w:cs="宋体"/>
          <w:bCs/>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11.2.2 资格审查文件：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（1）投标人声明；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（2）法定代表人证明书、法定代表人签字或盖章的本投标文件授权委托证明书；</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（3）企业营业执照（取自平台内上传件）；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（4）企业资质证书（取自平台内上传件）；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（5）建筑施工企业安全生产许可证（取自平台内上传件）；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（6）</w:t>
      </w:r>
      <w:r>
        <w:rPr>
          <w:rFonts w:hint="eastAsia" w:ascii="宋体" w:hAnsi="宋体" w:cs="宋体"/>
          <w:bCs/>
          <w:color w:val="auto"/>
          <w:sz w:val="24"/>
          <w:szCs w:val="24"/>
          <w:highlight w:val="none"/>
        </w:rPr>
        <w:t>项目负责人（按网上投标登记时选择拟投标的项目负责人）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（7）专职安全员（按网上投标登记时选择拟投标的专职安全员）</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（8）拟委托技术负责人的相关证书、资料（具体要求由招标人明确）</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（9）拟委派项目负责人的建造师注册证书或小型项目负责人相关证明（取自平台内上传件）；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（10）项目负责人安全培训考核合格证明或在有效期内的安全考核合格证书（B类）或建筑施工企业项目负责人安全生产考核合格证书（取自平台内上传件）</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（11）专职安全员须具有在有效期内的安全考核合格证书（C类）或建筑施工企业专职安全生产管理人员安全生产考核合格证书</w:t>
      </w:r>
      <w:r>
        <w:rPr>
          <w:rFonts w:hint="eastAsia" w:ascii="宋体" w:hAnsi="宋体" w:cs="宋体"/>
          <w:bCs/>
          <w:color w:val="auto"/>
          <w:sz w:val="24"/>
          <w:szCs w:val="24"/>
          <w:highlight w:val="none"/>
        </w:rPr>
        <w:t>（取自平台内上传件）；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（12）用于资格审查的业绩（设置业绩要求时选择此项，投标人</w:t>
      </w:r>
      <w:r>
        <w:rPr>
          <w:rFonts w:hint="eastAsia" w:ascii="宋体" w:hAnsi="宋体" w:cs="宋体"/>
          <w:color w:val="auto"/>
          <w:sz w:val="24"/>
          <w:highlight w:val="none"/>
        </w:rPr>
        <w:t>须提供类似工程业绩的项目名称及项目编号，具体格式由招标人自定</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s="宋体"/>
          <w:color w:val="auto"/>
          <w:sz w:val="24"/>
          <w:szCs w:val="24"/>
          <w:highlight w:val="none"/>
        </w:rPr>
        <w:t>联合体工作协议应明确约定各方拟承担的工作和责任</w:t>
      </w:r>
      <w:r>
        <w:rPr>
          <w:rFonts w:hint="eastAsia" w:ascii="宋体" w:hAnsi="宋体" w:cs="宋体"/>
          <w:bCs/>
          <w:color w:val="auto"/>
          <w:sz w:val="24"/>
          <w:szCs w:val="24"/>
          <w:highlight w:val="none"/>
        </w:rPr>
        <w:t xml:space="preserve">）；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4"/>
          <w:highlight w:val="none"/>
        </w:rPr>
        <w:t>（15）</w:t>
      </w:r>
      <w:r>
        <w:rPr>
          <w:rFonts w:hint="eastAsia" w:ascii="宋体" w:hAnsi="宋体" w:cs="宋体"/>
          <w:color w:val="auto"/>
          <w:sz w:val="24"/>
          <w:szCs w:val="24"/>
          <w:highlight w:val="none"/>
        </w:rPr>
        <w:t>投标人具有在广州地区可使用适合本工程的机械设备的证明文件（</w:t>
      </w:r>
      <w:r>
        <w:rPr>
          <w:rFonts w:hint="eastAsia" w:ascii="宋体" w:hAnsi="宋体" w:cs="宋体"/>
          <w:color w:val="auto"/>
          <w:sz w:val="24"/>
          <w:highlight w:val="none"/>
        </w:rPr>
        <w:t>提供沥青摊铺机自有发票或权属证明及设备现场全貌彩照（彩照须能反映其规格型号）</w:t>
      </w:r>
      <w:r>
        <w:rPr>
          <w:rFonts w:hint="eastAsia" w:ascii="宋体" w:hAnsi="宋体" w:cs="宋体"/>
          <w:color w:val="auto"/>
          <w:sz w:val="24"/>
          <w:szCs w:val="24"/>
          <w:highlight w:val="none"/>
        </w:rPr>
        <w:t>）。（含有市政道路面层沥青摊铺且沥青摊铺占预计发包价50%或以上的大、中修市政公用工程需提供该项内容的证明文件）。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11.2.3项目管理机构配备。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（1）投标人应列出该项目工程的施工组织机构构成和画出机构框架图及其负责人；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（3）其他辅助说明资料。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11.2.5施工组织设计或施工方案。</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11.2.6按照</w:t>
      </w:r>
      <w:r>
        <w:rPr>
          <w:rFonts w:hint="eastAsia" w:ascii="宋体" w:hAnsi="宋体" w:cs="宋体"/>
          <w:bCs/>
          <w:color w:val="auto"/>
          <w:sz w:val="24"/>
          <w:highlight w:val="none"/>
        </w:rPr>
        <w:t>招标文件要求</w:t>
      </w:r>
      <w:r>
        <w:rPr>
          <w:rFonts w:hint="eastAsia" w:ascii="宋体" w:hAnsi="宋体" w:cs="宋体"/>
          <w:color w:val="auto"/>
          <w:sz w:val="24"/>
          <w:highlight w:val="none"/>
        </w:rPr>
        <w:t>填写的《参与编制技术标投标文件人员名单》。</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11.3 经济部分投标文件主要包括下列内容：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 经济投标文件(按招标文件的要求填写)。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4"/>
          <w:szCs w:val="24"/>
          <w:highlight w:val="none"/>
        </w:rPr>
        <w:t>其中包括如下：</w:t>
      </w:r>
      <w:r>
        <w:rPr>
          <w:rFonts w:hint="eastAsia" w:ascii="宋体" w:hAnsi="宋体" w:cs="宋体"/>
          <w:color w:val="auto"/>
          <w:sz w:val="24"/>
          <w:highlight w:val="none"/>
        </w:rPr>
        <w:t xml:space="preserve"> </w:t>
      </w:r>
    </w:p>
    <w:p>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（1）投标总价封面、扉页；</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（2）总说明</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（3）工程项目投标报价汇总表；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（4）单项工程投标报价汇总表；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（5）单位工程投标报价汇总表；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（6）分部分项工程清单与计价表；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（7）单价措施项目清单与计价表；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（8）总价措施项目清单与计价表；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（9）综合单价分析表；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（10）其他项目清单与计价汇总表；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（11）暂列金额明细表；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（12）材料（工程设备）暂估价明细表；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（13）专业工程暂估价明细表；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（14）计日工表；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（15）总承包服务计价表；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（16）规费和税金项目计价表；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 xml:space="preserve"> （17）人工、主要材料和设备一览表</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11.3.3按照</w:t>
      </w:r>
      <w:r>
        <w:rPr>
          <w:rFonts w:hint="eastAsia" w:ascii="宋体" w:hAnsi="宋体" w:cs="宋体"/>
          <w:bCs/>
          <w:color w:val="auto"/>
          <w:sz w:val="24"/>
          <w:highlight w:val="none"/>
        </w:rPr>
        <w:t>招标文件要求</w:t>
      </w:r>
      <w:r>
        <w:rPr>
          <w:rFonts w:hint="eastAsia" w:ascii="宋体" w:hAnsi="宋体" w:cs="宋体"/>
          <w:color w:val="auto"/>
          <w:sz w:val="24"/>
          <w:highlight w:val="none"/>
        </w:rPr>
        <w:t>填写的《参与编制经济标投标文件人员名单》。</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12．投标文件格式</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投标文件包括本须知第11条中规定的内容，投标人提交的投标文件应当使用招标文件所提供的投标文件全部格式（表格可以按同样格式扩展）。</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highlight w:val="none"/>
        </w:rPr>
        <w:t>照交易平台关于全流程电子化项目的相关指南进行编制，详见：</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rPr>
        <w:t xml:space="preserve">。               </w:t>
      </w:r>
    </w:p>
    <w:p>
      <w:pPr>
        <w:pStyle w:val="36"/>
        <w:spacing w:after="0" w:line="360" w:lineRule="auto"/>
        <w:ind w:firstLine="0"/>
        <w:rPr>
          <w:rFonts w:ascii="宋体" w:hAnsi="宋体" w:cs="宋体"/>
          <w:color w:val="auto"/>
          <w:sz w:val="24"/>
          <w:highlight w:val="none"/>
        </w:rPr>
      </w:pPr>
      <w:r>
        <w:rPr>
          <w:rFonts w:hint="eastAsia" w:ascii="宋体" w:hAnsi="宋体" w:cs="宋体"/>
          <w:bCs/>
          <w:color w:val="auto"/>
          <w:sz w:val="24"/>
          <w:szCs w:val="24"/>
          <w:highlight w:val="none"/>
        </w:rPr>
        <w:t>如不按上述要求编制引起系统无法检索、读取相关信息的，其后果由投标人承担。</w:t>
      </w:r>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13．投标报价及造价承包和变更结算方式</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本工程的投标报价采用投标须知前附表第12项所规定的方式。投标报价（含单价及总价）精确到“分”。</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s="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13.5.1中标的投标文件工程量清单中已有相同项目的适用综合单价，则沿用；</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13.5.3 中标的投标文件工程量清单中没有相同项目或类似项目的，如可套取相关定额，则以相关定额为基数下浮计算单价,下浮率为中标价</w:t>
      </w:r>
      <w:r>
        <w:rPr>
          <w:rFonts w:hint="eastAsia" w:ascii="宋体" w:hAnsi="宋体" w:cs="宋体"/>
          <w:color w:val="auto"/>
          <w:sz w:val="24"/>
          <w:szCs w:val="24"/>
          <w:highlight w:val="none"/>
        </w:rPr>
        <w:t>相对于最高投标限价的下</w:t>
      </w:r>
      <w:r>
        <w:rPr>
          <w:rFonts w:hint="eastAsia" w:ascii="宋体" w:hAnsi="宋体" w:cs="宋体"/>
          <w:color w:val="auto"/>
          <w:sz w:val="24"/>
          <w:highlight w:val="none"/>
        </w:rPr>
        <w:t>浮率（下浮率=(</w:t>
      </w:r>
      <w:r>
        <w:rPr>
          <w:rFonts w:hint="eastAsia" w:ascii="宋体" w:hAnsi="宋体" w:cs="宋体"/>
          <w:color w:val="auto"/>
          <w:sz w:val="24"/>
          <w:szCs w:val="24"/>
          <w:highlight w:val="none"/>
        </w:rPr>
        <w:t>最高投标限价</w:t>
      </w:r>
      <w:r>
        <w:rPr>
          <w:rFonts w:hint="eastAsia" w:ascii="宋体" w:hAnsi="宋体" w:cs="宋体"/>
          <w:color w:val="auto"/>
          <w:sz w:val="24"/>
          <w:highlight w:val="none"/>
        </w:rPr>
        <w:t>-中标价)/</w:t>
      </w:r>
      <w:r>
        <w:rPr>
          <w:rFonts w:hint="eastAsia" w:ascii="宋体" w:hAnsi="宋体" w:cs="宋体"/>
          <w:color w:val="auto"/>
          <w:sz w:val="24"/>
          <w:szCs w:val="24"/>
          <w:highlight w:val="none"/>
        </w:rPr>
        <w:t xml:space="preserve"> 最高投标限价</w:t>
      </w:r>
      <w:r>
        <w:rPr>
          <w:rFonts w:hint="eastAsia" w:ascii="宋体" w:hAnsi="宋体" w:cs="宋体"/>
          <w:color w:val="auto"/>
          <w:sz w:val="24"/>
          <w:highlight w:val="none"/>
        </w:rPr>
        <w:t>）。</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13.5.4 如相关定额没有相应子目的，其计价方式由招标人在本招标文件第三章中另行规定。未规定的，中标后双方协商约定。</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13.6暂列金额、暂估价</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暂估价是指招标人在工程量清单中提供的用于支付必然发生但暂时不能确定价格的材料的单价以及专业工程的金额。</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36"/>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13.9</w:t>
      </w:r>
      <w:r>
        <w:rPr>
          <w:rFonts w:hint="eastAsia" w:ascii="宋体" w:hAnsi="宋体" w:cs="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14．投标货币</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本工程投标报价采用的币种为人民币。</w:t>
      </w:r>
    </w:p>
    <w:p>
      <w:pPr>
        <w:pStyle w:val="36"/>
        <w:spacing w:after="0"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15．投标有效期</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 投标有效期见投标须知前附表第13项所规定的期限，在此期限内，凡符合本招标文件要求的投标文件均保持有效。</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16.1投标人应按投标须知前附表第14项所述金额和时间递交</w:t>
      </w:r>
      <w:r>
        <w:rPr>
          <w:rFonts w:hint="eastAsia" w:ascii="宋体" w:hAnsi="宋体" w:cs="宋体"/>
          <w:bCs/>
          <w:color w:val="auto"/>
          <w:sz w:val="24"/>
          <w:highlight w:val="none"/>
        </w:rPr>
        <w:t>投标保证金</w:t>
      </w:r>
      <w:r>
        <w:rPr>
          <w:rFonts w:hint="eastAsia" w:ascii="宋体" w:hAnsi="宋体" w:cs="宋体"/>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16.1.1 采用现金或者支票形式提交的，投标保证金须从投标人的银行基本账户转出。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16.3投标保证金应依据法律法规的相关规定退还。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16.4.1因投标人原因造成投标文件未解密的；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16.4.2投标人在投标有效期内撤销投标文件；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16.4.3中标人未能在规定期限内按要求提交履约担保；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16.4.4中标人未能在规定期限内签署合同协议。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16.5.1投标人存在16.4条款所列情形且投标人提交的保函、担保或保证保险无法兑付的；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16.5.3按招标文件要求免于提供投标保证金的投标人存在16.4条款所列情形的。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注：16.5.3款由招标人二选一，需在招标文件中明确。</w:t>
      </w:r>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17．投标文件的签署</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5"/>
        <w:spacing w:before="156" w:after="156"/>
        <w:rPr>
          <w:rFonts w:cs="宋体"/>
          <w:color w:val="auto"/>
          <w:highlight w:val="none"/>
        </w:rPr>
      </w:pPr>
      <w:bookmarkStart w:id="13" w:name="_Toc2272552"/>
      <w:bookmarkStart w:id="14" w:name="_Toc21525496"/>
      <w:bookmarkStart w:id="15" w:name="_Toc16729"/>
      <w:r>
        <w:rPr>
          <w:rFonts w:hint="eastAsia" w:cs="宋体"/>
          <w:color w:val="auto"/>
          <w:highlight w:val="none"/>
        </w:rPr>
        <w:t>（四）投标文件的提交</w:t>
      </w:r>
      <w:bookmarkEnd w:id="13"/>
      <w:bookmarkEnd w:id="14"/>
      <w:bookmarkEnd w:id="15"/>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w:t>
      </w:r>
      <w:r>
        <w:rPr>
          <w:rFonts w:hint="eastAsia" w:ascii="宋体" w:hAnsi="宋体" w:cs="宋体"/>
          <w:b/>
          <w:color w:val="auto"/>
          <w:sz w:val="24"/>
          <w:szCs w:val="24"/>
          <w:highlight w:val="none"/>
        </w:rPr>
        <w:t>投标文件的密封和标记</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18.1递交的电子投标文件（不含备用光盘）必须进行加密。按照交易平台关于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18.2 未按要求加密的投标文件，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bCs/>
          <w:color w:val="auto"/>
          <w:sz w:val="24"/>
          <w:highlight w:val="none"/>
        </w:rPr>
        <w:t>将予以拒收。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19．投标文件的递交和接收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19.1投标人通过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递交电子投标文件。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19.2投标人完成电子</w:t>
      </w:r>
      <w:r>
        <w:rPr>
          <w:rFonts w:hint="eastAsia" w:ascii="宋体" w:hAnsi="宋体" w:cs="宋体"/>
          <w:color w:val="auto"/>
          <w:sz w:val="24"/>
          <w:highlight w:val="none"/>
        </w:rPr>
        <w:t>投标文件</w:t>
      </w:r>
      <w:r>
        <w:rPr>
          <w:rFonts w:hint="eastAsia" w:ascii="宋体" w:hAnsi="宋体" w:cs="宋体"/>
          <w:bCs/>
          <w:color w:val="auto"/>
          <w:sz w:val="24"/>
          <w:highlight w:val="none"/>
        </w:rPr>
        <w:t>上传后，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即时向投标人发出递交回执通知。递交时间以递交回执通知载明的传输完成时间为准。</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19.3</w:t>
      </w:r>
      <w:r>
        <w:rPr>
          <w:rFonts w:hint="eastAsia" w:ascii="宋体" w:hAnsi="宋体" w:cs="宋体"/>
          <w:bCs/>
          <w:color w:val="auto"/>
          <w:sz w:val="24"/>
          <w:szCs w:val="24"/>
          <w:highlight w:val="none"/>
        </w:rPr>
        <w:t>逾期送达的</w:t>
      </w:r>
      <w:r>
        <w:rPr>
          <w:rFonts w:hint="eastAsia" w:ascii="宋体" w:hAnsi="宋体" w:cs="宋体"/>
          <w:bCs/>
          <w:color w:val="auto"/>
          <w:sz w:val="24"/>
          <w:highlight w:val="none"/>
        </w:rPr>
        <w:t>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将予以拒收。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19.4 </w:t>
      </w:r>
      <w:r>
        <w:rPr>
          <w:rFonts w:hint="eastAsia" w:ascii="宋体" w:hAnsi="宋体" w:cs="宋体"/>
          <w:color w:val="auto"/>
          <w:sz w:val="24"/>
          <w:szCs w:val="24"/>
          <w:highlight w:val="none"/>
        </w:rPr>
        <w:t>投标截止前，招标人拒绝接收符合条件的投标文件，投标人可向招标投标监督机构投诉。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19.5如技术标和经济标先后分别开启，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将按招标文件规定的时间分别开启技术标和经济标。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19.6在规定的时间内，项目负责人须到自助签到。按照交易平台有关项目负责人自助签到流程进行操作。项目负责人凡未凭身份证按时到达指定地点签到的，</w:t>
      </w:r>
      <w:r>
        <w:rPr>
          <w:rFonts w:hint="eastAsia" w:ascii="宋体" w:hAnsi="宋体" w:cs="宋体"/>
          <w:color w:val="auto"/>
          <w:sz w:val="24"/>
          <w:highlight w:val="none"/>
        </w:rPr>
        <w:t>该投标文件将不能参与资格审查和评标</w:t>
      </w:r>
      <w:r>
        <w:rPr>
          <w:rFonts w:hint="eastAsia" w:ascii="宋体" w:hAnsi="宋体" w:cs="宋体"/>
          <w:color w:val="auto"/>
          <w:sz w:val="24"/>
          <w:szCs w:val="24"/>
          <w:highlight w:val="none"/>
        </w:rPr>
        <w:t>（选择性条款）。</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20．投标文件提交的截止时间</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20.1投标人应在投标须知前附表第17项所述的时间前提交投标文件。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 到投标截止时间止，招标人收到的投标文件少于3家的，招标人将重新组织招标</w:t>
      </w:r>
      <w:r>
        <w:rPr>
          <w:rFonts w:hint="eastAsia" w:ascii="宋体" w:hAnsi="宋体" w:cs="宋体"/>
          <w:color w:val="auto"/>
          <w:sz w:val="24"/>
          <w:szCs w:val="24"/>
          <w:highlight w:val="none"/>
        </w:rPr>
        <w:t>（当N个标段同时招标且不允许兼中时，若有效投标人不足N+2家，则重新组织招标）</w:t>
      </w:r>
      <w:r>
        <w:rPr>
          <w:rFonts w:hint="eastAsia" w:ascii="宋体" w:hAnsi="宋体" w:cs="宋体"/>
          <w:color w:val="auto"/>
          <w:sz w:val="24"/>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21．迟交的投标文件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本须知前附表第17项规定的投标截止时间</w:t>
      </w:r>
      <w:r>
        <w:rPr>
          <w:rFonts w:hint="eastAsia" w:ascii="宋体" w:hAnsi="宋体" w:cs="宋体"/>
          <w:bCs/>
          <w:color w:val="auto"/>
          <w:sz w:val="24"/>
          <w:szCs w:val="24"/>
          <w:highlight w:val="none"/>
        </w:rPr>
        <w:t>后送达的</w:t>
      </w:r>
      <w:r>
        <w:rPr>
          <w:rFonts w:hint="eastAsia" w:ascii="宋体" w:hAnsi="宋体" w:cs="宋体"/>
          <w:bCs/>
          <w:color w:val="auto"/>
          <w:sz w:val="24"/>
          <w:highlight w:val="none"/>
        </w:rPr>
        <w:t>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将予以拒收。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22．投标文件的修改与撤回</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22.1在规定的投标截止时间前，投标人可以修改或撤回已递交的投标文件，但应以书面形式通知招标人。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22.2投标人修改或撤回已递交的投标文件，需在</w:t>
      </w:r>
      <w:r>
        <w:rPr>
          <w:rFonts w:hint="eastAsia" w:ascii="宋体" w:hAnsi="宋体" w:cs="宋体"/>
          <w:color w:val="auto"/>
          <w:sz w:val="24"/>
          <w:highlight w:val="none"/>
        </w:rPr>
        <w:t>交易平台发出修改或撤回</w:t>
      </w:r>
      <w:r>
        <w:rPr>
          <w:rFonts w:hint="eastAsia" w:ascii="宋体" w:hAnsi="宋体" w:cs="宋体"/>
          <w:color w:val="auto"/>
          <w:sz w:val="24"/>
          <w:szCs w:val="24"/>
          <w:highlight w:val="none"/>
        </w:rPr>
        <w:t>通知，并按要求加盖电子印章。</w:t>
      </w:r>
      <w:r>
        <w:rPr>
          <w:rFonts w:hint="eastAsia" w:ascii="宋体" w:hAnsi="宋体" w:cs="宋体"/>
          <w:bCs/>
          <w:iCs/>
          <w:color w:val="auto"/>
          <w:sz w:val="24"/>
          <w:szCs w:val="24"/>
          <w:highlight w:val="none"/>
        </w:rPr>
        <w:t>电子招标投标交易平台收到通知后，</w:t>
      </w:r>
      <w:r>
        <w:rPr>
          <w:rFonts w:hint="eastAsia" w:ascii="宋体" w:hAnsi="宋体" w:cs="宋体"/>
          <w:color w:val="auto"/>
          <w:sz w:val="24"/>
          <w:szCs w:val="24"/>
          <w:highlight w:val="none"/>
        </w:rPr>
        <w:t>即时向投标人发出确认回执通知。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22.3修改后再次递交的，按19点的规定执行。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22.4 在投标截止时间之后，投标人不得补充、修改和更换投标文件。</w:t>
      </w:r>
    </w:p>
    <w:p>
      <w:pPr>
        <w:pStyle w:val="5"/>
        <w:spacing w:before="156" w:after="156"/>
        <w:rPr>
          <w:rFonts w:cs="宋体"/>
          <w:color w:val="auto"/>
          <w:highlight w:val="none"/>
        </w:rPr>
      </w:pPr>
      <w:bookmarkStart w:id="16" w:name="_Toc21877"/>
      <w:bookmarkStart w:id="17" w:name="_Toc2272553"/>
      <w:bookmarkStart w:id="18" w:name="_Toc21525497"/>
      <w:r>
        <w:rPr>
          <w:rFonts w:hint="eastAsia" w:cs="宋体"/>
          <w:color w:val="auto"/>
          <w:highlight w:val="none"/>
        </w:rPr>
        <w:t>（五）开标、评标、定标及合同签定</w:t>
      </w:r>
      <w:bookmarkEnd w:id="16"/>
      <w:bookmarkEnd w:id="17"/>
      <w:bookmarkEnd w:id="1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23、开标。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详见第二章开标、评标及定标办法</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24．评标过程的保密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25．投标文件的澄清，计算错误的修正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详见招标文件第二章开标、评标及定标办法</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26．投标文件的评审、比较和否决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color w:val="auto"/>
          <w:sz w:val="24"/>
          <w:highlight w:val="none"/>
        </w:rPr>
        <w:t>详见招标文件第二章开标、评标及定标办法。</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27.1招标人将在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、广东省招标投标监管网和中国招标投标公共服务平台公示中标候选人，公示期为三天。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27.3中标人必须在收到中标通知书后24小时之内以书面形式回复招标人，确认收到。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27.4在产生中标候选人后，招标人将中标候选人的投标文件商务部分文件的所有内容（包括报价清单、人员、业绩、奖项等资料）在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交易平台和广东省招标投标监管网</w:t>
      </w:r>
      <w:r>
        <w:rPr>
          <w:rFonts w:hint="eastAsia" w:ascii="宋体" w:hAnsi="宋体" w:cs="宋体"/>
          <w:color w:val="auto"/>
          <w:sz w:val="24"/>
          <w:highlight w:val="none"/>
        </w:rPr>
        <w:t>公开。</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28．合同协议书的签订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28.4招标人支付工程款时，中标人应按规定开具发票。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29．履约担保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29.1 在收到中标通知书后的</w:t>
      </w:r>
      <w:r>
        <w:rPr>
          <w:rFonts w:hint="eastAsia" w:ascii="宋体" w:hAnsi="宋体" w:cs="宋体"/>
          <w:b/>
          <w:color w:val="auto"/>
          <w:sz w:val="24"/>
          <w:highlight w:val="none"/>
        </w:rPr>
        <w:t>15日</w:t>
      </w:r>
      <w:r>
        <w:rPr>
          <w:rFonts w:hint="eastAsia" w:ascii="宋体" w:hAnsi="宋体" w:cs="宋体"/>
          <w:color w:val="auto"/>
          <w:sz w:val="24"/>
          <w:highlight w:val="none"/>
        </w:rPr>
        <w:t>内，中标人应按本须知前附表第20项的规定向招标人提交履约担保。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30．合同生效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30.1在合同双方全权代表在合同协议书上签字，并分别加盖双方单位的公章后，合同正式生效。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31．其它费用</w:t>
      </w:r>
    </w:p>
    <w:p>
      <w:pPr>
        <w:pStyle w:val="36"/>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32．腐败与欺诈行为</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在招标和合同实施期间，招标人要求投标人和承包人遵守最高的道德标准。</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32．1对本条款的规定，特定义如下词汇：</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1）、“腐败行为”是指在招标或合同执行期间，通过提供、给予、接受或索要任何有价值的东西，从而影响招标人有关人员工作的行为；</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32．2如果投标人被认定在本招标的竞争中有腐败或欺诈行为，则会被取消投标资格。</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ascii="宋体" w:hAnsi="宋体" w:cs="宋体"/>
          <w:b/>
          <w:color w:val="auto"/>
          <w:sz w:val="24"/>
          <w:highlight w:val="none"/>
        </w:rPr>
      </w:pPr>
      <w:r>
        <w:rPr>
          <w:rFonts w:hint="eastAsia" w:ascii="宋体" w:hAnsi="宋体" w:cs="宋体"/>
          <w:b/>
          <w:color w:val="auto"/>
          <w:sz w:val="24"/>
          <w:highlight w:val="none"/>
        </w:rPr>
        <w:t>33. 投标人信誉的要求</w:t>
      </w:r>
    </w:p>
    <w:p>
      <w:pPr>
        <w:spacing w:line="48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存在下列情形之一的，招标人可以限制其投标（需在招标文件中明确评定方法）</w:t>
      </w:r>
    </w:p>
    <w:p>
      <w:pPr>
        <w:spacing w:line="48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（1）被住房城乡建设行政主管部门在全国建筑市场监管一体化工作平台列入建筑市场主体“黑名单”；</w:t>
      </w:r>
    </w:p>
    <w:p>
      <w:pPr>
        <w:pStyle w:val="36"/>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（2）被发改委、人力资源社会保障、质检总局等有关部门、单位在“信用中国”网站中列入联合惩戒失信黑名单。</w:t>
      </w:r>
    </w:p>
    <w:p>
      <w:pPr>
        <w:pStyle w:val="3"/>
        <w:rPr>
          <w:rFonts w:ascii="宋体" w:hAnsi="宋体" w:cs="宋体"/>
          <w:b/>
          <w:bCs/>
          <w:color w:val="auto"/>
          <w:highlight w:val="none"/>
        </w:rPr>
      </w:pPr>
      <w:r>
        <w:rPr>
          <w:rFonts w:hint="eastAsia" w:ascii="宋体" w:hAnsi="宋体" w:cs="宋体"/>
          <w:color w:val="auto"/>
          <w:sz w:val="24"/>
          <w:highlight w:val="none"/>
        </w:rPr>
        <w:br w:type="page"/>
      </w:r>
      <w:bookmarkStart w:id="19" w:name="_Toc6217"/>
      <w:r>
        <w:rPr>
          <w:rFonts w:hint="eastAsia" w:ascii="宋体" w:hAnsi="宋体" w:cs="宋体"/>
          <w:b/>
          <w:bCs/>
          <w:color w:val="auto"/>
          <w:highlight w:val="none"/>
        </w:rPr>
        <w:t>第二章  开标、评标及定标办法</w:t>
      </w:r>
      <w:bookmarkEnd w:id="19"/>
    </w:p>
    <w:p>
      <w:pPr>
        <w:pStyle w:val="4"/>
        <w:rPr>
          <w:rFonts w:ascii="宋体" w:hAnsi="宋体" w:cs="宋体"/>
          <w:color w:val="auto"/>
          <w:highlight w:val="none"/>
        </w:rPr>
      </w:pPr>
      <w:bookmarkStart w:id="20" w:name="_Toc9221"/>
      <w:r>
        <w:rPr>
          <w:rFonts w:hint="eastAsia" w:ascii="宋体" w:hAnsi="宋体" w:cs="宋体"/>
          <w:color w:val="auto"/>
          <w:sz w:val="28"/>
          <w:szCs w:val="28"/>
          <w:highlight w:val="none"/>
        </w:rPr>
        <w:t>一、</w:t>
      </w:r>
      <w:r>
        <w:rPr>
          <w:rFonts w:hint="eastAsia" w:ascii="宋体" w:hAnsi="宋体" w:cs="宋体"/>
          <w:color w:val="auto"/>
          <w:highlight w:val="none"/>
        </w:rPr>
        <w:t>开标、评标及定标办法修改表</w:t>
      </w:r>
      <w:bookmarkEnd w:id="20"/>
    </w:p>
    <w:p>
      <w:pPr>
        <w:pStyle w:val="36"/>
        <w:spacing w:after="0" w:line="360" w:lineRule="auto"/>
        <w:rPr>
          <w:rFonts w:ascii="宋体" w:hAnsi="宋体" w:cs="宋体"/>
          <w:b/>
          <w:color w:val="auto"/>
          <w:szCs w:val="21"/>
          <w:highlight w:val="none"/>
        </w:rPr>
      </w:pPr>
      <w:r>
        <w:rPr>
          <w:rFonts w:hint="eastAsia" w:ascii="宋体" w:hAnsi="宋体" w:cs="宋体"/>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36.1            </w:t>
      </w:r>
      <w:r>
        <w:rPr>
          <w:rFonts w:hint="eastAsia" w:ascii="宋体" w:hAnsi="宋体" w:cs="宋体"/>
          <w:b/>
          <w:color w:val="auto"/>
          <w:sz w:val="24"/>
          <w:szCs w:val="24"/>
          <w:highlight w:val="none"/>
        </w:rPr>
        <w:t>修改类型：修改</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36.3                </w:t>
      </w:r>
      <w:r>
        <w:rPr>
          <w:rFonts w:hint="eastAsia" w:ascii="宋体" w:hAnsi="宋体" w:cs="宋体"/>
          <w:b/>
          <w:color w:val="auto"/>
          <w:sz w:val="24"/>
          <w:szCs w:val="24"/>
          <w:highlight w:val="none"/>
        </w:rPr>
        <w:t>修改类型：删除</w:t>
      </w:r>
    </w:p>
    <w:p>
      <w:pPr>
        <w:pBdr>
          <w:bottom w:val="single" w:color="auto" w:sz="6" w:space="1"/>
        </w:pBd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条款号：36.4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540" w:firstLineChars="224"/>
        <w:rPr>
          <w:rFonts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36.4若递交投标文件的投标人不足3家，则重新组织招标。</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条款号：36.5.3                      修改类型：修改</w:t>
      </w:r>
    </w:p>
    <w:p>
      <w:pPr>
        <w:spacing w:line="360" w:lineRule="auto"/>
        <w:ind w:firstLine="484" w:firstLineChars="201"/>
        <w:rPr>
          <w:rFonts w:ascii="宋体" w:hAnsi="宋体" w:cs="宋体"/>
          <w:b/>
          <w:color w:val="auto"/>
          <w:szCs w:val="21"/>
          <w:highlight w:val="none"/>
        </w:rPr>
      </w:pPr>
      <w:r>
        <w:rPr>
          <w:rFonts w:hint="eastAsia" w:ascii="宋体" w:hAnsi="宋体" w:cs="宋体"/>
          <w:b/>
          <w:color w:val="auto"/>
          <w:kern w:val="0"/>
          <w:sz w:val="24"/>
          <w:szCs w:val="24"/>
          <w:highlight w:val="none"/>
          <w:shd w:val="clear" w:color="auto" w:fill="FFFFFF"/>
        </w:rPr>
        <w:t>原文：</w:t>
      </w:r>
      <w:r>
        <w:rPr>
          <w:rFonts w:hint="eastAsia" w:ascii="宋体" w:hAnsi="宋体" w:cs="宋体"/>
          <w:color w:val="auto"/>
          <w:sz w:val="24"/>
          <w:szCs w:val="24"/>
          <w:highlight w:val="none"/>
        </w:rPr>
        <w:t>36.5.3投标人代表、招标人代表、监标人、记录人等有关人员在开标记录上签字确认；若有关人员不签字的，不影响开标程序；</w:t>
      </w:r>
    </w:p>
    <w:p>
      <w:pPr>
        <w:pBdr>
          <w:bottom w:val="single" w:color="auto" w:sz="6" w:space="1"/>
        </w:pBdr>
        <w:spacing w:line="360" w:lineRule="auto"/>
        <w:ind w:firstLine="484" w:firstLineChars="201"/>
        <w:rPr>
          <w:rFonts w:ascii="宋体" w:hAnsi="宋体" w:cs="宋体"/>
          <w:color w:val="auto"/>
          <w:szCs w:val="21"/>
          <w:highlight w:val="none"/>
          <w:u w:val="single"/>
        </w:rPr>
      </w:pPr>
      <w:r>
        <w:rPr>
          <w:rFonts w:hint="eastAsia" w:ascii="宋体" w:hAnsi="宋体" w:cs="宋体"/>
          <w:b/>
          <w:color w:val="auto"/>
          <w:kern w:val="0"/>
          <w:sz w:val="24"/>
          <w:szCs w:val="24"/>
          <w:highlight w:val="none"/>
          <w:shd w:val="clear" w:color="auto" w:fill="FFFFFF"/>
        </w:rPr>
        <w:t>现文：</w:t>
      </w:r>
      <w:r>
        <w:rPr>
          <w:rFonts w:hint="eastAsia" w:ascii="宋体" w:hAnsi="宋体" w:cs="宋体"/>
          <w:color w:val="auto"/>
          <w:sz w:val="24"/>
          <w:szCs w:val="24"/>
          <w:highlight w:val="none"/>
        </w:rPr>
        <w:t>36.5.3投标人代表、招标人代表、监标人、记录人等有关人员在开标记录上签字确认；若有关人员不签字的，不影响开标程序；</w:t>
      </w:r>
      <w:r>
        <w:rPr>
          <w:rFonts w:hint="eastAsia" w:ascii="宋体" w:hAnsi="宋体" w:cs="宋体"/>
          <w:color w:val="auto"/>
          <w:sz w:val="24"/>
          <w:szCs w:val="24"/>
          <w:highlight w:val="none"/>
          <w:u w:val="single"/>
        </w:rPr>
        <w:t>若投标人不参加开标会的，或不签字确认的，视同该投标人认可开标结果。</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条款号：（二）开标评标办法程序和细则      修改类型：删除</w:t>
      </w:r>
    </w:p>
    <w:p>
      <w:pPr>
        <w:pBdr>
          <w:bottom w:val="single" w:color="auto" w:sz="6" w:space="1"/>
        </w:pBdr>
        <w:spacing w:line="360" w:lineRule="auto"/>
        <w:ind w:firstLine="482" w:firstLineChars="200"/>
        <w:rPr>
          <w:rFonts w:ascii="宋体" w:hAnsi="宋体" w:cs="宋体"/>
          <w:b/>
          <w:color w:val="auto"/>
          <w:sz w:val="24"/>
          <w:szCs w:val="24"/>
          <w:highlight w:val="none"/>
        </w:rPr>
      </w:pPr>
      <w:r>
        <w:rPr>
          <w:rFonts w:hint="eastAsia" w:ascii="宋体" w:hAnsi="宋体" w:cs="宋体"/>
          <w:b/>
          <w:bCs/>
          <w:color w:val="auto"/>
          <w:sz w:val="24"/>
          <w:szCs w:val="24"/>
          <w:highlight w:val="none"/>
          <w:shd w:val="clear" w:color="auto" w:fill="FFFFFF"/>
        </w:rPr>
        <w:t>原文：</w:t>
      </w:r>
      <w:r>
        <w:rPr>
          <w:rFonts w:hint="eastAsia" w:ascii="宋体" w:hAnsi="宋体" w:cs="宋体"/>
          <w:color w:val="auto"/>
          <w:sz w:val="24"/>
          <w:szCs w:val="24"/>
          <w:highlight w:val="none"/>
          <w:shd w:val="clear" w:color="auto" w:fill="FFFFFF"/>
        </w:rPr>
        <w:t>注：以下八种评标办法所述企业综合诚信评价分数即投标截止当日广州市住房和城乡建设局网站上公布的企业综合诚信评价60日诚信分。</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 评标办法        修改类型：删除</w:t>
      </w:r>
    </w:p>
    <w:p>
      <w:pPr>
        <w:pBdr>
          <w:bottom w:val="single" w:color="auto" w:sz="6" w:space="1"/>
        </w:pBdr>
        <w:spacing w:line="360" w:lineRule="auto"/>
        <w:ind w:firstLine="602" w:firstLineChars="250"/>
        <w:rPr>
          <w:rStyle w:val="48"/>
          <w:rFonts w:ascii="宋体" w:hAnsi="宋体" w:cs="宋体"/>
          <w:color w:val="auto"/>
          <w:sz w:val="24"/>
          <w:szCs w:val="24"/>
          <w:highlight w:val="none"/>
        </w:rPr>
      </w:pPr>
      <w:r>
        <w:rPr>
          <w:rFonts w:hint="eastAsia" w:ascii="宋体" w:hAnsi="宋体" w:cs="宋体"/>
          <w:b/>
          <w:color w:val="auto"/>
          <w:sz w:val="24"/>
          <w:szCs w:val="24"/>
          <w:highlight w:val="none"/>
        </w:rPr>
        <w:t>原文：</w:t>
      </w:r>
      <w:r>
        <w:rPr>
          <w:rStyle w:val="48"/>
          <w:rFonts w:hint="eastAsia" w:ascii="宋体" w:hAnsi="宋体" w:cs="宋体"/>
          <w:color w:val="auto"/>
          <w:sz w:val="24"/>
          <w:szCs w:val="24"/>
          <w:highlight w:val="none"/>
        </w:rPr>
        <w:t>可选</w:t>
      </w:r>
      <w:r>
        <w:rPr>
          <w:rFonts w:hint="eastAsia" w:ascii="宋体" w:hAnsi="宋体" w:cs="宋体"/>
          <w:color w:val="auto"/>
          <w:sz w:val="24"/>
          <w:szCs w:val="24"/>
          <w:highlight w:val="none"/>
        </w:rPr>
        <w:t>办法</w:t>
      </w:r>
      <w:r>
        <w:rPr>
          <w:rStyle w:val="48"/>
          <w:rFonts w:hint="eastAsia" w:ascii="宋体" w:hAnsi="宋体" w:cs="宋体"/>
          <w:color w:val="auto"/>
          <w:sz w:val="24"/>
          <w:szCs w:val="24"/>
          <w:highlight w:val="none"/>
        </w:rPr>
        <w:t>一（适合</w:t>
      </w:r>
      <w:r>
        <w:rPr>
          <w:rStyle w:val="48"/>
          <w:rFonts w:hint="eastAsia" w:ascii="宋体" w:hAnsi="宋体" w:cs="宋体"/>
          <w:color w:val="auto"/>
          <w:kern w:val="0"/>
          <w:sz w:val="24"/>
          <w:szCs w:val="24"/>
          <w:highlight w:val="none"/>
        </w:rPr>
        <w:t>综合评分法一</w:t>
      </w:r>
      <w:r>
        <w:rPr>
          <w:rStyle w:val="48"/>
          <w:rFonts w:hint="eastAsia" w:ascii="宋体" w:hAnsi="宋体" w:cs="宋体"/>
          <w:color w:val="auto"/>
          <w:sz w:val="24"/>
          <w:szCs w:val="24"/>
          <w:highlight w:val="none"/>
        </w:rPr>
        <w:t>，技术标与经济标先后分别开启）</w:t>
      </w:r>
    </w:p>
    <w:p>
      <w:pPr>
        <w:pBdr>
          <w:bottom w:val="single" w:color="auto" w:sz="6" w:space="1"/>
        </w:pBdr>
        <w:spacing w:line="360" w:lineRule="auto"/>
        <w:ind w:firstLine="1320" w:firstLineChars="550"/>
        <w:rPr>
          <w:rStyle w:val="48"/>
          <w:rFonts w:ascii="宋体" w:hAnsi="宋体" w:cs="宋体"/>
          <w:color w:val="auto"/>
          <w:sz w:val="24"/>
          <w:szCs w:val="24"/>
          <w:highlight w:val="none"/>
        </w:rPr>
      </w:pPr>
      <w:r>
        <w:rPr>
          <w:rStyle w:val="48"/>
          <w:rFonts w:hint="eastAsia" w:ascii="宋体" w:hAnsi="宋体" w:cs="宋体"/>
          <w:color w:val="auto"/>
          <w:sz w:val="24"/>
          <w:szCs w:val="24"/>
          <w:highlight w:val="none"/>
        </w:rPr>
        <w:t>可选</w:t>
      </w:r>
      <w:r>
        <w:rPr>
          <w:rFonts w:hint="eastAsia" w:ascii="宋体" w:hAnsi="宋体" w:cs="宋体"/>
          <w:color w:val="auto"/>
          <w:sz w:val="24"/>
          <w:szCs w:val="24"/>
          <w:highlight w:val="none"/>
        </w:rPr>
        <w:t>办法</w:t>
      </w:r>
      <w:r>
        <w:rPr>
          <w:rStyle w:val="48"/>
          <w:rFonts w:hint="eastAsia" w:ascii="宋体" w:hAnsi="宋体" w:cs="宋体"/>
          <w:color w:val="auto"/>
          <w:sz w:val="24"/>
          <w:szCs w:val="24"/>
          <w:highlight w:val="none"/>
        </w:rPr>
        <w:t>二（适合综合评分法一，技术标与经济标同时开启）</w:t>
      </w:r>
    </w:p>
    <w:p>
      <w:pPr>
        <w:pBdr>
          <w:bottom w:val="single" w:color="auto" w:sz="6" w:space="1"/>
        </w:pBdr>
        <w:spacing w:line="360" w:lineRule="auto"/>
        <w:ind w:firstLine="1320" w:firstLineChars="550"/>
        <w:rPr>
          <w:rStyle w:val="48"/>
          <w:rFonts w:ascii="宋体" w:hAnsi="宋体" w:cs="宋体"/>
          <w:color w:val="auto"/>
          <w:sz w:val="24"/>
          <w:szCs w:val="24"/>
          <w:highlight w:val="none"/>
        </w:rPr>
      </w:pPr>
      <w:r>
        <w:rPr>
          <w:rStyle w:val="48"/>
          <w:rFonts w:hint="eastAsia" w:ascii="宋体" w:hAnsi="宋体" w:cs="宋体"/>
          <w:color w:val="auto"/>
          <w:sz w:val="24"/>
          <w:szCs w:val="24"/>
          <w:highlight w:val="none"/>
        </w:rPr>
        <w:t>可选办法三（适合综合评分法二，技术标与经济标先后分别开启）</w:t>
      </w:r>
    </w:p>
    <w:p>
      <w:pPr>
        <w:pBdr>
          <w:bottom w:val="single" w:color="auto" w:sz="6" w:space="1"/>
        </w:pBdr>
        <w:spacing w:line="360" w:lineRule="auto"/>
        <w:ind w:firstLine="1320" w:firstLineChars="550"/>
        <w:rPr>
          <w:rStyle w:val="48"/>
          <w:rFonts w:ascii="宋体" w:hAnsi="宋体" w:cs="宋体"/>
          <w:color w:val="auto"/>
          <w:sz w:val="24"/>
          <w:szCs w:val="24"/>
          <w:highlight w:val="none"/>
        </w:rPr>
      </w:pPr>
      <w:r>
        <w:rPr>
          <w:rStyle w:val="48"/>
          <w:rFonts w:hint="eastAsia" w:ascii="宋体" w:hAnsi="宋体" w:cs="宋体"/>
          <w:color w:val="auto"/>
          <w:sz w:val="24"/>
          <w:szCs w:val="24"/>
          <w:highlight w:val="none"/>
        </w:rPr>
        <w:t>可选办法四（适合综合评分法二，技术标与经济标同时开启）</w:t>
      </w:r>
    </w:p>
    <w:p>
      <w:pPr>
        <w:pBdr>
          <w:bottom w:val="single" w:color="auto" w:sz="6" w:space="1"/>
        </w:pBdr>
        <w:spacing w:line="360" w:lineRule="auto"/>
        <w:ind w:firstLine="1320" w:firstLineChars="550"/>
        <w:rPr>
          <w:rStyle w:val="48"/>
          <w:rFonts w:ascii="宋体" w:hAnsi="宋体" w:cs="宋体"/>
          <w:color w:val="auto"/>
          <w:sz w:val="24"/>
          <w:szCs w:val="24"/>
          <w:highlight w:val="none"/>
        </w:rPr>
      </w:pPr>
      <w:r>
        <w:rPr>
          <w:rStyle w:val="48"/>
          <w:rFonts w:hint="eastAsia" w:ascii="宋体" w:hAnsi="宋体" w:cs="宋体"/>
          <w:color w:val="auto"/>
          <w:sz w:val="24"/>
          <w:szCs w:val="24"/>
          <w:highlight w:val="none"/>
        </w:rPr>
        <w:t>可选办法五（适合综合评分法三，技术标与经济标先后分别开启）</w:t>
      </w:r>
    </w:p>
    <w:p>
      <w:pPr>
        <w:pBdr>
          <w:bottom w:val="single" w:color="auto" w:sz="6" w:space="1"/>
        </w:pBdr>
        <w:spacing w:line="360" w:lineRule="auto"/>
        <w:ind w:firstLine="1320" w:firstLineChars="550"/>
        <w:rPr>
          <w:rStyle w:val="48"/>
          <w:rFonts w:ascii="宋体" w:hAnsi="宋体" w:cs="宋体"/>
          <w:color w:val="auto"/>
          <w:sz w:val="24"/>
          <w:szCs w:val="24"/>
          <w:highlight w:val="none"/>
        </w:rPr>
      </w:pPr>
      <w:r>
        <w:rPr>
          <w:rStyle w:val="48"/>
          <w:rFonts w:hint="eastAsia" w:ascii="宋体" w:hAnsi="宋体" w:cs="宋体"/>
          <w:color w:val="auto"/>
          <w:sz w:val="24"/>
          <w:szCs w:val="24"/>
          <w:highlight w:val="none"/>
        </w:rPr>
        <w:t>可选办法六（适合综合评分法三，技术标与经济标同时开启）</w:t>
      </w:r>
    </w:p>
    <w:p>
      <w:pPr>
        <w:pBdr>
          <w:bottom w:val="single" w:color="auto" w:sz="6" w:space="1"/>
        </w:pBdr>
        <w:spacing w:line="360" w:lineRule="auto"/>
        <w:ind w:firstLine="1320" w:firstLineChars="550"/>
        <w:rPr>
          <w:rFonts w:ascii="宋体" w:hAnsi="宋体" w:cs="宋体"/>
          <w:b/>
          <w:color w:val="auto"/>
          <w:sz w:val="24"/>
          <w:szCs w:val="24"/>
          <w:highlight w:val="none"/>
        </w:rPr>
      </w:pPr>
      <w:r>
        <w:rPr>
          <w:rStyle w:val="48"/>
          <w:rFonts w:hint="eastAsia" w:ascii="宋体" w:hAnsi="宋体" w:cs="宋体"/>
          <w:color w:val="auto"/>
          <w:sz w:val="24"/>
          <w:szCs w:val="24"/>
          <w:highlight w:val="none"/>
        </w:rPr>
        <w:t>可选办法八（适合经评审的最低投标价法，技术标与经济标同时开启）</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条款号：40                          修改类型：修改</w:t>
      </w:r>
    </w:p>
    <w:p>
      <w:pPr>
        <w:pBdr>
          <w:bottom w:val="single" w:color="auto" w:sz="6" w:space="1"/>
        </w:pBdr>
        <w:spacing w:line="360" w:lineRule="auto"/>
        <w:ind w:firstLine="482" w:firstLineChars="200"/>
        <w:rPr>
          <w:rFonts w:ascii="宋体" w:hAnsi="宋体" w:cs="宋体"/>
          <w:color w:val="auto"/>
          <w:sz w:val="24"/>
          <w:szCs w:val="24"/>
          <w:highlight w:val="none"/>
          <w:shd w:val="clear" w:color="auto" w:fill="FFFFFF"/>
        </w:rPr>
      </w:pPr>
      <w:r>
        <w:rPr>
          <w:rFonts w:hint="eastAsia" w:ascii="宋体" w:hAnsi="宋体" w:cs="宋体"/>
          <w:b/>
          <w:color w:val="auto"/>
          <w:sz w:val="24"/>
          <w:szCs w:val="24"/>
          <w:highlight w:val="none"/>
        </w:rPr>
        <w:t>原文</w:t>
      </w:r>
      <w:r>
        <w:rPr>
          <w:rFonts w:hint="eastAsia" w:ascii="宋体" w:hAnsi="宋体" w:cs="宋体"/>
          <w:b/>
          <w:color w:val="auto"/>
          <w:szCs w:val="21"/>
          <w:highlight w:val="none"/>
        </w:rPr>
        <w:t>：</w:t>
      </w:r>
      <w:r>
        <w:rPr>
          <w:rFonts w:hint="eastAsia" w:ascii="宋体" w:hAnsi="宋体" w:cs="宋体"/>
          <w:color w:val="auto"/>
          <w:sz w:val="24"/>
          <w:szCs w:val="24"/>
          <w:highlight w:val="none"/>
          <w:shd w:val="clear" w:color="auto" w:fill="FFFFFF"/>
        </w:rPr>
        <w:t>40．开标和评标程序</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40.1技术标（含资格审查文件）与经济标投标文件同时公开开标；</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40.2由评标委员会对所有已公开开标的投标人进行资格审查；</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40.3技术标投标文件有效性审查；</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40.4技术标详细审查评分；</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 xml:space="preserve">40.5经济标详细审查评分； </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40.6评标委员会按照投标人总得分由高至低排序；</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40.7经济标投标文件有效性审查；</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40.8评标委员会按排序向招标人推荐中标候选人名单，并递交资格审查报告及评标报告。</w:t>
      </w:r>
    </w:p>
    <w:p>
      <w:pPr>
        <w:pBdr>
          <w:bottom w:val="single" w:color="auto" w:sz="6" w:space="1"/>
        </w:pBdr>
        <w:spacing w:line="360" w:lineRule="auto"/>
        <w:ind w:firstLine="482" w:firstLineChars="200"/>
        <w:rPr>
          <w:rFonts w:ascii="宋体" w:hAnsi="宋体" w:cs="宋体"/>
          <w:color w:val="auto"/>
          <w:sz w:val="24"/>
          <w:szCs w:val="24"/>
          <w:highlight w:val="none"/>
          <w:shd w:val="clear" w:color="auto" w:fill="FFFFFF"/>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shd w:val="clear" w:color="auto" w:fill="FFFFFF"/>
        </w:rPr>
        <w:t>：40．开标和评标程序</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40.1技术标（含资格审查文件）与经济标投标文件同时公开开标；</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40.2由评标委员会对所有已公开开标的投标人进行资格审查</w:t>
      </w:r>
      <w:r>
        <w:rPr>
          <w:rFonts w:hint="eastAsia" w:ascii="宋体" w:hAnsi="宋体" w:cs="宋体"/>
          <w:color w:val="auto"/>
          <w:sz w:val="24"/>
          <w:szCs w:val="24"/>
          <w:highlight w:val="none"/>
          <w:u w:val="single"/>
          <w:shd w:val="clear" w:color="auto" w:fill="FFFFFF"/>
        </w:rPr>
        <w:t>，并编写资格审查报告</w:t>
      </w:r>
      <w:r>
        <w:rPr>
          <w:rFonts w:hint="eastAsia" w:ascii="宋体" w:hAnsi="宋体" w:cs="宋体"/>
          <w:color w:val="auto"/>
          <w:sz w:val="24"/>
          <w:szCs w:val="24"/>
          <w:highlight w:val="none"/>
          <w:shd w:val="clear" w:color="auto" w:fill="FFFFFF"/>
        </w:rPr>
        <w:t>；</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40.3技术标投标文件有效性审查；</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40.4技术标详细审查评分；</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 xml:space="preserve">40.5经济标详细审查评分； </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40.6评标委员会按照投标人总得分由高至低排序；</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40.7经济标投标文件有效性审查；</w:t>
      </w:r>
    </w:p>
    <w:p>
      <w:pPr>
        <w:pBdr>
          <w:bottom w:val="single" w:color="auto" w:sz="6" w:space="1"/>
        </w:pBd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40.8评标委员会按排序向招标人推荐中标候选人名单，并递交资格审查报告及评标报告。</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 41.1              修改类型：修改</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41.1 开标由招标人主持；</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 xml:space="preserve">41.1 </w:t>
      </w:r>
      <w:r>
        <w:rPr>
          <w:rFonts w:hint="eastAsia" w:ascii="宋体" w:hAnsi="宋体" w:cs="宋体"/>
          <w:color w:val="auto"/>
          <w:sz w:val="24"/>
          <w:szCs w:val="24"/>
          <w:highlight w:val="none"/>
          <w:u w:val="single"/>
        </w:rPr>
        <w:t>开标由招标人或招标代理主持；</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条款号：41.2.1             修改类型：修改</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 xml:space="preserve">投标截止期前，各投标人递交投标文件（包括技术标投标文件、经济标投标文件）至交易平台。有关投标文件提交的事项详见第一章投标须知。 </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投标截止期前，各投标人递交投标文件（包括技术标投标文件、经济标投标文件）至</w:t>
      </w:r>
      <w:r>
        <w:rPr>
          <w:rFonts w:hint="eastAsia" w:ascii="宋体" w:hAnsi="宋体" w:cs="宋体"/>
          <w:bCs/>
          <w:color w:val="auto"/>
          <w:sz w:val="24"/>
          <w:szCs w:val="24"/>
          <w:highlight w:val="none"/>
          <w:u w:val="single"/>
        </w:rPr>
        <w:t>广州公共资源交易中心</w:t>
      </w:r>
      <w:r>
        <w:rPr>
          <w:rFonts w:hint="eastAsia" w:ascii="宋体" w:hAnsi="宋体" w:cs="宋体"/>
          <w:bCs/>
          <w:color w:val="auto"/>
          <w:sz w:val="24"/>
          <w:szCs w:val="24"/>
          <w:highlight w:val="none"/>
        </w:rPr>
        <w:t>交易平台。有关投标文件提交的事项详见第一章投标须知。</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条款号：41.2.3             修改类型：修改</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41.2.3开标时，投标人代表有权出席开标会，也可以自主决定不参加开标会，若投标人代表对开标过程提出异议，该投标人代表须同时出示本人身份证原件。</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条款号：42.2                    修改类型：修改</w:t>
      </w:r>
    </w:p>
    <w:p>
      <w:pPr>
        <w:pStyle w:val="36"/>
        <w:tabs>
          <w:tab w:val="left" w:pos="7380"/>
        </w:tabs>
        <w:snapToGrid w:val="0"/>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42.2评标委员会的组成：方式。</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42.2评标委员会的组成：方式</w:t>
      </w:r>
      <w:r>
        <w:rPr>
          <w:rFonts w:hint="eastAsia" w:ascii="宋体" w:hAnsi="宋体" w:cs="宋体"/>
          <w:color w:val="auto"/>
          <w:sz w:val="24"/>
          <w:szCs w:val="24"/>
          <w:highlight w:val="none"/>
          <w:u w:val="single"/>
        </w:rPr>
        <w:t xml:space="preserve"> 一 </w:t>
      </w:r>
      <w:r>
        <w:rPr>
          <w:rFonts w:hint="eastAsia" w:ascii="宋体" w:hAnsi="宋体" w:cs="宋体"/>
          <w:color w:val="auto"/>
          <w:sz w:val="24"/>
          <w:szCs w:val="24"/>
          <w:highlight w:val="none"/>
        </w:rPr>
        <w:t>。</w:t>
      </w:r>
    </w:p>
    <w:p>
      <w:pPr>
        <w:pBdr>
          <w:bottom w:val="single" w:color="auto" w:sz="6" w:space="1"/>
        </w:pBdr>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条款号：43.1                修改类型：修改</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43.1</w:t>
      </w:r>
      <w:r>
        <w:rPr>
          <w:rFonts w:hint="eastAsia" w:ascii="宋体" w:hAnsi="宋体" w:cs="宋体"/>
          <w:bCs/>
          <w:color w:val="auto"/>
          <w:sz w:val="24"/>
          <w:szCs w:val="24"/>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条款号：43.6                          修改类型：修改</w:t>
      </w:r>
    </w:p>
    <w:p>
      <w:pPr>
        <w:pBdr>
          <w:bottom w:val="single" w:color="auto" w:sz="6" w:space="1"/>
        </w:pBdr>
        <w:spacing w:line="360" w:lineRule="auto"/>
        <w:ind w:firstLine="540" w:firstLineChars="224"/>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540" w:firstLineChars="224"/>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43.6</w:t>
      </w:r>
      <w:r>
        <w:rPr>
          <w:rFonts w:hint="eastAsia" w:ascii="宋体" w:hAnsi="宋体" w:cs="宋体"/>
          <w:color w:val="auto"/>
          <w:sz w:val="24"/>
          <w:szCs w:val="24"/>
          <w:highlight w:val="none"/>
          <w:u w:val="single"/>
        </w:rPr>
        <w:t>资格审查合格的投标人少于3名的，则本项目招标失败</w:t>
      </w:r>
      <w:r>
        <w:rPr>
          <w:rFonts w:hint="eastAsia" w:ascii="宋体" w:hAnsi="宋体" w:cs="宋体"/>
          <w:color w:val="auto"/>
          <w:sz w:val="24"/>
          <w:szCs w:val="24"/>
          <w:highlight w:val="none"/>
        </w:rPr>
        <w:t>。</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条款号：44.1                修改类型：修改</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条款号：45.2              修改类型：修改</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45.2按方法计算评标参考价：</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45.2按方法</w:t>
      </w:r>
      <w:r>
        <w:rPr>
          <w:rFonts w:hint="eastAsia" w:ascii="宋体" w:hAnsi="宋体" w:cs="宋体"/>
          <w:color w:val="auto"/>
          <w:sz w:val="24"/>
          <w:szCs w:val="24"/>
          <w:highlight w:val="none"/>
          <w:u w:val="single"/>
        </w:rPr>
        <w:t>一</w:t>
      </w:r>
      <w:r>
        <w:rPr>
          <w:rFonts w:hint="eastAsia" w:ascii="宋体" w:hAnsi="宋体" w:cs="宋体"/>
          <w:color w:val="auto"/>
          <w:sz w:val="24"/>
          <w:szCs w:val="24"/>
          <w:highlight w:val="none"/>
        </w:rPr>
        <w:t xml:space="preserve">计算评标参考价： </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条款号：方法一：加权平均法              修改类型：修改</w:t>
      </w:r>
    </w:p>
    <w:p>
      <w:pPr>
        <w:widowControl/>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color w:val="auto"/>
          <w:sz w:val="24"/>
          <w:szCs w:val="24"/>
          <w:highlight w:val="none"/>
        </w:rPr>
        <w:t>原文：方法一：加权平均法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技术标或技术标加诚信得分（具体由招标人自定）前N名（N≥5，具体由招标人自定）的经济报价加权平均，计算评标参考价。公式如下：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评标参考价=Σ（投标人的投标报价*报价权重）。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其中：报价权重的计算方法为：将N名投标人按技术分由高至低进行排序，第一名投标人的权重为（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0" distR="0">
            <wp:extent cx="379730" cy="451485"/>
            <wp:effectExtent l="1905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0" distR="0">
            <wp:extent cx="379730" cy="451485"/>
            <wp:effectExtent l="1905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），第二名投标人的权重为（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0" distR="0">
            <wp:extent cx="320675" cy="403860"/>
            <wp:effectExtent l="1905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0" distR="0">
            <wp:extent cx="320675" cy="403860"/>
            <wp:effectExtent l="1905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），以此类推，最后一名投标人的权重为（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0" distR="0">
            <wp:extent cx="320675" cy="403860"/>
            <wp:effectExtent l="1905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0" distR="0">
            <wp:extent cx="320675" cy="403860"/>
            <wp:effectExtent l="1905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p>
      <w:pPr>
        <w:widowControl/>
        <w:spacing w:line="360" w:lineRule="auto"/>
        <w:ind w:firstLine="482" w:firstLineChars="200"/>
        <w:rPr>
          <w:rFonts w:ascii="宋体" w:hAnsi="宋体" w:cs="宋体"/>
          <w:b/>
          <w:bCs/>
          <w:color w:val="auto"/>
          <w:kern w:val="0"/>
          <w:szCs w:val="21"/>
          <w:highlight w:val="none"/>
        </w:rPr>
      </w:pPr>
      <w:r>
        <w:rPr>
          <w:rFonts w:hint="eastAsia" w:ascii="宋体" w:hAnsi="宋体" w:cs="宋体"/>
          <w:b/>
          <w:color w:val="auto"/>
          <w:sz w:val="24"/>
          <w:szCs w:val="24"/>
          <w:highlight w:val="none"/>
        </w:rPr>
        <w:t>现文：方法一：加权平均法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通过技术标有效性审查且经济报价在[工程成本警戒价, 最高投标限价*100%]区间的投标人的技术标得分前5名（若满足前述条件的投标人大于等于5家时,N=5；若满足前述条件的投标人小于5家时,N=满足前述条件的投标人个数；若技术分相同,则以报价较低的排前，如仍存在相同情况，则对具有相同情况的投标人，由评标委员会采用记名投票方式决定先后顺序，确定投标人的排序。）</w:t>
      </w:r>
      <w:r>
        <w:rPr>
          <w:rFonts w:hint="eastAsia" w:ascii="宋体" w:hAnsi="宋体" w:cs="宋体"/>
          <w:color w:val="auto"/>
          <w:sz w:val="24"/>
          <w:szCs w:val="24"/>
          <w:highlight w:val="none"/>
        </w:rPr>
        <w:t>的投标人经济报价加权平均，计算评标参考价。公式如下：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评标参考价=Σ（投标人的投标报价*报价权重）。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其中：报价权重的计算方法为：将N名投标人按技术分由高至低进行排序，第一名投标人的权重为（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81000" cy="447675"/>
            <wp:effectExtent l="0" t="0" r="0" b="8890"/>
            <wp:docPr id="3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81000" cy="447675"/>
            <wp:effectExtent l="0" t="0" r="0" b="8890"/>
            <wp:docPr id="3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），第二名投标人的权重为（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23850" cy="400050"/>
            <wp:effectExtent l="0" t="0" r="0" b="0"/>
            <wp:docPr id="3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23850" cy="400050"/>
            <wp:effectExtent l="0" t="0" r="0" b="0"/>
            <wp:docPr id="3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），以此类推，最后一名投标人的权重为（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23850" cy="400050"/>
            <wp:effectExtent l="0" t="0" r="0" b="0"/>
            <wp:docPr id="3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23850" cy="400050"/>
            <wp:effectExtent l="0" t="0" r="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）（小数点后保留两位小数）。</w:t>
      </w:r>
    </w:p>
    <w:p>
      <w:pPr>
        <w:pBdr>
          <w:bottom w:val="single" w:color="auto" w:sz="6" w:space="1"/>
        </w:pBdr>
        <w:spacing w:line="360" w:lineRule="auto"/>
        <w:rPr>
          <w:rFonts w:ascii="宋体" w:hAnsi="宋体" w:cs="宋体"/>
          <w:color w:val="auto"/>
          <w:spacing w:val="2"/>
          <w:sz w:val="24"/>
          <w:szCs w:val="24"/>
          <w:highlight w:val="none"/>
        </w:rPr>
      </w:pP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条款号：45.3                修改类型：修改</w:t>
      </w:r>
    </w:p>
    <w:p>
      <w:pPr>
        <w:pBdr>
          <w:bottom w:val="single" w:color="auto" w:sz="6" w:space="1"/>
        </w:pBdr>
        <w:spacing w:line="360" w:lineRule="auto"/>
        <w:ind w:firstLine="540" w:firstLineChars="224"/>
        <w:rPr>
          <w:rFonts w:ascii="宋体" w:hAnsi="宋体" w:cs="宋体"/>
          <w:bCs/>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45.3</w:t>
      </w:r>
      <w:r>
        <w:rPr>
          <w:rFonts w:hint="eastAsia" w:ascii="宋体" w:hAnsi="宋体" w:cs="宋体"/>
          <w:bCs/>
          <w:color w:val="auto"/>
          <w:sz w:val="24"/>
          <w:szCs w:val="24"/>
          <w:highlight w:val="none"/>
          <w:u w:val="single"/>
        </w:rPr>
        <w:t>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540" w:firstLineChars="224"/>
        <w:rPr>
          <w:rFonts w:ascii="宋体" w:hAnsi="宋体" w:cs="宋体"/>
          <w:bCs/>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45.3</w:t>
      </w:r>
      <w:r>
        <w:rPr>
          <w:rFonts w:hint="eastAsia" w:ascii="宋体" w:hAnsi="宋体" w:cs="宋体"/>
          <w:bCs/>
          <w:color w:val="auto"/>
          <w:sz w:val="24"/>
          <w:szCs w:val="24"/>
          <w:highlight w:val="none"/>
          <w:u w:val="single"/>
        </w:rPr>
        <w:t>当投标总报价等于评标参考价时得80分，投标总报价每高于评标参考价1%，扣0.5分，每低于评标参考价1%，扣0.3分，扣至0分为止，得出经济分，精确到小数点后两位。</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条款号：45.4                       修改类型：修改</w:t>
      </w:r>
    </w:p>
    <w:p>
      <w:pPr>
        <w:widowControl/>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计算通过技术标有效性审查的投标人总得分</w:t>
      </w:r>
      <w:r>
        <w:rPr>
          <w:rFonts w:hint="eastAsia" w:ascii="宋体" w:hAnsi="宋体" w:cs="宋体"/>
          <w:bCs/>
          <w:color w:val="auto"/>
          <w:sz w:val="24"/>
          <w:szCs w:val="24"/>
          <w:highlight w:val="none"/>
          <w:u w:val="single"/>
        </w:rPr>
        <w:t>。投标人总得分=技术得分（100分）×技术得分权重（20%）＋经济得分（100分）×经济得分权重（80%）</w:t>
      </w:r>
      <w:r>
        <w:rPr>
          <w:rFonts w:hint="eastAsia" w:ascii="宋体" w:hAnsi="宋体" w:cs="宋体"/>
          <w:bCs/>
          <w:color w:val="auto"/>
          <w:sz w:val="24"/>
          <w:szCs w:val="24"/>
          <w:highlight w:val="none"/>
        </w:rPr>
        <w:t>。技术、经济得分权重按投标须知前附表的规定执行。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条款号：46.1                       修改类型：修改</w:t>
      </w:r>
    </w:p>
    <w:p>
      <w:pPr>
        <w:widowControl/>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条款号：附表一《资格审查表》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详见附表一《资格审查表》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条款号：附表二《技术标有效性审查表》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详见附表二《技术标有效性审查表》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条款号：附表三《经济标有效性审查表》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详见附表三《经济标有效性审查表》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条款号：附表四《技术标详细审查评分表》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详见附表四《技术标详细审查评分表》</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条款号：附表五《经济标评分表》             修改类型：修改</w:t>
      </w:r>
    </w:p>
    <w:p>
      <w:pPr>
        <w:pBdr>
          <w:bottom w:val="single" w:color="auto" w:sz="6" w:space="1"/>
        </w:pBdr>
        <w:spacing w:line="360" w:lineRule="auto"/>
        <w:ind w:firstLine="540" w:firstLineChars="224"/>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tabs>
          <w:tab w:val="center" w:pos="4535"/>
        </w:tabs>
        <w:spacing w:line="360" w:lineRule="auto"/>
        <w:ind w:firstLine="602" w:firstLineChars="250"/>
        <w:rPr>
          <w:rFonts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详见附表五《经济标评分表》</w:t>
      </w:r>
      <w:r>
        <w:rPr>
          <w:rFonts w:hint="eastAsia" w:ascii="宋体" w:hAnsi="宋体" w:cs="宋体"/>
          <w:bCs/>
          <w:color w:val="auto"/>
          <w:sz w:val="24"/>
          <w:szCs w:val="24"/>
          <w:highlight w:val="none"/>
        </w:rPr>
        <w:tab/>
      </w:r>
    </w:p>
    <w:p>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pPr>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（以下无正文）</w:t>
      </w:r>
    </w:p>
    <w:p>
      <w:pPr>
        <w:pStyle w:val="2"/>
        <w:spacing w:line="360" w:lineRule="auto"/>
        <w:rPr>
          <w:rFonts w:ascii="宋体" w:hAnsi="宋体" w:cs="宋体"/>
          <w:color w:val="auto"/>
          <w:highlight w:val="none"/>
        </w:rPr>
      </w:pPr>
    </w:p>
    <w:p>
      <w:pPr>
        <w:pStyle w:val="4"/>
        <w:ind w:firstLine="525"/>
        <w:rPr>
          <w:rFonts w:ascii="宋体" w:hAnsi="宋体" w:cs="宋体"/>
          <w:color w:val="auto"/>
          <w:highlight w:val="none"/>
        </w:rPr>
      </w:pPr>
      <w:r>
        <w:rPr>
          <w:rFonts w:hint="eastAsia" w:ascii="宋体" w:hAnsi="宋体" w:cs="宋体"/>
          <w:color w:val="auto"/>
          <w:highlight w:val="none"/>
        </w:rPr>
        <w:br w:type="page"/>
      </w:r>
      <w:bookmarkStart w:id="21" w:name="_Toc20254"/>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bookmarkEnd w:id="21"/>
    </w:p>
    <w:p>
      <w:pPr>
        <w:pStyle w:val="5"/>
        <w:spacing w:before="156" w:after="156"/>
        <w:ind w:firstLine="540" w:firstLineChars="200"/>
        <w:rPr>
          <w:rFonts w:cs="宋体"/>
          <w:color w:val="auto"/>
          <w:highlight w:val="none"/>
        </w:rPr>
      </w:pPr>
      <w:bookmarkStart w:id="22" w:name="_Toc16920"/>
      <w:r>
        <w:rPr>
          <w:rFonts w:hint="eastAsia" w:cs="宋体"/>
          <w:color w:val="auto"/>
          <w:highlight w:val="none"/>
        </w:rPr>
        <w:t>（一）总则</w:t>
      </w:r>
      <w:bookmarkEnd w:id="22"/>
    </w:p>
    <w:p>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35 开标、评标及定标所依据的规则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35.1《中华人民共和国招标投标法》；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35.2《中华人民共和国招标投标法实施条例》；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35.3《评标委员会和评标方法暂行规定》（七部委第12号令）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35.4《工程建设项目施工招标投标办法》（七部委2003年第30号令）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35.5《广东省实施〈中华人民共和国招标投标法〉办法》；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35.6《房屋建筑和市政基础设施工程施工招标投标管理办法》（建设部令第89号）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35.7《广东省加强建设工程招标投标监督管理的若干规定》（粤发[2004]4号）；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35.8《广州市工程建设项目招标投标管理办法》（穗建规字〔2023〕12号）。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35.9本项目招标文件。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36．开标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36.2 招标人在招标文件要求提交投标文件的截止时间前收到的投标文件，开标时都当众予以解密、公布。</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36.4若递交投标文件的投标人不足3家，则重新组织招标。（当N个标段同时招标且不允许兼中时，若有效投标人不足N+2家，则重新组织招标）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36.5按下列程序进行开标：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36.5.2备用光盘的读取按投标须知前附表第36项的规定执行；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36.5.4开标结束。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37．评标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37.1评标委员会由招标人依法组建。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37.2评标委员会的职责及守则：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37.2.1根据评标细则，对投标文件进行认真评审，完成评审报告；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37.2.2向招标人报告评审意见，推荐合格的中标候选人。</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37.2.3</w:t>
      </w:r>
      <w:r>
        <w:rPr>
          <w:rFonts w:hint="eastAsia" w:ascii="宋体" w:hAnsi="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37.2.4全体参与评标人员：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37.2.4.1 必须遵守评标纪律、不得泄密；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37.2.4.2 必须公正、不得循私；</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37.2.4.3 必须科学、不得草率；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37.2.4.4 必须客观、不得带有成见；</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37.2.4.5 必须平等、不得强加于人；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37.2.4.6 必须严谨、不得随意马虎。</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37.4评标结束后，评标委员会递交评标报告并依法推荐中标候选人。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38．投标文件的澄清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38.3 评标委员会或评标委员会专业评审组成员均应当阅读投标人的澄清，但应独立参考澄清对投标文件进行评审。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39．定标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39.1 招标人根据评标委员会递交的评标报告，最终审定中标人。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39.2 依法必须进行公开招标的项目，招标人应当确定排名第一的中标候选人为中标人。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5"/>
        <w:spacing w:before="156" w:after="156"/>
        <w:ind w:firstLine="480" w:firstLineChars="200"/>
        <w:rPr>
          <w:rFonts w:cs="宋体"/>
          <w:color w:val="auto"/>
          <w:sz w:val="24"/>
          <w:szCs w:val="24"/>
          <w:highlight w:val="none"/>
        </w:rPr>
      </w:pPr>
      <w:bookmarkStart w:id="23" w:name="_Toc11976"/>
      <w:r>
        <w:rPr>
          <w:rFonts w:hint="eastAsia" w:cs="宋体"/>
          <w:color w:val="auto"/>
          <w:sz w:val="24"/>
          <w:szCs w:val="24"/>
          <w:highlight w:val="none"/>
        </w:rPr>
        <w:t>（二）开标评标办法程序和细则</w:t>
      </w:r>
      <w:bookmarkEnd w:id="2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注：评标办法所述企业综合诚信评价分数即投标截止当日广州市住房和城乡建设局网站上公布的企业综合诚信评价60日诚信分。</w:t>
      </w:r>
    </w:p>
    <w:p>
      <w:pPr>
        <w:pStyle w:val="5"/>
        <w:spacing w:before="156" w:after="156"/>
        <w:ind w:firstLine="540" w:firstLineChars="200"/>
        <w:rPr>
          <w:rFonts w:cs="宋体"/>
          <w:color w:val="auto"/>
          <w:highlight w:val="none"/>
        </w:rPr>
      </w:pPr>
      <w:bookmarkStart w:id="24" w:name="_Toc28813"/>
      <w:bookmarkStart w:id="25" w:name="_Toc21525509"/>
      <w:bookmarkStart w:id="26" w:name="_Toc2272564"/>
      <w:r>
        <w:rPr>
          <w:rFonts w:hint="eastAsia" w:cs="宋体"/>
          <w:color w:val="auto"/>
          <w:highlight w:val="none"/>
        </w:rPr>
        <w:t>可选办法七（适合综合评分法四，技术标与经济标同时开启）</w:t>
      </w:r>
      <w:bookmarkEnd w:id="24"/>
      <w:bookmarkEnd w:id="25"/>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40．开标和评标程序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40.3技术标投标文件有效性审查；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40.4技术标详细审查评分；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40.5经济标详细审查评分；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40.6评标委员会按照投标人总得分由高至低排序；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40.7经济标投标文件有效性审查；</w:t>
      </w:r>
    </w:p>
    <w:p>
      <w:pPr>
        <w:snapToGrid w:val="0"/>
        <w:spacing w:line="360" w:lineRule="auto"/>
        <w:ind w:firstLine="480" w:firstLineChars="200"/>
        <w:rPr>
          <w:rFonts w:ascii="宋体" w:hAnsi="宋体" w:cs="宋体"/>
          <w:color w:val="auto"/>
          <w:szCs w:val="21"/>
          <w:highlight w:val="none"/>
        </w:rPr>
      </w:pPr>
      <w:r>
        <w:rPr>
          <w:rFonts w:hint="eastAsia" w:ascii="宋体" w:hAnsi="宋体" w:cs="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41．开标细则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41.1开标由招标人主持；</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 细则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41.2.1投标截止期前，各投标人递交投标文件（包括技术标投标文件、经济标投标文件）至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41.2.4.1开标时，公布：a、投标人名称；b、</w:t>
      </w:r>
      <w:r>
        <w:rPr>
          <w:rFonts w:hint="eastAsia" w:ascii="宋体" w:hAnsi="宋体" w:cs="宋体"/>
          <w:color w:val="auto"/>
          <w:sz w:val="24"/>
          <w:highlight w:val="none"/>
        </w:rPr>
        <w:t>投标文件</w:t>
      </w:r>
      <w:r>
        <w:rPr>
          <w:rFonts w:hint="eastAsia" w:ascii="宋体" w:hAnsi="宋体" w:cs="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41.4 招标人将上述符合要求的投标文件，送至评标委员会进行评审。</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 资格审查及评标细则</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42.1资格审查及评标均由招标人依法组建的评标委员会负责。</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42.2评标委员会的组成：方式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pStyle w:val="36"/>
        <w:tabs>
          <w:tab w:val="left" w:pos="7380"/>
        </w:tabs>
        <w:snapToGrid w:val="0"/>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43．投标人资格审查</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43.2汇总资格审查情况，编写资格审查报告。</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43.3资格审查不合格的投标文件不参加下一阶段的评标，不参与评标参考价的计算。</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43.5资审合格后，投标人的资格发生变化而不满足投标人合格条件，在发出中标通知书前，资格问题仍未解决的，招标人将取消其中标资格。</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43.6资格审查合格的投标人少于3名的（当N个标段同时招标且不允许兼中时，资格审查合格的投标人少于N+2名），则本项目招标失败。</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44．技术标评审</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45．经济标评审和得分汇总</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45.1若通过技术标有效性审查的投标人中所有投标报价均大于等于最高投标限价，则本项目招标失败，由招标人依法重新招标。</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45.2按方法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计算评标参考价：</w:t>
      </w:r>
    </w:p>
    <w:p>
      <w:pPr>
        <w:widowControl/>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方法一：加权平均法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技术标或技术标加诚信得分（具体由招标人自定）前N名（N≥5，具体由招标人自定）的经济报价加权平均，计算评标参考价。公式如下：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评标参考价=Σ（投标人的投标报价*报价权重）。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其中：报价权重的计算方法为：将N名投标人按技术分由高至低进行排序，第一名投标人的权重为（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0" distR="0">
            <wp:extent cx="379730" cy="451485"/>
            <wp:effectExtent l="19050" t="0" r="127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0" distR="0">
            <wp:extent cx="379730" cy="451485"/>
            <wp:effectExtent l="19050" t="0" r="127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），第二名投标人的权重为（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position w:val="-23"/>
          <w:sz w:val="24"/>
          <w:szCs w:val="24"/>
          <w:highlight w:val="none"/>
        </w:rPr>
        <w:drawing>
          <wp:inline distT="0" distB="0" distL="0" distR="0">
            <wp:extent cx="320675" cy="403860"/>
            <wp:effectExtent l="19050" t="0" r="317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position w:val="-23"/>
          <w:sz w:val="24"/>
          <w:szCs w:val="24"/>
          <w:highlight w:val="none"/>
        </w:rPr>
        <w:drawing>
          <wp:inline distT="0" distB="0" distL="0" distR="0">
            <wp:extent cx="320675" cy="403860"/>
            <wp:effectExtent l="19050" t="0" r="3175"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），以此类推，最后一名投标人的权重为（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position w:val="-23"/>
          <w:sz w:val="24"/>
          <w:szCs w:val="24"/>
          <w:highlight w:val="none"/>
        </w:rPr>
        <w:drawing>
          <wp:inline distT="0" distB="0" distL="0" distR="0">
            <wp:extent cx="320675" cy="403860"/>
            <wp:effectExtent l="19050" t="0" r="3175"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position w:val="-23"/>
          <w:sz w:val="24"/>
          <w:szCs w:val="24"/>
          <w:highlight w:val="none"/>
        </w:rPr>
        <w:drawing>
          <wp:inline distT="0" distB="0" distL="0" distR="0">
            <wp:extent cx="320675" cy="403860"/>
            <wp:effectExtent l="19050" t="0" r="317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p>
      <w:pPr>
        <w:widowControl/>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方法二：区间抽取法</w:t>
      </w:r>
    </w:p>
    <w:p>
      <w:pPr>
        <w:widowControl/>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s="宋体"/>
          <w:color w:val="auto"/>
          <w:kern w:val="0"/>
          <w:sz w:val="24"/>
          <w:szCs w:val="24"/>
          <w:highlight w:val="none"/>
          <w:vertAlign w:val="subscript"/>
        </w:rPr>
      </w:pPr>
      <w:r>
        <w:rPr>
          <w:rFonts w:hint="eastAsia" w:ascii="宋体" w:hAnsi="宋体" w:cs="宋体"/>
          <w:color w:val="auto"/>
          <w:kern w:val="0"/>
          <w:sz w:val="24"/>
          <w:szCs w:val="24"/>
          <w:highlight w:val="none"/>
        </w:rPr>
        <w:t>评标参考价=（Q</w:t>
      </w:r>
      <w:r>
        <w:rPr>
          <w:rFonts w:hint="eastAsia" w:ascii="宋体" w:hAnsi="宋体" w:cs="宋体"/>
          <w:color w:val="auto"/>
          <w:kern w:val="0"/>
          <w:sz w:val="24"/>
          <w:szCs w:val="24"/>
          <w:highlight w:val="none"/>
          <w:vertAlign w:val="subscript"/>
        </w:rPr>
        <w:t>高</w:t>
      </w: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低</w:t>
      </w:r>
      <w:r>
        <w:rPr>
          <w:rFonts w:hint="eastAsia" w:ascii="宋体" w:hAnsi="宋体" w:cs="宋体"/>
          <w:color w:val="auto"/>
          <w:kern w:val="0"/>
          <w:sz w:val="24"/>
          <w:szCs w:val="24"/>
          <w:highlight w:val="none"/>
        </w:rPr>
        <w:t>）/100*Ｘ+Q</w:t>
      </w:r>
      <w:r>
        <w:rPr>
          <w:rFonts w:hint="eastAsia" w:ascii="宋体" w:hAnsi="宋体" w:cs="宋体"/>
          <w:color w:val="auto"/>
          <w:kern w:val="0"/>
          <w:sz w:val="24"/>
          <w:szCs w:val="24"/>
          <w:highlight w:val="none"/>
          <w:vertAlign w:val="subscript"/>
        </w:rPr>
        <w:t>低</w:t>
      </w:r>
    </w:p>
    <w:p>
      <w:pPr>
        <w:widowControl/>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低</w:t>
      </w:r>
      <w:r>
        <w:rPr>
          <w:rFonts w:hint="eastAsia" w:ascii="宋体" w:hAnsi="宋体" w:cs="宋体"/>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高</w:t>
      </w:r>
      <w:r>
        <w:rPr>
          <w:rFonts w:hint="eastAsia" w:ascii="宋体" w:hAnsi="宋体" w:cs="宋体"/>
          <w:color w:val="auto"/>
          <w:sz w:val="24"/>
          <w:szCs w:val="24"/>
          <w:highlight w:val="none"/>
        </w:rPr>
        <w:t>：为最高投标限价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X:为等分点值，在开标前从[0,100]整数中随机抽取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当标价等于评标参考价时得100分，标价每高于评标参考价1%，扣1.5分，每低于评标参考价1%，扣1分，扣至0分为止，得出经济分，精确到小数点后两位。</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36"/>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46.经济标的有效性审查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s="宋体"/>
          <w:color w:val="auto"/>
          <w:sz w:val="24"/>
          <w:highlight w:val="none"/>
        </w:rPr>
        <w:t>投标文件</w:t>
      </w:r>
      <w:r>
        <w:rPr>
          <w:rFonts w:hint="eastAsia" w:ascii="宋体" w:hAnsi="宋体" w:cs="宋体"/>
          <w:color w:val="auto"/>
          <w:sz w:val="24"/>
          <w:szCs w:val="24"/>
          <w:highlight w:val="none"/>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46.2.1如果数字表示的金额和用文字表示的金额不一致时，应以文字表示的金额为准；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46.2.2经算术复核的投标人报价与其投标报价不一致时，按就低不就高原则确定其最终报价；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46.2.4当合价、金额累加错误时，按就低不就高原则，如果累加修正值小于原累加值，则按累加修正值；如果累加修正值大于原累加值，则按原累加值；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46.2.5如果投标人的有关规费、暂列金额、暂估价、绿色施工</w:t>
      </w:r>
      <w:bookmarkStart w:id="85" w:name="_GoBack"/>
      <w:bookmarkEnd w:id="85"/>
      <w:r>
        <w:rPr>
          <w:rFonts w:hint="eastAsia" w:ascii="宋体" w:hAnsi="宋体" w:cs="宋体"/>
          <w:color w:val="auto"/>
          <w:sz w:val="24"/>
          <w:szCs w:val="24"/>
          <w:highlight w:val="none"/>
        </w:rPr>
        <w:t>安全防护措施费等未按招标文件规定的金额填写的，由评标委员会按照招标文件规定的金额进行修正；</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49.若通过经济标有效性审查的投标人不足三家，应当依法重新招标。（当N个标段同时招标且不允许兼中时，若有效投标人不足N+2家，应当依法重新招标）</w:t>
      </w:r>
      <w:bookmarkEnd w:id="26"/>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widowControl/>
        <w:snapToGrid w:val="0"/>
        <w:spacing w:line="360" w:lineRule="auto"/>
        <w:ind w:right="102"/>
        <w:jc w:val="left"/>
        <w:rPr>
          <w:rFonts w:ascii="宋体" w:hAnsi="宋体" w:cs="宋体"/>
          <w:color w:val="auto"/>
          <w:szCs w:val="21"/>
          <w:highlight w:val="none"/>
        </w:rPr>
        <w:sectPr>
          <w:endnotePr>
            <w:numFmt w:val="decimal"/>
          </w:endnotePr>
          <w:pgSz w:w="11906" w:h="16838"/>
          <w:pgMar w:top="1134" w:right="1418" w:bottom="1247" w:left="1418" w:header="851" w:footer="907" w:gutter="0"/>
          <w:cols w:space="720" w:num="1"/>
          <w:titlePg/>
          <w:docGrid w:type="lines" w:linePitch="312" w:charSpace="0"/>
        </w:sectPr>
      </w:pPr>
    </w:p>
    <w:p>
      <w:pPr>
        <w:widowControl/>
        <w:snapToGrid w:val="0"/>
        <w:spacing w:line="360" w:lineRule="auto"/>
        <w:ind w:right="102"/>
        <w:jc w:val="left"/>
        <w:rPr>
          <w:rFonts w:ascii="宋体" w:hAnsi="宋体" w:cs="宋体"/>
          <w:color w:val="auto"/>
          <w:szCs w:val="21"/>
          <w:highlight w:val="none"/>
        </w:rPr>
      </w:pPr>
      <w:r>
        <w:rPr>
          <w:rFonts w:hint="eastAsia" w:ascii="宋体" w:hAnsi="宋体" w:cs="宋体"/>
          <w:color w:val="auto"/>
          <w:szCs w:val="21"/>
          <w:highlight w:val="none"/>
        </w:rPr>
        <w:t>附表一：</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资格审查表</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276"/>
        <w:gridCol w:w="392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投标人均具有独立法人资格，按国家法律经营</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投标人均持有建设行政主管部门颁发的有效期内的企业资质证书及安全生产许可证；投标人资质符合公告要求</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有效期内的注册建造师注册证书在广州市住建行业信用平台内上传件。</w:t>
            </w:r>
          </w:p>
          <w:p>
            <w:pPr>
              <w:jc w:val="center"/>
              <w:rPr>
                <w:rFonts w:ascii="宋体" w:hAnsi="宋体" w:cs="宋体"/>
                <w:color w:val="auto"/>
                <w:szCs w:val="21"/>
                <w:highlight w:val="none"/>
              </w:rPr>
            </w:pPr>
            <w:r>
              <w:rPr>
                <w:rFonts w:hint="eastAsia" w:ascii="宋体" w:hAnsi="宋体" w:cs="宋体"/>
                <w:color w:val="auto"/>
                <w:szCs w:val="21"/>
                <w:highlight w:val="none"/>
              </w:rPr>
              <w:t>（注：打印建造师电子证书后，在个人签名处手写本人签名再上传广州市住建行业信用平台。）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持有项目负责人安全生产考核合格证（B类）或建筑施工企业项目负责人安全生产考核合格证</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项目负责人安全生产考核合格证（B类）或建筑施工企业项目负责人安全生产考核合格证在广州市住建行业信用管理平台内上传件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拟委托技术负责人的职称证书扫描件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专职安全员须具有在有效期内的安全生产考核合格证（C类）或建筑施工企业专职安全生产管理人员安全生产考核合格证书（C3）</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专职安全员的安全生产考核合格证（C证）或建筑施工企业专职安全生产管理人员安全生产考核合格证书（C3）在广州市住建行业信用管理平台内上传件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投标人提供的投标人声明符合公告要求</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u w:val="single"/>
              </w:rPr>
            </w:pPr>
            <w:r>
              <w:rPr>
                <w:rFonts w:hint="eastAsia" w:ascii="宋体" w:hAnsi="宋体" w:cs="宋体"/>
                <w:color w:val="auto"/>
                <w:szCs w:val="21"/>
                <w:highlight w:val="none"/>
              </w:rPr>
              <w:t>关于联合体投标：本项目接受联合体投标。</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u w:val="single"/>
              </w:rPr>
            </w:pPr>
            <w:r>
              <w:rPr>
                <w:rFonts w:hint="eastAsia" w:ascii="宋体" w:hAnsi="宋体" w:cs="宋体"/>
                <w:color w:val="auto"/>
                <w:szCs w:val="21"/>
                <w:highlight w:val="none"/>
              </w:rPr>
              <w:t>本项目接受联合体投标,但只接受最多由3家单位组成的联合体，且应以承接建筑装修装饰工程的一方为主办方，并签订联合体协议书（招标公告附件二）。联合体协议书应明确约定各方拟承担的工作和责任。</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资格审查前，投标人须在广州市住房和城乡建设局建立企业信用档案及拟担任本工程项目负责人、专职安全员须是本企业中的在册人员</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投标人未出现以下情形：与其它投标人的单位负责人为同一人或者存在控股、管理关系的（按投标人提供的《投标人声明》第八条内容进行评审）。</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3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未被列入拖欠农民工工资失信联合惩戒对象名单</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投标人无需提供资料，资格审查时，按广州交易集团有限公司（广州公共资源交易中心）交易系统比对的结果进行评审。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r>
        <w:rPr>
          <w:rFonts w:hint="eastAsia" w:ascii="宋体" w:hAnsi="宋体" w:cs="宋体"/>
          <w:color w:val="auto"/>
          <w:szCs w:val="21"/>
          <w:highlight w:val="none"/>
        </w:rPr>
        <w:t>备注：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1、每一项目符合的打“○”，不符合的打“×”；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pPr>
        <w:ind w:firstLine="420" w:firstLineChars="200"/>
        <w:rPr>
          <w:rFonts w:ascii="宋体" w:hAnsi="宋体" w:cs="宋体"/>
          <w:color w:val="auto"/>
          <w:highlight w:val="none"/>
        </w:rPr>
        <w:sectPr>
          <w:endnotePr>
            <w:numFmt w:val="decimal"/>
          </w:endnotePr>
          <w:pgSz w:w="11906" w:h="16838"/>
          <w:pgMar w:top="1134" w:right="1418" w:bottom="1247" w:left="1418" w:header="851" w:footer="907" w:gutter="0"/>
          <w:cols w:space="720" w:num="1"/>
          <w:titlePg/>
          <w:docGrid w:type="lines" w:linePitch="312" w:charSpace="0"/>
        </w:sectPr>
      </w:pPr>
      <w:r>
        <w:rPr>
          <w:rFonts w:hint="eastAsia" w:ascii="宋体" w:hAnsi="宋体" w:cs="宋体"/>
          <w:color w:val="auto"/>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ascii="宋体" w:hAnsi="宋体" w:cs="宋体"/>
          <w:color w:val="auto"/>
          <w:szCs w:val="21"/>
          <w:highlight w:val="none"/>
        </w:rPr>
      </w:pPr>
      <w:r>
        <w:rPr>
          <w:rFonts w:hint="eastAsia" w:ascii="宋体" w:hAnsi="宋体" w:cs="宋体"/>
          <w:color w:val="auto"/>
          <w:szCs w:val="21"/>
          <w:highlight w:val="none"/>
        </w:rPr>
        <w:t>附表二</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8"/>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267"/>
        <w:gridCol w:w="1275"/>
        <w:gridCol w:w="1088"/>
        <w:gridCol w:w="1293"/>
        <w:gridCol w:w="1482"/>
        <w:gridCol w:w="133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序号</w:t>
            </w:r>
          </w:p>
        </w:tc>
        <w:tc>
          <w:tcPr>
            <w:tcW w:w="6267"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s="宋体"/>
                <w:color w:val="auto"/>
                <w:szCs w:val="21"/>
                <w:highlight w:val="none"/>
              </w:rPr>
            </w:pPr>
            <w:r>
              <w:rPr>
                <w:rFonts w:hint="eastAsia" w:ascii="宋体" w:hAnsi="宋体" w:cs="宋体"/>
                <w:color w:val="auto"/>
                <w:szCs w:val="21"/>
                <w:highlight w:val="none"/>
              </w:rPr>
              <w:t xml:space="preserve">               投标人</w:t>
            </w:r>
          </w:p>
          <w:p>
            <w:pPr>
              <w:adjustRightInd w:val="0"/>
              <w:rPr>
                <w:rFonts w:ascii="宋体" w:hAnsi="宋体" w:cs="宋体"/>
                <w:color w:val="auto"/>
                <w:szCs w:val="21"/>
                <w:highlight w:val="none"/>
              </w:rPr>
            </w:pPr>
          </w:p>
          <w:p>
            <w:pPr>
              <w:adjustRightInd w:val="0"/>
              <w:rPr>
                <w:rFonts w:ascii="宋体" w:hAnsi="宋体" w:cs="宋体"/>
                <w:color w:val="auto"/>
                <w:szCs w:val="21"/>
                <w:highlight w:val="none"/>
              </w:rPr>
            </w:pPr>
            <w:r>
              <w:rPr>
                <w:rFonts w:hint="eastAsia" w:ascii="宋体" w:hAnsi="宋体" w:cs="宋体"/>
                <w:color w:val="auto"/>
                <w:szCs w:val="21"/>
                <w:highlight w:val="none"/>
              </w:rPr>
              <w:t>评审内容</w:t>
            </w: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1</w:t>
            </w:r>
          </w:p>
        </w:tc>
        <w:tc>
          <w:tcPr>
            <w:tcW w:w="626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不能满足完成投标项目工期的；</w:t>
            </w: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trike/>
                <w:color w:val="auto"/>
                <w:szCs w:val="21"/>
                <w:highlight w:val="none"/>
              </w:rPr>
            </w:pPr>
            <w:r>
              <w:rPr>
                <w:rFonts w:hint="eastAsia" w:ascii="宋体" w:hAnsi="宋体" w:cs="宋体"/>
                <w:color w:val="auto"/>
                <w:szCs w:val="21"/>
                <w:highlight w:val="none"/>
              </w:rPr>
              <w:t>2</w:t>
            </w:r>
          </w:p>
        </w:tc>
        <w:tc>
          <w:tcPr>
            <w:tcW w:w="626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trike/>
                <w:color w:val="auto"/>
                <w:szCs w:val="21"/>
                <w:highlight w:val="none"/>
              </w:rPr>
            </w:pPr>
            <w:r>
              <w:rPr>
                <w:rFonts w:hint="eastAsia" w:ascii="宋体" w:hAnsi="宋体" w:cs="宋体"/>
                <w:color w:val="auto"/>
                <w:szCs w:val="21"/>
                <w:highlight w:val="none"/>
              </w:rPr>
              <w:t>不符合招标文件及有关技术规格、质量要求、检验标准和方法的；</w:t>
            </w: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3</w:t>
            </w:r>
          </w:p>
        </w:tc>
        <w:tc>
          <w:tcPr>
            <w:tcW w:w="626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投标文件中没有有效的法定代表人证明书，或由委托代理人签署的投标文件中没有法定代表人授权书；</w:t>
            </w: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4</w:t>
            </w:r>
          </w:p>
        </w:tc>
        <w:tc>
          <w:tcPr>
            <w:tcW w:w="626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（指招标文件第一章第</w:t>
            </w:r>
            <w:r>
              <w:rPr>
                <w:rFonts w:ascii="宋体" w:hAnsi="宋体" w:cs="宋体"/>
                <w:color w:val="auto"/>
                <w:szCs w:val="21"/>
                <w:highlight w:val="none"/>
                <w:u w:val="single"/>
              </w:rPr>
              <w:t>11条投标文件的组成规定内容中有关</w:t>
            </w:r>
            <w:r>
              <w:rPr>
                <w:rFonts w:hint="eastAsia" w:ascii="宋体" w:hAnsi="宋体" w:cs="宋体"/>
                <w:color w:val="auto"/>
                <w:szCs w:val="21"/>
                <w:highlight w:val="none"/>
                <w:u w:val="single"/>
              </w:rPr>
              <w:t>技术标的</w:t>
            </w:r>
            <w:r>
              <w:rPr>
                <w:rFonts w:ascii="宋体" w:hAnsi="宋体" w:cs="宋体"/>
                <w:color w:val="auto"/>
                <w:szCs w:val="21"/>
                <w:highlight w:val="none"/>
                <w:u w:val="single"/>
              </w:rPr>
              <w:t>规定内容）</w:t>
            </w:r>
            <w:r>
              <w:rPr>
                <w:rFonts w:hint="eastAsia" w:ascii="宋体" w:hAnsi="宋体" w:cs="宋体"/>
                <w:color w:val="auto"/>
                <w:szCs w:val="21"/>
                <w:highlight w:val="none"/>
              </w:rPr>
              <w:t>填写，或主要内容（指投标文件组成内容）不全，或关键字迹模糊、无法辨认的；</w:t>
            </w: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5</w:t>
            </w:r>
          </w:p>
        </w:tc>
        <w:tc>
          <w:tcPr>
            <w:tcW w:w="626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088"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293"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482"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331"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6</w:t>
            </w:r>
          </w:p>
        </w:tc>
        <w:tc>
          <w:tcPr>
            <w:tcW w:w="626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无《参与编制技术标投标文件人员名单》的</w:t>
            </w: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6267"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投标人未按要求提交投标保证金的</w:t>
            </w: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26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s="宋体"/>
          <w:color w:val="auto"/>
          <w:szCs w:val="21"/>
          <w:highlight w:val="none"/>
        </w:rPr>
      </w:pPr>
      <w:r>
        <w:rPr>
          <w:rFonts w:hint="eastAsia" w:ascii="宋体" w:hAnsi="宋体" w:cs="宋体"/>
          <w:color w:val="auto"/>
          <w:szCs w:val="21"/>
          <w:highlight w:val="none"/>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宋体" w:hAnsi="宋体" w:cs="宋体"/>
          <w:color w:val="auto"/>
          <w:szCs w:val="21"/>
          <w:highlight w:val="none"/>
        </w:rPr>
      </w:pPr>
      <w:r>
        <w:rPr>
          <w:rFonts w:hint="eastAsia" w:ascii="宋体" w:hAnsi="宋体" w:cs="宋体"/>
          <w:color w:val="auto"/>
          <w:szCs w:val="21"/>
          <w:highlight w:val="none"/>
        </w:rPr>
        <w:t xml:space="preserve">    3.凡出现以上任何一项情形，结论均为无效，否则就为有效。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pPr>
        <w:rPr>
          <w:rFonts w:ascii="宋体" w:hAnsi="宋体" w:cs="宋体"/>
          <w:color w:val="auto"/>
          <w:szCs w:val="21"/>
          <w:highlight w:val="none"/>
        </w:rPr>
      </w:pPr>
      <w:r>
        <w:rPr>
          <w:rFonts w:hint="eastAsia" w:ascii="宋体" w:hAnsi="宋体" w:cs="宋体"/>
          <w:color w:val="auto"/>
          <w:szCs w:val="21"/>
          <w:highlight w:val="none"/>
        </w:rPr>
        <w:t>评委签名：</w:t>
      </w:r>
    </w:p>
    <w:p>
      <w:pPr>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Cs w:val="21"/>
          <w:highlight w:val="none"/>
        </w:rPr>
        <w:t>附表三</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8"/>
        <w:tblW w:w="15244"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7458"/>
        <w:gridCol w:w="1088"/>
        <w:gridCol w:w="1012"/>
        <w:gridCol w:w="1331"/>
        <w:gridCol w:w="1257"/>
        <w:gridCol w:w="120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7458"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 xml:space="preserve">                                            投标人</w:t>
            </w:r>
          </w:p>
          <w:p>
            <w:pPr>
              <w:rPr>
                <w:rFonts w:ascii="宋体" w:hAnsi="宋体" w:cs="宋体"/>
                <w:color w:val="auto"/>
                <w:szCs w:val="21"/>
                <w:highlight w:val="none"/>
              </w:rPr>
            </w:pPr>
            <w:r>
              <w:rPr>
                <w:rFonts w:hint="eastAsia" w:ascii="宋体" w:hAnsi="宋体" w:cs="宋体"/>
                <w:color w:val="auto"/>
                <w:szCs w:val="21"/>
                <w:highlight w:val="none"/>
              </w:rPr>
              <w:t>评审内容</w:t>
            </w:r>
          </w:p>
        </w:tc>
        <w:tc>
          <w:tcPr>
            <w:tcW w:w="108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74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108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74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投标报价高于最高投标限价的；</w:t>
            </w:r>
          </w:p>
        </w:tc>
        <w:tc>
          <w:tcPr>
            <w:tcW w:w="108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74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08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74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算术复核后的投标报价与原投标报价相比存在1%或以上误差的；</w:t>
            </w:r>
          </w:p>
        </w:tc>
        <w:tc>
          <w:tcPr>
            <w:tcW w:w="108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74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投标文件未按规定的格式（指“第四章投标文件格式”的附件一、附件四、附件六）填写，或主要内容不全，或关键字迹模糊、无法辨认的；</w:t>
            </w:r>
          </w:p>
        </w:tc>
        <w:tc>
          <w:tcPr>
            <w:tcW w:w="108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6</w:t>
            </w:r>
          </w:p>
        </w:tc>
        <w:tc>
          <w:tcPr>
            <w:tcW w:w="74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08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w:t>
            </w:r>
          </w:p>
        </w:tc>
        <w:tc>
          <w:tcPr>
            <w:tcW w:w="74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108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74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无《参与编制经济标投标文件人员名单》的；</w:t>
            </w:r>
          </w:p>
        </w:tc>
        <w:tc>
          <w:tcPr>
            <w:tcW w:w="108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9</w:t>
            </w:r>
          </w:p>
        </w:tc>
        <w:tc>
          <w:tcPr>
            <w:tcW w:w="74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108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10</w:t>
            </w:r>
          </w:p>
        </w:tc>
        <w:tc>
          <w:tcPr>
            <w:tcW w:w="74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投标人与本项目其他投标人的投标文件工程量清单编制机器硬件信息一致的（以广州公共资源交易中心交易平台评标系统的检索信息为准）</w:t>
            </w:r>
          </w:p>
        </w:tc>
        <w:tc>
          <w:tcPr>
            <w:tcW w:w="108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pPr>
        <w:pStyle w:val="19"/>
        <w:ind w:firstLine="400" w:firstLineChars="200"/>
        <w:rPr>
          <w:rFonts w:hAnsi="宋体" w:cs="宋体"/>
          <w:color w:val="auto"/>
          <w:highlight w:val="none"/>
        </w:rPr>
      </w:pPr>
      <w:r>
        <w:rPr>
          <w:rFonts w:hint="eastAsia" w:hAnsi="宋体" w:cs="宋体"/>
          <w:color w:val="auto"/>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36"/>
        <w:spacing w:after="0"/>
        <w:ind w:firstLine="400" w:firstLineChars="200"/>
        <w:rPr>
          <w:rFonts w:ascii="宋体" w:hAnsi="宋体" w:cs="宋体"/>
          <w:color w:val="auto"/>
          <w:szCs w:val="21"/>
          <w:highlight w:val="none"/>
        </w:rPr>
        <w:sectPr>
          <w:endnotePr>
            <w:numFmt w:val="decimal"/>
          </w:endnotePr>
          <w:pgSz w:w="16838" w:h="11906" w:orient="landscape"/>
          <w:pgMar w:top="1417" w:right="1134" w:bottom="1417" w:left="1247" w:header="851" w:footer="907" w:gutter="0"/>
          <w:cols w:space="0" w:num="1"/>
          <w:titlePg/>
          <w:docGrid w:type="lines" w:linePitch="312" w:charSpace="0"/>
        </w:sectPr>
      </w:pPr>
      <w:r>
        <w:rPr>
          <w:rFonts w:hint="eastAsia" w:ascii="宋体" w:hAnsi="宋体" w:cs="宋体"/>
          <w:color w:val="auto"/>
          <w:szCs w:val="21"/>
          <w:highlight w:val="none"/>
        </w:rPr>
        <w:t>评委签名：</w:t>
      </w:r>
    </w:p>
    <w:p>
      <w:pPr>
        <w:jc w:val="left"/>
        <w:rPr>
          <w:rFonts w:ascii="宋体" w:hAnsi="宋体" w:cs="宋体"/>
          <w:color w:val="auto"/>
          <w:szCs w:val="21"/>
          <w:highlight w:val="none"/>
        </w:rPr>
      </w:pPr>
      <w:r>
        <w:rPr>
          <w:rFonts w:hint="eastAsia" w:ascii="宋体" w:hAnsi="宋体" w:cs="宋体"/>
          <w:color w:val="auto"/>
          <w:szCs w:val="21"/>
          <w:highlight w:val="none"/>
        </w:rPr>
        <w:t>附表四</w:t>
      </w:r>
    </w:p>
    <w:p>
      <w:pPr>
        <w:widowControl/>
        <w:jc w:val="center"/>
        <w:textAlignment w:val="baseline"/>
        <w:rPr>
          <w:rFonts w:ascii="宋体" w:hAnsi="宋体" w:cs="宋体"/>
          <w:b/>
          <w:color w:val="auto"/>
          <w:sz w:val="36"/>
          <w:szCs w:val="36"/>
          <w:highlight w:val="none"/>
        </w:rPr>
      </w:pPr>
      <w:r>
        <w:rPr>
          <w:rFonts w:hint="eastAsia" w:ascii="宋体" w:hAnsi="宋体" w:cs="宋体"/>
          <w:b/>
          <w:color w:val="auto"/>
          <w:sz w:val="36"/>
          <w:szCs w:val="36"/>
          <w:highlight w:val="none"/>
        </w:rPr>
        <w:t>技术标详细审查评分表</w:t>
      </w:r>
    </w:p>
    <w:tbl>
      <w:tblPr>
        <w:tblStyle w:val="38"/>
        <w:tblW w:w="15424" w:type="dxa"/>
        <w:tblInd w:w="0"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52"/>
        <w:gridCol w:w="1134"/>
        <w:gridCol w:w="992"/>
        <w:gridCol w:w="807"/>
        <w:gridCol w:w="11839"/>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9" w:hRule="atLeast"/>
          <w:tblHeader/>
        </w:trPr>
        <w:tc>
          <w:tcPr>
            <w:tcW w:w="652" w:type="dxa"/>
            <w:shd w:val="clear" w:color="auto" w:fill="FFFFFF"/>
            <w:vAlign w:val="center"/>
          </w:tcPr>
          <w:p>
            <w:pPr>
              <w:widowControl/>
              <w:adjustRightInd w:val="0"/>
              <w:jc w:val="center"/>
              <w:rPr>
                <w:rFonts w:ascii="宋体" w:hAnsi="宋体"/>
                <w:b/>
                <w:color w:val="auto"/>
                <w:szCs w:val="21"/>
                <w:highlight w:val="none"/>
              </w:rPr>
            </w:pPr>
            <w:r>
              <w:rPr>
                <w:rFonts w:ascii="宋体" w:hAnsi="宋体"/>
                <w:b/>
                <w:color w:val="auto"/>
                <w:szCs w:val="21"/>
                <w:highlight w:val="none"/>
              </w:rPr>
              <w:t>序号</w:t>
            </w:r>
          </w:p>
        </w:tc>
        <w:tc>
          <w:tcPr>
            <w:tcW w:w="1134" w:type="dxa"/>
            <w:shd w:val="clear" w:color="auto" w:fill="FFFFFF"/>
            <w:vAlign w:val="center"/>
          </w:tcPr>
          <w:p>
            <w:pPr>
              <w:widowControl/>
              <w:adjustRightInd w:val="0"/>
              <w:jc w:val="center"/>
              <w:rPr>
                <w:rFonts w:ascii="宋体" w:hAnsi="宋体"/>
                <w:b/>
                <w:color w:val="auto"/>
                <w:szCs w:val="21"/>
                <w:highlight w:val="none"/>
              </w:rPr>
            </w:pPr>
            <w:r>
              <w:rPr>
                <w:rFonts w:hint="eastAsia" w:ascii="宋体" w:hAnsi="宋体"/>
                <w:b/>
                <w:color w:val="auto"/>
                <w:szCs w:val="21"/>
                <w:highlight w:val="none"/>
              </w:rPr>
              <w:t>评分项目</w:t>
            </w:r>
          </w:p>
        </w:tc>
        <w:tc>
          <w:tcPr>
            <w:tcW w:w="992" w:type="dxa"/>
            <w:shd w:val="clear" w:color="auto" w:fill="FFFFFF"/>
            <w:vAlign w:val="center"/>
          </w:tcPr>
          <w:p>
            <w:pPr>
              <w:widowControl/>
              <w:adjustRightInd w:val="0"/>
              <w:ind w:left="-56" w:leftChars="-27" w:right="-50" w:rightChars="-24"/>
              <w:jc w:val="center"/>
              <w:rPr>
                <w:rFonts w:ascii="宋体" w:hAnsi="宋体"/>
                <w:b/>
                <w:color w:val="auto"/>
                <w:szCs w:val="21"/>
                <w:highlight w:val="none"/>
              </w:rPr>
            </w:pPr>
            <w:r>
              <w:rPr>
                <w:rFonts w:hint="eastAsia" w:ascii="宋体" w:hAnsi="宋体"/>
                <w:b/>
                <w:color w:val="auto"/>
                <w:szCs w:val="21"/>
                <w:highlight w:val="none"/>
              </w:rPr>
              <w:t>评分内容</w:t>
            </w:r>
          </w:p>
        </w:tc>
        <w:tc>
          <w:tcPr>
            <w:tcW w:w="807" w:type="dxa"/>
            <w:shd w:val="clear" w:color="auto" w:fill="FFFFFF"/>
            <w:vAlign w:val="center"/>
          </w:tcPr>
          <w:p>
            <w:pPr>
              <w:widowControl/>
              <w:adjustRightInd w:val="0"/>
              <w:jc w:val="center"/>
              <w:rPr>
                <w:rFonts w:ascii="宋体" w:hAnsi="宋体"/>
                <w:b/>
                <w:color w:val="auto"/>
                <w:szCs w:val="21"/>
                <w:highlight w:val="none"/>
              </w:rPr>
            </w:pPr>
            <w:r>
              <w:rPr>
                <w:rFonts w:hint="eastAsia" w:ascii="宋体" w:hAnsi="宋体"/>
                <w:b/>
                <w:color w:val="auto"/>
                <w:szCs w:val="21"/>
                <w:highlight w:val="none"/>
              </w:rPr>
              <w:t>分值</w:t>
            </w:r>
          </w:p>
        </w:tc>
        <w:tc>
          <w:tcPr>
            <w:tcW w:w="11839" w:type="dxa"/>
            <w:shd w:val="clear" w:color="auto" w:fill="FFFFFF"/>
            <w:vAlign w:val="center"/>
          </w:tcPr>
          <w:p>
            <w:pPr>
              <w:widowControl/>
              <w:adjustRightInd w:val="0"/>
              <w:jc w:val="center"/>
              <w:rPr>
                <w:rFonts w:ascii="宋体" w:hAnsi="宋体"/>
                <w:b/>
                <w:color w:val="auto"/>
                <w:szCs w:val="21"/>
                <w:highlight w:val="none"/>
              </w:rPr>
            </w:pPr>
            <w:r>
              <w:rPr>
                <w:rFonts w:hint="eastAsia" w:ascii="宋体" w:hAnsi="宋体"/>
                <w:b/>
                <w:color w:val="auto"/>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6" w:hRule="atLeast"/>
        </w:trPr>
        <w:tc>
          <w:tcPr>
            <w:tcW w:w="652" w:type="dxa"/>
            <w:vMerge w:val="restart"/>
            <w:shd w:val="clear" w:color="auto" w:fill="FFFFFF"/>
            <w:vAlign w:val="center"/>
          </w:tcPr>
          <w:p>
            <w:pPr>
              <w:jc w:val="center"/>
              <w:rPr>
                <w:rFonts w:ascii="宋体" w:hAnsi="宋体" w:cs="宋体"/>
                <w:color w:val="auto"/>
                <w:highlight w:val="none"/>
              </w:rPr>
            </w:pPr>
            <w:r>
              <w:rPr>
                <w:rFonts w:hint="eastAsia" w:ascii="宋体" w:hAnsi="宋体" w:cs="宋体"/>
                <w:color w:val="auto"/>
                <w:highlight w:val="none"/>
              </w:rPr>
              <w:t>一</w:t>
            </w:r>
          </w:p>
        </w:tc>
        <w:tc>
          <w:tcPr>
            <w:tcW w:w="1134" w:type="dxa"/>
            <w:vMerge w:val="restart"/>
            <w:shd w:val="clear" w:color="auto" w:fill="FFFFFF"/>
            <w:vAlign w:val="center"/>
          </w:tcPr>
          <w:p>
            <w:pPr>
              <w:ind w:left="-65" w:leftChars="-31" w:right="-48" w:rightChars="-23"/>
              <w:jc w:val="center"/>
              <w:rPr>
                <w:rFonts w:ascii="宋体" w:hAnsi="宋体" w:cs="宋体"/>
                <w:color w:val="auto"/>
                <w:highlight w:val="none"/>
              </w:rPr>
            </w:pPr>
            <w:r>
              <w:rPr>
                <w:rFonts w:hint="eastAsia" w:ascii="宋体" w:hAnsi="宋体" w:cs="宋体"/>
                <w:color w:val="auto"/>
                <w:highlight w:val="none"/>
              </w:rPr>
              <w:t>项目管理机构</w:t>
            </w:r>
          </w:p>
          <w:p>
            <w:pPr>
              <w:ind w:left="-65" w:leftChars="-31" w:right="-48" w:rightChars="-23"/>
              <w:jc w:val="center"/>
              <w:rPr>
                <w:rFonts w:ascii="宋体" w:hAnsi="宋体" w:cs="宋体"/>
                <w:color w:val="auto"/>
                <w:highlight w:val="none"/>
              </w:rPr>
            </w:pPr>
            <w:r>
              <w:rPr>
                <w:rFonts w:hint="eastAsia" w:ascii="宋体" w:hAnsi="宋体" w:cs="宋体"/>
                <w:color w:val="auto"/>
                <w:highlight w:val="none"/>
              </w:rPr>
              <w:t>(70分)</w:t>
            </w:r>
          </w:p>
        </w:tc>
        <w:tc>
          <w:tcPr>
            <w:tcW w:w="992" w:type="dxa"/>
            <w:shd w:val="clear" w:color="auto" w:fill="FFFFFF"/>
            <w:vAlign w:val="center"/>
          </w:tcPr>
          <w:p>
            <w:pPr>
              <w:ind w:left="-56" w:leftChars="-27" w:right="-50" w:rightChars="-24"/>
              <w:jc w:val="center"/>
              <w:rPr>
                <w:rFonts w:ascii="宋体" w:hAnsi="宋体" w:cs="宋体"/>
                <w:color w:val="auto"/>
                <w:highlight w:val="none"/>
              </w:rPr>
            </w:pPr>
            <w:r>
              <w:rPr>
                <w:rFonts w:hint="eastAsia" w:ascii="宋体" w:hAnsi="宋体" w:cs="宋体"/>
                <w:color w:val="auto"/>
                <w:highlight w:val="none"/>
              </w:rPr>
              <w:t>项目管理机构</w:t>
            </w:r>
          </w:p>
        </w:tc>
        <w:tc>
          <w:tcPr>
            <w:tcW w:w="807" w:type="dxa"/>
            <w:shd w:val="clear" w:color="auto" w:fill="FFFFFF"/>
            <w:vAlign w:val="center"/>
          </w:tcPr>
          <w:p>
            <w:pPr>
              <w:ind w:left="-58" w:leftChars="-28" w:right="-50" w:rightChars="-24"/>
              <w:jc w:val="center"/>
              <w:rPr>
                <w:rFonts w:ascii="宋体" w:hAnsi="宋体" w:cs="宋体"/>
                <w:color w:val="auto"/>
                <w:highlight w:val="none"/>
              </w:rPr>
            </w:pPr>
            <w:r>
              <w:rPr>
                <w:rFonts w:hint="eastAsia" w:ascii="宋体" w:hAnsi="宋体" w:cs="宋体"/>
                <w:color w:val="auto"/>
                <w:highlight w:val="none"/>
              </w:rPr>
              <w:t>70</w:t>
            </w:r>
          </w:p>
        </w:tc>
        <w:tc>
          <w:tcPr>
            <w:tcW w:w="11839" w:type="dxa"/>
            <w:shd w:val="clear" w:color="auto" w:fill="FFFFFF"/>
            <w:vAlign w:val="center"/>
          </w:tcPr>
          <w:p>
            <w:pPr>
              <w:pStyle w:val="19"/>
              <w:spacing w:line="280" w:lineRule="atLeas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投标人（联合体投标的，指联合体主办方）项目管理机构人员配备满足《项目管理部组成人员配备基本要求表》的得基础分4分，不满足《项目管理部组成人员配备基本要求表》的得0分。在此基础上：</w:t>
            </w:r>
          </w:p>
          <w:p>
            <w:pPr>
              <w:snapToGrid w:val="0"/>
              <w:spacing w:line="280" w:lineRule="atLeas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（1）技术负责人(本项最高加8分)：</w:t>
            </w:r>
          </w:p>
          <w:p>
            <w:pPr>
              <w:snapToGrid w:val="0"/>
              <w:spacing w:line="280" w:lineRule="atLeas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①取得建筑装饰施工类高级工程师职称职称证书10年以下的，加4分；②具有建筑装饰施工类高级工程师职称，取得该职称证书10年（含）以上或建筑装饰施工类正高（教授）级工程师职称的，加8分；</w:t>
            </w:r>
          </w:p>
          <w:p>
            <w:pPr>
              <w:snapToGrid w:val="0"/>
              <w:spacing w:line="280" w:lineRule="atLeas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（2）质量负责人(本项最高加8分)：</w:t>
            </w:r>
          </w:p>
          <w:p>
            <w:pPr>
              <w:snapToGrid w:val="0"/>
              <w:spacing w:line="280" w:lineRule="atLeast"/>
              <w:ind w:firstLine="42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①取得建筑装饰施工类高级工程师职称职称证书10年以下的，加4分；②具有建筑装饰施工类高级工程师职称，取得该职称证书10年（含）以上或建筑装饰施工类正高（教授）级工程师职称的，加8分；</w:t>
            </w:r>
          </w:p>
          <w:p>
            <w:pPr>
              <w:snapToGrid w:val="0"/>
              <w:spacing w:line="280" w:lineRule="atLeas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（3）造价负责人(本项最高加10分)：</w:t>
            </w:r>
          </w:p>
          <w:p>
            <w:pPr>
              <w:snapToGrid w:val="0"/>
              <w:spacing w:line="280" w:lineRule="atLeas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拟投入的2名造价负责人①具有工程造价类高级工程师职称的，取得该职称证书8年以下的，每有一人加2分； ②具有工程造价类高级工程师职称的，取得该职称证书8年（含）以上或工程造价类正高（教授）级工程师职称的，每有一人加5分；</w:t>
            </w:r>
          </w:p>
          <w:p>
            <w:pPr>
              <w:snapToGrid w:val="0"/>
              <w:spacing w:line="280" w:lineRule="atLeas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（4）安全负责人(本项最高加5分)：</w:t>
            </w:r>
          </w:p>
          <w:p>
            <w:pPr>
              <w:snapToGrid w:val="0"/>
              <w:spacing w:line="280" w:lineRule="atLeas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具有建筑装饰施工类高级工程师（或以上）职称及安全生产考核合格证（C类或C3类）的，加5分。</w:t>
            </w:r>
          </w:p>
          <w:p>
            <w:pPr>
              <w:snapToGrid w:val="0"/>
              <w:spacing w:line="280" w:lineRule="atLeas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（5）装修工程师(本项最高加20分)：</w:t>
            </w:r>
          </w:p>
          <w:p>
            <w:pPr>
              <w:snapToGrid w:val="0"/>
              <w:spacing w:line="280" w:lineRule="atLeas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拟投入的5名装修工程师①取得建筑装饰施工类高级工程师职称职称证书8年以下的，每有一人加2分；②具有建筑装饰施工类高级工程师职称，取得该职称证书8年（含）以上或建筑装饰施工类正高（教授）级工程师职称的，每有一人加4分；</w:t>
            </w:r>
          </w:p>
          <w:p>
            <w:pPr>
              <w:snapToGrid w:val="0"/>
              <w:spacing w:line="280" w:lineRule="atLeas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（6）深化设计工程师(本项最高加6分)：</w:t>
            </w:r>
          </w:p>
          <w:p>
            <w:pPr>
              <w:snapToGrid w:val="0"/>
              <w:spacing w:line="280" w:lineRule="atLeas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具有建筑装饰设计类高级工程师（或以上）职称的，每人加3分；</w:t>
            </w:r>
          </w:p>
          <w:p>
            <w:pPr>
              <w:snapToGrid w:val="0"/>
              <w:spacing w:line="280" w:lineRule="atLeas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（7）电气工程师(本项最高加3分)：</w:t>
            </w:r>
          </w:p>
          <w:p>
            <w:pPr>
              <w:snapToGrid w:val="0"/>
              <w:spacing w:line="280" w:lineRule="atLeas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具有建筑电气安装类高级工程师（或以上）职称的，加3分；</w:t>
            </w:r>
          </w:p>
          <w:p>
            <w:pPr>
              <w:snapToGrid w:val="0"/>
              <w:spacing w:line="280" w:lineRule="atLeas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（8）智能化工程师(本项最高加3分)：</w:t>
            </w:r>
          </w:p>
          <w:p>
            <w:pPr>
              <w:snapToGrid w:val="0"/>
              <w:spacing w:line="280" w:lineRule="atLeas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具有建筑智能化类高级工程师（或以上）职称的，加3分；</w:t>
            </w:r>
          </w:p>
          <w:p>
            <w:pPr>
              <w:snapToGrid w:val="0"/>
              <w:spacing w:line="280" w:lineRule="atLeas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（9）材料工程师(本项最高加3分)：</w:t>
            </w:r>
          </w:p>
          <w:p>
            <w:pPr>
              <w:autoSpaceDE w:val="0"/>
              <w:autoSpaceDN w:val="0"/>
              <w:adjustRightInd w:val="0"/>
              <w:snapToGrid w:val="0"/>
              <w:spacing w:line="276" w:lineRule="auto"/>
              <w:ind w:firstLine="420" w:firstLineChars="200"/>
              <w:rPr>
                <w:rFonts w:ascii="宋体" w:hAnsi="宋体" w:cs="宋体"/>
                <w:color w:val="auto"/>
                <w:szCs w:val="21"/>
                <w:highlight w:val="none"/>
              </w:rPr>
            </w:pPr>
            <w:r>
              <w:rPr>
                <w:rFonts w:hint="eastAsia" w:asciiTheme="minorEastAsia" w:hAnsiTheme="minorEastAsia" w:eastAsiaTheme="minorEastAsia" w:cstheme="minorEastAsia"/>
                <w:color w:val="auto"/>
                <w:highlight w:val="none"/>
              </w:rPr>
              <w:t>具有建筑材料类高级工程师（或以上）职称的，加3分；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83" w:hRule="atLeast"/>
        </w:trPr>
        <w:tc>
          <w:tcPr>
            <w:tcW w:w="652" w:type="dxa"/>
            <w:vMerge w:val="restart"/>
            <w:shd w:val="clear" w:color="auto" w:fill="FFFFFF"/>
            <w:vAlign w:val="center"/>
          </w:tcPr>
          <w:p>
            <w:pPr>
              <w:jc w:val="center"/>
              <w:rPr>
                <w:rFonts w:ascii="宋体" w:hAnsi="宋体" w:cs="宋体"/>
                <w:color w:val="auto"/>
                <w:highlight w:val="none"/>
              </w:rPr>
            </w:pPr>
            <w:r>
              <w:rPr>
                <w:rFonts w:hint="eastAsia" w:ascii="宋体" w:hAnsi="宋体" w:cs="宋体"/>
                <w:color w:val="auto"/>
                <w:highlight w:val="none"/>
              </w:rPr>
              <w:t>二</w:t>
            </w:r>
          </w:p>
        </w:tc>
        <w:tc>
          <w:tcPr>
            <w:tcW w:w="1134" w:type="dxa"/>
            <w:vMerge w:val="restart"/>
            <w:shd w:val="clear" w:color="auto" w:fill="FFFFFF"/>
            <w:vAlign w:val="center"/>
          </w:tcPr>
          <w:p>
            <w:pPr>
              <w:ind w:left="-65" w:leftChars="-31" w:right="-48" w:rightChars="-23"/>
              <w:jc w:val="center"/>
              <w:rPr>
                <w:rFonts w:ascii="宋体" w:hAnsi="宋体" w:cs="宋体"/>
                <w:color w:val="auto"/>
                <w:highlight w:val="none"/>
              </w:rPr>
            </w:pPr>
            <w:r>
              <w:rPr>
                <w:rFonts w:hint="eastAsia" w:ascii="宋体" w:hAnsi="宋体" w:cs="宋体"/>
                <w:color w:val="auto"/>
                <w:highlight w:val="none"/>
              </w:rPr>
              <w:t>企业资信</w:t>
            </w:r>
          </w:p>
          <w:p>
            <w:pPr>
              <w:ind w:left="-65" w:leftChars="-31" w:right="-48" w:rightChars="-23"/>
              <w:jc w:val="center"/>
              <w:rPr>
                <w:rFonts w:ascii="宋体" w:hAnsi="宋体" w:cs="宋体"/>
                <w:color w:val="auto"/>
                <w:highlight w:val="none"/>
              </w:rPr>
            </w:pPr>
            <w:r>
              <w:rPr>
                <w:rFonts w:hint="eastAsia" w:ascii="宋体" w:hAnsi="宋体" w:cs="宋体"/>
                <w:color w:val="auto"/>
                <w:highlight w:val="none"/>
              </w:rPr>
              <w:t>(30分)</w:t>
            </w:r>
          </w:p>
        </w:tc>
        <w:tc>
          <w:tcPr>
            <w:tcW w:w="992" w:type="dxa"/>
            <w:shd w:val="clear" w:color="auto" w:fill="FFFFFF"/>
            <w:vAlign w:val="center"/>
          </w:tcPr>
          <w:p>
            <w:pPr>
              <w:rPr>
                <w:rFonts w:ascii="宋体" w:hAnsi="宋体" w:cs="宋体"/>
                <w:color w:val="auto"/>
                <w:highlight w:val="none"/>
              </w:rPr>
            </w:pPr>
            <w:r>
              <w:rPr>
                <w:rFonts w:hint="eastAsia" w:asciiTheme="minorEastAsia" w:hAnsiTheme="minorEastAsia" w:eastAsiaTheme="minorEastAsia" w:cstheme="minorEastAsia"/>
                <w:b/>
                <w:bCs/>
                <w:color w:val="auto"/>
                <w:szCs w:val="21"/>
                <w:highlight w:val="none"/>
              </w:rPr>
              <w:t>类似业绩</w:t>
            </w:r>
          </w:p>
        </w:tc>
        <w:tc>
          <w:tcPr>
            <w:tcW w:w="807" w:type="dxa"/>
            <w:shd w:val="clear" w:color="auto" w:fill="FFFFFF"/>
            <w:vAlign w:val="center"/>
          </w:tcPr>
          <w:p>
            <w:pPr>
              <w:adjustRightInd w:val="0"/>
              <w:snapToGrid w:val="0"/>
              <w:spacing w:before="78" w:beforeLines="25" w:after="78" w:afterLines="25" w:line="240" w:lineRule="exact"/>
              <w:ind w:left="-52" w:leftChars="-25" w:right="-50" w:rightChars="-24"/>
              <w:jc w:val="center"/>
              <w:rPr>
                <w:rFonts w:ascii="宋体" w:hAnsi="宋体" w:cs="宋体"/>
                <w:color w:val="auto"/>
                <w:highlight w:val="none"/>
              </w:rPr>
            </w:pPr>
            <w:r>
              <w:rPr>
                <w:rFonts w:hint="eastAsia" w:asciiTheme="minorEastAsia" w:hAnsiTheme="minorEastAsia" w:eastAsiaTheme="minorEastAsia" w:cstheme="minorEastAsia"/>
                <w:color w:val="auto"/>
                <w:kern w:val="0"/>
                <w:highlight w:val="none"/>
              </w:rPr>
              <w:t>6</w:t>
            </w:r>
          </w:p>
        </w:tc>
        <w:tc>
          <w:tcPr>
            <w:tcW w:w="11839" w:type="dxa"/>
            <w:shd w:val="clear" w:color="auto" w:fill="FFFFFF"/>
            <w:vAlign w:val="center"/>
          </w:tcPr>
          <w:p>
            <w:pPr>
              <w:pStyle w:val="19"/>
              <w:rPr>
                <w:color w:val="auto"/>
                <w:highlight w:val="none"/>
              </w:rPr>
            </w:pPr>
            <w:r>
              <w:rPr>
                <w:rFonts w:hint="eastAsia"/>
                <w:color w:val="auto"/>
                <w:highlight w:val="none"/>
              </w:rPr>
              <w:t>投标人（联合体投标的，指联合体主办方）自2021年1月1日至投标截止时间止完成过质量合格且金额不少于650万元的建筑装修装饰工程施工业绩：</w:t>
            </w:r>
          </w:p>
          <w:p>
            <w:pPr>
              <w:pStyle w:val="19"/>
              <w:rPr>
                <w:color w:val="auto"/>
                <w:highlight w:val="none"/>
              </w:rPr>
            </w:pPr>
            <w:r>
              <w:rPr>
                <w:rFonts w:hint="eastAsia"/>
                <w:color w:val="auto"/>
                <w:highlight w:val="none"/>
              </w:rPr>
              <w:t>（1）具有8项以上的，得6分；</w:t>
            </w:r>
          </w:p>
          <w:p>
            <w:pPr>
              <w:pStyle w:val="19"/>
              <w:rPr>
                <w:color w:val="auto"/>
                <w:highlight w:val="none"/>
              </w:rPr>
            </w:pPr>
            <w:r>
              <w:rPr>
                <w:rFonts w:hint="eastAsia"/>
                <w:color w:val="auto"/>
                <w:highlight w:val="none"/>
              </w:rPr>
              <w:t>（2）具有5～8项的，得3分；</w:t>
            </w:r>
          </w:p>
          <w:p>
            <w:pPr>
              <w:pStyle w:val="19"/>
              <w:rPr>
                <w:rFonts w:hint="eastAsia"/>
                <w:color w:val="auto"/>
                <w:highlight w:val="none"/>
              </w:rPr>
            </w:pPr>
            <w:r>
              <w:rPr>
                <w:rFonts w:hint="eastAsia"/>
                <w:color w:val="auto"/>
                <w:highlight w:val="none"/>
              </w:rPr>
              <w:t>（3）具有1～4项的，得1分；</w:t>
            </w:r>
          </w:p>
          <w:p>
            <w:pPr>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不提供得0分。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652" w:type="dxa"/>
            <w:vMerge w:val="continue"/>
            <w:shd w:val="clear" w:color="auto" w:fill="FFFFFF"/>
            <w:vAlign w:val="center"/>
          </w:tcPr>
          <w:p>
            <w:pPr>
              <w:rPr>
                <w:rFonts w:ascii="宋体" w:hAnsi="宋体" w:cs="宋体"/>
                <w:color w:val="auto"/>
                <w:highlight w:val="none"/>
              </w:rPr>
            </w:pPr>
          </w:p>
        </w:tc>
        <w:tc>
          <w:tcPr>
            <w:tcW w:w="1134" w:type="dxa"/>
            <w:vMerge w:val="continue"/>
            <w:shd w:val="clear" w:color="auto" w:fill="FFFFFF"/>
            <w:vAlign w:val="center"/>
          </w:tcPr>
          <w:p>
            <w:pPr>
              <w:ind w:left="-65" w:leftChars="-31" w:right="-48" w:rightChars="-23"/>
              <w:rPr>
                <w:rFonts w:ascii="宋体" w:hAnsi="宋体" w:cs="宋体"/>
                <w:color w:val="auto"/>
                <w:highlight w:val="none"/>
              </w:rPr>
            </w:pPr>
          </w:p>
        </w:tc>
        <w:tc>
          <w:tcPr>
            <w:tcW w:w="992" w:type="dxa"/>
            <w:shd w:val="clear" w:color="auto" w:fill="FFFFFF"/>
            <w:vAlign w:val="center"/>
          </w:tcPr>
          <w:p>
            <w:pPr>
              <w:jc w:val="center"/>
              <w:rPr>
                <w:rFonts w:ascii="宋体" w:hAnsi="宋体" w:cs="宋体"/>
                <w:color w:val="auto"/>
                <w:highlight w:val="none"/>
              </w:rPr>
            </w:pPr>
            <w:r>
              <w:rPr>
                <w:rFonts w:hint="eastAsia" w:asciiTheme="minorEastAsia" w:hAnsiTheme="minorEastAsia" w:eastAsiaTheme="minorEastAsia" w:cstheme="minorEastAsia"/>
                <w:b/>
                <w:bCs/>
                <w:color w:val="auto"/>
                <w:szCs w:val="21"/>
                <w:highlight w:val="none"/>
              </w:rPr>
              <w:t>工程奖项</w:t>
            </w:r>
          </w:p>
        </w:tc>
        <w:tc>
          <w:tcPr>
            <w:tcW w:w="807" w:type="dxa"/>
            <w:shd w:val="clear" w:color="auto" w:fill="FFFFFF"/>
            <w:vAlign w:val="center"/>
          </w:tcPr>
          <w:p>
            <w:pPr>
              <w:adjustRightInd w:val="0"/>
              <w:snapToGrid w:val="0"/>
              <w:spacing w:line="360" w:lineRule="exact"/>
              <w:ind w:left="-58" w:leftChars="-28"/>
              <w:jc w:val="center"/>
              <w:rPr>
                <w:rFonts w:ascii="宋体" w:hAnsi="宋体" w:cs="宋体"/>
                <w:color w:val="auto"/>
                <w:highlight w:val="none"/>
              </w:rPr>
            </w:pPr>
            <w:r>
              <w:rPr>
                <w:rFonts w:hint="eastAsia" w:asciiTheme="minorEastAsia" w:hAnsiTheme="minorEastAsia" w:eastAsiaTheme="minorEastAsia" w:cstheme="minorEastAsia"/>
                <w:color w:val="auto"/>
                <w:szCs w:val="21"/>
                <w:highlight w:val="none"/>
              </w:rPr>
              <w:t>12</w:t>
            </w:r>
          </w:p>
        </w:tc>
        <w:tc>
          <w:tcPr>
            <w:tcW w:w="11839" w:type="dxa"/>
            <w:shd w:val="clear" w:color="auto" w:fill="FFFFFF"/>
            <w:vAlign w:val="center"/>
          </w:tcPr>
          <w:p>
            <w:pPr>
              <w:pStyle w:val="19"/>
              <w:rPr>
                <w:color w:val="auto"/>
                <w:highlight w:val="none"/>
              </w:rPr>
            </w:pPr>
            <w:r>
              <w:rPr>
                <w:rFonts w:hint="eastAsia"/>
                <w:color w:val="auto"/>
                <w:highlight w:val="none"/>
              </w:rPr>
              <w:t>投标人（联合体投标的，指联合体主办方）2021年1月1日今承建（或参建）的建筑装修装饰施工工程获得过的质量奖项（不含设计和幕墙类获奖）：</w:t>
            </w:r>
          </w:p>
          <w:p>
            <w:pPr>
              <w:pStyle w:val="19"/>
              <w:rPr>
                <w:color w:val="auto"/>
                <w:highlight w:val="none"/>
              </w:rPr>
            </w:pPr>
            <w:r>
              <w:rPr>
                <w:rFonts w:hint="eastAsia"/>
                <w:color w:val="auto"/>
                <w:highlight w:val="none"/>
              </w:rPr>
              <w:t>（1）获得过国家级奖项的，每个得2分，本小项最高得12分；；</w:t>
            </w:r>
          </w:p>
          <w:p>
            <w:pPr>
              <w:pStyle w:val="19"/>
              <w:rPr>
                <w:color w:val="auto"/>
                <w:highlight w:val="none"/>
              </w:rPr>
            </w:pPr>
            <w:r>
              <w:rPr>
                <w:rFonts w:hint="eastAsia"/>
                <w:color w:val="auto"/>
                <w:highlight w:val="none"/>
              </w:rPr>
              <w:t>（2）获得过省级奖项的，每个得1分，本小项最高得6分；</w:t>
            </w:r>
          </w:p>
          <w:p>
            <w:pPr>
              <w:pStyle w:val="19"/>
              <w:rPr>
                <w:rFonts w:hint="eastAsia"/>
                <w:color w:val="auto"/>
                <w:highlight w:val="none"/>
              </w:rPr>
            </w:pPr>
            <w:r>
              <w:rPr>
                <w:rFonts w:hint="eastAsia"/>
                <w:color w:val="auto"/>
                <w:highlight w:val="none"/>
              </w:rPr>
              <w:t>（3）获得过市级奖项的，每个得0.5分；本小项最高得3分；</w:t>
            </w:r>
          </w:p>
          <w:p>
            <w:pPr>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注：本项最高得分12分。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2" w:type="dxa"/>
            <w:vMerge w:val="continue"/>
            <w:shd w:val="clear" w:color="auto" w:fill="FFFFFF"/>
            <w:vAlign w:val="center"/>
          </w:tcPr>
          <w:p>
            <w:pPr>
              <w:rPr>
                <w:rFonts w:ascii="宋体" w:hAnsi="宋体" w:cs="宋体"/>
                <w:color w:val="auto"/>
                <w:highlight w:val="none"/>
              </w:rPr>
            </w:pPr>
          </w:p>
        </w:tc>
        <w:tc>
          <w:tcPr>
            <w:tcW w:w="1134" w:type="dxa"/>
            <w:vMerge w:val="continue"/>
            <w:shd w:val="clear" w:color="auto" w:fill="FFFFFF"/>
            <w:vAlign w:val="center"/>
          </w:tcPr>
          <w:p>
            <w:pPr>
              <w:ind w:left="-65" w:leftChars="-31" w:right="-48" w:rightChars="-23"/>
              <w:rPr>
                <w:rFonts w:ascii="宋体" w:hAnsi="宋体" w:cs="宋体"/>
                <w:color w:val="auto"/>
                <w:highlight w:val="none"/>
              </w:rPr>
            </w:pPr>
          </w:p>
        </w:tc>
        <w:tc>
          <w:tcPr>
            <w:tcW w:w="992" w:type="dxa"/>
            <w:shd w:val="clear" w:color="auto" w:fill="FFFFFF"/>
            <w:vAlign w:val="center"/>
          </w:tcPr>
          <w:p>
            <w:pPr>
              <w:jc w:val="center"/>
              <w:rPr>
                <w:rFonts w:ascii="宋体" w:hAnsi="宋体" w:cs="宋体"/>
                <w:color w:val="auto"/>
                <w:highlight w:val="none"/>
              </w:rPr>
            </w:pPr>
            <w:r>
              <w:rPr>
                <w:rFonts w:hint="eastAsia" w:asciiTheme="minorEastAsia" w:hAnsiTheme="minorEastAsia" w:eastAsiaTheme="minorEastAsia" w:cstheme="minorEastAsia"/>
                <w:b/>
                <w:bCs/>
                <w:color w:val="auto"/>
                <w:szCs w:val="21"/>
                <w:highlight w:val="none"/>
              </w:rPr>
              <w:t>第三方评价</w:t>
            </w:r>
          </w:p>
        </w:tc>
        <w:tc>
          <w:tcPr>
            <w:tcW w:w="807" w:type="dxa"/>
            <w:shd w:val="clear" w:color="auto" w:fill="FFFFFF"/>
            <w:vAlign w:val="center"/>
          </w:tcPr>
          <w:p>
            <w:pPr>
              <w:adjustRightInd w:val="0"/>
              <w:snapToGrid w:val="0"/>
              <w:spacing w:line="360" w:lineRule="exact"/>
              <w:ind w:left="-58" w:leftChars="-28"/>
              <w:jc w:val="center"/>
              <w:rPr>
                <w:rFonts w:ascii="宋体" w:hAnsi="宋体" w:cs="宋体"/>
                <w:color w:val="auto"/>
                <w:highlight w:val="none"/>
              </w:rPr>
            </w:pPr>
            <w:r>
              <w:rPr>
                <w:rFonts w:hint="eastAsia" w:asciiTheme="minorEastAsia" w:hAnsiTheme="minorEastAsia" w:eastAsiaTheme="minorEastAsia" w:cstheme="minorEastAsia"/>
                <w:color w:val="auto"/>
                <w:szCs w:val="21"/>
                <w:highlight w:val="none"/>
              </w:rPr>
              <w:t>6</w:t>
            </w:r>
          </w:p>
        </w:tc>
        <w:tc>
          <w:tcPr>
            <w:tcW w:w="11839" w:type="dxa"/>
            <w:shd w:val="clear" w:color="auto" w:fill="FFFFFF"/>
            <w:vAlign w:val="center"/>
          </w:tcPr>
          <w:p>
            <w:pPr>
              <w:pStyle w:val="19"/>
              <w:rPr>
                <w:rFonts w:asciiTheme="minorEastAsia" w:hAnsiTheme="minorEastAsia" w:eastAsiaTheme="minorEastAsia" w:cstheme="minorEastAsia"/>
                <w:b/>
                <w:bCs/>
                <w:color w:val="auto"/>
                <w:kern w:val="2"/>
                <w:highlight w:val="none"/>
              </w:rPr>
            </w:pPr>
            <w:r>
              <w:rPr>
                <w:rFonts w:hint="eastAsia" w:asciiTheme="minorEastAsia" w:hAnsiTheme="minorEastAsia" w:eastAsiaTheme="minorEastAsia" w:cstheme="minorEastAsia"/>
                <w:b/>
                <w:bCs/>
                <w:color w:val="auto"/>
                <w:kern w:val="2"/>
                <w:highlight w:val="none"/>
              </w:rPr>
              <w:t>投标人</w:t>
            </w:r>
            <w:r>
              <w:rPr>
                <w:rFonts w:hint="eastAsia" w:asciiTheme="minorEastAsia" w:hAnsiTheme="minorEastAsia" w:eastAsiaTheme="minorEastAsia" w:cstheme="minorEastAsia"/>
                <w:b/>
                <w:bCs/>
                <w:color w:val="auto"/>
                <w:highlight w:val="none"/>
              </w:rPr>
              <w:t>（联合体投标的，指联合体主办方）</w:t>
            </w:r>
            <w:r>
              <w:rPr>
                <w:rFonts w:hint="eastAsia" w:asciiTheme="minorEastAsia" w:hAnsiTheme="minorEastAsia" w:eastAsiaTheme="minorEastAsia" w:cstheme="minorEastAsia"/>
                <w:b/>
                <w:bCs/>
                <w:color w:val="auto"/>
                <w:kern w:val="2"/>
                <w:highlight w:val="none"/>
              </w:rPr>
              <w:t>具有有效期内的质量管理体系认证、安全生产标准化体系认证、知识产权管理体系认证、合规管理体系认证情况：</w:t>
            </w:r>
          </w:p>
          <w:p>
            <w:pPr>
              <w:pStyle w:val="19"/>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（1）具有上述全部认证证书的，得6分；</w:t>
            </w:r>
          </w:p>
          <w:p>
            <w:pPr>
              <w:pStyle w:val="19"/>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（2）上述认证证书缺少1项的，得3分；</w:t>
            </w:r>
          </w:p>
          <w:p>
            <w:pPr>
              <w:pStyle w:val="19"/>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（3）上述认证证书缺少2项的，得1.5分；</w:t>
            </w:r>
          </w:p>
          <w:p>
            <w:pPr>
              <w:pStyle w:val="19"/>
              <w:rPr>
                <w:rFonts w:hAnsi="宋体" w:cs="宋体"/>
                <w:color w:val="auto"/>
                <w:szCs w:val="21"/>
                <w:highlight w:val="none"/>
              </w:rPr>
            </w:pPr>
            <w:r>
              <w:rPr>
                <w:rFonts w:hint="eastAsia" w:asciiTheme="minorEastAsia" w:hAnsiTheme="minorEastAsia" w:eastAsiaTheme="minorEastAsia" w:cstheme="minorEastAsia"/>
                <w:color w:val="auto"/>
                <w:highlight w:val="none"/>
              </w:rPr>
              <w:t>（4）上述认证证书缺少3项或以上的</w:t>
            </w:r>
            <w:r>
              <w:rPr>
                <w:rFonts w:hint="eastAsia" w:asciiTheme="minorEastAsia" w:hAnsiTheme="minorEastAsia" w:eastAsiaTheme="minorEastAsia" w:cstheme="minorEastAsia"/>
                <w:color w:val="auto"/>
                <w:kern w:val="2"/>
                <w:highlight w:val="none"/>
              </w:rPr>
              <w:t>，得0分；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2" w:type="dxa"/>
            <w:vMerge w:val="continue"/>
            <w:shd w:val="clear" w:color="auto" w:fill="FFFFFF"/>
            <w:vAlign w:val="center"/>
          </w:tcPr>
          <w:p>
            <w:pPr>
              <w:rPr>
                <w:rFonts w:ascii="宋体" w:hAnsi="宋体" w:cs="宋体"/>
                <w:color w:val="auto"/>
                <w:highlight w:val="none"/>
              </w:rPr>
            </w:pPr>
          </w:p>
        </w:tc>
        <w:tc>
          <w:tcPr>
            <w:tcW w:w="1134" w:type="dxa"/>
            <w:vMerge w:val="continue"/>
            <w:shd w:val="clear" w:color="auto" w:fill="FFFFFF"/>
            <w:vAlign w:val="center"/>
          </w:tcPr>
          <w:p>
            <w:pPr>
              <w:ind w:left="-65" w:leftChars="-31" w:right="-48" w:rightChars="-23"/>
              <w:rPr>
                <w:rFonts w:ascii="宋体" w:hAnsi="宋体" w:cs="宋体"/>
                <w:color w:val="auto"/>
                <w:highlight w:val="none"/>
              </w:rPr>
            </w:pPr>
          </w:p>
        </w:tc>
        <w:tc>
          <w:tcPr>
            <w:tcW w:w="992" w:type="dxa"/>
            <w:shd w:val="clear" w:color="auto" w:fill="FFFFFF"/>
            <w:vAlign w:val="center"/>
          </w:tcPr>
          <w:p>
            <w:pPr>
              <w:jc w:val="center"/>
              <w:rPr>
                <w:rFonts w:ascii="宋体" w:hAnsi="宋体" w:cs="宋体"/>
                <w:color w:val="auto"/>
                <w:highlight w:val="none"/>
              </w:rPr>
            </w:pPr>
            <w:r>
              <w:rPr>
                <w:rFonts w:hint="eastAsia" w:asciiTheme="minorEastAsia" w:hAnsiTheme="minorEastAsia" w:eastAsiaTheme="minorEastAsia" w:cstheme="minorEastAsia"/>
                <w:b/>
                <w:bCs/>
                <w:color w:val="auto"/>
                <w:szCs w:val="21"/>
                <w:highlight w:val="none"/>
              </w:rPr>
              <w:t>工程研发能力</w:t>
            </w:r>
          </w:p>
        </w:tc>
        <w:tc>
          <w:tcPr>
            <w:tcW w:w="807" w:type="dxa"/>
            <w:shd w:val="clear" w:color="auto" w:fill="FFFFFF"/>
            <w:vAlign w:val="center"/>
          </w:tcPr>
          <w:p>
            <w:pPr>
              <w:adjustRightInd w:val="0"/>
              <w:snapToGrid w:val="0"/>
              <w:spacing w:line="360" w:lineRule="exact"/>
              <w:ind w:left="-58" w:leftChars="-28"/>
              <w:jc w:val="center"/>
              <w:rPr>
                <w:rFonts w:ascii="宋体" w:hAnsi="宋体" w:cs="宋体"/>
                <w:color w:val="auto"/>
                <w:highlight w:val="none"/>
              </w:rPr>
            </w:pPr>
            <w:r>
              <w:rPr>
                <w:rFonts w:hint="eastAsia" w:asciiTheme="minorEastAsia" w:hAnsiTheme="minorEastAsia" w:eastAsiaTheme="minorEastAsia" w:cstheme="minorEastAsia"/>
                <w:color w:val="auto"/>
                <w:szCs w:val="21"/>
                <w:highlight w:val="none"/>
              </w:rPr>
              <w:t>6</w:t>
            </w:r>
          </w:p>
        </w:tc>
        <w:tc>
          <w:tcPr>
            <w:tcW w:w="11839" w:type="dxa"/>
            <w:shd w:val="clear" w:color="auto" w:fill="FFFFFF"/>
            <w:vAlign w:val="center"/>
          </w:tcPr>
          <w:p>
            <w:pPr>
              <w:pStyle w:val="19"/>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1.投标人（联合体投标的，指联合体主办方）2021年1月1日至投标截止时间止，获得过省级（或以上）“房屋建筑工程”类工法证书，每个加1分；（本小项最高3分）</w:t>
            </w:r>
          </w:p>
          <w:p>
            <w:pPr>
              <w:tabs>
                <w:tab w:val="left" w:pos="312"/>
              </w:tabs>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2.投标</w:t>
            </w:r>
            <w:r>
              <w:rPr>
                <w:rFonts w:hint="eastAsia" w:asciiTheme="minorEastAsia" w:hAnsiTheme="minorEastAsia" w:eastAsiaTheme="minorEastAsia" w:cstheme="minorEastAsia"/>
                <w:b/>
                <w:bCs/>
                <w:color w:val="auto"/>
                <w:kern w:val="0"/>
                <w:sz w:val="20"/>
                <w:szCs w:val="20"/>
                <w:highlight w:val="none"/>
              </w:rPr>
              <w:t>人</w:t>
            </w:r>
            <w:r>
              <w:rPr>
                <w:rFonts w:hint="eastAsia" w:asciiTheme="minorEastAsia" w:hAnsiTheme="minorEastAsia" w:eastAsiaTheme="minorEastAsia" w:cstheme="minorEastAsia"/>
                <w:b/>
                <w:bCs/>
                <w:color w:val="auto"/>
                <w:highlight w:val="none"/>
              </w:rPr>
              <w:t>（联合体投标的，指联合体主办方）</w:t>
            </w:r>
            <w:r>
              <w:rPr>
                <w:rFonts w:hint="eastAsia" w:asciiTheme="minorEastAsia" w:hAnsiTheme="minorEastAsia" w:eastAsiaTheme="minorEastAsia" w:cstheme="minorEastAsia"/>
                <w:b/>
                <w:bCs/>
                <w:color w:val="auto"/>
                <w:kern w:val="0"/>
                <w:sz w:val="20"/>
                <w:szCs w:val="20"/>
                <w:highlight w:val="none"/>
              </w:rPr>
              <w:t>2021年1月1日至投标截止时间</w:t>
            </w:r>
            <w:r>
              <w:rPr>
                <w:rFonts w:hint="eastAsia" w:asciiTheme="minorEastAsia" w:hAnsiTheme="minorEastAsia" w:eastAsiaTheme="minorEastAsia" w:cstheme="minorEastAsia"/>
                <w:b/>
                <w:bCs/>
                <w:color w:val="auto"/>
                <w:highlight w:val="none"/>
              </w:rPr>
              <w:t>止，科学技术进步奖或科技进步奖或科学技术奖项情况（本小项最</w:t>
            </w:r>
            <w:r>
              <w:rPr>
                <w:rFonts w:hint="eastAsia" w:asciiTheme="minorEastAsia" w:hAnsiTheme="minorEastAsia" w:eastAsiaTheme="minorEastAsia" w:cstheme="minorEastAsia"/>
                <w:b/>
                <w:bCs/>
                <w:color w:val="auto"/>
                <w:kern w:val="0"/>
                <w:sz w:val="20"/>
                <w:szCs w:val="20"/>
                <w:highlight w:val="none"/>
              </w:rPr>
              <w:t>高3分</w:t>
            </w:r>
            <w:r>
              <w:rPr>
                <w:rFonts w:hint="eastAsia" w:asciiTheme="minorEastAsia" w:hAnsiTheme="minorEastAsia" w:eastAsiaTheme="minorEastAsia" w:cstheme="minorEastAsia"/>
                <w:b/>
                <w:bCs/>
                <w:color w:val="auto"/>
                <w:highlight w:val="none"/>
              </w:rPr>
              <w:t>）：</w:t>
            </w:r>
          </w:p>
          <w:p>
            <w:pPr>
              <w:pStyle w:val="19"/>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（1）获得过国家级奖项的，每项得1.5分；</w:t>
            </w:r>
          </w:p>
          <w:p>
            <w:pPr>
              <w:pStyle w:val="19"/>
              <w:rPr>
                <w:rFonts w:cs="宋体"/>
                <w:color w:val="auto"/>
                <w:szCs w:val="21"/>
                <w:highlight w:val="none"/>
              </w:rPr>
            </w:pPr>
            <w:r>
              <w:rPr>
                <w:rFonts w:hint="eastAsia" w:asciiTheme="minorEastAsia" w:hAnsiTheme="minorEastAsia" w:eastAsiaTheme="minorEastAsia" w:cstheme="minorEastAsia"/>
                <w:color w:val="auto"/>
                <w:kern w:val="2"/>
                <w:highlight w:val="none"/>
              </w:rPr>
              <w:t>（2）获得过省级奖项的，每项得0.75分；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786" w:type="dxa"/>
            <w:gridSpan w:val="2"/>
            <w:shd w:val="clear" w:color="auto" w:fill="FFFFFF"/>
            <w:vAlign w:val="center"/>
          </w:tcPr>
          <w:p>
            <w:pPr>
              <w:widowControl/>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合  计</w:t>
            </w:r>
          </w:p>
        </w:tc>
        <w:tc>
          <w:tcPr>
            <w:tcW w:w="992" w:type="dxa"/>
            <w:shd w:val="clear" w:color="auto" w:fill="FFFFFF"/>
            <w:vAlign w:val="center"/>
          </w:tcPr>
          <w:p>
            <w:pPr>
              <w:widowControl/>
              <w:adjustRightInd w:val="0"/>
              <w:spacing w:line="360" w:lineRule="auto"/>
              <w:jc w:val="center"/>
              <w:rPr>
                <w:rFonts w:ascii="宋体" w:hAnsi="宋体"/>
                <w:color w:val="auto"/>
                <w:szCs w:val="21"/>
                <w:highlight w:val="none"/>
              </w:rPr>
            </w:pPr>
          </w:p>
        </w:tc>
        <w:tc>
          <w:tcPr>
            <w:tcW w:w="807" w:type="dxa"/>
            <w:shd w:val="clear" w:color="auto" w:fill="FFFFFF"/>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100</w:t>
            </w:r>
          </w:p>
        </w:tc>
        <w:tc>
          <w:tcPr>
            <w:tcW w:w="11839" w:type="dxa"/>
            <w:shd w:val="clear" w:color="auto" w:fill="FFFFFF"/>
            <w:vAlign w:val="center"/>
          </w:tcPr>
          <w:p>
            <w:pPr>
              <w:adjustRightInd w:val="0"/>
              <w:spacing w:line="360" w:lineRule="auto"/>
              <w:jc w:val="center"/>
              <w:rPr>
                <w:rFonts w:ascii="宋体" w:hAnsi="宋体"/>
                <w:color w:val="auto"/>
                <w:szCs w:val="21"/>
                <w:highlight w:val="none"/>
              </w:rPr>
            </w:pPr>
          </w:p>
        </w:tc>
      </w:tr>
    </w:tbl>
    <w:p>
      <w:pP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br w:type="page"/>
      </w:r>
    </w:p>
    <w:p>
      <w:pPr>
        <w:adjustRightInd w:val="0"/>
        <w:snapToGrid w:val="0"/>
        <w:spacing w:line="360" w:lineRule="auto"/>
        <w:ind w:left="400" w:hanging="400" w:hanging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注：</w:t>
      </w:r>
    </w:p>
    <w:p>
      <w:pPr>
        <w:adjustRightInd w:val="0"/>
        <w:snapToGrid w:val="0"/>
        <w:spacing w:line="360"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z w:val="20"/>
          <w:szCs w:val="20"/>
          <w:highlight w:val="none"/>
          <w:lang w:val="en-US" w:eastAsia="zh-CN"/>
        </w:rPr>
        <w:t>1、</w:t>
      </w:r>
      <w:r>
        <w:rPr>
          <w:rFonts w:hint="eastAsia" w:asciiTheme="minorEastAsia" w:hAnsiTheme="minorEastAsia" w:eastAsiaTheme="minorEastAsia" w:cstheme="minorEastAsia"/>
          <w:b/>
          <w:bCs/>
          <w:color w:val="auto"/>
          <w:sz w:val="20"/>
          <w:szCs w:val="20"/>
          <w:highlight w:val="none"/>
        </w:rPr>
        <w:t>项目管理机构：</w:t>
      </w:r>
      <w:r>
        <w:rPr>
          <w:rFonts w:hint="eastAsia" w:asciiTheme="minorEastAsia" w:hAnsiTheme="minorEastAsia" w:eastAsiaTheme="minorEastAsia" w:cstheme="minorEastAsia"/>
          <w:color w:val="auto"/>
          <w:sz w:val="20"/>
          <w:szCs w:val="20"/>
          <w:highlight w:val="none"/>
        </w:rPr>
        <w:t>①拟派的所有人员须提供相关证明资料和近一个月</w:t>
      </w: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b/>
          <w:bCs/>
          <w:color w:val="auto"/>
          <w:sz w:val="20"/>
          <w:szCs w:val="20"/>
          <w:highlight w:val="none"/>
        </w:rPr>
        <w:t>2024年4月</w:t>
      </w: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color w:val="auto"/>
          <w:sz w:val="20"/>
          <w:szCs w:val="20"/>
          <w:highlight w:val="none"/>
        </w:rPr>
        <w:t>在投标单位（不含子公司）缴纳社保的证明材料扫描件并加盖投标人企业电子印章。本项目社保缴纳期限包含疫情期的，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r>
        <w:rPr>
          <w:rFonts w:hint="eastAsia" w:asciiTheme="minorEastAsia" w:hAnsiTheme="minorEastAsia" w:eastAsiaTheme="minorEastAsia" w:cstheme="minorEastAsia"/>
          <w:b/>
          <w:bCs/>
          <w:color w:val="auto"/>
          <w:sz w:val="20"/>
          <w:szCs w:val="20"/>
          <w:highlight w:val="none"/>
        </w:rPr>
        <w:t>取得职称证的年限以发证时间（生效时间）开始计算。</w:t>
      </w:r>
      <w:r>
        <w:rPr>
          <w:rFonts w:hint="eastAsia" w:asciiTheme="minorEastAsia" w:hAnsiTheme="minorEastAsia" w:eastAsiaTheme="minorEastAsia" w:cstheme="minorEastAsia"/>
          <w:color w:val="auto"/>
          <w:sz w:val="20"/>
          <w:szCs w:val="20"/>
          <w:highlight w:val="none"/>
        </w:rPr>
        <w:t>未提供或所提供的证明资料不符合要求的，则该评分节点不予评审。</w:t>
      </w:r>
    </w:p>
    <w:p>
      <w:pPr>
        <w:adjustRightInd w:val="0"/>
        <w:snapToGrid w:val="0"/>
        <w:spacing w:line="360"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②高级职称证书以地市级以上人社部门核发为准，若不是人社部门核发的职称证书，投标人应同时提供地市级以上人社部门委托核发机构开展职称评审工作的证明文件或其他可由该机构核发的政策文件依据，或在人社部门专业技术人才职称管理系统登记的信息记录网页及截图，否则，对该职称证书不予认可。</w:t>
      </w:r>
    </w:p>
    <w:p>
      <w:pPr>
        <w:adjustRightInd w:val="0"/>
        <w:snapToGrid w:val="0"/>
        <w:spacing w:line="360"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z w:val="20"/>
          <w:szCs w:val="20"/>
          <w:highlight w:val="none"/>
          <w:lang w:val="en-US" w:eastAsia="zh-CN"/>
        </w:rPr>
        <w:t>2、</w:t>
      </w:r>
      <w:r>
        <w:rPr>
          <w:rFonts w:hint="eastAsia" w:asciiTheme="minorEastAsia" w:hAnsiTheme="minorEastAsia" w:eastAsiaTheme="minorEastAsia" w:cstheme="minorEastAsia"/>
          <w:b/>
          <w:bCs/>
          <w:color w:val="auto"/>
          <w:sz w:val="20"/>
          <w:szCs w:val="20"/>
          <w:highlight w:val="none"/>
        </w:rPr>
        <w:t>类似业绩：</w:t>
      </w:r>
      <w:r>
        <w:rPr>
          <w:rFonts w:hint="eastAsia" w:asciiTheme="minorEastAsia" w:hAnsiTheme="minorEastAsia" w:eastAsiaTheme="minorEastAsia" w:cstheme="minorEastAsia"/>
          <w:color w:val="auto"/>
          <w:sz w:val="20"/>
          <w:szCs w:val="20"/>
          <w:highlight w:val="none"/>
        </w:rPr>
        <w:t>业绩取自广州市住建行业信用管理平台。投标人须提供类似工程业绩的项目名称及业绩在广州市住建行业信用管理平台中项目编号。不提供项目名称及项目编号的业绩不予评审。若提供的项目名称与项目编号不一致：（1）项目名称和项目编号在平台内分别对应不同业绩的，以项目名称对应的业绩为准。（2）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pPr>
        <w:adjustRightInd w:val="0"/>
        <w:snapToGrid w:val="0"/>
        <w:spacing w:line="360"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①单独发包的专业工程的业绩金额（</w:t>
      </w:r>
      <w:r>
        <w:rPr>
          <w:rFonts w:hint="eastAsia" w:asciiTheme="minorEastAsia" w:hAnsiTheme="minorEastAsia" w:eastAsiaTheme="minorEastAsia" w:cstheme="minorEastAsia"/>
          <w:color w:val="auto"/>
          <w:sz w:val="20"/>
          <w:szCs w:val="20"/>
          <w:highlight w:val="none"/>
        </w:rPr>
        <w:t>金额大于或等于650万元</w:t>
      </w:r>
      <w:r>
        <w:rPr>
          <w:rFonts w:hint="eastAsia" w:asciiTheme="minorEastAsia" w:hAnsiTheme="minorEastAsia" w:eastAsiaTheme="minorEastAsia" w:cstheme="minorEastAsia"/>
          <w:color w:val="auto"/>
          <w:sz w:val="20"/>
          <w:szCs w:val="20"/>
          <w:highlight w:val="none"/>
        </w:rPr>
        <w:t>）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用于本项目投标的类似业绩，在广州市住建行业信用管理平台中“工程对应的企业资质：栏中 须登记有与本项目要求相对应的资质（具体资质名称：“建筑装修装饰工程”或“建筑装饰装修工程设计与施工”）。</w:t>
      </w:r>
    </w:p>
    <w:p>
      <w:pPr>
        <w:adjustRightInd w:val="0"/>
        <w:snapToGrid w:val="0"/>
        <w:spacing w:line="360"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②完成时间以子分部工程质量验收记录时间为准。未提供子分部工程质量验收记录的，完成时间以验收文件记录时间为准。验收记录或验收文件至少具有建设单位、设计、施工和监理单位盖章。</w:t>
      </w:r>
    </w:p>
    <w:p>
      <w:pPr>
        <w:adjustRightInd w:val="0"/>
        <w:snapToGrid w:val="0"/>
        <w:spacing w:line="360" w:lineRule="auto"/>
        <w:ind w:left="400" w:hanging="400" w:hanging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③广州市住建行业信用管理平台内业绩上传件不符合上述要求的，该项业绩不予认定。</w:t>
      </w:r>
    </w:p>
    <w:p>
      <w:pPr>
        <w:adjustRightInd w:val="0"/>
        <w:snapToGrid w:val="0"/>
        <w:spacing w:line="360"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z w:val="20"/>
          <w:szCs w:val="20"/>
          <w:highlight w:val="none"/>
          <w:lang w:val="en-US" w:eastAsia="zh-CN"/>
        </w:rPr>
        <w:t>3、</w:t>
      </w:r>
      <w:r>
        <w:rPr>
          <w:rFonts w:hint="eastAsia" w:asciiTheme="minorEastAsia" w:hAnsiTheme="minorEastAsia" w:eastAsiaTheme="minorEastAsia" w:cstheme="minorEastAsia"/>
          <w:b/>
          <w:bCs/>
          <w:color w:val="auto"/>
          <w:sz w:val="20"/>
          <w:szCs w:val="20"/>
          <w:highlight w:val="none"/>
        </w:rPr>
        <w:t>工程奖项：</w:t>
      </w:r>
      <w:r>
        <w:rPr>
          <w:rFonts w:hint="eastAsia" w:asciiTheme="minorEastAsia" w:hAnsiTheme="minorEastAsia" w:eastAsiaTheme="minorEastAsia" w:cstheme="minorEastAsia"/>
          <w:color w:val="auto"/>
          <w:sz w:val="20"/>
          <w:szCs w:val="20"/>
          <w:highlight w:val="none"/>
        </w:rPr>
        <w:t>（1）奖项业绩取自广州市住建行业信用管理平台。（2）时间以获奖证书颁发时间为准。（3）国家级质量奖项是指中国建设工程鲁班奖、中国土木工程詹天佑奖、国家优质工程金质奖、国家优质工程奖、中国(全国)建筑工程装饰奖（不含设计和幕墙类获奖）等；省级或市级工程质量奖项指省或市级建设主管部门及行业协会颁发的工程质量奖项（指省级优秀建筑装饰工程奖和市级建筑装饰优质奖，不含设计和幕墙类获奖），安全奖、技术创新QC成果、科技类奖项不予计算得分。（4）同一工程项目获得多个奖项的，只计算其符合要求的最高奖项得分，不重复计分。</w:t>
      </w:r>
    </w:p>
    <w:p>
      <w:pPr>
        <w:adjustRightInd w:val="0"/>
        <w:snapToGrid w:val="0"/>
        <w:spacing w:line="360"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①投标人须提供获奖工程业绩的项目名称及业绩在信用平台中业绩编号、相应业绩在信用平台的网页信息截图。不提供项目名称及业绩编号、网页信息截图的业绩不予评审。评标委员会对业绩的评审以投标截止时间在信用平台内业绩上传件为依据（投标文件中可不需重复提交相关业绩上传件）。用于本项目投标的获奖业绩，在业绩库中“工程对应的企业资质”栏中须登记有与本项目要求相对应的资质（具体资质要求：建筑装修装饰工程专业承包资质或建筑装饰装修工程设计与施工资质）。</w:t>
      </w:r>
    </w:p>
    <w:p>
      <w:pPr>
        <w:adjustRightInd w:val="0"/>
        <w:snapToGrid w:val="0"/>
        <w:spacing w:line="360"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z w:val="20"/>
          <w:szCs w:val="20"/>
          <w:highlight w:val="none"/>
          <w:lang w:val="en-US" w:eastAsia="zh-CN"/>
        </w:rPr>
        <w:t>4、</w:t>
      </w:r>
      <w:r>
        <w:rPr>
          <w:rFonts w:hint="eastAsia" w:asciiTheme="minorEastAsia" w:hAnsiTheme="minorEastAsia" w:eastAsiaTheme="minorEastAsia" w:cstheme="minorEastAsia"/>
          <w:b/>
          <w:bCs/>
          <w:color w:val="auto"/>
          <w:sz w:val="20"/>
          <w:szCs w:val="20"/>
          <w:highlight w:val="none"/>
        </w:rPr>
        <w:t>第三方评价：</w:t>
      </w:r>
      <w:r>
        <w:rPr>
          <w:rFonts w:hint="eastAsia" w:asciiTheme="minorEastAsia" w:hAnsiTheme="minorEastAsia" w:eastAsiaTheme="minorEastAsia" w:cstheme="minorEastAsia"/>
          <w:color w:val="auto"/>
          <w:sz w:val="20"/>
          <w:szCs w:val="20"/>
          <w:highlight w:val="none"/>
        </w:rPr>
        <w:t>须提供有效期内的认证证书原件扫描件加盖投标人电子印章，所提供认证证书需在国家认证认可监督管理委员会网站（http://www.cnca.gov.cn）能查询到相应认证结果并提供相应查询截图。不符合上述条件或未提供上述资料或无加盖投标人电子印章的不得分。</w:t>
      </w:r>
    </w:p>
    <w:p>
      <w:pPr>
        <w:rPr>
          <w:rFonts w:ascii="宋体" w:hAnsi="宋体" w:cs="宋体"/>
          <w:color w:val="auto"/>
          <w:szCs w:val="21"/>
          <w:highlight w:val="none"/>
        </w:rPr>
      </w:pPr>
      <w:r>
        <w:rPr>
          <w:rFonts w:hint="eastAsia" w:asciiTheme="minorEastAsia" w:hAnsiTheme="minorEastAsia" w:eastAsiaTheme="minorEastAsia" w:cstheme="minorEastAsia"/>
          <w:b/>
          <w:bCs/>
          <w:color w:val="auto"/>
          <w:sz w:val="20"/>
          <w:szCs w:val="20"/>
          <w:highlight w:val="none"/>
          <w:lang w:val="en-US" w:eastAsia="zh-CN"/>
        </w:rPr>
        <w:t>5、</w:t>
      </w:r>
      <w:r>
        <w:rPr>
          <w:rFonts w:hint="eastAsia" w:asciiTheme="minorEastAsia" w:hAnsiTheme="minorEastAsia" w:eastAsiaTheme="minorEastAsia" w:cstheme="minorEastAsia"/>
          <w:b/>
          <w:bCs/>
          <w:color w:val="auto"/>
          <w:sz w:val="20"/>
          <w:szCs w:val="20"/>
          <w:highlight w:val="none"/>
        </w:rPr>
        <w:t>工程研发能力：</w:t>
      </w:r>
      <w:r>
        <w:rPr>
          <w:rFonts w:hint="eastAsia" w:asciiTheme="minorEastAsia" w:hAnsiTheme="minorEastAsia" w:eastAsiaTheme="minorEastAsia" w:cstheme="minorEastAsia"/>
          <w:color w:val="auto"/>
          <w:sz w:val="20"/>
          <w:szCs w:val="20"/>
          <w:highlight w:val="none"/>
        </w:rPr>
        <w:t>（1）投标人须提供由建设行政主管部门或行业协会（行业协会须在民政管理部门登记备案）或其他工法主管部门颁发的工法证书原件扫描件加盖投标单位电子印章，时间以获奖证书上的时间为准。不提供上述证明文件该工法不能计算有效工法。（2）科学技术奖指科学技术进步奖、科学创新成果奖等建筑工程相关科学技术类奖项；获奖证书由建设主管部门或行业协会颁发的为准；投标人须提供科学技术奖原件扫描件，若为行业协会颁发的须提供其在“全国社会组织信用信息公示平台（试运行）”网站（https://xxgs.chinanpo.mca.gov.cn/gsxt/newList）（注：由于全国社会组织信用信息公示平台（试运行）属于试运行，平台名称及网址若有更新，以最新发布的为准。）“全国社会组织信用信息公示平台”栏查询结果截图，同时须提供其在查询结果“状态”栏必须为“正常”；加盖投标单位电子印章，时间以证书中载明的发证时间为准；</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投标人得分为</w:t>
      </w:r>
      <w:r>
        <w:rPr>
          <w:rFonts w:hint="eastAsia" w:ascii="宋体" w:hAnsi="宋体" w:eastAsia="宋体" w:cs="宋体"/>
          <w:color w:val="auto"/>
          <w:szCs w:val="21"/>
          <w:highlight w:val="none"/>
          <w:lang w:eastAsia="zh-CN"/>
        </w:rPr>
        <w:t>所有评委</w:t>
      </w:r>
      <w:r>
        <w:rPr>
          <w:rFonts w:hint="eastAsia" w:ascii="宋体" w:hAnsi="宋体" w:eastAsia="宋体" w:cs="宋体"/>
          <w:color w:val="auto"/>
          <w:szCs w:val="21"/>
          <w:highlight w:val="none"/>
        </w:rPr>
        <w:t>的算术平均值（若分数出现小数点时，保留小数点后二位，第三位小数四舍五入）。</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7、所有评分项资料如业主有需求，中标候选人须在项目中标候选人公示期间提供原件核查，职称证需提供职称原件评审表原件核查。</w:t>
      </w:r>
    </w:p>
    <w:p>
      <w:pPr>
        <w:rPr>
          <w:rFonts w:ascii="宋体" w:hAnsi="宋体" w:cs="宋体"/>
          <w:color w:val="auto"/>
          <w:szCs w:val="21"/>
          <w:highlight w:val="none"/>
        </w:rPr>
      </w:pPr>
    </w:p>
    <w:p>
      <w:pPr>
        <w:rPr>
          <w:rFonts w:ascii="宋体" w:hAnsi="宋体" w:cs="宋体"/>
          <w:color w:val="auto"/>
          <w:szCs w:val="21"/>
          <w:highlight w:val="none"/>
        </w:rPr>
      </w:pPr>
    </w:p>
    <w:p>
      <w:pPr>
        <w:jc w:val="center"/>
        <w:rPr>
          <w:b/>
          <w:color w:val="auto"/>
          <w:sz w:val="28"/>
          <w:szCs w:val="28"/>
          <w:highlight w:val="none"/>
        </w:rPr>
      </w:pPr>
      <w:r>
        <w:rPr>
          <w:rFonts w:hint="eastAsia" w:ascii="宋体" w:hAnsi="宋体" w:cs="宋体"/>
          <w:color w:val="auto"/>
          <w:szCs w:val="21"/>
          <w:highlight w:val="none"/>
        </w:rPr>
        <w:br w:type="page"/>
      </w:r>
      <w:r>
        <w:rPr>
          <w:rFonts w:hint="eastAsia"/>
          <w:b/>
          <w:color w:val="auto"/>
          <w:sz w:val="28"/>
          <w:szCs w:val="28"/>
          <w:highlight w:val="none"/>
        </w:rPr>
        <w:t>《项目管理部组成人员配备基本要求表》</w:t>
      </w:r>
    </w:p>
    <w:tbl>
      <w:tblPr>
        <w:tblStyle w:val="38"/>
        <w:tblW w:w="15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025"/>
        <w:gridCol w:w="700"/>
        <w:gridCol w:w="766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b/>
                <w:color w:val="auto"/>
                <w:highlight w:val="none"/>
              </w:rPr>
            </w:pPr>
            <w:r>
              <w:rPr>
                <w:rFonts w:hint="eastAsia"/>
                <w:b/>
                <w:color w:val="auto"/>
                <w:highlight w:val="none"/>
              </w:rPr>
              <w:t>序号</w:t>
            </w:r>
          </w:p>
        </w:tc>
        <w:tc>
          <w:tcPr>
            <w:tcW w:w="2025"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b/>
                <w:bCs/>
                <w:color w:val="auto"/>
                <w:highlight w:val="none"/>
              </w:rPr>
            </w:pPr>
            <w:r>
              <w:rPr>
                <w:rFonts w:hint="eastAsia"/>
                <w:b/>
                <w:color w:val="auto"/>
                <w:highlight w:val="none"/>
              </w:rPr>
              <w:t>类别</w:t>
            </w:r>
          </w:p>
        </w:tc>
        <w:tc>
          <w:tcPr>
            <w:tcW w:w="700"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b/>
                <w:bCs/>
                <w:color w:val="auto"/>
                <w:highlight w:val="none"/>
              </w:rPr>
            </w:pPr>
            <w:r>
              <w:rPr>
                <w:rFonts w:hint="eastAsia"/>
                <w:b/>
                <w:color w:val="auto"/>
                <w:highlight w:val="none"/>
              </w:rPr>
              <w:t>数量</w:t>
            </w:r>
          </w:p>
        </w:tc>
        <w:tc>
          <w:tcPr>
            <w:tcW w:w="7666"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b/>
                <w:color w:val="auto"/>
                <w:highlight w:val="none"/>
              </w:rPr>
            </w:pPr>
            <w:r>
              <w:rPr>
                <w:rFonts w:hint="eastAsia"/>
                <w:b/>
                <w:color w:val="auto"/>
                <w:highlight w:val="none"/>
              </w:rPr>
              <w:t>基本任职条件</w:t>
            </w:r>
          </w:p>
        </w:tc>
        <w:tc>
          <w:tcPr>
            <w:tcW w:w="4639"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b/>
                <w:color w:val="auto"/>
                <w:highlight w:val="none"/>
              </w:rPr>
            </w:pPr>
            <w:r>
              <w:rPr>
                <w:rFonts w:hint="eastAsia"/>
                <w:b/>
                <w:color w:val="auto"/>
                <w:highlight w:val="none"/>
              </w:rPr>
              <w:t>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025"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项目负责人</w:t>
            </w:r>
          </w:p>
        </w:tc>
        <w:tc>
          <w:tcPr>
            <w:tcW w:w="700"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7666"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详见招标公告要求；</w:t>
            </w:r>
          </w:p>
        </w:tc>
        <w:tc>
          <w:tcPr>
            <w:tcW w:w="4639"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2025"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bCs/>
                <w:color w:val="auto"/>
                <w:spacing w:val="-2"/>
                <w:highlight w:val="none"/>
              </w:rPr>
            </w:pPr>
            <w:r>
              <w:rPr>
                <w:rFonts w:hint="eastAsia" w:asciiTheme="minorEastAsia" w:hAnsiTheme="minorEastAsia" w:eastAsiaTheme="minorEastAsia" w:cstheme="minorEastAsia"/>
                <w:bCs/>
                <w:color w:val="auto"/>
                <w:spacing w:val="-2"/>
                <w:highlight w:val="none"/>
              </w:rPr>
              <w:t>项目技术负责人</w:t>
            </w:r>
          </w:p>
        </w:tc>
        <w:tc>
          <w:tcPr>
            <w:tcW w:w="700"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7666"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详见招标公告要求；</w:t>
            </w:r>
          </w:p>
        </w:tc>
        <w:tc>
          <w:tcPr>
            <w:tcW w:w="4639"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bCs/>
                <w:color w:val="auto"/>
                <w:kern w:val="44"/>
                <w:highlight w:val="none"/>
              </w:rPr>
            </w:pPr>
            <w:r>
              <w:rPr>
                <w:rFonts w:hint="eastAsia" w:asciiTheme="minorEastAsia" w:hAnsiTheme="minorEastAsia" w:eastAsiaTheme="minorEastAsia" w:cstheme="minorEastAsia"/>
                <w:bCs/>
                <w:color w:val="auto"/>
                <w:kern w:val="44"/>
                <w:highlight w:val="none"/>
              </w:rPr>
              <w:t>3</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spacing w:line="256" w:lineRule="exact"/>
              <w:ind w:left="-48" w:leftChars="-23"/>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质量负责人</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56" w:lineRule="exact"/>
              <w:ind w:left="-44" w:leftChars="-21"/>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7666"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具有</w:t>
            </w:r>
            <w:r>
              <w:rPr>
                <w:rFonts w:hint="eastAsia" w:asciiTheme="minorEastAsia" w:hAnsiTheme="minorEastAsia" w:eastAsiaTheme="minorEastAsia" w:cstheme="minorEastAsia"/>
                <w:color w:val="auto"/>
                <w:kern w:val="0"/>
                <w:szCs w:val="21"/>
                <w:highlight w:val="none"/>
              </w:rPr>
              <w:t>建筑装饰施工类</w:t>
            </w:r>
            <w:r>
              <w:rPr>
                <w:rFonts w:hint="eastAsia" w:asciiTheme="minorEastAsia" w:hAnsiTheme="minorEastAsia" w:eastAsiaTheme="minorEastAsia" w:cstheme="minorEastAsia"/>
                <w:color w:val="auto"/>
                <w:szCs w:val="21"/>
                <w:highlight w:val="none"/>
              </w:rPr>
              <w:t>专业工程师（或以上）技术职称；</w:t>
            </w:r>
          </w:p>
        </w:tc>
        <w:tc>
          <w:tcPr>
            <w:tcW w:w="4639"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kern w:val="44"/>
                <w:highlight w:val="none"/>
              </w:rPr>
              <w:t>4</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spacing w:line="256" w:lineRule="exact"/>
              <w:ind w:left="-48" w:leftChars="-23"/>
              <w:jc w:val="center"/>
              <w:rPr>
                <w:rFonts w:asciiTheme="minorEastAsia" w:hAnsiTheme="minorEastAsia" w:eastAsiaTheme="minorEastAsia" w:cstheme="minorEastAsia"/>
                <w:bCs/>
                <w:color w:val="auto"/>
                <w:spacing w:val="-2"/>
                <w:highlight w:val="none"/>
              </w:rPr>
            </w:pPr>
            <w:r>
              <w:rPr>
                <w:rFonts w:hint="eastAsia" w:asciiTheme="minorEastAsia" w:hAnsiTheme="minorEastAsia" w:eastAsiaTheme="minorEastAsia" w:cstheme="minorEastAsia"/>
                <w:color w:val="auto"/>
                <w:kern w:val="0"/>
                <w:szCs w:val="21"/>
                <w:highlight w:val="none"/>
              </w:rPr>
              <w:t>安全负责人</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56" w:lineRule="exact"/>
              <w:ind w:left="-44" w:leftChars="-21"/>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1"/>
                <w:highlight w:val="none"/>
              </w:rPr>
              <w:t>1</w:t>
            </w:r>
          </w:p>
        </w:tc>
        <w:tc>
          <w:tcPr>
            <w:tcW w:w="7666"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1"/>
                <w:highlight w:val="none"/>
              </w:rPr>
              <w:t>同时具有</w:t>
            </w:r>
            <w:r>
              <w:rPr>
                <w:rFonts w:hint="eastAsia" w:asciiTheme="minorEastAsia" w:hAnsiTheme="minorEastAsia" w:eastAsiaTheme="minorEastAsia" w:cstheme="minorEastAsia"/>
                <w:color w:val="auto"/>
                <w:szCs w:val="21"/>
                <w:highlight w:val="none"/>
              </w:rPr>
              <w:t>“建筑施工安全”类别的注册安全工程师执业资格(有效期内)和建筑装饰施工类专业工程师（或以上）技术职称；</w:t>
            </w:r>
          </w:p>
        </w:tc>
        <w:tc>
          <w:tcPr>
            <w:tcW w:w="4639"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1"/>
                <w:highlight w:val="none"/>
              </w:rPr>
              <w:t>提供注册安全工程师执业证、“注册安全工程师注册管理系统（http://rmocse.chinasafety.ac.cn）”查询结果截图、职称证书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98" w:type="dxa"/>
            <w:vMerge w:val="restart"/>
            <w:tcBorders>
              <w:top w:val="single" w:color="auto" w:sz="4" w:space="0"/>
              <w:left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w:t>
            </w:r>
          </w:p>
        </w:tc>
        <w:tc>
          <w:tcPr>
            <w:tcW w:w="2025" w:type="dxa"/>
            <w:vMerge w:val="restart"/>
            <w:tcBorders>
              <w:top w:val="single" w:color="auto" w:sz="4" w:space="0"/>
              <w:left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kern w:val="44"/>
                <w:szCs w:val="21"/>
                <w:highlight w:val="none"/>
              </w:rPr>
            </w:pPr>
            <w:r>
              <w:rPr>
                <w:rFonts w:hint="eastAsia" w:asciiTheme="minorEastAsia" w:hAnsiTheme="minorEastAsia" w:eastAsiaTheme="minorEastAsia" w:cstheme="minorEastAsia"/>
                <w:bCs/>
                <w:color w:val="auto"/>
                <w:szCs w:val="21"/>
                <w:highlight w:val="none"/>
              </w:rPr>
              <w:t>造价负责人</w:t>
            </w:r>
          </w:p>
        </w:tc>
        <w:tc>
          <w:tcPr>
            <w:tcW w:w="700" w:type="dxa"/>
            <w:vMerge w:val="restart"/>
            <w:tcBorders>
              <w:top w:val="single" w:color="auto" w:sz="4" w:space="0"/>
              <w:left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2</w:t>
            </w:r>
          </w:p>
        </w:tc>
        <w:tc>
          <w:tcPr>
            <w:tcW w:w="7666"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土建专业1人：具有有效期内的土建专业一级造价工程师注册证书（或原已注册成功的造价工程师注册证书）、造价类专业工程师(或以上)技术职称；</w:t>
            </w:r>
          </w:p>
        </w:tc>
        <w:tc>
          <w:tcPr>
            <w:tcW w:w="4639" w:type="dxa"/>
            <w:vMerge w:val="restart"/>
            <w:tcBorders>
              <w:top w:val="single" w:color="auto" w:sz="4" w:space="0"/>
              <w:left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提供造价工程师注册证书、“全国建筑市场监管公共服务平台（http://jzsc.mohurd.gov.cn）”查询结果截图、职称证书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98" w:type="dxa"/>
            <w:vMerge w:val="continue"/>
            <w:tcBorders>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p>
        </w:tc>
        <w:tc>
          <w:tcPr>
            <w:tcW w:w="2025" w:type="dxa"/>
            <w:vMerge w:val="continue"/>
            <w:tcBorders>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p>
        </w:tc>
        <w:tc>
          <w:tcPr>
            <w:tcW w:w="700" w:type="dxa"/>
            <w:vMerge w:val="continue"/>
            <w:tcBorders>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p>
        </w:tc>
        <w:tc>
          <w:tcPr>
            <w:tcW w:w="7666"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安装专业1人：具有有效期内的安装专业一级造价工程师注册证书（或原已注册成功的造价工程师注册证书）、造价类专业工程师(或以上)技术职称；</w:t>
            </w:r>
          </w:p>
        </w:tc>
        <w:tc>
          <w:tcPr>
            <w:tcW w:w="4639" w:type="dxa"/>
            <w:vMerge w:val="continue"/>
            <w:tcBorders>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98" w:type="dxa"/>
            <w:tcBorders>
              <w:top w:val="single" w:color="auto" w:sz="4" w:space="0"/>
              <w:left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6</w:t>
            </w:r>
          </w:p>
        </w:tc>
        <w:tc>
          <w:tcPr>
            <w:tcW w:w="2025" w:type="dxa"/>
            <w:tcBorders>
              <w:top w:val="single" w:color="auto" w:sz="4" w:space="0"/>
              <w:left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kern w:val="44"/>
                <w:szCs w:val="21"/>
                <w:highlight w:val="none"/>
              </w:rPr>
            </w:pPr>
            <w:r>
              <w:rPr>
                <w:rFonts w:hint="eastAsia" w:asciiTheme="minorEastAsia" w:hAnsiTheme="minorEastAsia" w:eastAsiaTheme="minorEastAsia" w:cstheme="minorEastAsia"/>
                <w:bCs/>
                <w:color w:val="auto"/>
                <w:kern w:val="44"/>
                <w:szCs w:val="21"/>
                <w:highlight w:val="none"/>
              </w:rPr>
              <w:t>装修工程师</w:t>
            </w:r>
          </w:p>
        </w:tc>
        <w:tc>
          <w:tcPr>
            <w:tcW w:w="700" w:type="dxa"/>
            <w:tcBorders>
              <w:top w:val="single" w:color="auto" w:sz="4" w:space="0"/>
              <w:left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7666"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具有</w:t>
            </w:r>
            <w:r>
              <w:rPr>
                <w:rFonts w:hint="eastAsia" w:asciiTheme="minorEastAsia" w:hAnsiTheme="minorEastAsia" w:eastAsiaTheme="minorEastAsia" w:cstheme="minorEastAsia"/>
                <w:color w:val="auto"/>
                <w:kern w:val="0"/>
                <w:szCs w:val="21"/>
                <w:highlight w:val="none"/>
              </w:rPr>
              <w:t>建筑装饰施工类</w:t>
            </w:r>
            <w:r>
              <w:rPr>
                <w:rFonts w:hint="eastAsia" w:asciiTheme="minorEastAsia" w:hAnsiTheme="minorEastAsia" w:eastAsiaTheme="minorEastAsia" w:cstheme="minorEastAsia"/>
                <w:color w:val="auto"/>
                <w:szCs w:val="21"/>
                <w:highlight w:val="none"/>
              </w:rPr>
              <w:t>专业工程师（或以上）技术职称；</w:t>
            </w:r>
          </w:p>
        </w:tc>
        <w:tc>
          <w:tcPr>
            <w:tcW w:w="4639" w:type="dxa"/>
            <w:tcBorders>
              <w:top w:val="single" w:color="auto" w:sz="4" w:space="0"/>
              <w:left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2025"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深化设计工程师</w:t>
            </w:r>
          </w:p>
        </w:tc>
        <w:tc>
          <w:tcPr>
            <w:tcW w:w="700"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p>
        </w:tc>
        <w:tc>
          <w:tcPr>
            <w:tcW w:w="7666"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具有建筑装饰设计类专业工程师（或以上）技术职称；</w:t>
            </w:r>
          </w:p>
        </w:tc>
        <w:tc>
          <w:tcPr>
            <w:tcW w:w="4639"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2025"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kern w:val="44"/>
                <w:szCs w:val="21"/>
                <w:highlight w:val="none"/>
              </w:rPr>
            </w:pPr>
            <w:r>
              <w:rPr>
                <w:rFonts w:hint="eastAsia" w:asciiTheme="minorEastAsia" w:hAnsiTheme="minorEastAsia" w:eastAsiaTheme="minorEastAsia" w:cstheme="minorEastAsia"/>
                <w:bCs/>
                <w:color w:val="auto"/>
                <w:kern w:val="44"/>
                <w:szCs w:val="21"/>
                <w:highlight w:val="none"/>
              </w:rPr>
              <w:t>电气工程师</w:t>
            </w:r>
          </w:p>
        </w:tc>
        <w:tc>
          <w:tcPr>
            <w:tcW w:w="700"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7666"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具有建筑电气安装类专业工程师（或以上）技术职称；</w:t>
            </w:r>
          </w:p>
        </w:tc>
        <w:tc>
          <w:tcPr>
            <w:tcW w:w="4639"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2025"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智能化工程师</w:t>
            </w:r>
          </w:p>
        </w:tc>
        <w:tc>
          <w:tcPr>
            <w:tcW w:w="700"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7666"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具有建筑智能化类专业工程师（或以上）技术职称；</w:t>
            </w:r>
          </w:p>
        </w:tc>
        <w:tc>
          <w:tcPr>
            <w:tcW w:w="4639"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2025"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材料工程师</w:t>
            </w:r>
          </w:p>
        </w:tc>
        <w:tc>
          <w:tcPr>
            <w:tcW w:w="700"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7666"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具有建筑材料类专业工程师（或以上）技术职称；</w:t>
            </w:r>
          </w:p>
        </w:tc>
        <w:tc>
          <w:tcPr>
            <w:tcW w:w="4639"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2025"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安全工程师</w:t>
            </w:r>
          </w:p>
        </w:tc>
        <w:tc>
          <w:tcPr>
            <w:tcW w:w="700"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7666"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1"/>
                <w:highlight w:val="none"/>
              </w:rPr>
              <w:t>同时具有</w:t>
            </w:r>
            <w:r>
              <w:rPr>
                <w:rFonts w:hint="eastAsia" w:asciiTheme="minorEastAsia" w:hAnsiTheme="minorEastAsia" w:eastAsiaTheme="minorEastAsia" w:cstheme="minorEastAsia"/>
                <w:color w:val="auto"/>
                <w:szCs w:val="21"/>
                <w:highlight w:val="none"/>
              </w:rPr>
              <w:t>“建筑施工安全”类别的注册安全工程师执业资格(有效期内)和建筑装饰施工类专业工程师（或以上）技术职称；</w:t>
            </w:r>
          </w:p>
        </w:tc>
        <w:tc>
          <w:tcPr>
            <w:tcW w:w="4639"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提供注册安全工程师执业证、“注册安全工程师注册管理系统（http://rmocse.chinasafety.ac.cn）”查询结果截图、职称证书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6" w:leftChars="-27" w:right="-46" w:rightChars="-2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2025"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专职安全员</w:t>
            </w:r>
          </w:p>
        </w:tc>
        <w:tc>
          <w:tcPr>
            <w:tcW w:w="700"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7666"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详见招标公告要求。</w:t>
            </w:r>
          </w:p>
        </w:tc>
        <w:tc>
          <w:tcPr>
            <w:tcW w:w="4639" w:type="dxa"/>
            <w:tcBorders>
              <w:top w:val="single" w:color="auto" w:sz="4" w:space="0"/>
              <w:left w:val="single" w:color="auto" w:sz="4" w:space="0"/>
              <w:bottom w:val="single" w:color="auto" w:sz="4" w:space="0"/>
              <w:right w:val="single" w:color="auto" w:sz="4" w:space="0"/>
            </w:tcBorders>
            <w:vAlign w:val="center"/>
          </w:tcPr>
          <w:p>
            <w:pPr>
              <w:ind w:left="-54" w:leftChars="-26" w:right="-65" w:rightChars="-3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按招标公告要求</w:t>
            </w:r>
          </w:p>
        </w:tc>
      </w:tr>
    </w:tbl>
    <w:p>
      <w:pPr>
        <w:snapToGrid w:val="0"/>
        <w:spacing w:line="360" w:lineRule="auto"/>
        <w:jc w:val="left"/>
        <w:rPr>
          <w:rFonts w:ascii="宋体" w:hAnsi="宋体" w:cs="宋体"/>
          <w:bCs/>
          <w:color w:val="auto"/>
          <w:kern w:val="0"/>
          <w:sz w:val="20"/>
          <w:szCs w:val="20"/>
          <w:highlight w:val="none"/>
        </w:rPr>
      </w:pPr>
    </w:p>
    <w:p>
      <w:pPr>
        <w:snapToGrid w:val="0"/>
        <w:spacing w:line="360" w:lineRule="auto"/>
        <w:jc w:val="left"/>
        <w:rPr>
          <w:rFonts w:ascii="宋体" w:hAnsi="宋体" w:cs="宋体"/>
          <w:bCs/>
          <w:color w:val="auto"/>
          <w:kern w:val="0"/>
          <w:sz w:val="20"/>
          <w:szCs w:val="20"/>
          <w:highlight w:val="none"/>
        </w:rPr>
      </w:pPr>
      <w:r>
        <w:rPr>
          <w:rFonts w:hint="eastAsia" w:ascii="宋体" w:hAnsi="宋体" w:cs="宋体"/>
          <w:bCs/>
          <w:color w:val="auto"/>
          <w:kern w:val="0"/>
          <w:sz w:val="20"/>
          <w:szCs w:val="20"/>
          <w:highlight w:val="none"/>
        </w:rPr>
        <w:t>注：1.按照《造价工程师职业资格制度规定》的规定，根据原人事部、原建设部发布的《造价工程师执业资格制度暂行规定》（人发〔1996〕77号）取得的造价工程师执业资格，并经注册且在有效期内的，等同于一级注册造价工程师。</w:t>
      </w:r>
    </w:p>
    <w:p>
      <w:pPr>
        <w:snapToGrid w:val="0"/>
        <w:spacing w:line="360" w:lineRule="auto"/>
        <w:ind w:firstLine="400" w:firstLineChars="200"/>
        <w:jc w:val="left"/>
        <w:rPr>
          <w:color w:val="auto"/>
          <w:highlight w:val="none"/>
        </w:rPr>
        <w:sectPr>
          <w:pgSz w:w="16838" w:h="11906" w:orient="landscape"/>
          <w:pgMar w:top="720" w:right="720" w:bottom="720" w:left="720" w:header="851" w:footer="992" w:gutter="0"/>
          <w:cols w:space="425" w:num="1"/>
          <w:docGrid w:type="linesAndChars" w:linePitch="312" w:charSpace="0"/>
        </w:sectPr>
      </w:pPr>
      <w:r>
        <w:rPr>
          <w:rFonts w:hint="eastAsia" w:ascii="宋体" w:hAnsi="宋体" w:cs="宋体"/>
          <w:bCs/>
          <w:color w:val="auto"/>
          <w:kern w:val="0"/>
          <w:sz w:val="20"/>
          <w:szCs w:val="20"/>
          <w:highlight w:val="none"/>
        </w:rPr>
        <w:t>2.取得职称证的年限以发证时间开始计算。上述人员岗位不能相互兼任。未提供或所提供的证明资料不符合要求的，则该评分节点不予评审。</w:t>
      </w:r>
    </w:p>
    <w:p>
      <w:pPr>
        <w:rPr>
          <w:rFonts w:ascii="宋体" w:hAnsi="宋体" w:cs="宋体"/>
          <w:color w:val="auto"/>
          <w:sz w:val="24"/>
          <w:szCs w:val="24"/>
          <w:highlight w:val="none"/>
        </w:rPr>
      </w:pPr>
      <w:r>
        <w:rPr>
          <w:rFonts w:hint="eastAsia" w:ascii="宋体" w:hAnsi="宋体" w:cs="宋体"/>
          <w:color w:val="auto"/>
          <w:szCs w:val="21"/>
          <w:highlight w:val="none"/>
        </w:rPr>
        <w:t>附表五</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经济标评分表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计算评标参考价的等分点值X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减分（A）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评委签名：</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b/>
          <w:color w:val="auto"/>
          <w:szCs w:val="21"/>
          <w:highlight w:val="none"/>
        </w:rPr>
      </w:pPr>
      <w:r>
        <w:rPr>
          <w:rFonts w:hint="eastAsia" w:ascii="宋体" w:hAnsi="宋体" w:cs="宋体"/>
          <w:color w:val="auto"/>
          <w:szCs w:val="21"/>
          <w:highlight w:val="none"/>
        </w:rPr>
        <w:t>附表六</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38"/>
        <w:tblW w:w="0" w:type="auto"/>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修正前投标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修正后投标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pPr>
        <w:rPr>
          <w:rFonts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pPr>
        <w:rPr>
          <w:rFonts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评委签名：</w:t>
      </w:r>
    </w:p>
    <w:p>
      <w:pPr>
        <w:rPr>
          <w:rFonts w:ascii="宋体" w:hAnsi="宋体" w:cs="宋体"/>
          <w:color w:val="auto"/>
          <w:highlight w:val="none"/>
        </w:rPr>
        <w:sectPr>
          <w:headerReference r:id="rId9" w:type="first"/>
          <w:footerReference r:id="rId11" w:type="first"/>
          <w:headerReference r:id="rId8" w:type="default"/>
          <w:footerReference r:id="rId10" w:type="default"/>
          <w:endnotePr>
            <w:numFmt w:val="decimal"/>
          </w:endnotePr>
          <w:pgSz w:w="16838" w:h="11906" w:orient="landscape"/>
          <w:pgMar w:top="1417" w:right="1134" w:bottom="1417" w:left="1247" w:header="851" w:footer="907" w:gutter="0"/>
          <w:cols w:space="0" w:num="1"/>
          <w:titlePg/>
          <w:docGrid w:type="lines" w:linePitch="312" w:charSpace="0"/>
        </w:sectPr>
      </w:pPr>
    </w:p>
    <w:p>
      <w:pPr>
        <w:pStyle w:val="3"/>
        <w:jc w:val="center"/>
        <w:rPr>
          <w:rFonts w:ascii="宋体" w:hAnsi="宋体" w:cs="宋体"/>
          <w:b/>
          <w:bCs/>
          <w:color w:val="auto"/>
          <w:highlight w:val="none"/>
        </w:rPr>
      </w:pPr>
      <w:bookmarkStart w:id="27" w:name="_Toc18865"/>
      <w:r>
        <w:rPr>
          <w:rFonts w:hint="eastAsia" w:ascii="宋体" w:hAnsi="宋体" w:cs="宋体"/>
          <w:b/>
          <w:bCs/>
          <w:color w:val="auto"/>
          <w:highlight w:val="none"/>
        </w:rPr>
        <w:t>第三章  合同条款</w:t>
      </w:r>
      <w:bookmarkEnd w:id="27"/>
    </w:p>
    <w:p>
      <w:pPr>
        <w:rPr>
          <w:rFonts w:ascii="宋体" w:hAnsi="宋体" w:cs="宋体"/>
          <w:color w:val="auto"/>
          <w:sz w:val="24"/>
          <w:szCs w:val="24"/>
          <w:highlight w:val="none"/>
        </w:rPr>
      </w:pPr>
    </w:p>
    <w:p>
      <w:pPr>
        <w:rPr>
          <w:rFonts w:ascii="宋体" w:hAnsi="宋体" w:cs="宋体"/>
          <w:b/>
          <w:color w:val="auto"/>
          <w:sz w:val="24"/>
          <w:szCs w:val="24"/>
          <w:highlight w:val="none"/>
        </w:rPr>
      </w:pPr>
      <w:r>
        <w:rPr>
          <w:rFonts w:hint="eastAsia" w:ascii="宋体" w:hAnsi="宋体" w:cs="宋体"/>
          <w:color w:val="auto"/>
          <w:sz w:val="24"/>
          <w:szCs w:val="24"/>
          <w:highlight w:val="none"/>
        </w:rPr>
        <w:t>按《广州市建设工程施工合同》 (SF-2019-0204) 执行，另册。</w:t>
      </w:r>
    </w:p>
    <w:p>
      <w:pPr>
        <w:rPr>
          <w:rFonts w:ascii="宋体" w:hAnsi="宋体" w:cs="宋体"/>
          <w:color w:val="auto"/>
          <w:sz w:val="24"/>
          <w:szCs w:val="24"/>
          <w:highlight w:val="none"/>
        </w:rPr>
      </w:pPr>
    </w:p>
    <w:p>
      <w:pPr>
        <w:pStyle w:val="36"/>
        <w:spacing w:line="360" w:lineRule="auto"/>
        <w:rPr>
          <w:rFonts w:ascii="宋体" w:hAnsi="宋体" w:cs="宋体"/>
          <w:color w:val="auto"/>
          <w:sz w:val="24"/>
          <w:szCs w:val="24"/>
          <w:highlight w:val="none"/>
        </w:rPr>
      </w:pPr>
    </w:p>
    <w:p>
      <w:pPr>
        <w:pStyle w:val="36"/>
        <w:spacing w:line="360" w:lineRule="auto"/>
        <w:rPr>
          <w:rFonts w:ascii="宋体" w:hAnsi="宋体" w:cs="宋体"/>
          <w:color w:val="auto"/>
          <w:sz w:val="24"/>
          <w:szCs w:val="24"/>
          <w:highlight w:val="none"/>
        </w:rPr>
      </w:pPr>
    </w:p>
    <w:p>
      <w:pPr>
        <w:pStyle w:val="36"/>
        <w:spacing w:line="360" w:lineRule="auto"/>
        <w:rPr>
          <w:rFonts w:ascii="宋体" w:hAnsi="宋体" w:cs="宋体"/>
          <w:color w:val="auto"/>
          <w:sz w:val="24"/>
          <w:szCs w:val="24"/>
          <w:highlight w:val="none"/>
        </w:rPr>
      </w:pPr>
    </w:p>
    <w:p>
      <w:pPr>
        <w:pStyle w:val="36"/>
        <w:spacing w:line="360" w:lineRule="auto"/>
        <w:rPr>
          <w:rFonts w:ascii="宋体" w:hAnsi="宋体" w:cs="宋体"/>
          <w:color w:val="auto"/>
          <w:sz w:val="24"/>
          <w:szCs w:val="24"/>
          <w:highlight w:val="none"/>
        </w:rPr>
      </w:pPr>
    </w:p>
    <w:p>
      <w:pPr>
        <w:pStyle w:val="36"/>
        <w:spacing w:line="360" w:lineRule="auto"/>
        <w:rPr>
          <w:rFonts w:ascii="宋体" w:hAnsi="宋体" w:cs="宋体"/>
          <w:color w:val="auto"/>
          <w:sz w:val="24"/>
          <w:szCs w:val="24"/>
          <w:highlight w:val="none"/>
        </w:rPr>
        <w:sectPr>
          <w:pgSz w:w="11906" w:h="16838"/>
          <w:pgMar w:top="1134" w:right="1417" w:bottom="1247" w:left="1417" w:header="851" w:footer="907" w:gutter="0"/>
          <w:cols w:space="0" w:num="1"/>
          <w:titlePg/>
          <w:docGrid w:type="lines" w:linePitch="312" w:charSpace="0"/>
        </w:sectPr>
      </w:pPr>
    </w:p>
    <w:p>
      <w:pPr>
        <w:pStyle w:val="3"/>
        <w:numPr>
          <w:ilvl w:val="0"/>
          <w:numId w:val="3"/>
        </w:numPr>
        <w:jc w:val="center"/>
        <w:rPr>
          <w:rFonts w:ascii="宋体" w:hAnsi="宋体" w:cs="宋体"/>
          <w:b/>
          <w:bCs/>
          <w:color w:val="auto"/>
          <w:highlight w:val="none"/>
        </w:rPr>
      </w:pPr>
      <w:bookmarkStart w:id="28" w:name="_Toc287"/>
      <w:r>
        <w:rPr>
          <w:rFonts w:hint="eastAsia" w:ascii="宋体" w:hAnsi="宋体" w:cs="宋体"/>
          <w:b/>
          <w:bCs/>
          <w:color w:val="auto"/>
          <w:highlight w:val="none"/>
        </w:rPr>
        <w:t>投标文件格式</w:t>
      </w:r>
      <w:bookmarkEnd w:id="28"/>
    </w:p>
    <w:p>
      <w:pPr>
        <w:autoSpaceDE w:val="0"/>
        <w:autoSpaceDN w:val="0"/>
        <w:adjustRightInd w:val="0"/>
        <w:rPr>
          <w:rFonts w:ascii="宋体" w:hAnsi="宋体" w:cs="宋体"/>
          <w:bCs/>
          <w:color w:val="auto"/>
          <w:szCs w:val="21"/>
          <w:highlight w:val="none"/>
        </w:rPr>
      </w:pPr>
      <w:r>
        <w:rPr>
          <w:rFonts w:hint="eastAsia" w:ascii="宋体" w:hAnsi="宋体" w:cs="宋体"/>
          <w:bCs/>
          <w:color w:val="auto"/>
          <w:szCs w:val="21"/>
          <w:highlight w:val="none"/>
        </w:rPr>
        <w:t>附件一</w:t>
      </w:r>
    </w:p>
    <w:p>
      <w:pPr>
        <w:autoSpaceDE w:val="0"/>
        <w:autoSpaceDN w:val="0"/>
        <w:adjustRightInd w:val="0"/>
        <w:rPr>
          <w:rFonts w:ascii="宋体" w:hAnsi="宋体" w:cs="宋体"/>
          <w:b/>
          <w:bCs/>
          <w:color w:val="auto"/>
          <w:szCs w:val="21"/>
          <w:highlight w:val="none"/>
          <w:lang w:val="zh-CN"/>
        </w:rPr>
      </w:pPr>
      <w:r>
        <w:rPr>
          <w:rFonts w:hint="eastAsia" w:ascii="宋体" w:hAnsi="宋体" w:cs="宋体"/>
          <w:bCs/>
          <w:color w:val="auto"/>
          <w:szCs w:val="21"/>
          <w:highlight w:val="none"/>
        </w:rPr>
        <w:t>（适用于技术标与经济标同时开启）</w:t>
      </w:r>
    </w:p>
    <w:p>
      <w:pPr>
        <w:autoSpaceDE w:val="0"/>
        <w:autoSpaceDN w:val="0"/>
        <w:adjustRightInd w:val="0"/>
        <w:spacing w:line="360" w:lineRule="auto"/>
        <w:jc w:val="center"/>
        <w:rPr>
          <w:rFonts w:ascii="宋体" w:hAnsi="宋体" w:cs="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8"/>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2"/>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工 程 名 称</w:t>
            </w:r>
          </w:p>
        </w:tc>
        <w:tc>
          <w:tcPr>
            <w:tcW w:w="41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41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41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41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41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lang w:val="zh-CN"/>
              </w:rPr>
              <w:t>工程质量标准</w:t>
            </w:r>
          </w:p>
        </w:tc>
        <w:tc>
          <w:tcPr>
            <w:tcW w:w="41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保 修 期 限</w:t>
            </w:r>
          </w:p>
        </w:tc>
        <w:tc>
          <w:tcPr>
            <w:tcW w:w="41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92"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项目负责人</w:t>
            </w:r>
          </w:p>
        </w:tc>
        <w:tc>
          <w:tcPr>
            <w:tcW w:w="20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color w:val="auto"/>
                <w:szCs w:val="21"/>
                <w:highlight w:val="none"/>
              </w:rPr>
              <w:t>姓    名</w:t>
            </w:r>
          </w:p>
        </w:tc>
        <w:tc>
          <w:tcPr>
            <w:tcW w:w="20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color w:val="auto"/>
                <w:szCs w:val="21"/>
                <w:highlight w:val="none"/>
              </w:rPr>
              <w:t>注册建造师注册证书编号</w:t>
            </w:r>
          </w:p>
        </w:tc>
        <w:tc>
          <w:tcPr>
            <w:tcW w:w="20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92"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专职安全员</w:t>
            </w:r>
          </w:p>
        </w:tc>
        <w:tc>
          <w:tcPr>
            <w:tcW w:w="20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color w:val="auto"/>
                <w:szCs w:val="21"/>
                <w:highlight w:val="none"/>
              </w:rPr>
              <w:t>姓    名</w:t>
            </w:r>
          </w:p>
        </w:tc>
        <w:tc>
          <w:tcPr>
            <w:tcW w:w="20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092"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Cs/>
                <w:color w:val="auto"/>
                <w:szCs w:val="21"/>
                <w:highlight w:val="none"/>
                <w:lang w:val="zh-CN"/>
              </w:rPr>
              <w:t>安全生产考核合格证（C类）或建筑施工企业专职安全生产管理人员安全生产考核合格证书（C3）</w:t>
            </w:r>
            <w:r>
              <w:rPr>
                <w:rFonts w:hint="eastAsia" w:ascii="宋体" w:hAnsi="宋体" w:cs="宋体"/>
                <w:bCs/>
                <w:color w:val="auto"/>
                <w:szCs w:val="21"/>
                <w:highlight w:val="none"/>
              </w:rPr>
              <w:t>编号</w:t>
            </w:r>
          </w:p>
        </w:tc>
        <w:tc>
          <w:tcPr>
            <w:tcW w:w="20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p>
        </w:tc>
      </w:tr>
    </w:tbl>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注：“投标总工期”“工程质量标准”“保修期限”可以直接填写“按招标文件要求”、或按招标文件内容填写。</w:t>
      </w:r>
    </w:p>
    <w:p>
      <w:pPr>
        <w:jc w:val="left"/>
        <w:rPr>
          <w:rFonts w:ascii="宋体" w:hAnsi="宋体" w:cs="宋体"/>
          <w:color w:val="auto"/>
          <w:szCs w:val="21"/>
          <w:highlight w:val="none"/>
        </w:rPr>
      </w:pPr>
      <w:r>
        <w:rPr>
          <w:rFonts w:hint="eastAsia" w:ascii="宋体" w:hAnsi="宋体" w:cs="宋体"/>
          <w:color w:val="auto"/>
          <w:szCs w:val="21"/>
          <w:highlight w:val="none"/>
        </w:rPr>
        <w:br w:type="page"/>
      </w:r>
    </w:p>
    <w:p>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附件二</w:t>
      </w:r>
    </w:p>
    <w:p>
      <w:pPr>
        <w:autoSpaceDE w:val="0"/>
        <w:autoSpaceDN w:val="0"/>
        <w:adjustRightInd w:val="0"/>
        <w:jc w:val="center"/>
        <w:rPr>
          <w:rFonts w:ascii="宋体" w:hAnsi="宋体" w:cs="宋体"/>
          <w:color w:val="auto"/>
          <w:sz w:val="28"/>
          <w:szCs w:val="27"/>
          <w:highlight w:val="none"/>
        </w:rPr>
      </w:pPr>
      <w:r>
        <w:rPr>
          <w:rFonts w:hint="eastAsia" w:ascii="宋体" w:hAnsi="宋体" w:cs="宋体"/>
          <w:b/>
          <w:bCs/>
          <w:color w:val="auto"/>
          <w:sz w:val="28"/>
          <w:szCs w:val="27"/>
          <w:highlight w:val="none"/>
        </w:rPr>
        <w:t>投标函</w:t>
      </w:r>
    </w:p>
    <w:p>
      <w:pPr>
        <w:spacing w:line="400" w:lineRule="exact"/>
        <w:rPr>
          <w:rFonts w:ascii="宋体" w:hAnsi="宋体" w:cs="宋体"/>
          <w:color w:val="auto"/>
          <w:sz w:val="19"/>
          <w:szCs w:val="19"/>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bookmarkStart w:id="29" w:name="_Toc221951928"/>
      <w:r>
        <w:rPr>
          <w:rFonts w:hint="eastAsia" w:ascii="宋体" w:hAnsi="宋体" w:cs="宋体"/>
          <w:color w:val="auto"/>
          <w:szCs w:val="21"/>
          <w:highlight w:val="none"/>
        </w:rPr>
        <w:t>（招标人名称）：</w:t>
      </w:r>
      <w:bookmarkEnd w:id="29"/>
    </w:p>
    <w:p>
      <w:pPr>
        <w:spacing w:line="400" w:lineRule="exact"/>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bookmarkStart w:id="30" w:name="_Toc221951929"/>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（项目名称）招标文件的全部内容，愿意以人民币（大写）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日历天，按合同约定实施和完成承包工程，修补工程中的任何缺陷，工程质量达到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bookmarkEnd w:id="30"/>
    </w:p>
    <w:p>
      <w:pPr>
        <w:spacing w:line="400" w:lineRule="exact"/>
        <w:ind w:firstLine="420" w:firstLineChars="200"/>
        <w:jc w:val="left"/>
        <w:rPr>
          <w:rFonts w:ascii="宋体" w:hAnsi="宋体" w:cs="宋体"/>
          <w:color w:val="auto"/>
          <w:szCs w:val="21"/>
          <w:highlight w:val="none"/>
        </w:rPr>
      </w:pPr>
      <w:bookmarkStart w:id="31" w:name="_Toc221951930"/>
      <w:r>
        <w:rPr>
          <w:rFonts w:hint="eastAsia" w:ascii="宋体" w:hAnsi="宋体" w:cs="宋体"/>
          <w:color w:val="auto"/>
          <w:szCs w:val="21"/>
          <w:highlight w:val="none"/>
        </w:rPr>
        <w:t>2．我方承诺在投标有效期内不补充、修改、替代或撤回本投标文件。</w:t>
      </w:r>
      <w:bookmarkEnd w:id="31"/>
    </w:p>
    <w:p>
      <w:pPr>
        <w:spacing w:line="400" w:lineRule="exact"/>
        <w:ind w:firstLine="420" w:firstLineChars="200"/>
        <w:rPr>
          <w:rFonts w:ascii="宋体" w:hAnsi="宋体" w:cs="宋体"/>
          <w:color w:val="auto"/>
          <w:szCs w:val="21"/>
          <w:highlight w:val="none"/>
        </w:rPr>
      </w:pPr>
      <w:bookmarkStart w:id="32" w:name="_Toc221951931"/>
      <w:r>
        <w:rPr>
          <w:rFonts w:hint="eastAsia" w:ascii="宋体" w:hAnsi="宋体" w:cs="宋体"/>
          <w:color w:val="auto"/>
          <w:szCs w:val="21"/>
          <w:highlight w:val="none"/>
        </w:rPr>
        <w:t>3．</w:t>
      </w:r>
      <w:bookmarkEnd w:id="32"/>
      <w:bookmarkStart w:id="33" w:name="_Toc221951932"/>
      <w:r>
        <w:rPr>
          <w:rFonts w:hint="eastAsia" w:ascii="宋体" w:hAnsi="宋体" w:cs="宋体"/>
          <w:color w:val="auto"/>
          <w:szCs w:val="21"/>
          <w:highlight w:val="none"/>
        </w:rPr>
        <w:t>如我方中标：</w:t>
      </w:r>
      <w:bookmarkEnd w:id="33"/>
    </w:p>
    <w:p>
      <w:pPr>
        <w:spacing w:line="400" w:lineRule="exact"/>
        <w:ind w:firstLine="718" w:firstLineChars="342"/>
        <w:rPr>
          <w:rFonts w:ascii="宋体" w:hAnsi="宋体" w:cs="宋体"/>
          <w:color w:val="auto"/>
          <w:szCs w:val="21"/>
          <w:highlight w:val="none"/>
        </w:rPr>
      </w:pPr>
      <w:bookmarkStart w:id="34" w:name="_Toc221951933"/>
      <w:r>
        <w:rPr>
          <w:rFonts w:hint="eastAsia" w:ascii="宋体" w:hAnsi="宋体" w:cs="宋体"/>
          <w:color w:val="auto"/>
          <w:szCs w:val="21"/>
          <w:highlight w:val="none"/>
        </w:rPr>
        <w:t>（1）我方承诺在收到中标通知书后，在中标通知书规定的期限内与你方签订合同。</w:t>
      </w:r>
      <w:bookmarkEnd w:id="34"/>
    </w:p>
    <w:p>
      <w:pPr>
        <w:spacing w:line="400" w:lineRule="exact"/>
        <w:ind w:firstLine="718" w:firstLineChars="342"/>
        <w:rPr>
          <w:rFonts w:ascii="宋体" w:hAnsi="宋体" w:cs="宋体"/>
          <w:color w:val="auto"/>
          <w:szCs w:val="21"/>
          <w:highlight w:val="none"/>
        </w:rPr>
      </w:pPr>
      <w:bookmarkStart w:id="35" w:name="_Toc221951934"/>
      <w:r>
        <w:rPr>
          <w:rFonts w:hint="eastAsia" w:ascii="宋体" w:hAnsi="宋体" w:cs="宋体"/>
          <w:color w:val="auto"/>
          <w:szCs w:val="21"/>
          <w:highlight w:val="none"/>
        </w:rPr>
        <w:t>（2）随同本投标函递交的投标函附录属于合同文件的组成部分。</w:t>
      </w:r>
      <w:bookmarkEnd w:id="35"/>
    </w:p>
    <w:p>
      <w:pPr>
        <w:spacing w:line="400" w:lineRule="exact"/>
        <w:ind w:firstLine="718" w:firstLineChars="342"/>
        <w:rPr>
          <w:rFonts w:ascii="宋体" w:hAnsi="宋体" w:cs="宋体"/>
          <w:color w:val="auto"/>
          <w:szCs w:val="21"/>
          <w:highlight w:val="none"/>
        </w:rPr>
      </w:pPr>
      <w:bookmarkStart w:id="36" w:name="_Toc221951935"/>
      <w:r>
        <w:rPr>
          <w:rFonts w:hint="eastAsia" w:ascii="宋体" w:hAnsi="宋体" w:cs="宋体"/>
          <w:color w:val="auto"/>
          <w:szCs w:val="21"/>
          <w:highlight w:val="none"/>
        </w:rPr>
        <w:t>（3）我方承诺按照招标文件规定向你方递交履约担保。</w:t>
      </w:r>
      <w:bookmarkEnd w:id="36"/>
    </w:p>
    <w:p>
      <w:pPr>
        <w:spacing w:line="400" w:lineRule="exact"/>
        <w:ind w:firstLine="718" w:firstLineChars="342"/>
        <w:rPr>
          <w:rFonts w:ascii="宋体" w:hAnsi="宋体" w:cs="宋体"/>
          <w:color w:val="auto"/>
          <w:szCs w:val="21"/>
          <w:highlight w:val="none"/>
        </w:rPr>
      </w:pPr>
      <w:bookmarkStart w:id="37" w:name="_Toc221951936"/>
      <w:r>
        <w:rPr>
          <w:rFonts w:hint="eastAsia" w:ascii="宋体" w:hAnsi="宋体" w:cs="宋体"/>
          <w:color w:val="auto"/>
          <w:szCs w:val="21"/>
          <w:highlight w:val="none"/>
        </w:rPr>
        <w:t>（4）我方承诺在合同约定的期限内完成并移交全部合同工程。</w:t>
      </w:r>
      <w:bookmarkEnd w:id="37"/>
    </w:p>
    <w:p>
      <w:pPr>
        <w:spacing w:line="400" w:lineRule="exact"/>
        <w:ind w:firstLine="420" w:firstLineChars="200"/>
        <w:rPr>
          <w:rFonts w:ascii="宋体" w:hAnsi="宋体" w:cs="宋体"/>
          <w:color w:val="auto"/>
          <w:szCs w:val="21"/>
          <w:highlight w:val="none"/>
        </w:rPr>
      </w:pPr>
      <w:bookmarkStart w:id="38" w:name="_Toc221951937"/>
      <w:r>
        <w:rPr>
          <w:rFonts w:hint="eastAsia" w:ascii="宋体" w:hAnsi="宋体" w:cs="宋体"/>
          <w:color w:val="auto"/>
          <w:szCs w:val="21"/>
          <w:highlight w:val="none"/>
        </w:rPr>
        <w:t>5．我方在此声明，所递交的投标文件及有关资料内容完整、真实和准确</w:t>
      </w:r>
      <w:bookmarkEnd w:id="38"/>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bookmarkStart w:id="39" w:name="_Toc221951938"/>
      <w:r>
        <w:rPr>
          <w:rFonts w:hint="eastAsia" w:ascii="宋体" w:hAnsi="宋体" w:cs="宋体"/>
          <w:color w:val="auto"/>
          <w:szCs w:val="21"/>
          <w:highlight w:val="none"/>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bookmarkEnd w:id="39"/>
    </w:p>
    <w:p>
      <w:pPr>
        <w:spacing w:line="400" w:lineRule="exact"/>
        <w:rPr>
          <w:rFonts w:ascii="宋体" w:hAnsi="宋体" w:cs="宋体"/>
          <w:color w:val="auto"/>
          <w:szCs w:val="21"/>
          <w:highlight w:val="none"/>
        </w:rPr>
      </w:pPr>
    </w:p>
    <w:p>
      <w:pPr>
        <w:spacing w:line="400" w:lineRule="exact"/>
        <w:ind w:firstLine="3675" w:firstLineChars="1750"/>
        <w:rPr>
          <w:rFonts w:ascii="宋体" w:hAnsi="宋体" w:cs="宋体"/>
          <w:color w:val="auto"/>
          <w:szCs w:val="21"/>
          <w:highlight w:val="none"/>
        </w:rPr>
      </w:pPr>
      <w:bookmarkStart w:id="40" w:name="_Toc221951939"/>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bookmarkEnd w:id="40"/>
    </w:p>
    <w:p>
      <w:pPr>
        <w:spacing w:line="400" w:lineRule="exact"/>
        <w:ind w:firstLine="3675" w:firstLineChars="1750"/>
        <w:rPr>
          <w:rFonts w:ascii="宋体" w:hAnsi="宋体" w:cs="宋体"/>
          <w:color w:val="auto"/>
          <w:szCs w:val="21"/>
          <w:highlight w:val="none"/>
        </w:rPr>
      </w:pPr>
      <w:bookmarkStart w:id="41" w:name="_Toc221951941"/>
      <w:r>
        <w:rPr>
          <w:rFonts w:hint="eastAsia" w:ascii="宋体" w:hAnsi="宋体" w:cs="宋体"/>
          <w:color w:val="auto"/>
          <w:szCs w:val="21"/>
          <w:highlight w:val="none"/>
        </w:rPr>
        <w:t>地址：</w:t>
      </w:r>
      <w:bookmarkEnd w:id="41"/>
      <w:r>
        <w:rPr>
          <w:rFonts w:hint="eastAsia" w:ascii="宋体" w:hAnsi="宋体" w:cs="宋体"/>
          <w:color w:val="auto"/>
          <w:szCs w:val="21"/>
          <w:highlight w:val="none"/>
          <w:u w:val="single"/>
        </w:rPr>
        <w:t xml:space="preserve">                                     </w:t>
      </w:r>
    </w:p>
    <w:p>
      <w:pPr>
        <w:spacing w:line="400" w:lineRule="exact"/>
        <w:ind w:firstLine="3675" w:firstLineChars="1750"/>
        <w:rPr>
          <w:rFonts w:ascii="宋体" w:hAnsi="宋体" w:cs="宋体"/>
          <w:color w:val="auto"/>
          <w:szCs w:val="21"/>
          <w:highlight w:val="none"/>
        </w:rPr>
      </w:pPr>
      <w:bookmarkStart w:id="42" w:name="_Toc221951942"/>
      <w:r>
        <w:rPr>
          <w:rFonts w:hint="eastAsia" w:ascii="宋体" w:hAnsi="宋体" w:cs="宋体"/>
          <w:color w:val="auto"/>
          <w:szCs w:val="21"/>
          <w:highlight w:val="none"/>
        </w:rPr>
        <w:t>网址：</w:t>
      </w:r>
      <w:bookmarkEnd w:id="42"/>
      <w:r>
        <w:rPr>
          <w:rFonts w:hint="eastAsia" w:ascii="宋体" w:hAnsi="宋体" w:cs="宋体"/>
          <w:color w:val="auto"/>
          <w:szCs w:val="21"/>
          <w:highlight w:val="none"/>
          <w:u w:val="single"/>
        </w:rPr>
        <w:t xml:space="preserve">                                     </w:t>
      </w:r>
    </w:p>
    <w:p>
      <w:pPr>
        <w:spacing w:line="400" w:lineRule="exact"/>
        <w:ind w:firstLine="3675" w:firstLineChars="1750"/>
        <w:rPr>
          <w:rFonts w:ascii="宋体" w:hAnsi="宋体" w:cs="宋体"/>
          <w:color w:val="auto"/>
          <w:szCs w:val="21"/>
          <w:highlight w:val="none"/>
        </w:rPr>
      </w:pPr>
      <w:bookmarkStart w:id="43" w:name="_Toc221951943"/>
      <w:r>
        <w:rPr>
          <w:rFonts w:hint="eastAsia" w:ascii="宋体" w:hAnsi="宋体" w:cs="宋体"/>
          <w:color w:val="auto"/>
          <w:szCs w:val="21"/>
          <w:highlight w:val="none"/>
        </w:rPr>
        <w:t>电话：</w:t>
      </w:r>
      <w:bookmarkEnd w:id="43"/>
      <w:r>
        <w:rPr>
          <w:rFonts w:hint="eastAsia" w:ascii="宋体" w:hAnsi="宋体" w:cs="宋体"/>
          <w:color w:val="auto"/>
          <w:szCs w:val="21"/>
          <w:highlight w:val="none"/>
          <w:u w:val="single"/>
        </w:rPr>
        <w:t xml:space="preserve">                                     </w:t>
      </w:r>
    </w:p>
    <w:p>
      <w:pPr>
        <w:spacing w:line="400" w:lineRule="exact"/>
        <w:ind w:firstLine="3675" w:firstLineChars="1750"/>
        <w:rPr>
          <w:rFonts w:ascii="宋体" w:hAnsi="宋体" w:cs="宋体"/>
          <w:color w:val="auto"/>
          <w:szCs w:val="21"/>
          <w:highlight w:val="none"/>
        </w:rPr>
      </w:pPr>
      <w:bookmarkStart w:id="44" w:name="_Toc221951944"/>
      <w:r>
        <w:rPr>
          <w:rFonts w:hint="eastAsia" w:ascii="宋体" w:hAnsi="宋体" w:cs="宋体"/>
          <w:color w:val="auto"/>
          <w:szCs w:val="21"/>
          <w:highlight w:val="none"/>
        </w:rPr>
        <w:t>传真：</w:t>
      </w:r>
      <w:bookmarkEnd w:id="44"/>
      <w:r>
        <w:rPr>
          <w:rFonts w:hint="eastAsia" w:ascii="宋体" w:hAnsi="宋体" w:cs="宋体"/>
          <w:color w:val="auto"/>
          <w:szCs w:val="21"/>
          <w:highlight w:val="none"/>
          <w:u w:val="single"/>
        </w:rPr>
        <w:t xml:space="preserve">                                     </w:t>
      </w:r>
    </w:p>
    <w:p>
      <w:pPr>
        <w:spacing w:line="400" w:lineRule="exact"/>
        <w:ind w:firstLine="3675" w:firstLineChars="1750"/>
        <w:rPr>
          <w:rFonts w:ascii="宋体" w:hAnsi="宋体" w:cs="宋体"/>
          <w:color w:val="auto"/>
          <w:szCs w:val="21"/>
          <w:highlight w:val="none"/>
        </w:rPr>
      </w:pPr>
      <w:bookmarkStart w:id="45" w:name="_Toc221951945"/>
      <w:r>
        <w:rPr>
          <w:rFonts w:hint="eastAsia" w:ascii="宋体" w:hAnsi="宋体" w:cs="宋体"/>
          <w:color w:val="auto"/>
          <w:szCs w:val="21"/>
          <w:highlight w:val="none"/>
        </w:rPr>
        <w:t>邮政编码：</w:t>
      </w:r>
      <w:bookmarkEnd w:id="45"/>
      <w:r>
        <w:rPr>
          <w:rFonts w:hint="eastAsia" w:ascii="宋体" w:hAnsi="宋体" w:cs="宋体"/>
          <w:color w:val="auto"/>
          <w:szCs w:val="21"/>
          <w:highlight w:val="none"/>
          <w:u w:val="single"/>
        </w:rPr>
        <w:t xml:space="preserve">                                 </w:t>
      </w:r>
    </w:p>
    <w:p>
      <w:pPr>
        <w:spacing w:line="400" w:lineRule="exact"/>
        <w:ind w:firstLine="3675" w:firstLineChars="1750"/>
        <w:rPr>
          <w:rFonts w:ascii="宋体" w:hAnsi="宋体" w:cs="宋体"/>
          <w:color w:val="auto"/>
          <w:szCs w:val="21"/>
          <w:highlight w:val="none"/>
        </w:rPr>
      </w:pPr>
    </w:p>
    <w:p>
      <w:pPr>
        <w:spacing w:line="400" w:lineRule="exact"/>
        <w:ind w:firstLine="4725" w:firstLineChars="2250"/>
        <w:jc w:val="right"/>
        <w:rPr>
          <w:rFonts w:ascii="宋体" w:hAnsi="宋体" w:cs="宋体"/>
          <w:color w:val="auto"/>
          <w:szCs w:val="21"/>
          <w:highlight w:val="none"/>
        </w:rPr>
      </w:pPr>
      <w:bookmarkStart w:id="46" w:name="_Toc221951946"/>
      <w:r>
        <w:rPr>
          <w:rFonts w:hint="eastAsia" w:ascii="宋体" w:hAnsi="宋体" w:cs="宋体"/>
          <w:color w:val="auto"/>
          <w:szCs w:val="21"/>
          <w:highlight w:val="none"/>
          <w:u w:val="single"/>
        </w:rPr>
        <w:t>___   __</w:t>
      </w:r>
      <w:r>
        <w:rPr>
          <w:rFonts w:hint="eastAsia" w:ascii="宋体" w:hAnsi="宋体" w:cs="宋体"/>
          <w:color w:val="auto"/>
          <w:szCs w:val="21"/>
          <w:highlight w:val="none"/>
        </w:rPr>
        <w:t>年</w:t>
      </w:r>
      <w:r>
        <w:rPr>
          <w:rFonts w:hint="eastAsia" w:ascii="宋体" w:hAnsi="宋体" w:cs="宋体"/>
          <w:color w:val="auto"/>
          <w:szCs w:val="21"/>
          <w:highlight w:val="none"/>
          <w:u w:val="single"/>
        </w:rPr>
        <w:t>__   __</w:t>
      </w:r>
      <w:r>
        <w:rPr>
          <w:rFonts w:hint="eastAsia" w:ascii="宋体" w:hAnsi="宋体" w:cs="宋体"/>
          <w:color w:val="auto"/>
          <w:szCs w:val="21"/>
          <w:highlight w:val="none"/>
        </w:rPr>
        <w:t>月__</w:t>
      </w:r>
      <w:r>
        <w:rPr>
          <w:rFonts w:hint="eastAsia" w:ascii="宋体" w:hAnsi="宋体" w:cs="宋体"/>
          <w:color w:val="auto"/>
          <w:szCs w:val="21"/>
          <w:highlight w:val="none"/>
          <w:u w:val="single"/>
        </w:rPr>
        <w:t>_  _</w:t>
      </w:r>
      <w:r>
        <w:rPr>
          <w:rFonts w:hint="eastAsia" w:ascii="宋体" w:hAnsi="宋体" w:cs="宋体"/>
          <w:color w:val="auto"/>
          <w:szCs w:val="21"/>
          <w:highlight w:val="none"/>
        </w:rPr>
        <w:t>日</w:t>
      </w:r>
      <w:bookmarkEnd w:id="46"/>
    </w:p>
    <w:p>
      <w:pPr>
        <w:spacing w:line="400" w:lineRule="exact"/>
        <w:rPr>
          <w:rFonts w:ascii="宋体" w:hAnsi="宋体" w:cs="宋体"/>
          <w:color w:val="auto"/>
          <w:sz w:val="20"/>
          <w:szCs w:val="20"/>
          <w:highlight w:val="none"/>
        </w:rPr>
      </w:pPr>
    </w:p>
    <w:p>
      <w:pPr>
        <w:autoSpaceDE w:val="0"/>
        <w:autoSpaceDN w:val="0"/>
        <w:adjustRightInd w:val="0"/>
        <w:rPr>
          <w:rFonts w:ascii="宋体" w:hAnsi="宋体" w:cs="宋体"/>
          <w:color w:val="auto"/>
          <w:szCs w:val="21"/>
          <w:highlight w:val="none"/>
        </w:rPr>
      </w:pPr>
      <w:r>
        <w:rPr>
          <w:rFonts w:hint="eastAsia" w:ascii="宋体" w:hAnsi="宋体" w:cs="宋体"/>
          <w:color w:val="auto"/>
          <w:sz w:val="19"/>
          <w:szCs w:val="19"/>
          <w:highlight w:val="none"/>
        </w:rPr>
        <w:br w:type="page"/>
      </w:r>
    </w:p>
    <w:p>
      <w:pPr>
        <w:topLinePunct/>
        <w:adjustRightInd w:val="0"/>
        <w:snapToGrid w:val="0"/>
        <w:spacing w:before="240" w:line="360" w:lineRule="auto"/>
        <w:rPr>
          <w:rFonts w:ascii="宋体" w:hAnsi="宋体" w:cs="宋体"/>
          <w:color w:val="auto"/>
          <w:szCs w:val="21"/>
          <w:highlight w:val="none"/>
        </w:rPr>
      </w:pPr>
      <w:r>
        <w:rPr>
          <w:rFonts w:hint="eastAsia" w:ascii="宋体" w:hAnsi="宋体" w:cs="宋体"/>
          <w:color w:val="auto"/>
          <w:szCs w:val="21"/>
          <w:highlight w:val="none"/>
        </w:rPr>
        <w:t>附件三</w:t>
      </w:r>
    </w:p>
    <w:p>
      <w:pPr>
        <w:topLinePunct/>
        <w:adjustRightInd w:val="0"/>
        <w:snapToGrid w:val="0"/>
        <w:spacing w:before="240" w:line="360" w:lineRule="auto"/>
        <w:jc w:val="center"/>
        <w:rPr>
          <w:rFonts w:ascii="宋体" w:hAns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法定代表人证明书、法定代表人授权委托书</w:t>
      </w:r>
    </w:p>
    <w:p>
      <w:pPr>
        <w:rPr>
          <w:rFonts w:ascii="宋体" w:hAnsi="宋体" w:cs="宋体"/>
          <w:color w:val="auto"/>
          <w:sz w:val="24"/>
          <w:szCs w:val="24"/>
          <w:highlight w:val="none"/>
        </w:rPr>
      </w:pPr>
      <w:r>
        <w:rPr>
          <w:rFonts w:hint="eastAsia" w:ascii="宋体" w:hAnsi="宋体" w:cs="宋体"/>
          <w:color w:val="auto"/>
          <w:sz w:val="24"/>
          <w:szCs w:val="24"/>
          <w:highlight w:val="none"/>
        </w:rPr>
        <w:t>（1）法定代表人证明书</w:t>
      </w: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ascii="宋体" w:hAnsi="宋体"/>
          <w:color w:val="auto"/>
          <w:spacing w:val="4"/>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104775</wp:posOffset>
                </wp:positionV>
                <wp:extent cx="5869305" cy="2936240"/>
                <wp:effectExtent l="5080" t="4445" r="12065" b="12065"/>
                <wp:wrapNone/>
                <wp:docPr id="19" name="文本框 19"/>
                <wp:cNvGraphicFramePr/>
                <a:graphic xmlns:a="http://schemas.openxmlformats.org/drawingml/2006/main">
                  <a:graphicData uri="http://schemas.microsoft.com/office/word/2010/wordprocessingShape">
                    <wps:wsp>
                      <wps:cNvSpPr txBox="1"/>
                      <wps:spPr>
                        <a:xfrm>
                          <a:off x="0" y="0"/>
                          <a:ext cx="6217920"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82"/>
                              <w:ind w:firstLine="0" w:firstLineChars="0"/>
                              <w:rPr>
                                <w:rFonts w:ascii="宋体" w:hAnsi="宋体"/>
                                <w:szCs w:val="28"/>
                              </w:rPr>
                            </w:pPr>
                          </w:p>
                          <w:p>
                            <w:pPr>
                              <w:pStyle w:val="82"/>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82"/>
                              <w:ind w:firstLine="0" w:firstLineChars="0"/>
                              <w:rPr>
                                <w:rFonts w:ascii="宋体" w:hAnsi="宋体"/>
                                <w:szCs w:val="28"/>
                              </w:rPr>
                            </w:pPr>
                            <w:r>
                              <w:rPr>
                                <w:rFonts w:hint="eastAsia" w:ascii="宋体" w:hAnsi="宋体"/>
                                <w:szCs w:val="28"/>
                              </w:rPr>
                              <w:t>特此证明。</w:t>
                            </w:r>
                          </w:p>
                          <w:p>
                            <w:pPr>
                              <w:pStyle w:val="82"/>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82"/>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82"/>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82"/>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82"/>
                              <w:ind w:firstLine="0" w:firstLineChars="0"/>
                              <w:rPr>
                                <w:rFonts w:ascii="宋体" w:hAnsi="宋体"/>
                                <w:szCs w:val="28"/>
                              </w:rPr>
                            </w:pPr>
                            <w:r>
                              <w:rPr>
                                <w:rFonts w:hint="eastAsia" w:ascii="宋体" w:hAnsi="宋体"/>
                                <w:szCs w:val="28"/>
                              </w:rPr>
                              <w:t>　　　　　　　　　　单位：　　　　　　　　　　　（盖章）</w:t>
                            </w:r>
                          </w:p>
                          <w:p>
                            <w:pPr>
                              <w:pStyle w:val="82"/>
                              <w:ind w:firstLine="0" w:firstLineChars="0"/>
                              <w:rPr>
                                <w:rFonts w:ascii="宋体" w:hAnsi="宋体"/>
                                <w:szCs w:val="28"/>
                              </w:rPr>
                            </w:pPr>
                            <w:r>
                              <w:rPr>
                                <w:rFonts w:hint="eastAsia" w:ascii="宋体" w:hAnsi="宋体"/>
                                <w:szCs w:val="28"/>
                              </w:rPr>
                              <w:t>　　　　　　　　　　　　　　　　　　　　　    年　月　　日</w:t>
                            </w:r>
                          </w:p>
                          <w:p>
                            <w:pPr>
                              <w:pStyle w:val="82"/>
                              <w:ind w:firstLine="0" w:firstLineChars="0"/>
                              <w:rPr>
                                <w:rFonts w:ascii="宋体" w:hAnsi="宋体"/>
                                <w:szCs w:val="28"/>
                              </w:rPr>
                            </w:pPr>
                            <w:r>
                              <w:rPr>
                                <w:rFonts w:hint="eastAsia" w:ascii="宋体" w:hAnsi="宋体"/>
                                <w:b/>
                                <w:bCs/>
                                <w:color w:val="000000"/>
                              </w:rPr>
                              <w:t>附：法定代表人（负责人）身份证扫描件</w:t>
                            </w:r>
                          </w:p>
                          <w:p>
                            <w:pPr>
                              <w:pStyle w:val="82"/>
                              <w:ind w:firstLine="0" w:firstLineChars="0"/>
                              <w:rPr>
                                <w:rFonts w:ascii="宋体" w:hAnsi="宋体"/>
                                <w:szCs w:val="28"/>
                              </w:rPr>
                            </w:pPr>
                          </w:p>
                        </w:txbxContent>
                      </wps:txbx>
                      <wps:bodyPr wrap="square" upright="1"/>
                    </wps:wsp>
                  </a:graphicData>
                </a:graphic>
              </wp:anchor>
            </w:drawing>
          </mc:Choice>
          <mc:Fallback>
            <w:pict>
              <v:shape id="_x0000_s1026" o:spid="_x0000_s1026" o:spt="202" type="#_x0000_t202" style="position:absolute;left:0pt;margin-left:-3.5pt;margin-top:8.25pt;height:231.2pt;width:462.15pt;z-index:251659264;mso-width-relative:page;mso-height-relative:page;" fillcolor="#FFFFFF" filled="t" stroked="t" coordsize="21600,21600" o:gfxdata="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83uGDZAAAACQEAAA8AAAAAAAAAAQAgAAAAIgAAAGRy&#10;cy9kb3ducmV2LnhtbFBLAQIUABQAAAAIAIdO4kBycBZVBAIAAAcEAAAOAAAAAAAAAAEAIAAAACgB&#10;AABkcnMvZTJvRG9jLnhtbFBLBQYAAAAABgAGAFkBAACeBQAAAAA=&#10;">
                <v:fill on="t" focussize="0,0"/>
                <v:stroke color="#000000" joinstyle="miter"/>
                <v:imagedata o:title=""/>
                <o:lock v:ext="edit" aspectratio="f"/>
                <v:textbox>
                  <w:txbxContent>
                    <w:p>
                      <w:pPr>
                        <w:pStyle w:val="82"/>
                        <w:ind w:firstLine="0" w:firstLineChars="0"/>
                        <w:rPr>
                          <w:rFonts w:ascii="宋体" w:hAnsi="宋体"/>
                          <w:szCs w:val="28"/>
                        </w:rPr>
                      </w:pPr>
                    </w:p>
                    <w:p>
                      <w:pPr>
                        <w:pStyle w:val="82"/>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82"/>
                        <w:ind w:firstLine="0" w:firstLineChars="0"/>
                        <w:rPr>
                          <w:rFonts w:ascii="宋体" w:hAnsi="宋体"/>
                          <w:szCs w:val="28"/>
                        </w:rPr>
                      </w:pPr>
                      <w:r>
                        <w:rPr>
                          <w:rFonts w:hint="eastAsia" w:ascii="宋体" w:hAnsi="宋体"/>
                          <w:szCs w:val="28"/>
                        </w:rPr>
                        <w:t>特此证明。</w:t>
                      </w:r>
                    </w:p>
                    <w:p>
                      <w:pPr>
                        <w:pStyle w:val="82"/>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82"/>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82"/>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82"/>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82"/>
                        <w:ind w:firstLine="0" w:firstLineChars="0"/>
                        <w:rPr>
                          <w:rFonts w:ascii="宋体" w:hAnsi="宋体"/>
                          <w:szCs w:val="28"/>
                        </w:rPr>
                      </w:pPr>
                      <w:r>
                        <w:rPr>
                          <w:rFonts w:hint="eastAsia" w:ascii="宋体" w:hAnsi="宋体"/>
                          <w:szCs w:val="28"/>
                        </w:rPr>
                        <w:t>　　　　　　　　　　单位：　　　　　　　　　　　（盖章）</w:t>
                      </w:r>
                    </w:p>
                    <w:p>
                      <w:pPr>
                        <w:pStyle w:val="82"/>
                        <w:ind w:firstLine="0" w:firstLineChars="0"/>
                        <w:rPr>
                          <w:rFonts w:ascii="宋体" w:hAnsi="宋体"/>
                          <w:szCs w:val="28"/>
                        </w:rPr>
                      </w:pPr>
                      <w:r>
                        <w:rPr>
                          <w:rFonts w:hint="eastAsia" w:ascii="宋体" w:hAnsi="宋体"/>
                          <w:szCs w:val="28"/>
                        </w:rPr>
                        <w:t>　　　　　　　　　　　　　　　　　　　　　    年　月　　日</w:t>
                      </w:r>
                    </w:p>
                    <w:p>
                      <w:pPr>
                        <w:pStyle w:val="82"/>
                        <w:ind w:firstLine="0" w:firstLineChars="0"/>
                        <w:rPr>
                          <w:rFonts w:ascii="宋体" w:hAnsi="宋体"/>
                          <w:szCs w:val="28"/>
                        </w:rPr>
                      </w:pPr>
                      <w:r>
                        <w:rPr>
                          <w:rFonts w:hint="eastAsia" w:ascii="宋体" w:hAnsi="宋体"/>
                          <w:b/>
                          <w:bCs/>
                          <w:color w:val="000000"/>
                        </w:rPr>
                        <w:t>附：法定代表人（负责人）身份证扫描件</w:t>
                      </w:r>
                    </w:p>
                    <w:p>
                      <w:pPr>
                        <w:pStyle w:val="82"/>
                        <w:ind w:firstLine="0" w:firstLineChars="0"/>
                        <w:rPr>
                          <w:rFonts w:ascii="宋体" w:hAnsi="宋体"/>
                          <w:szCs w:val="28"/>
                        </w:rPr>
                      </w:pPr>
                    </w:p>
                  </w:txbxContent>
                </v:textbox>
              </v:shape>
            </w:pict>
          </mc:Fallback>
        </mc:AlternateContent>
      </w: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授权委</w:t>
      </w: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托证明书</w:t>
      </w: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）第　号</w:t>
      </w: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注：按提供的该表格格式填写，或使用从工商管理部门购买的表格填写。</w:t>
      </w: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（2）法定代表人授权委托书</w:t>
      </w: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                                                     </w:t>
      </w:r>
    </w:p>
    <w:p>
      <w:pPr>
        <w:topLinePunct/>
        <w:adjustRightInd w:val="0"/>
        <w:snapToGrid w:val="0"/>
        <w:spacing w:line="360" w:lineRule="auto"/>
        <w:ind w:firstLine="496" w:firstLineChars="200"/>
        <w:jc w:val="left"/>
        <w:rPr>
          <w:rFonts w:ascii="宋体" w:hAnsi="宋体"/>
          <w:color w:val="auto"/>
          <w:spacing w:val="4"/>
          <w:kern w:val="0"/>
          <w:sz w:val="24"/>
          <w:szCs w:val="24"/>
          <w:highlight w:val="none"/>
        </w:rPr>
      </w:pPr>
    </w:p>
    <w:p>
      <w:pPr>
        <w:topLinePunct/>
        <w:adjustRightInd w:val="0"/>
        <w:snapToGrid w:val="0"/>
        <w:spacing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（2）法定代表人授权委托书</w:t>
      </w: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ascii="宋体" w:hAnsi="宋体"/>
          <w:color w:val="auto"/>
          <w:spacing w:val="4"/>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15240</wp:posOffset>
                </wp:positionV>
                <wp:extent cx="5861050" cy="3369310"/>
                <wp:effectExtent l="5080" t="4445" r="20320" b="17145"/>
                <wp:wrapNone/>
                <wp:docPr id="20" name="文本框 20"/>
                <wp:cNvGraphicFramePr/>
                <a:graphic xmlns:a="http://schemas.openxmlformats.org/drawingml/2006/main">
                  <a:graphicData uri="http://schemas.microsoft.com/office/word/2010/wordprocessingShape">
                    <wps:wsp>
                      <wps:cNvSpPr txBox="1"/>
                      <wps:spPr>
                        <a:xfrm>
                          <a:off x="0" y="0"/>
                          <a:ext cx="6111240" cy="297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82"/>
                              <w:ind w:firstLine="0" w:firstLineChars="0"/>
                              <w:rPr>
                                <w:rFonts w:ascii="宋体" w:hAnsi="宋体" w:cs="宋体"/>
                              </w:rPr>
                            </w:pP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pPr>
                              <w:pStyle w:val="82"/>
                              <w:ind w:firstLine="0" w:firstLineChars="0"/>
                              <w:rPr>
                                <w:rFonts w:ascii="宋体" w:hAnsi="宋体" w:cs="宋体"/>
                                <w:u w:val="single"/>
                              </w:rPr>
                            </w:pPr>
                            <w:r>
                              <w:rPr>
                                <w:rFonts w:hint="eastAsia" w:ascii="宋体" w:hAnsi="宋体" w:cs="宋体"/>
                              </w:rPr>
                              <w:t xml:space="preserve"> </w:t>
                            </w:r>
                            <w:r>
                              <w:rPr>
                                <w:rFonts w:hint="eastAsia" w:ascii="宋体" w:hAnsi="宋体" w:cs="宋体"/>
                                <w:u w:val="single"/>
                              </w:rPr>
                              <w:t xml:space="preserve">                                                                </w:t>
                            </w:r>
                          </w:p>
                          <w:p>
                            <w:pPr>
                              <w:pStyle w:val="82"/>
                              <w:ind w:firstLine="0" w:firstLineChars="0"/>
                              <w:rPr>
                                <w:rFonts w:ascii="宋体" w:hAnsi="宋体" w:cs="宋体"/>
                              </w:rPr>
                            </w:pPr>
                            <w:r>
                              <w:rPr>
                                <w:rFonts w:hint="eastAsia" w:ascii="宋体" w:hAnsi="宋体" w:cs="宋体"/>
                              </w:rPr>
                              <w:t>有效期限：</w:t>
                            </w:r>
                            <w:r>
                              <w:rPr>
                                <w:rFonts w:hint="eastAsia" w:ascii="宋体" w:hAnsi="宋体" w:cs="宋体"/>
                                <w:u w:val="single"/>
                              </w:rPr>
                              <w:t xml:space="preserve">                                                        </w:t>
                            </w:r>
                          </w:p>
                          <w:p>
                            <w:pPr>
                              <w:pStyle w:val="82"/>
                              <w:ind w:firstLine="496"/>
                              <w:rPr>
                                <w:rFonts w:ascii="宋体" w:hAnsi="宋体" w:cs="宋体"/>
                              </w:rPr>
                            </w:pPr>
                          </w:p>
                          <w:p>
                            <w:pPr>
                              <w:pStyle w:val="82"/>
                              <w:ind w:firstLine="0" w:firstLineChars="0"/>
                              <w:rPr>
                                <w:rFonts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pPr>
                              <w:pStyle w:val="82"/>
                              <w:ind w:firstLine="0" w:firstLineChars="0"/>
                              <w:rPr>
                                <w:rFonts w:ascii="宋体" w:hAnsi="宋体" w:cs="宋体"/>
                              </w:rPr>
                            </w:pPr>
                            <w:r>
                              <w:rPr>
                                <w:rFonts w:hint="eastAsia" w:ascii="宋体" w:hAnsi="宋体" w:cs="宋体"/>
                              </w:rPr>
                              <w:t>注册号码：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pPr>
                              <w:pStyle w:val="82"/>
                              <w:ind w:firstLine="0" w:firstLineChars="0"/>
                              <w:rPr>
                                <w:rFonts w:ascii="宋体" w:hAnsi="宋体" w:cs="宋体"/>
                              </w:rPr>
                            </w:pPr>
                            <w:r>
                              <w:rPr>
                                <w:rFonts w:hint="eastAsia" w:ascii="宋体" w:hAnsi="宋体" w:cs="宋体"/>
                              </w:rPr>
                              <w:t>经营范围：</w:t>
                            </w:r>
                            <w:r>
                              <w:rPr>
                                <w:rFonts w:hint="eastAsia" w:ascii="宋体" w:hAnsi="宋体" w:cs="宋体"/>
                                <w:u w:val="single"/>
                              </w:rPr>
                              <w:t xml:space="preserve">                                                        </w:t>
                            </w:r>
                          </w:p>
                          <w:p>
                            <w:pPr>
                              <w:pStyle w:val="82"/>
                              <w:ind w:firstLine="0" w:firstLineChars="0"/>
                              <w:rPr>
                                <w:rFonts w:ascii="宋体" w:hAnsi="宋体" w:cs="宋体"/>
                              </w:rPr>
                            </w:pPr>
                            <w:r>
                              <w:rPr>
                                <w:rFonts w:hint="eastAsia" w:ascii="宋体" w:hAnsi="宋体" w:cs="宋体"/>
                              </w:rPr>
                              <w:t>法定代表人（负责人）：</w:t>
                            </w:r>
                            <w:r>
                              <w:rPr>
                                <w:rFonts w:hint="eastAsia" w:ascii="宋体" w:hAnsi="宋体" w:cs="宋体"/>
                                <w:u w:val="single"/>
                              </w:rPr>
                              <w:t xml:space="preserve">                 </w:t>
                            </w:r>
                            <w:r>
                              <w:rPr>
                                <w:rFonts w:hint="eastAsia" w:ascii="宋体" w:hAnsi="宋体" w:cs="宋体"/>
                              </w:rPr>
                              <w:t>（签名或盖章）</w:t>
                            </w:r>
                          </w:p>
                          <w:p>
                            <w:pPr>
                              <w:pStyle w:val="82"/>
                              <w:ind w:firstLine="0" w:firstLineChars="0"/>
                              <w:rPr>
                                <w:rFonts w:ascii="宋体" w:hAnsi="宋体" w:cs="宋体"/>
                              </w:rPr>
                            </w:pPr>
                            <w:r>
                              <w:rPr>
                                <w:rFonts w:hint="eastAsia" w:ascii="宋体" w:hAnsi="宋体" w:cs="宋体"/>
                              </w:rPr>
                              <w:t>授权单位：（盖章）</w:t>
                            </w:r>
                            <w:r>
                              <w:rPr>
                                <w:rFonts w:hint="eastAsia" w:ascii="宋体" w:hAnsi="宋体" w:cs="宋体"/>
                                <w:u w:val="single"/>
                              </w:rPr>
                              <w:t xml:space="preserve">                      </w:t>
                            </w:r>
                          </w:p>
                          <w:p>
                            <w:pPr>
                              <w:pStyle w:val="82"/>
                              <w:ind w:firstLine="496"/>
                              <w:jc w:val="right"/>
                              <w:rPr>
                                <w:rFonts w:ascii="宋体" w:hAnsi="宋体" w:cs="宋体"/>
                              </w:rPr>
                            </w:pPr>
                            <w:r>
                              <w:rPr>
                                <w:rFonts w:hint="eastAsia" w:ascii="宋体" w:hAnsi="宋体" w:cs="宋体"/>
                              </w:rPr>
                              <w:t>年  月   日</w:t>
                            </w:r>
                          </w:p>
                          <w:p>
                            <w:pPr>
                              <w:autoSpaceDE w:val="0"/>
                              <w:autoSpaceDN w:val="0"/>
                              <w:adjustRightInd w:val="0"/>
                              <w:rPr>
                                <w:rFonts w:ascii="宋体" w:hAnsi="宋体" w:cs="宋体"/>
                                <w:b/>
                                <w:bCs/>
                                <w:color w:val="000000"/>
                                <w:spacing w:val="4"/>
                                <w:kern w:val="0"/>
                                <w:sz w:val="24"/>
                                <w:szCs w:val="24"/>
                              </w:rPr>
                            </w:pPr>
                            <w:r>
                              <w:rPr>
                                <w:rFonts w:hint="eastAsia" w:ascii="宋体" w:hAnsi="宋体" w:cs="宋体"/>
                                <w:b/>
                                <w:bCs/>
                                <w:color w:val="000000"/>
                                <w:spacing w:val="4"/>
                                <w:kern w:val="0"/>
                                <w:sz w:val="24"/>
                                <w:szCs w:val="24"/>
                              </w:rPr>
                              <w:t>附：委托代理人身份证扫描件</w:t>
                            </w:r>
                          </w:p>
                          <w:p>
                            <w:pPr>
                              <w:pStyle w:val="82"/>
                              <w:ind w:firstLine="496"/>
                              <w:jc w:val="left"/>
                              <w:rPr>
                                <w:rFonts w:ascii="宋体" w:hAnsi="宋体" w:cs="宋体"/>
                              </w:rPr>
                            </w:pPr>
                          </w:p>
                        </w:txbxContent>
                      </wps:txbx>
                      <wps:bodyPr wrap="square" upright="1"/>
                    </wps:wsp>
                  </a:graphicData>
                </a:graphic>
              </wp:anchor>
            </w:drawing>
          </mc:Choice>
          <mc:Fallback>
            <w:pict>
              <v:shape id="_x0000_s1026" o:spid="_x0000_s1026" o:spt="202" type="#_x0000_t202" style="position:absolute;left:0pt;margin-left:0.45pt;margin-top:1.2pt;height:265.3pt;width:461.5pt;z-index:251660288;mso-width-relative:page;mso-height-relative:page;" fillcolor="#FFFFFF" filled="t" stroked="t" coordsize="21600,21600" o:gfxdata="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wQxHVAAAABgEAAA8AAAAAAAAAAQAgAAAAIgAAAGRycy9kb3du&#10;cmV2LnhtbFBLAQIUABQAAAAIAIdO4kAAuB7kAgIAAAcEAAAOAAAAAAAAAAEAIAAAACQBAABkcnMv&#10;ZTJvRG9jLnhtbFBLBQYAAAAABgAGAFkBAACYBQAAAAA=&#10;">
                <v:fill on="t" focussize="0,0"/>
                <v:stroke color="#000000" joinstyle="miter"/>
                <v:imagedata o:title=""/>
                <o:lock v:ext="edit" aspectratio="f"/>
                <v:textbox>
                  <w:txbxContent>
                    <w:p>
                      <w:pPr>
                        <w:pStyle w:val="82"/>
                        <w:ind w:firstLine="0" w:firstLineChars="0"/>
                        <w:rPr>
                          <w:rFonts w:ascii="宋体" w:hAnsi="宋体" w:cs="宋体"/>
                        </w:rPr>
                      </w:pP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pPr>
                        <w:pStyle w:val="82"/>
                        <w:ind w:firstLine="0" w:firstLineChars="0"/>
                        <w:rPr>
                          <w:rFonts w:ascii="宋体" w:hAnsi="宋体" w:cs="宋体"/>
                          <w:u w:val="single"/>
                        </w:rPr>
                      </w:pPr>
                      <w:r>
                        <w:rPr>
                          <w:rFonts w:hint="eastAsia" w:ascii="宋体" w:hAnsi="宋体" w:cs="宋体"/>
                        </w:rPr>
                        <w:t xml:space="preserve"> </w:t>
                      </w:r>
                      <w:r>
                        <w:rPr>
                          <w:rFonts w:hint="eastAsia" w:ascii="宋体" w:hAnsi="宋体" w:cs="宋体"/>
                          <w:u w:val="single"/>
                        </w:rPr>
                        <w:t xml:space="preserve">                                                                </w:t>
                      </w:r>
                    </w:p>
                    <w:p>
                      <w:pPr>
                        <w:pStyle w:val="82"/>
                        <w:ind w:firstLine="0" w:firstLineChars="0"/>
                        <w:rPr>
                          <w:rFonts w:ascii="宋体" w:hAnsi="宋体" w:cs="宋体"/>
                        </w:rPr>
                      </w:pPr>
                      <w:r>
                        <w:rPr>
                          <w:rFonts w:hint="eastAsia" w:ascii="宋体" w:hAnsi="宋体" w:cs="宋体"/>
                        </w:rPr>
                        <w:t>有效期限：</w:t>
                      </w:r>
                      <w:r>
                        <w:rPr>
                          <w:rFonts w:hint="eastAsia" w:ascii="宋体" w:hAnsi="宋体" w:cs="宋体"/>
                          <w:u w:val="single"/>
                        </w:rPr>
                        <w:t xml:space="preserve">                                                        </w:t>
                      </w:r>
                    </w:p>
                    <w:p>
                      <w:pPr>
                        <w:pStyle w:val="82"/>
                        <w:ind w:firstLine="496"/>
                        <w:rPr>
                          <w:rFonts w:ascii="宋体" w:hAnsi="宋体" w:cs="宋体"/>
                        </w:rPr>
                      </w:pPr>
                    </w:p>
                    <w:p>
                      <w:pPr>
                        <w:pStyle w:val="82"/>
                        <w:ind w:firstLine="0" w:firstLineChars="0"/>
                        <w:rPr>
                          <w:rFonts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pPr>
                        <w:pStyle w:val="82"/>
                        <w:ind w:firstLine="0" w:firstLineChars="0"/>
                        <w:rPr>
                          <w:rFonts w:ascii="宋体" w:hAnsi="宋体" w:cs="宋体"/>
                        </w:rPr>
                      </w:pPr>
                      <w:r>
                        <w:rPr>
                          <w:rFonts w:hint="eastAsia" w:ascii="宋体" w:hAnsi="宋体" w:cs="宋体"/>
                        </w:rPr>
                        <w:t>注册号码：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pPr>
                        <w:pStyle w:val="82"/>
                        <w:ind w:firstLine="0" w:firstLineChars="0"/>
                        <w:rPr>
                          <w:rFonts w:ascii="宋体" w:hAnsi="宋体" w:cs="宋体"/>
                        </w:rPr>
                      </w:pPr>
                      <w:r>
                        <w:rPr>
                          <w:rFonts w:hint="eastAsia" w:ascii="宋体" w:hAnsi="宋体" w:cs="宋体"/>
                        </w:rPr>
                        <w:t>经营范围：</w:t>
                      </w:r>
                      <w:r>
                        <w:rPr>
                          <w:rFonts w:hint="eastAsia" w:ascii="宋体" w:hAnsi="宋体" w:cs="宋体"/>
                          <w:u w:val="single"/>
                        </w:rPr>
                        <w:t xml:space="preserve">                                                        </w:t>
                      </w:r>
                    </w:p>
                    <w:p>
                      <w:pPr>
                        <w:pStyle w:val="82"/>
                        <w:ind w:firstLine="0" w:firstLineChars="0"/>
                        <w:rPr>
                          <w:rFonts w:ascii="宋体" w:hAnsi="宋体" w:cs="宋体"/>
                        </w:rPr>
                      </w:pPr>
                      <w:r>
                        <w:rPr>
                          <w:rFonts w:hint="eastAsia" w:ascii="宋体" w:hAnsi="宋体" w:cs="宋体"/>
                        </w:rPr>
                        <w:t>法定代表人（负责人）：</w:t>
                      </w:r>
                      <w:r>
                        <w:rPr>
                          <w:rFonts w:hint="eastAsia" w:ascii="宋体" w:hAnsi="宋体" w:cs="宋体"/>
                          <w:u w:val="single"/>
                        </w:rPr>
                        <w:t xml:space="preserve">                 </w:t>
                      </w:r>
                      <w:r>
                        <w:rPr>
                          <w:rFonts w:hint="eastAsia" w:ascii="宋体" w:hAnsi="宋体" w:cs="宋体"/>
                        </w:rPr>
                        <w:t>（签名或盖章）</w:t>
                      </w:r>
                    </w:p>
                    <w:p>
                      <w:pPr>
                        <w:pStyle w:val="82"/>
                        <w:ind w:firstLine="0" w:firstLineChars="0"/>
                        <w:rPr>
                          <w:rFonts w:ascii="宋体" w:hAnsi="宋体" w:cs="宋体"/>
                        </w:rPr>
                      </w:pPr>
                      <w:r>
                        <w:rPr>
                          <w:rFonts w:hint="eastAsia" w:ascii="宋体" w:hAnsi="宋体" w:cs="宋体"/>
                        </w:rPr>
                        <w:t>授权单位：（盖章）</w:t>
                      </w:r>
                      <w:r>
                        <w:rPr>
                          <w:rFonts w:hint="eastAsia" w:ascii="宋体" w:hAnsi="宋体" w:cs="宋体"/>
                          <w:u w:val="single"/>
                        </w:rPr>
                        <w:t xml:space="preserve">                      </w:t>
                      </w:r>
                    </w:p>
                    <w:p>
                      <w:pPr>
                        <w:pStyle w:val="82"/>
                        <w:ind w:firstLine="496"/>
                        <w:jc w:val="right"/>
                        <w:rPr>
                          <w:rFonts w:ascii="宋体" w:hAnsi="宋体" w:cs="宋体"/>
                        </w:rPr>
                      </w:pPr>
                      <w:r>
                        <w:rPr>
                          <w:rFonts w:hint="eastAsia" w:ascii="宋体" w:hAnsi="宋体" w:cs="宋体"/>
                        </w:rPr>
                        <w:t>年  月   日</w:t>
                      </w:r>
                    </w:p>
                    <w:p>
                      <w:pPr>
                        <w:autoSpaceDE w:val="0"/>
                        <w:autoSpaceDN w:val="0"/>
                        <w:adjustRightInd w:val="0"/>
                        <w:rPr>
                          <w:rFonts w:ascii="宋体" w:hAnsi="宋体" w:cs="宋体"/>
                          <w:b/>
                          <w:bCs/>
                          <w:color w:val="000000"/>
                          <w:spacing w:val="4"/>
                          <w:kern w:val="0"/>
                          <w:sz w:val="24"/>
                          <w:szCs w:val="24"/>
                        </w:rPr>
                      </w:pPr>
                      <w:r>
                        <w:rPr>
                          <w:rFonts w:hint="eastAsia" w:ascii="宋体" w:hAnsi="宋体" w:cs="宋体"/>
                          <w:b/>
                          <w:bCs/>
                          <w:color w:val="000000"/>
                          <w:spacing w:val="4"/>
                          <w:kern w:val="0"/>
                          <w:sz w:val="24"/>
                          <w:szCs w:val="24"/>
                        </w:rPr>
                        <w:t>附：委托代理人身份证扫描件</w:t>
                      </w:r>
                    </w:p>
                    <w:p>
                      <w:pPr>
                        <w:pStyle w:val="82"/>
                        <w:ind w:firstLine="496"/>
                        <w:jc w:val="left"/>
                        <w:rPr>
                          <w:rFonts w:ascii="宋体" w:hAnsi="宋体" w:cs="宋体"/>
                        </w:rPr>
                      </w:pPr>
                    </w:p>
                  </w:txbxContent>
                </v:textbox>
              </v:shape>
            </w:pict>
          </mc:Fallback>
        </mc:AlternateContent>
      </w: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jc w:val="right"/>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rPr>
          <w:rFonts w:ascii="宋体" w:hAnsi="宋体" w:cs="宋体"/>
          <w:color w:val="auto"/>
          <w:highlight w:val="none"/>
        </w:rPr>
      </w:pPr>
    </w:p>
    <w:p>
      <w:pPr>
        <w:pStyle w:val="2"/>
        <w:rPr>
          <w:rFonts w:ascii="宋体" w:hAnsi="宋体" w:cs="宋体"/>
          <w:color w:val="auto"/>
          <w:highlight w:val="none"/>
        </w:rPr>
      </w:pPr>
    </w:p>
    <w:p>
      <w:pPr>
        <w:autoSpaceDE w:val="0"/>
        <w:autoSpaceDN w:val="0"/>
        <w:adjustRightInd w:val="0"/>
        <w:rPr>
          <w:rFonts w:ascii="宋体" w:hAnsi="宋体" w:cs="宋体"/>
          <w:color w:val="auto"/>
          <w:szCs w:val="21"/>
          <w:highlight w:val="none"/>
        </w:rPr>
      </w:pPr>
      <w:r>
        <w:rPr>
          <w:rFonts w:hint="eastAsia" w:ascii="宋体" w:hAnsi="宋体" w:cs="宋体"/>
          <w:color w:val="auto"/>
          <w:highlight w:val="none"/>
        </w:rPr>
        <w:br w:type="page"/>
      </w:r>
    </w:p>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附件四</w:t>
      </w:r>
    </w:p>
    <w:p>
      <w:pPr>
        <w:tabs>
          <w:tab w:val="left" w:pos="720"/>
        </w:tabs>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投标文件编制人员名单</w:t>
      </w:r>
    </w:p>
    <w:p>
      <w:pPr>
        <w:tabs>
          <w:tab w:val="left" w:pos="720"/>
        </w:tabs>
        <w:snapToGrid w:val="0"/>
        <w:spacing w:line="360" w:lineRule="auto"/>
        <w:rPr>
          <w:rFonts w:ascii="宋体" w:hAnsi="宋体" w:cs="宋体"/>
          <w:color w:val="auto"/>
          <w:sz w:val="24"/>
          <w:szCs w:val="24"/>
          <w:highlight w:val="none"/>
        </w:rPr>
      </w:pPr>
    </w:p>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一、参与编制技术标投标文件人员名单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505"/>
        <w:gridCol w:w="2552"/>
        <w:gridCol w:w="244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bl>
    <w:p>
      <w:pPr>
        <w:tabs>
          <w:tab w:val="left" w:pos="720"/>
        </w:tabs>
        <w:snapToGrid w:val="0"/>
        <w:spacing w:line="360" w:lineRule="auto"/>
        <w:rPr>
          <w:rFonts w:ascii="宋体" w:hAnsi="宋体" w:cs="宋体"/>
          <w:color w:val="auto"/>
          <w:sz w:val="24"/>
          <w:szCs w:val="24"/>
          <w:highlight w:val="none"/>
        </w:rPr>
      </w:pPr>
    </w:p>
    <w:p>
      <w:pPr>
        <w:tabs>
          <w:tab w:val="left" w:pos="720"/>
        </w:tabs>
        <w:snapToGrid w:val="0"/>
        <w:spacing w:line="360" w:lineRule="auto"/>
        <w:rPr>
          <w:rFonts w:ascii="宋体" w:hAnsi="宋体" w:cs="宋体"/>
          <w:color w:val="auto"/>
          <w:sz w:val="24"/>
          <w:szCs w:val="24"/>
          <w:highlight w:val="none"/>
        </w:rPr>
      </w:pPr>
    </w:p>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二、参与编制经济标投标文件人员名单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505"/>
        <w:gridCol w:w="2550"/>
        <w:gridCol w:w="244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Cs w:val="21"/>
                <w:highlight w:val="none"/>
              </w:rPr>
            </w:pPr>
          </w:p>
        </w:tc>
      </w:tr>
    </w:tbl>
    <w:p>
      <w:pPr>
        <w:pStyle w:val="36"/>
        <w:spacing w:after="0" w:line="360" w:lineRule="auto"/>
        <w:ind w:left="-2" w:leftChars="-1" w:firstLine="350" w:firstLineChars="175"/>
        <w:jc w:val="left"/>
        <w:rPr>
          <w:rFonts w:ascii="宋体" w:hAnsi="宋体" w:cs="宋体"/>
          <w:color w:val="auto"/>
          <w:szCs w:val="21"/>
          <w:highlight w:val="none"/>
        </w:rPr>
      </w:pPr>
      <w:r>
        <w:rPr>
          <w:rFonts w:hint="eastAsia" w:ascii="宋体" w:hAnsi="宋体" w:cs="宋体"/>
          <w:color w:val="auto"/>
          <w:szCs w:val="21"/>
          <w:highlight w:val="none"/>
        </w:rPr>
        <w:t>注：参与编制投标文件所有人员名单应包括如编制技术投标方案、编制各种专业工程量清单投标报价、负责清样校对、负责打印及复印等所有人员在内的人员名单。</w:t>
      </w:r>
    </w:p>
    <w:p>
      <w:pPr>
        <w:pStyle w:val="36"/>
        <w:spacing w:after="0" w:line="360" w:lineRule="auto"/>
        <w:ind w:left="-2" w:leftChars="-1" w:firstLineChars="175"/>
        <w:jc w:val="center"/>
        <w:rPr>
          <w:rFonts w:ascii="宋体" w:hAnsi="宋体" w:cs="宋体"/>
          <w:color w:val="auto"/>
          <w:sz w:val="24"/>
          <w:szCs w:val="24"/>
          <w:highlight w:val="none"/>
        </w:rPr>
      </w:pPr>
    </w:p>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br w:type="page"/>
      </w:r>
    </w:p>
    <w:p>
      <w:pPr>
        <w:autoSpaceDE w:val="0"/>
        <w:autoSpaceDN w:val="0"/>
        <w:adjustRightInd w:val="0"/>
        <w:jc w:val="left"/>
        <w:rPr>
          <w:rFonts w:ascii="宋体" w:hAnsi="宋体" w:cs="宋体"/>
          <w:b/>
          <w:bCs/>
          <w:color w:val="auto"/>
          <w:sz w:val="22"/>
          <w:highlight w:val="none"/>
        </w:rPr>
      </w:pPr>
      <w:r>
        <w:rPr>
          <w:rFonts w:hint="eastAsia" w:ascii="宋体" w:hAnsi="宋体" w:cs="宋体"/>
          <w:color w:val="auto"/>
          <w:szCs w:val="21"/>
          <w:highlight w:val="none"/>
        </w:rPr>
        <w:t>附件五</w:t>
      </w:r>
    </w:p>
    <w:p>
      <w:pPr>
        <w:pStyle w:val="146"/>
        <w:spacing w:line="360" w:lineRule="auto"/>
        <w:ind w:left="340" w:leftChars="101" w:hanging="128" w:hangingChars="53"/>
        <w:jc w:val="center"/>
        <w:rPr>
          <w:rFonts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标函承诺书</w:t>
      </w:r>
    </w:p>
    <w:p>
      <w:pPr>
        <w:pStyle w:val="146"/>
        <w:spacing w:after="0" w:line="360" w:lineRule="auto"/>
        <w:ind w:left="0" w:leftChars="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致：（招标人名称）</w:t>
      </w:r>
    </w:p>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如果在本招标工程中我司中标，我司将积极响应贵单位提出的合同条件及招标文件的要求，并作出如下承诺：</w:t>
      </w:r>
    </w:p>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1、若我公司中标，我公司承诺按时缴纳履约保证金。</w:t>
      </w:r>
    </w:p>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2、在本工程施工期间，拟投入的人力不少于下表中的人数</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7"/>
        <w:gridCol w:w="4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vAlign w:val="center"/>
          </w:tcPr>
          <w:p>
            <w:pPr>
              <w:pStyle w:val="132"/>
              <w:spacing w:line="240" w:lineRule="auto"/>
              <w:ind w:left="357" w:leftChars="170" w:firstLine="420" w:firstLineChars="200"/>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工种</w:t>
            </w:r>
          </w:p>
        </w:tc>
        <w:tc>
          <w:tcPr>
            <w:tcW w:w="2648"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r>
              <w:rPr>
                <w:rFonts w:hint="eastAsia" w:ascii="宋体" w:hAnsi="宋体" w:cs="宋体"/>
                <w:color w:val="auto"/>
                <w:szCs w:val="21"/>
                <w:highlight w:val="none"/>
                <w:u w:val="single"/>
              </w:rPr>
              <w:t>施工低峰期数量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vAlign w:val="center"/>
          </w:tcPr>
          <w:p>
            <w:pPr>
              <w:ind w:left="357" w:leftChars="170" w:firstLine="420" w:firstLineChars="200"/>
              <w:jc w:val="center"/>
              <w:rPr>
                <w:rFonts w:ascii="宋体" w:hAnsi="宋体" w:cs="宋体"/>
                <w:color w:val="auto"/>
                <w:kern w:val="0"/>
                <w:szCs w:val="21"/>
                <w:highlight w:val="none"/>
                <w:u w:val="single"/>
              </w:rPr>
            </w:pPr>
          </w:p>
        </w:tc>
      </w:tr>
    </w:tbl>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3、在工程施工期间，拟投入的主要机械设备不少于下表中数量：</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7"/>
        <w:gridCol w:w="4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主要机械名称</w:t>
            </w:r>
          </w:p>
        </w:tc>
        <w:tc>
          <w:tcPr>
            <w:tcW w:w="2642"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正常施工情况下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bl>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4、所选用的主要材料品牌符合招标文件的要求。</w:t>
      </w:r>
    </w:p>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5、拟投入到本工程的主要技术人员、经济和管理人员如表：详见《施工项目管理团队人员信息表》</w:t>
      </w:r>
    </w:p>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办事处的处罚措施。</w:t>
      </w:r>
    </w:p>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7、本工程施工过程中，我司将严格按照国家、省、市有关施工及验收规范、标准进行施工，确保本工程质量达到     等级。</w:t>
      </w:r>
    </w:p>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8、在确保工程质量的前提下，我司严格控制工程工期，确保工程在    天内完成。</w:t>
      </w:r>
    </w:p>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严格按照国家、省、市有关安全生产、文明施工要求，积极制定安全生产、文明施工措施，并严格执行，确保施工中符合安全生产、文明施工要求。在施工过程中,若发生重大伤亡事故，我方自愿接受贵办事处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10、按照发包人、监理工程师的要求及时为各专业工程（电信、电力管线、电力走廊、煤气、道路绿化、路灯、交通设施等）提供工作面，并为专业工程穿插施工所需各项配合工作给予方便。</w:t>
      </w:r>
    </w:p>
    <w:p>
      <w:pPr>
        <w:tabs>
          <w:tab w:val="left" w:pos="645"/>
          <w:tab w:val="left" w:pos="93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将按照招标过程中确定的范围，除了下表所列专业工程外，其余全部工程由我司自行施工。对工程分包（如有），我司承诺按照招标文件的要求和有关规定履行总包单位的职责，在中标后提供分包单位的资质证明材料（如有必须分包的专业工程，请填入下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必须分包的专业工程内容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left="420" w:leftChars="200" w:firstLine="420" w:firstLineChars="200"/>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ind w:left="420" w:leftChars="200" w:firstLine="420" w:firstLineChars="200"/>
              <w:rPr>
                <w:rFonts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left="420" w:leftChars="200" w:firstLine="420" w:firstLineChars="200"/>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ind w:left="420" w:leftChars="200" w:firstLine="420" w:firstLineChars="200"/>
              <w:rPr>
                <w:rFonts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left="420" w:leftChars="200" w:firstLine="420" w:firstLineChars="200"/>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ind w:left="420" w:leftChars="200" w:firstLine="420" w:firstLineChars="200"/>
              <w:rPr>
                <w:rFonts w:ascii="宋体" w:hAnsi="宋体" w:cs="宋体"/>
                <w:color w:val="auto"/>
                <w:szCs w:val="21"/>
                <w:highlight w:val="none"/>
                <w:u w:val="single"/>
              </w:rPr>
            </w:pPr>
          </w:p>
        </w:tc>
      </w:tr>
    </w:tbl>
    <w:p>
      <w:pPr>
        <w:tabs>
          <w:tab w:val="left" w:pos="645"/>
          <w:tab w:val="left" w:pos="930"/>
        </w:tabs>
        <w:spacing w:line="360" w:lineRule="auto"/>
        <w:ind w:firstLine="420" w:firstLineChars="200"/>
        <w:rPr>
          <w:rFonts w:ascii="宋体" w:hAnsi="宋体" w:cs="宋体"/>
          <w:bCs/>
          <w:color w:val="auto"/>
          <w:szCs w:val="21"/>
          <w:highlight w:val="none"/>
          <w:u w:val="single"/>
        </w:rPr>
      </w:pPr>
      <w:r>
        <w:rPr>
          <w:rFonts w:hint="eastAsia" w:ascii="宋体" w:hAnsi="宋体"/>
          <w:color w:val="auto"/>
          <w:szCs w:val="21"/>
          <w:highlight w:val="none"/>
          <w:u w:val="single"/>
        </w:rPr>
        <w:t>12、我司保证在中标后，严格按照 《广州市住房和城乡建设委员会关于印发&lt;广州市建筑施工实名制管理办法&gt;的通知》（穗建规字[2020]18号）、《关于印发广州市建设领域工人工资支付分账管理实施细则的通知》（穗建规字[2020]37号）等最新规定及广州市黄埔区、开发区对应出台的相关文件规定办理建筑工地实名制管理和工人工资支付分账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pPr>
        <w:tabs>
          <w:tab w:val="left" w:pos="315"/>
        </w:tabs>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13、我司保证在中标后，根据工程特点，编制本工程详细的施工组织设计和施工方案，并报监理和发包人审核批准，并严格按审批的意见和要求组织施工。</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14、我司承诺积极响应并接受招标文件中合同专用专款关于合同价款的调整办法。</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[2008]1008号）、广州市住房和城乡建设委员会关于《广州市建设工程绿色施工围蔽指导图集(V2.0试行版 )》(穂建质〔 2020〕1号)、《黄埔区住房和城乡建设局 广州开发区建设和交通局关于进一步规范全区建设工程施工围蔽标准的通知》（穗埔建〔2020〕183号）、《关于进一步落实我区市政建设项目施工围蔽提升工作的通知》（穗埔建[2019]123号）、穗开建知发[2018]14号、广州开发区建设和交通局《关于在全区建设项目推广使用封闭式外脚手架金属防护网的通知》（房建工程及桥梁工程要求使用）及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pPr>
        <w:pStyle w:val="146"/>
        <w:spacing w:line="360" w:lineRule="auto"/>
        <w:ind w:firstLine="4410" w:firstLineChars="21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投标单位：（盖章）</w:t>
      </w:r>
    </w:p>
    <w:p>
      <w:pPr>
        <w:pStyle w:val="146"/>
        <w:spacing w:line="360" w:lineRule="auto"/>
        <w:ind w:firstLine="4410" w:firstLineChars="21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法人代表：（签字或盖章）</w:t>
      </w:r>
    </w:p>
    <w:p>
      <w:pPr>
        <w:pStyle w:val="146"/>
        <w:spacing w:line="360" w:lineRule="auto"/>
        <w:ind w:right="560" w:firstLine="4410" w:firstLineChars="21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年  月  日</w:t>
      </w:r>
    </w:p>
    <w:p>
      <w:pPr>
        <w:tabs>
          <w:tab w:val="left" w:pos="720"/>
        </w:tabs>
        <w:snapToGrid w:val="0"/>
        <w:spacing w:line="360" w:lineRule="auto"/>
        <w:ind w:firstLine="247" w:firstLineChars="118"/>
        <w:rPr>
          <w:rFonts w:ascii="宋体" w:hAnsi="宋体" w:cs="宋体"/>
          <w:color w:val="auto"/>
          <w:szCs w:val="21"/>
          <w:highlight w:val="none"/>
          <w:u w:val="single"/>
        </w:rPr>
      </w:pPr>
      <w:r>
        <w:rPr>
          <w:rFonts w:hint="eastAsia" w:ascii="宋体" w:hAnsi="宋体" w:cs="宋体"/>
          <w:color w:val="auto"/>
          <w:szCs w:val="21"/>
          <w:highlight w:val="none"/>
          <w:u w:val="single"/>
        </w:rPr>
        <w:t>注：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pPr>
        <w:autoSpaceDE w:val="0"/>
        <w:autoSpaceDN w:val="0"/>
        <w:adjustRightInd w:val="0"/>
        <w:rPr>
          <w:rFonts w:ascii="宋体" w:hAnsi="宋体" w:cs="宋体"/>
          <w:color w:val="auto"/>
          <w:szCs w:val="21"/>
          <w:highlight w:val="none"/>
        </w:rPr>
      </w:pPr>
    </w:p>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br w:type="page"/>
      </w:r>
    </w:p>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附件六</w:t>
      </w:r>
    </w:p>
    <w:p>
      <w:pPr>
        <w:pStyle w:val="36"/>
        <w:spacing w:after="0" w:line="360" w:lineRule="auto"/>
        <w:ind w:firstLine="0"/>
        <w:jc w:val="center"/>
        <w:rPr>
          <w:rFonts w:ascii="宋体" w:hAnsi="宋体" w:cs="宋体"/>
          <w:color w:val="auto"/>
          <w:sz w:val="32"/>
          <w:szCs w:val="32"/>
          <w:highlight w:val="none"/>
        </w:rPr>
      </w:pPr>
      <w:r>
        <w:rPr>
          <w:rFonts w:hint="eastAsia" w:ascii="宋体" w:hAnsi="宋体" w:cs="宋体"/>
          <w:b/>
          <w:color w:val="auto"/>
          <w:sz w:val="32"/>
          <w:szCs w:val="32"/>
          <w:highlight w:val="none"/>
        </w:rPr>
        <w:t>对投标文件编制的承诺</w:t>
      </w:r>
    </w:p>
    <w:p>
      <w:pPr>
        <w:pStyle w:val="146"/>
        <w:spacing w:line="360" w:lineRule="auto"/>
        <w:ind w:left="0" w:leftChars="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致：（招标人名称）</w:t>
      </w:r>
    </w:p>
    <w:p>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本公司授权</w:t>
      </w:r>
      <w:r>
        <w:rPr>
          <w:rFonts w:hint="eastAsia" w:ascii="宋体" w:hAnsi="宋体" w:cs="宋体"/>
          <w:color w:val="auto"/>
          <w:sz w:val="24"/>
          <w:szCs w:val="24"/>
          <w:highlight w:val="none"/>
          <w:u w:val="single"/>
        </w:rPr>
        <w:t xml:space="preserve">         （身份证号：               ）</w:t>
      </w:r>
      <w:r>
        <w:rPr>
          <w:rFonts w:hint="eastAsia" w:ascii="宋体" w:hAnsi="宋体" w:cs="宋体"/>
          <w:color w:val="auto"/>
          <w:sz w:val="24"/>
          <w:szCs w:val="24"/>
          <w:highlight w:val="none"/>
        </w:rPr>
        <w:t>负责对投标文件的编制及内容进行解释、说明，并承诺以下事项：</w:t>
      </w:r>
    </w:p>
    <w:p>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1.被授权人清楚投标文件编制的具体情况，包括技术方案文件、工程量清单、以及投标文件的加密打包的理解；</w:t>
      </w:r>
    </w:p>
    <w:p>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2.在本项目开标至评标结束前，努力确保被授权人在项目评标所在地附近；</w:t>
      </w:r>
    </w:p>
    <w:p>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3.从评标委员会要求澄清起二小时内，被授权人应如实地书面澄清。</w:t>
      </w:r>
    </w:p>
    <w:p>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 xml:space="preserve">如由于未遵守上述承诺内容之一导致无法进行澄清的，我公司认可和接受评标委员会作出的评审结论。                                 </w:t>
      </w:r>
    </w:p>
    <w:p>
      <w:pPr>
        <w:pStyle w:val="36"/>
        <w:spacing w:after="0" w:line="360" w:lineRule="auto"/>
        <w:ind w:firstLine="360" w:firstLineChars="150"/>
        <w:rPr>
          <w:rFonts w:ascii="宋体" w:hAnsi="宋体" w:cs="宋体"/>
          <w:color w:val="auto"/>
          <w:sz w:val="24"/>
          <w:szCs w:val="24"/>
          <w:highlight w:val="none"/>
        </w:rPr>
      </w:pPr>
    </w:p>
    <w:p>
      <w:pPr>
        <w:pStyle w:val="36"/>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附件：《投标文件编制情况》</w:t>
      </w:r>
    </w:p>
    <w:p>
      <w:pPr>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投标人名称（盖章）：</w:t>
      </w:r>
    </w:p>
    <w:p>
      <w:pPr>
        <w:spacing w:line="360" w:lineRule="auto"/>
        <w:ind w:firstLine="2160" w:firstLineChars="9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法定代表人或被授权人（签字或盖章）：</w:t>
      </w:r>
    </w:p>
    <w:p>
      <w:pPr>
        <w:spacing w:line="360" w:lineRule="auto"/>
        <w:ind w:firstLine="4440" w:firstLineChars="185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 </w:t>
      </w:r>
    </w:p>
    <w:p>
      <w:pPr>
        <w:pStyle w:val="36"/>
        <w:spacing w:after="0" w:line="360" w:lineRule="auto"/>
        <w:ind w:firstLine="0"/>
        <w:rPr>
          <w:rFonts w:ascii="宋体" w:hAnsi="宋体" w:cs="宋体"/>
          <w:b/>
          <w:color w:val="auto"/>
          <w:sz w:val="32"/>
          <w:szCs w:val="32"/>
          <w:highlight w:val="none"/>
        </w:rPr>
      </w:pPr>
    </w:p>
    <w:p>
      <w:pPr>
        <w:widowControl/>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pStyle w:val="36"/>
        <w:spacing w:after="0" w:line="360" w:lineRule="auto"/>
        <w:ind w:firstLine="643" w:firstLineChars="200"/>
        <w:jc w:val="center"/>
        <w:rPr>
          <w:rFonts w:ascii="宋体" w:hAnsi="宋体" w:cs="宋体"/>
          <w:color w:val="auto"/>
          <w:sz w:val="18"/>
          <w:szCs w:val="18"/>
          <w:highlight w:val="none"/>
        </w:rPr>
      </w:pPr>
      <w:r>
        <w:rPr>
          <w:rFonts w:hint="eastAsia" w:ascii="宋体" w:hAnsi="宋体" w:cs="宋体"/>
          <w:b/>
          <w:color w:val="auto"/>
          <w:sz w:val="32"/>
          <w:szCs w:val="32"/>
          <w:highlight w:val="none"/>
        </w:rPr>
        <w:t>投标文件编制情况</w:t>
      </w:r>
    </w:p>
    <w:p>
      <w:pPr>
        <w:pStyle w:val="146"/>
        <w:spacing w:line="360" w:lineRule="auto"/>
        <w:ind w:left="0" w:leftChars="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致：（招标人名称）</w:t>
      </w:r>
    </w:p>
    <w:p>
      <w:pPr>
        <w:pStyle w:val="36"/>
        <w:spacing w:after="0"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1.投标文件报价编制方式: □自行编制的，编制的负责人：</w:t>
      </w:r>
      <w:r>
        <w:rPr>
          <w:rFonts w:hint="eastAsia" w:ascii="宋体" w:hAnsi="宋体" w:cs="宋体"/>
          <w:color w:val="auto"/>
          <w:sz w:val="24"/>
          <w:szCs w:val="24"/>
          <w:highlight w:val="none"/>
          <w:u w:val="single"/>
        </w:rPr>
        <w:t xml:space="preserve"> （盖造价工程师执业专用章或全国建设工程造价员章，执业单位应与投标人一致） </w:t>
      </w:r>
      <w:r>
        <w:rPr>
          <w:rFonts w:hint="eastAsia" w:ascii="宋体" w:hAnsi="宋体" w:cs="宋体"/>
          <w:color w:val="auto"/>
          <w:sz w:val="24"/>
          <w:szCs w:val="24"/>
          <w:highlight w:val="none"/>
        </w:rPr>
        <w:t>。□委托编制的，受委托单位，编制的负责人：</w:t>
      </w:r>
      <w:r>
        <w:rPr>
          <w:rFonts w:hint="eastAsia" w:ascii="宋体" w:hAnsi="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cs="宋体"/>
          <w:color w:val="auto"/>
          <w:sz w:val="24"/>
          <w:szCs w:val="24"/>
          <w:highlight w:val="none"/>
        </w:rPr>
        <w:t>。</w:t>
      </w:r>
    </w:p>
    <w:p>
      <w:pPr>
        <w:pStyle w:val="36"/>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2.投标文件加密打包的电脑情况</w:t>
      </w:r>
    </w:p>
    <w:tbl>
      <w:tblPr>
        <w:tblStyle w:val="38"/>
        <w:tblW w:w="8522" w:type="dxa"/>
        <w:tblInd w:w="0" w:type="dxa"/>
        <w:tblLayout w:type="fixed"/>
        <w:tblCellMar>
          <w:top w:w="0" w:type="dxa"/>
          <w:left w:w="108" w:type="dxa"/>
          <w:bottom w:w="0" w:type="dxa"/>
          <w:right w:w="108" w:type="dxa"/>
        </w:tblCellMar>
      </w:tblPr>
      <w:tblGrid>
        <w:gridCol w:w="8522"/>
      </w:tblGrid>
      <w:tr>
        <w:trPr>
          <w:trHeight w:val="2819" w:hRule="atLeast"/>
        </w:trPr>
        <w:tc>
          <w:tcPr>
            <w:tcW w:w="8522" w:type="dxa"/>
          </w:tcPr>
          <w:p>
            <w:pPr>
              <w:pStyle w:val="36"/>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投标文件加密打包的电脑     自有    □      外包    □     其他    </w:t>
            </w:r>
            <w:r>
              <w:rPr>
                <w:rFonts w:hint="eastAsia" w:ascii="宋体" w:hAnsi="宋体" w:cs="宋体"/>
                <w:color w:val="auto"/>
                <w:sz w:val="24"/>
                <w:szCs w:val="24"/>
                <w:highlight w:val="none"/>
              </w:rPr>
              <w:sym w:font="Wingdings 2" w:char="00A3"/>
            </w:r>
          </w:p>
          <w:p>
            <w:pPr>
              <w:pStyle w:val="36"/>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电脑类型</w:t>
            </w:r>
          </w:p>
          <w:p>
            <w:pPr>
              <w:pStyle w:val="36"/>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电脑所属单位</w:t>
            </w:r>
          </w:p>
          <w:p>
            <w:pPr>
              <w:pStyle w:val="36"/>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电脑所在地址        （如××市××区(县) ××街（路）××号××大厦××房）</w:t>
            </w:r>
          </w:p>
        </w:tc>
      </w:tr>
    </w:tbl>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附件七：</w:t>
      </w:r>
    </w:p>
    <w:p>
      <w:pPr>
        <w:tabs>
          <w:tab w:val="left" w:pos="720"/>
        </w:tabs>
        <w:snapToGrid w:val="0"/>
        <w:spacing w:line="360" w:lineRule="auto"/>
        <w:rPr>
          <w:rFonts w:ascii="宋体" w:hAnsi="宋体" w:cs="宋体"/>
          <w:color w:val="auto"/>
          <w:sz w:val="24"/>
          <w:szCs w:val="24"/>
          <w:highlight w:val="none"/>
        </w:rPr>
      </w:pPr>
    </w:p>
    <w:p>
      <w:pPr>
        <w:tabs>
          <w:tab w:val="left" w:pos="720"/>
        </w:tabs>
        <w:snapToGri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类似业绩一览表</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3587"/>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15" w:type="pct"/>
            <w:vAlign w:val="center"/>
          </w:tcPr>
          <w:p>
            <w:pPr>
              <w:tabs>
                <w:tab w:val="left" w:pos="720"/>
              </w:tabs>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31" w:type="pct"/>
            <w:vAlign w:val="center"/>
          </w:tcPr>
          <w:p>
            <w:pPr>
              <w:tabs>
                <w:tab w:val="left" w:pos="720"/>
              </w:tabs>
              <w:snapToGrid w:val="0"/>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1952" w:type="pct"/>
            <w:vAlign w:val="center"/>
          </w:tcPr>
          <w:p>
            <w:pPr>
              <w:tabs>
                <w:tab w:val="left" w:pos="720"/>
              </w:tabs>
              <w:snapToGrid w:val="0"/>
              <w:jc w:val="center"/>
              <w:rPr>
                <w:rFonts w:ascii="宋体" w:hAnsi="宋体" w:cs="宋体"/>
                <w:color w:val="auto"/>
                <w:sz w:val="24"/>
                <w:highlight w:val="none"/>
              </w:rPr>
            </w:pPr>
            <w:r>
              <w:rPr>
                <w:rFonts w:hint="eastAsia" w:ascii="宋体" w:hAnsi="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pPr>
              <w:tabs>
                <w:tab w:val="left" w:pos="720"/>
              </w:tabs>
              <w:snapToGrid w:val="0"/>
              <w:rPr>
                <w:rFonts w:ascii="宋体" w:hAnsi="宋体" w:cs="宋体"/>
                <w:color w:val="auto"/>
                <w:sz w:val="24"/>
                <w:highlight w:val="none"/>
              </w:rPr>
            </w:pPr>
          </w:p>
        </w:tc>
        <w:tc>
          <w:tcPr>
            <w:tcW w:w="1931" w:type="pct"/>
          </w:tcPr>
          <w:p>
            <w:pPr>
              <w:tabs>
                <w:tab w:val="left" w:pos="720"/>
              </w:tabs>
              <w:snapToGrid w:val="0"/>
              <w:rPr>
                <w:rFonts w:ascii="宋体" w:hAnsi="宋体" w:cs="宋体"/>
                <w:color w:val="auto"/>
                <w:sz w:val="24"/>
                <w:highlight w:val="none"/>
              </w:rPr>
            </w:pPr>
          </w:p>
        </w:tc>
        <w:tc>
          <w:tcPr>
            <w:tcW w:w="1952" w:type="pct"/>
          </w:tcPr>
          <w:p>
            <w:pPr>
              <w:tabs>
                <w:tab w:val="left" w:pos="720"/>
              </w:tabs>
              <w:snapToGrid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pPr>
              <w:tabs>
                <w:tab w:val="left" w:pos="720"/>
              </w:tabs>
              <w:snapToGrid w:val="0"/>
              <w:rPr>
                <w:rFonts w:ascii="宋体" w:hAnsi="宋体" w:cs="宋体"/>
                <w:color w:val="auto"/>
                <w:sz w:val="24"/>
                <w:highlight w:val="none"/>
              </w:rPr>
            </w:pPr>
          </w:p>
        </w:tc>
        <w:tc>
          <w:tcPr>
            <w:tcW w:w="1931" w:type="pct"/>
          </w:tcPr>
          <w:p>
            <w:pPr>
              <w:tabs>
                <w:tab w:val="left" w:pos="720"/>
              </w:tabs>
              <w:snapToGrid w:val="0"/>
              <w:rPr>
                <w:rFonts w:ascii="宋体" w:hAnsi="宋体" w:cs="宋体"/>
                <w:color w:val="auto"/>
                <w:sz w:val="24"/>
                <w:highlight w:val="none"/>
              </w:rPr>
            </w:pPr>
          </w:p>
        </w:tc>
        <w:tc>
          <w:tcPr>
            <w:tcW w:w="1952" w:type="pct"/>
          </w:tcPr>
          <w:p>
            <w:pPr>
              <w:tabs>
                <w:tab w:val="left" w:pos="720"/>
              </w:tabs>
              <w:snapToGrid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115" w:type="pct"/>
          </w:tcPr>
          <w:p>
            <w:pPr>
              <w:tabs>
                <w:tab w:val="left" w:pos="720"/>
              </w:tabs>
              <w:snapToGrid w:val="0"/>
              <w:rPr>
                <w:rFonts w:ascii="宋体" w:hAnsi="宋体" w:cs="宋体"/>
                <w:color w:val="auto"/>
                <w:sz w:val="24"/>
                <w:highlight w:val="none"/>
              </w:rPr>
            </w:pPr>
          </w:p>
        </w:tc>
        <w:tc>
          <w:tcPr>
            <w:tcW w:w="1931" w:type="pct"/>
          </w:tcPr>
          <w:p>
            <w:pPr>
              <w:tabs>
                <w:tab w:val="left" w:pos="720"/>
              </w:tabs>
              <w:snapToGrid w:val="0"/>
              <w:rPr>
                <w:rFonts w:ascii="宋体" w:hAnsi="宋体" w:cs="宋体"/>
                <w:color w:val="auto"/>
                <w:sz w:val="24"/>
                <w:highlight w:val="none"/>
              </w:rPr>
            </w:pPr>
          </w:p>
        </w:tc>
        <w:tc>
          <w:tcPr>
            <w:tcW w:w="1952" w:type="pct"/>
          </w:tcPr>
          <w:p>
            <w:pPr>
              <w:tabs>
                <w:tab w:val="left" w:pos="720"/>
              </w:tabs>
              <w:snapToGrid w:val="0"/>
              <w:rPr>
                <w:rFonts w:ascii="宋体" w:hAnsi="宋体" w:cs="宋体"/>
                <w:color w:val="auto"/>
                <w:sz w:val="24"/>
                <w:highlight w:val="none"/>
              </w:rPr>
            </w:pPr>
          </w:p>
        </w:tc>
      </w:tr>
    </w:tbl>
    <w:p>
      <w:pPr>
        <w:tabs>
          <w:tab w:val="left" w:pos="720"/>
        </w:tabs>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注：按技术标详细审查的评审要求提供，如类似业绩的，在项目栏中填写“无”。</w:t>
      </w:r>
    </w:p>
    <w:p>
      <w:pPr>
        <w:tabs>
          <w:tab w:val="left" w:pos="72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投标人名称：（盖章）</w:t>
      </w:r>
    </w:p>
    <w:p>
      <w:pPr>
        <w:tabs>
          <w:tab w:val="left" w:pos="72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投标人授权代表：（签字或盖章）</w:t>
      </w:r>
    </w:p>
    <w:p>
      <w:pPr>
        <w:rPr>
          <w:rFonts w:ascii="宋体" w:hAnsi="宋体" w:cs="宋体"/>
          <w:color w:val="auto"/>
          <w:szCs w:val="21"/>
          <w:highlight w:val="none"/>
        </w:rPr>
      </w:pPr>
    </w:p>
    <w:p>
      <w:pPr>
        <w:tabs>
          <w:tab w:val="left" w:pos="720"/>
        </w:tabs>
        <w:snapToGrid w:val="0"/>
        <w:spacing w:line="360" w:lineRule="auto"/>
        <w:jc w:val="center"/>
        <w:rPr>
          <w:rFonts w:ascii="宋体" w:hAnsi="宋体" w:cs="宋体"/>
          <w:b/>
          <w:bCs/>
          <w:color w:val="auto"/>
          <w:sz w:val="24"/>
          <w:szCs w:val="24"/>
          <w:highlight w:val="none"/>
        </w:rPr>
      </w:pPr>
    </w:p>
    <w:p>
      <w:pPr>
        <w:tabs>
          <w:tab w:val="left" w:pos="720"/>
        </w:tabs>
        <w:snapToGri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工程奖项一览表</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3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599"/>
        <w:gridCol w:w="2603"/>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7" w:type="pct"/>
            <w:vAlign w:val="center"/>
          </w:tcPr>
          <w:p>
            <w:pPr>
              <w:tabs>
                <w:tab w:val="left" w:pos="720"/>
              </w:tabs>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99" w:type="pct"/>
            <w:vAlign w:val="center"/>
          </w:tcPr>
          <w:p>
            <w:pPr>
              <w:tabs>
                <w:tab w:val="left" w:pos="720"/>
              </w:tabs>
              <w:snapToGrid w:val="0"/>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401" w:type="pct"/>
            <w:vAlign w:val="center"/>
          </w:tcPr>
          <w:p>
            <w:pPr>
              <w:tabs>
                <w:tab w:val="left" w:pos="720"/>
              </w:tabs>
              <w:snapToGrid w:val="0"/>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1401" w:type="pct"/>
            <w:vAlign w:val="center"/>
          </w:tcPr>
          <w:p>
            <w:pPr>
              <w:tabs>
                <w:tab w:val="left" w:pos="720"/>
              </w:tabs>
              <w:snapToGrid w:val="0"/>
              <w:jc w:val="center"/>
              <w:rPr>
                <w:rFonts w:ascii="宋体" w:hAnsi="宋体" w:cs="宋体"/>
                <w:color w:val="auto"/>
                <w:sz w:val="24"/>
                <w:highlight w:val="none"/>
              </w:rPr>
            </w:pPr>
            <w:r>
              <w:rPr>
                <w:rFonts w:hint="eastAsia" w:ascii="宋体" w:hAnsi="宋体" w:cs="宋体"/>
                <w:color w:val="auto"/>
                <w:sz w:val="24"/>
                <w:highlight w:val="none"/>
              </w:rPr>
              <w:t>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797" w:type="pct"/>
          </w:tcPr>
          <w:p>
            <w:pPr>
              <w:tabs>
                <w:tab w:val="left" w:pos="720"/>
              </w:tabs>
              <w:snapToGrid w:val="0"/>
              <w:rPr>
                <w:rFonts w:ascii="宋体" w:hAnsi="宋体" w:cs="宋体"/>
                <w:color w:val="auto"/>
                <w:sz w:val="24"/>
                <w:highlight w:val="none"/>
              </w:rPr>
            </w:pPr>
          </w:p>
        </w:tc>
        <w:tc>
          <w:tcPr>
            <w:tcW w:w="1399" w:type="pct"/>
          </w:tcPr>
          <w:p>
            <w:pPr>
              <w:tabs>
                <w:tab w:val="left" w:pos="720"/>
              </w:tabs>
              <w:snapToGrid w:val="0"/>
              <w:rPr>
                <w:rFonts w:ascii="宋体" w:hAnsi="宋体" w:cs="宋体"/>
                <w:color w:val="auto"/>
                <w:sz w:val="24"/>
                <w:highlight w:val="none"/>
              </w:rPr>
            </w:pPr>
          </w:p>
        </w:tc>
        <w:tc>
          <w:tcPr>
            <w:tcW w:w="1401" w:type="pct"/>
          </w:tcPr>
          <w:p>
            <w:pPr>
              <w:tabs>
                <w:tab w:val="left" w:pos="720"/>
              </w:tabs>
              <w:snapToGrid w:val="0"/>
              <w:rPr>
                <w:rFonts w:ascii="宋体" w:hAnsi="宋体" w:cs="宋体"/>
                <w:color w:val="auto"/>
                <w:sz w:val="24"/>
                <w:highlight w:val="none"/>
              </w:rPr>
            </w:pPr>
          </w:p>
        </w:tc>
        <w:tc>
          <w:tcPr>
            <w:tcW w:w="1401" w:type="pct"/>
          </w:tcPr>
          <w:p>
            <w:pPr>
              <w:tabs>
                <w:tab w:val="left" w:pos="720"/>
              </w:tabs>
              <w:snapToGrid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797" w:type="pct"/>
          </w:tcPr>
          <w:p>
            <w:pPr>
              <w:tabs>
                <w:tab w:val="left" w:pos="720"/>
              </w:tabs>
              <w:snapToGrid w:val="0"/>
              <w:rPr>
                <w:rFonts w:ascii="宋体" w:hAnsi="宋体" w:cs="宋体"/>
                <w:color w:val="auto"/>
                <w:sz w:val="24"/>
                <w:highlight w:val="none"/>
              </w:rPr>
            </w:pPr>
          </w:p>
        </w:tc>
        <w:tc>
          <w:tcPr>
            <w:tcW w:w="1399" w:type="pct"/>
          </w:tcPr>
          <w:p>
            <w:pPr>
              <w:tabs>
                <w:tab w:val="left" w:pos="720"/>
              </w:tabs>
              <w:snapToGrid w:val="0"/>
              <w:rPr>
                <w:rFonts w:ascii="宋体" w:hAnsi="宋体" w:cs="宋体"/>
                <w:color w:val="auto"/>
                <w:sz w:val="24"/>
                <w:highlight w:val="none"/>
              </w:rPr>
            </w:pPr>
          </w:p>
        </w:tc>
        <w:tc>
          <w:tcPr>
            <w:tcW w:w="1401" w:type="pct"/>
          </w:tcPr>
          <w:p>
            <w:pPr>
              <w:tabs>
                <w:tab w:val="left" w:pos="720"/>
              </w:tabs>
              <w:snapToGrid w:val="0"/>
              <w:rPr>
                <w:rFonts w:ascii="宋体" w:hAnsi="宋体" w:cs="宋体"/>
                <w:color w:val="auto"/>
                <w:sz w:val="24"/>
                <w:highlight w:val="none"/>
              </w:rPr>
            </w:pPr>
          </w:p>
        </w:tc>
        <w:tc>
          <w:tcPr>
            <w:tcW w:w="1401" w:type="pct"/>
          </w:tcPr>
          <w:p>
            <w:pPr>
              <w:tabs>
                <w:tab w:val="left" w:pos="720"/>
              </w:tabs>
              <w:snapToGrid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797" w:type="pct"/>
          </w:tcPr>
          <w:p>
            <w:pPr>
              <w:tabs>
                <w:tab w:val="left" w:pos="720"/>
              </w:tabs>
              <w:snapToGrid w:val="0"/>
              <w:rPr>
                <w:rFonts w:ascii="宋体" w:hAnsi="宋体" w:cs="宋体"/>
                <w:color w:val="auto"/>
                <w:sz w:val="24"/>
                <w:highlight w:val="none"/>
              </w:rPr>
            </w:pPr>
          </w:p>
        </w:tc>
        <w:tc>
          <w:tcPr>
            <w:tcW w:w="1399" w:type="pct"/>
          </w:tcPr>
          <w:p>
            <w:pPr>
              <w:tabs>
                <w:tab w:val="left" w:pos="720"/>
              </w:tabs>
              <w:snapToGrid w:val="0"/>
              <w:rPr>
                <w:rFonts w:ascii="宋体" w:hAnsi="宋体" w:cs="宋体"/>
                <w:color w:val="auto"/>
                <w:sz w:val="24"/>
                <w:highlight w:val="none"/>
              </w:rPr>
            </w:pPr>
          </w:p>
        </w:tc>
        <w:tc>
          <w:tcPr>
            <w:tcW w:w="1401" w:type="pct"/>
          </w:tcPr>
          <w:p>
            <w:pPr>
              <w:tabs>
                <w:tab w:val="left" w:pos="720"/>
              </w:tabs>
              <w:snapToGrid w:val="0"/>
              <w:rPr>
                <w:rFonts w:ascii="宋体" w:hAnsi="宋体" w:cs="宋体"/>
                <w:color w:val="auto"/>
                <w:sz w:val="24"/>
                <w:highlight w:val="none"/>
              </w:rPr>
            </w:pPr>
          </w:p>
        </w:tc>
        <w:tc>
          <w:tcPr>
            <w:tcW w:w="1401" w:type="pct"/>
          </w:tcPr>
          <w:p>
            <w:pPr>
              <w:tabs>
                <w:tab w:val="left" w:pos="720"/>
              </w:tabs>
              <w:snapToGrid w:val="0"/>
              <w:rPr>
                <w:rFonts w:ascii="宋体" w:hAnsi="宋体" w:cs="宋体"/>
                <w:color w:val="auto"/>
                <w:sz w:val="24"/>
                <w:highlight w:val="none"/>
              </w:rPr>
            </w:pPr>
          </w:p>
        </w:tc>
      </w:tr>
    </w:tbl>
    <w:p>
      <w:pPr>
        <w:tabs>
          <w:tab w:val="left" w:pos="720"/>
        </w:tabs>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注：按技术标详细审查的评审要求提供证明材料，如无符合要求的工程奖项的，在项目栏中填写“无”。</w:t>
      </w:r>
    </w:p>
    <w:p>
      <w:pPr>
        <w:tabs>
          <w:tab w:val="left" w:pos="72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投标人名称：（盖章）</w:t>
      </w:r>
    </w:p>
    <w:p>
      <w:pPr>
        <w:tabs>
          <w:tab w:val="left" w:pos="72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投标人授权代表：（签字或盖章）</w:t>
      </w:r>
    </w:p>
    <w:p>
      <w:pPr>
        <w:tabs>
          <w:tab w:val="left" w:pos="720"/>
        </w:tabs>
        <w:snapToGrid w:val="0"/>
        <w:spacing w:line="360" w:lineRule="auto"/>
        <w:rPr>
          <w:rFonts w:ascii="宋体" w:hAnsi="宋体" w:cs="宋体"/>
          <w:color w:val="auto"/>
          <w:szCs w:val="21"/>
          <w:highlight w:val="none"/>
        </w:rPr>
      </w:pPr>
    </w:p>
    <w:p>
      <w:pPr>
        <w:pStyle w:val="125"/>
        <w:rPr>
          <w:rFonts w:ascii="宋体" w:hAnsi="宋体" w:eastAsia="宋体" w:cs="宋体"/>
          <w:color w:val="auto"/>
          <w:sz w:val="24"/>
          <w:szCs w:val="24"/>
          <w:highlight w:val="none"/>
        </w:rPr>
      </w:pPr>
      <w:r>
        <w:rPr>
          <w:rFonts w:hint="eastAsia" w:ascii="宋体" w:hAnsi="宋体" w:eastAsia="宋体" w:cs="宋体"/>
          <w:snapToGrid w:val="0"/>
          <w:color w:val="auto"/>
          <w:highlight w:val="none"/>
        </w:rPr>
        <w:br w:type="page"/>
      </w:r>
    </w:p>
    <w:p>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t>附件八：</w:t>
      </w:r>
    </w:p>
    <w:p>
      <w:pPr>
        <w:pStyle w:val="125"/>
        <w:rPr>
          <w:rFonts w:ascii="宋体" w:hAnsi="宋体" w:eastAsia="宋体" w:cs="宋体"/>
          <w:b w:val="0"/>
          <w:color w:val="auto"/>
          <w:highlight w:val="none"/>
        </w:rPr>
      </w:pPr>
      <w:r>
        <w:rPr>
          <w:rFonts w:hint="eastAsia" w:ascii="宋体" w:hAnsi="宋体" w:eastAsia="宋体" w:cs="宋体"/>
          <w:b w:val="0"/>
          <w:color w:val="auto"/>
          <w:highlight w:val="none"/>
        </w:rPr>
        <w:t>投入主要人员汇总表</w:t>
      </w:r>
    </w:p>
    <w:tbl>
      <w:tblPr>
        <w:tblStyle w:val="3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53"/>
        <w:gridCol w:w="960"/>
        <w:gridCol w:w="960"/>
        <w:gridCol w:w="960"/>
        <w:gridCol w:w="960"/>
        <w:gridCol w:w="960"/>
        <w:gridCol w:w="13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120"/>
              <w:jc w:val="center"/>
              <w:rPr>
                <w:rFonts w:cs="宋体"/>
                <w:b/>
                <w:color w:val="auto"/>
                <w:highlight w:val="none"/>
              </w:rPr>
            </w:pPr>
            <w:r>
              <w:rPr>
                <w:rFonts w:hint="eastAsia" w:cs="宋体"/>
                <w:b/>
                <w:color w:val="auto"/>
                <w:highlight w:val="none"/>
              </w:rPr>
              <w:t>序号</w:t>
            </w:r>
          </w:p>
        </w:tc>
        <w:tc>
          <w:tcPr>
            <w:tcW w:w="1353" w:type="dxa"/>
            <w:vAlign w:val="center"/>
          </w:tcPr>
          <w:p>
            <w:pPr>
              <w:pStyle w:val="120"/>
              <w:jc w:val="center"/>
              <w:rPr>
                <w:rFonts w:cs="宋体"/>
                <w:b/>
                <w:color w:val="auto"/>
                <w:highlight w:val="none"/>
              </w:rPr>
            </w:pPr>
            <w:r>
              <w:rPr>
                <w:rFonts w:hint="eastAsia" w:cs="宋体"/>
                <w:b/>
                <w:color w:val="auto"/>
                <w:spacing w:val="-6"/>
                <w:highlight w:val="none"/>
              </w:rPr>
              <w:t>在本项目担任的职务</w:t>
            </w:r>
          </w:p>
        </w:tc>
        <w:tc>
          <w:tcPr>
            <w:tcW w:w="960" w:type="dxa"/>
            <w:vAlign w:val="center"/>
          </w:tcPr>
          <w:p>
            <w:pPr>
              <w:pStyle w:val="120"/>
              <w:jc w:val="center"/>
              <w:rPr>
                <w:rFonts w:cs="宋体"/>
                <w:b/>
                <w:color w:val="auto"/>
                <w:highlight w:val="none"/>
              </w:rPr>
            </w:pPr>
            <w:r>
              <w:rPr>
                <w:rFonts w:hint="eastAsia" w:cs="宋体"/>
                <w:b/>
                <w:color w:val="auto"/>
                <w:highlight w:val="none"/>
              </w:rPr>
              <w:t>姓名</w:t>
            </w:r>
          </w:p>
        </w:tc>
        <w:tc>
          <w:tcPr>
            <w:tcW w:w="960" w:type="dxa"/>
            <w:vAlign w:val="center"/>
          </w:tcPr>
          <w:p>
            <w:pPr>
              <w:pStyle w:val="120"/>
              <w:jc w:val="center"/>
              <w:rPr>
                <w:rFonts w:cs="宋体"/>
                <w:b/>
                <w:color w:val="auto"/>
                <w:highlight w:val="none"/>
              </w:rPr>
            </w:pPr>
            <w:r>
              <w:rPr>
                <w:rFonts w:hint="eastAsia" w:cs="宋体"/>
                <w:b/>
                <w:color w:val="auto"/>
                <w:highlight w:val="none"/>
              </w:rPr>
              <w:t>年龄</w:t>
            </w:r>
          </w:p>
        </w:tc>
        <w:tc>
          <w:tcPr>
            <w:tcW w:w="960" w:type="dxa"/>
            <w:vAlign w:val="center"/>
          </w:tcPr>
          <w:p>
            <w:pPr>
              <w:pStyle w:val="120"/>
              <w:jc w:val="center"/>
              <w:rPr>
                <w:rFonts w:cs="宋体"/>
                <w:b/>
                <w:color w:val="auto"/>
                <w:highlight w:val="none"/>
              </w:rPr>
            </w:pPr>
            <w:r>
              <w:rPr>
                <w:rFonts w:hint="eastAsia" w:cs="宋体"/>
                <w:b/>
                <w:color w:val="auto"/>
                <w:highlight w:val="none"/>
              </w:rPr>
              <w:t>职称</w:t>
            </w:r>
          </w:p>
        </w:tc>
        <w:tc>
          <w:tcPr>
            <w:tcW w:w="960" w:type="dxa"/>
            <w:vAlign w:val="center"/>
          </w:tcPr>
          <w:p>
            <w:pPr>
              <w:pStyle w:val="120"/>
              <w:jc w:val="center"/>
              <w:rPr>
                <w:rFonts w:cs="宋体"/>
                <w:b/>
                <w:color w:val="auto"/>
                <w:highlight w:val="none"/>
              </w:rPr>
            </w:pPr>
            <w:r>
              <w:rPr>
                <w:rFonts w:hint="eastAsia" w:cs="宋体"/>
                <w:b/>
                <w:color w:val="auto"/>
                <w:highlight w:val="none"/>
              </w:rPr>
              <w:t>专业</w:t>
            </w:r>
          </w:p>
        </w:tc>
        <w:tc>
          <w:tcPr>
            <w:tcW w:w="960" w:type="dxa"/>
            <w:vAlign w:val="center"/>
          </w:tcPr>
          <w:p>
            <w:pPr>
              <w:pStyle w:val="120"/>
              <w:jc w:val="center"/>
              <w:rPr>
                <w:rFonts w:cs="宋体"/>
                <w:b/>
                <w:color w:val="auto"/>
                <w:highlight w:val="none"/>
              </w:rPr>
            </w:pPr>
            <w:r>
              <w:rPr>
                <w:rFonts w:hint="eastAsia" w:cs="宋体"/>
                <w:b/>
                <w:color w:val="auto"/>
                <w:highlight w:val="none"/>
              </w:rPr>
              <w:t>从事相关工作年限</w:t>
            </w:r>
          </w:p>
        </w:tc>
        <w:tc>
          <w:tcPr>
            <w:tcW w:w="1360" w:type="dxa"/>
            <w:vAlign w:val="center"/>
          </w:tcPr>
          <w:p>
            <w:pPr>
              <w:pStyle w:val="120"/>
              <w:jc w:val="center"/>
              <w:rPr>
                <w:rFonts w:cs="宋体"/>
                <w:b/>
                <w:color w:val="auto"/>
                <w:highlight w:val="none"/>
              </w:rPr>
            </w:pPr>
            <w:r>
              <w:rPr>
                <w:rFonts w:hint="eastAsia" w:cs="宋体"/>
                <w:b/>
                <w:color w:val="auto"/>
                <w:highlight w:val="none"/>
              </w:rPr>
              <w:t>工程师注册（或岗位）证号</w:t>
            </w:r>
          </w:p>
        </w:tc>
        <w:tc>
          <w:tcPr>
            <w:tcW w:w="1276" w:type="dxa"/>
            <w:vAlign w:val="center"/>
          </w:tcPr>
          <w:p>
            <w:pPr>
              <w:pStyle w:val="120"/>
              <w:jc w:val="center"/>
              <w:rPr>
                <w:rFonts w:cs="宋体"/>
                <w:b/>
                <w:color w:val="auto"/>
                <w:highlight w:val="none"/>
              </w:rPr>
            </w:pPr>
            <w:r>
              <w:rPr>
                <w:rFonts w:hint="eastAsia"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82"/>
              <w:ind w:firstLine="496"/>
              <w:rPr>
                <w:rFonts w:ascii="宋体" w:hAnsi="宋体" w:cs="宋体"/>
                <w:snapToGrid w:val="0"/>
                <w:color w:val="auto"/>
                <w:kern w:val="2"/>
                <w:highlight w:val="none"/>
              </w:rPr>
            </w:pPr>
          </w:p>
        </w:tc>
        <w:tc>
          <w:tcPr>
            <w:tcW w:w="1353"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tcPr>
          <w:p>
            <w:pPr>
              <w:pStyle w:val="82"/>
              <w:ind w:firstLine="496"/>
              <w:rPr>
                <w:rFonts w:ascii="宋体" w:hAnsi="宋体" w:cs="宋体"/>
                <w:snapToGrid w:val="0"/>
                <w:color w:val="auto"/>
                <w:kern w:val="2"/>
                <w:highlight w:val="none"/>
              </w:rPr>
            </w:pPr>
          </w:p>
        </w:tc>
        <w:tc>
          <w:tcPr>
            <w:tcW w:w="1360" w:type="dxa"/>
            <w:vAlign w:val="center"/>
          </w:tcPr>
          <w:p>
            <w:pPr>
              <w:pStyle w:val="82"/>
              <w:ind w:firstLine="496"/>
              <w:rPr>
                <w:rFonts w:ascii="宋体" w:hAnsi="宋体" w:cs="宋体"/>
                <w:snapToGrid w:val="0"/>
                <w:color w:val="auto"/>
                <w:kern w:val="2"/>
                <w:highlight w:val="none"/>
              </w:rPr>
            </w:pPr>
          </w:p>
        </w:tc>
        <w:tc>
          <w:tcPr>
            <w:tcW w:w="1276" w:type="dxa"/>
          </w:tcPr>
          <w:p>
            <w:pPr>
              <w:pStyle w:val="82"/>
              <w:ind w:firstLine="496"/>
              <w:rPr>
                <w:rFonts w:ascii="宋体" w:hAnsi="宋体" w:cs="宋体"/>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82"/>
              <w:ind w:firstLine="496"/>
              <w:rPr>
                <w:rFonts w:ascii="宋体" w:hAnsi="宋体" w:cs="宋体"/>
                <w:snapToGrid w:val="0"/>
                <w:color w:val="auto"/>
                <w:kern w:val="2"/>
                <w:highlight w:val="none"/>
              </w:rPr>
            </w:pPr>
          </w:p>
        </w:tc>
        <w:tc>
          <w:tcPr>
            <w:tcW w:w="1353"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tcPr>
          <w:p>
            <w:pPr>
              <w:pStyle w:val="82"/>
              <w:ind w:firstLine="496"/>
              <w:rPr>
                <w:rFonts w:ascii="宋体" w:hAnsi="宋体" w:cs="宋体"/>
                <w:snapToGrid w:val="0"/>
                <w:color w:val="auto"/>
                <w:kern w:val="2"/>
                <w:highlight w:val="none"/>
              </w:rPr>
            </w:pPr>
          </w:p>
        </w:tc>
        <w:tc>
          <w:tcPr>
            <w:tcW w:w="1360" w:type="dxa"/>
            <w:vAlign w:val="center"/>
          </w:tcPr>
          <w:p>
            <w:pPr>
              <w:pStyle w:val="82"/>
              <w:ind w:firstLine="496"/>
              <w:rPr>
                <w:rFonts w:ascii="宋体" w:hAnsi="宋体" w:cs="宋体"/>
                <w:snapToGrid w:val="0"/>
                <w:color w:val="auto"/>
                <w:kern w:val="2"/>
                <w:highlight w:val="none"/>
              </w:rPr>
            </w:pPr>
          </w:p>
        </w:tc>
        <w:tc>
          <w:tcPr>
            <w:tcW w:w="1276" w:type="dxa"/>
          </w:tcPr>
          <w:p>
            <w:pPr>
              <w:pStyle w:val="82"/>
              <w:ind w:firstLine="496"/>
              <w:rPr>
                <w:rFonts w:ascii="宋体" w:hAnsi="宋体" w:cs="宋体"/>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82"/>
              <w:ind w:firstLine="496"/>
              <w:rPr>
                <w:rFonts w:ascii="宋体" w:hAnsi="宋体" w:cs="宋体"/>
                <w:snapToGrid w:val="0"/>
                <w:color w:val="auto"/>
                <w:kern w:val="2"/>
                <w:highlight w:val="none"/>
              </w:rPr>
            </w:pPr>
          </w:p>
        </w:tc>
        <w:tc>
          <w:tcPr>
            <w:tcW w:w="1353"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tcPr>
          <w:p>
            <w:pPr>
              <w:pStyle w:val="82"/>
              <w:ind w:firstLine="496"/>
              <w:rPr>
                <w:rFonts w:ascii="宋体" w:hAnsi="宋体" w:cs="宋体"/>
                <w:snapToGrid w:val="0"/>
                <w:color w:val="auto"/>
                <w:kern w:val="2"/>
                <w:highlight w:val="none"/>
              </w:rPr>
            </w:pPr>
          </w:p>
        </w:tc>
        <w:tc>
          <w:tcPr>
            <w:tcW w:w="1360" w:type="dxa"/>
            <w:vAlign w:val="center"/>
          </w:tcPr>
          <w:p>
            <w:pPr>
              <w:pStyle w:val="82"/>
              <w:ind w:firstLine="496"/>
              <w:rPr>
                <w:rFonts w:ascii="宋体" w:hAnsi="宋体" w:cs="宋体"/>
                <w:snapToGrid w:val="0"/>
                <w:color w:val="auto"/>
                <w:kern w:val="2"/>
                <w:highlight w:val="none"/>
              </w:rPr>
            </w:pPr>
          </w:p>
        </w:tc>
        <w:tc>
          <w:tcPr>
            <w:tcW w:w="1276" w:type="dxa"/>
          </w:tcPr>
          <w:p>
            <w:pPr>
              <w:pStyle w:val="82"/>
              <w:ind w:firstLine="496"/>
              <w:rPr>
                <w:rFonts w:ascii="宋体" w:hAnsi="宋体" w:cs="宋体"/>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82"/>
              <w:ind w:firstLine="496"/>
              <w:rPr>
                <w:rFonts w:ascii="宋体" w:hAnsi="宋体" w:cs="宋体"/>
                <w:snapToGrid w:val="0"/>
                <w:color w:val="auto"/>
                <w:kern w:val="2"/>
                <w:highlight w:val="none"/>
              </w:rPr>
            </w:pPr>
          </w:p>
        </w:tc>
        <w:tc>
          <w:tcPr>
            <w:tcW w:w="1353"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tcPr>
          <w:p>
            <w:pPr>
              <w:pStyle w:val="82"/>
              <w:ind w:firstLine="496"/>
              <w:rPr>
                <w:rFonts w:ascii="宋体" w:hAnsi="宋体" w:cs="宋体"/>
                <w:snapToGrid w:val="0"/>
                <w:color w:val="auto"/>
                <w:kern w:val="2"/>
                <w:highlight w:val="none"/>
              </w:rPr>
            </w:pPr>
          </w:p>
        </w:tc>
        <w:tc>
          <w:tcPr>
            <w:tcW w:w="1360" w:type="dxa"/>
            <w:vAlign w:val="center"/>
          </w:tcPr>
          <w:p>
            <w:pPr>
              <w:pStyle w:val="82"/>
              <w:ind w:firstLine="496"/>
              <w:rPr>
                <w:rFonts w:ascii="宋体" w:hAnsi="宋体" w:cs="宋体"/>
                <w:snapToGrid w:val="0"/>
                <w:color w:val="auto"/>
                <w:kern w:val="2"/>
                <w:highlight w:val="none"/>
              </w:rPr>
            </w:pPr>
          </w:p>
        </w:tc>
        <w:tc>
          <w:tcPr>
            <w:tcW w:w="1276" w:type="dxa"/>
          </w:tcPr>
          <w:p>
            <w:pPr>
              <w:pStyle w:val="82"/>
              <w:ind w:firstLine="496"/>
              <w:rPr>
                <w:rFonts w:ascii="宋体" w:hAnsi="宋体" w:cs="宋体"/>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82"/>
              <w:ind w:firstLine="496"/>
              <w:rPr>
                <w:rFonts w:ascii="宋体" w:hAnsi="宋体" w:cs="宋体"/>
                <w:snapToGrid w:val="0"/>
                <w:color w:val="auto"/>
                <w:kern w:val="2"/>
                <w:highlight w:val="none"/>
              </w:rPr>
            </w:pPr>
          </w:p>
        </w:tc>
        <w:tc>
          <w:tcPr>
            <w:tcW w:w="1353"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tcPr>
          <w:p>
            <w:pPr>
              <w:pStyle w:val="82"/>
              <w:ind w:firstLine="496"/>
              <w:rPr>
                <w:rFonts w:ascii="宋体" w:hAnsi="宋体" w:cs="宋体"/>
                <w:snapToGrid w:val="0"/>
                <w:color w:val="auto"/>
                <w:kern w:val="2"/>
                <w:highlight w:val="none"/>
              </w:rPr>
            </w:pPr>
          </w:p>
        </w:tc>
        <w:tc>
          <w:tcPr>
            <w:tcW w:w="1360" w:type="dxa"/>
            <w:vAlign w:val="center"/>
          </w:tcPr>
          <w:p>
            <w:pPr>
              <w:pStyle w:val="82"/>
              <w:ind w:firstLine="496"/>
              <w:rPr>
                <w:rFonts w:ascii="宋体" w:hAnsi="宋体" w:cs="宋体"/>
                <w:snapToGrid w:val="0"/>
                <w:color w:val="auto"/>
                <w:kern w:val="2"/>
                <w:highlight w:val="none"/>
              </w:rPr>
            </w:pPr>
          </w:p>
        </w:tc>
        <w:tc>
          <w:tcPr>
            <w:tcW w:w="1276" w:type="dxa"/>
          </w:tcPr>
          <w:p>
            <w:pPr>
              <w:pStyle w:val="82"/>
              <w:ind w:firstLine="496"/>
              <w:rPr>
                <w:rFonts w:ascii="宋体" w:hAnsi="宋体" w:cs="宋体"/>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82"/>
              <w:ind w:firstLine="496"/>
              <w:rPr>
                <w:rFonts w:ascii="宋体" w:hAnsi="宋体" w:cs="宋体"/>
                <w:snapToGrid w:val="0"/>
                <w:color w:val="auto"/>
                <w:kern w:val="2"/>
                <w:highlight w:val="none"/>
              </w:rPr>
            </w:pPr>
          </w:p>
        </w:tc>
        <w:tc>
          <w:tcPr>
            <w:tcW w:w="1353"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tcPr>
          <w:p>
            <w:pPr>
              <w:pStyle w:val="82"/>
              <w:ind w:firstLine="496"/>
              <w:rPr>
                <w:rFonts w:ascii="宋体" w:hAnsi="宋体" w:cs="宋体"/>
                <w:snapToGrid w:val="0"/>
                <w:color w:val="auto"/>
                <w:kern w:val="2"/>
                <w:highlight w:val="none"/>
              </w:rPr>
            </w:pPr>
          </w:p>
        </w:tc>
        <w:tc>
          <w:tcPr>
            <w:tcW w:w="1360" w:type="dxa"/>
            <w:vAlign w:val="center"/>
          </w:tcPr>
          <w:p>
            <w:pPr>
              <w:pStyle w:val="82"/>
              <w:ind w:firstLine="496"/>
              <w:rPr>
                <w:rFonts w:ascii="宋体" w:hAnsi="宋体" w:cs="宋体"/>
                <w:snapToGrid w:val="0"/>
                <w:color w:val="auto"/>
                <w:kern w:val="2"/>
                <w:highlight w:val="none"/>
              </w:rPr>
            </w:pPr>
          </w:p>
        </w:tc>
        <w:tc>
          <w:tcPr>
            <w:tcW w:w="1276" w:type="dxa"/>
          </w:tcPr>
          <w:p>
            <w:pPr>
              <w:pStyle w:val="82"/>
              <w:ind w:firstLine="496"/>
              <w:rPr>
                <w:rFonts w:ascii="宋体" w:hAnsi="宋体" w:cs="宋体"/>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82"/>
              <w:ind w:firstLine="496"/>
              <w:rPr>
                <w:rFonts w:ascii="宋体" w:hAnsi="宋体" w:cs="宋体"/>
                <w:snapToGrid w:val="0"/>
                <w:color w:val="auto"/>
                <w:kern w:val="2"/>
                <w:highlight w:val="none"/>
              </w:rPr>
            </w:pPr>
          </w:p>
        </w:tc>
        <w:tc>
          <w:tcPr>
            <w:tcW w:w="1353"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tcPr>
          <w:p>
            <w:pPr>
              <w:pStyle w:val="82"/>
              <w:ind w:firstLine="496"/>
              <w:rPr>
                <w:rFonts w:ascii="宋体" w:hAnsi="宋体" w:cs="宋体"/>
                <w:snapToGrid w:val="0"/>
                <w:color w:val="auto"/>
                <w:kern w:val="2"/>
                <w:highlight w:val="none"/>
              </w:rPr>
            </w:pPr>
          </w:p>
        </w:tc>
        <w:tc>
          <w:tcPr>
            <w:tcW w:w="1360" w:type="dxa"/>
            <w:vAlign w:val="center"/>
          </w:tcPr>
          <w:p>
            <w:pPr>
              <w:pStyle w:val="82"/>
              <w:ind w:firstLine="496"/>
              <w:rPr>
                <w:rFonts w:ascii="宋体" w:hAnsi="宋体" w:cs="宋体"/>
                <w:snapToGrid w:val="0"/>
                <w:color w:val="auto"/>
                <w:kern w:val="2"/>
                <w:highlight w:val="none"/>
              </w:rPr>
            </w:pPr>
          </w:p>
        </w:tc>
        <w:tc>
          <w:tcPr>
            <w:tcW w:w="1276" w:type="dxa"/>
          </w:tcPr>
          <w:p>
            <w:pPr>
              <w:pStyle w:val="82"/>
              <w:ind w:firstLine="496"/>
              <w:rPr>
                <w:rFonts w:ascii="宋体" w:hAnsi="宋体" w:cs="宋体"/>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82"/>
              <w:ind w:firstLine="496"/>
              <w:rPr>
                <w:rFonts w:ascii="宋体" w:hAnsi="宋体" w:cs="宋体"/>
                <w:snapToGrid w:val="0"/>
                <w:color w:val="auto"/>
                <w:kern w:val="2"/>
                <w:highlight w:val="none"/>
              </w:rPr>
            </w:pPr>
          </w:p>
        </w:tc>
        <w:tc>
          <w:tcPr>
            <w:tcW w:w="1353"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tcPr>
          <w:p>
            <w:pPr>
              <w:pStyle w:val="82"/>
              <w:ind w:firstLine="496"/>
              <w:rPr>
                <w:rFonts w:ascii="宋体" w:hAnsi="宋体" w:cs="宋体"/>
                <w:snapToGrid w:val="0"/>
                <w:color w:val="auto"/>
                <w:kern w:val="2"/>
                <w:highlight w:val="none"/>
              </w:rPr>
            </w:pPr>
          </w:p>
        </w:tc>
        <w:tc>
          <w:tcPr>
            <w:tcW w:w="1360" w:type="dxa"/>
            <w:vAlign w:val="center"/>
          </w:tcPr>
          <w:p>
            <w:pPr>
              <w:pStyle w:val="82"/>
              <w:ind w:firstLine="496"/>
              <w:rPr>
                <w:rFonts w:ascii="宋体" w:hAnsi="宋体" w:cs="宋体"/>
                <w:snapToGrid w:val="0"/>
                <w:color w:val="auto"/>
                <w:kern w:val="2"/>
                <w:highlight w:val="none"/>
              </w:rPr>
            </w:pPr>
          </w:p>
        </w:tc>
        <w:tc>
          <w:tcPr>
            <w:tcW w:w="1276" w:type="dxa"/>
          </w:tcPr>
          <w:p>
            <w:pPr>
              <w:pStyle w:val="82"/>
              <w:ind w:firstLine="496"/>
              <w:rPr>
                <w:rFonts w:ascii="宋体" w:hAnsi="宋体" w:cs="宋体"/>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82"/>
              <w:ind w:firstLine="496"/>
              <w:rPr>
                <w:rFonts w:ascii="宋体" w:hAnsi="宋体" w:cs="宋体"/>
                <w:snapToGrid w:val="0"/>
                <w:color w:val="auto"/>
                <w:kern w:val="2"/>
                <w:highlight w:val="none"/>
              </w:rPr>
            </w:pPr>
          </w:p>
        </w:tc>
        <w:tc>
          <w:tcPr>
            <w:tcW w:w="1353"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tcPr>
          <w:p>
            <w:pPr>
              <w:pStyle w:val="82"/>
              <w:ind w:firstLine="496"/>
              <w:rPr>
                <w:rFonts w:ascii="宋体" w:hAnsi="宋体" w:cs="宋体"/>
                <w:snapToGrid w:val="0"/>
                <w:color w:val="auto"/>
                <w:kern w:val="2"/>
                <w:highlight w:val="none"/>
              </w:rPr>
            </w:pPr>
          </w:p>
        </w:tc>
        <w:tc>
          <w:tcPr>
            <w:tcW w:w="1360" w:type="dxa"/>
            <w:vAlign w:val="center"/>
          </w:tcPr>
          <w:p>
            <w:pPr>
              <w:pStyle w:val="82"/>
              <w:ind w:firstLine="496"/>
              <w:rPr>
                <w:rFonts w:ascii="宋体" w:hAnsi="宋体" w:cs="宋体"/>
                <w:snapToGrid w:val="0"/>
                <w:color w:val="auto"/>
                <w:kern w:val="2"/>
                <w:highlight w:val="none"/>
              </w:rPr>
            </w:pPr>
          </w:p>
        </w:tc>
        <w:tc>
          <w:tcPr>
            <w:tcW w:w="1276" w:type="dxa"/>
          </w:tcPr>
          <w:p>
            <w:pPr>
              <w:pStyle w:val="82"/>
              <w:ind w:firstLine="496"/>
              <w:rPr>
                <w:rFonts w:ascii="宋体" w:hAnsi="宋体" w:cs="宋体"/>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82"/>
              <w:ind w:firstLine="496"/>
              <w:rPr>
                <w:rFonts w:ascii="宋体" w:hAnsi="宋体" w:cs="宋体"/>
                <w:snapToGrid w:val="0"/>
                <w:color w:val="auto"/>
                <w:kern w:val="2"/>
                <w:highlight w:val="none"/>
              </w:rPr>
            </w:pPr>
          </w:p>
        </w:tc>
        <w:tc>
          <w:tcPr>
            <w:tcW w:w="1353"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tcPr>
          <w:p>
            <w:pPr>
              <w:pStyle w:val="82"/>
              <w:ind w:firstLine="496"/>
              <w:rPr>
                <w:rFonts w:ascii="宋体" w:hAnsi="宋体" w:cs="宋体"/>
                <w:snapToGrid w:val="0"/>
                <w:color w:val="auto"/>
                <w:kern w:val="2"/>
                <w:highlight w:val="none"/>
              </w:rPr>
            </w:pPr>
          </w:p>
        </w:tc>
        <w:tc>
          <w:tcPr>
            <w:tcW w:w="1360" w:type="dxa"/>
            <w:vAlign w:val="center"/>
          </w:tcPr>
          <w:p>
            <w:pPr>
              <w:pStyle w:val="82"/>
              <w:ind w:firstLine="496"/>
              <w:rPr>
                <w:rFonts w:ascii="宋体" w:hAnsi="宋体" w:cs="宋体"/>
                <w:snapToGrid w:val="0"/>
                <w:color w:val="auto"/>
                <w:kern w:val="2"/>
                <w:highlight w:val="none"/>
              </w:rPr>
            </w:pPr>
          </w:p>
        </w:tc>
        <w:tc>
          <w:tcPr>
            <w:tcW w:w="1276" w:type="dxa"/>
          </w:tcPr>
          <w:p>
            <w:pPr>
              <w:pStyle w:val="82"/>
              <w:ind w:firstLine="496"/>
              <w:rPr>
                <w:rFonts w:ascii="宋体" w:hAnsi="宋体" w:cs="宋体"/>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pPr>
              <w:pStyle w:val="82"/>
              <w:ind w:firstLine="496"/>
              <w:rPr>
                <w:rFonts w:ascii="宋体" w:hAnsi="宋体" w:cs="宋体"/>
                <w:snapToGrid w:val="0"/>
                <w:color w:val="auto"/>
                <w:kern w:val="2"/>
                <w:highlight w:val="none"/>
              </w:rPr>
            </w:pPr>
          </w:p>
        </w:tc>
        <w:tc>
          <w:tcPr>
            <w:tcW w:w="1353"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vAlign w:val="center"/>
          </w:tcPr>
          <w:p>
            <w:pPr>
              <w:pStyle w:val="82"/>
              <w:ind w:firstLine="496"/>
              <w:rPr>
                <w:rFonts w:ascii="宋体" w:hAnsi="宋体" w:cs="宋体"/>
                <w:snapToGrid w:val="0"/>
                <w:color w:val="auto"/>
                <w:kern w:val="2"/>
                <w:highlight w:val="none"/>
              </w:rPr>
            </w:pPr>
          </w:p>
        </w:tc>
        <w:tc>
          <w:tcPr>
            <w:tcW w:w="960" w:type="dxa"/>
          </w:tcPr>
          <w:p>
            <w:pPr>
              <w:pStyle w:val="82"/>
              <w:ind w:firstLine="496"/>
              <w:rPr>
                <w:rFonts w:ascii="宋体" w:hAnsi="宋体" w:cs="宋体"/>
                <w:snapToGrid w:val="0"/>
                <w:color w:val="auto"/>
                <w:kern w:val="2"/>
                <w:highlight w:val="none"/>
              </w:rPr>
            </w:pPr>
          </w:p>
        </w:tc>
        <w:tc>
          <w:tcPr>
            <w:tcW w:w="1360" w:type="dxa"/>
            <w:vAlign w:val="center"/>
          </w:tcPr>
          <w:p>
            <w:pPr>
              <w:pStyle w:val="82"/>
              <w:ind w:firstLine="496"/>
              <w:rPr>
                <w:rFonts w:ascii="宋体" w:hAnsi="宋体" w:cs="宋体"/>
                <w:snapToGrid w:val="0"/>
                <w:color w:val="auto"/>
                <w:kern w:val="2"/>
                <w:highlight w:val="none"/>
              </w:rPr>
            </w:pPr>
          </w:p>
        </w:tc>
        <w:tc>
          <w:tcPr>
            <w:tcW w:w="1276" w:type="dxa"/>
          </w:tcPr>
          <w:p>
            <w:pPr>
              <w:pStyle w:val="82"/>
              <w:ind w:firstLine="496"/>
              <w:rPr>
                <w:rFonts w:ascii="宋体" w:hAnsi="宋体" w:cs="宋体"/>
                <w:snapToGrid w:val="0"/>
                <w:color w:val="auto"/>
                <w:kern w:val="2"/>
                <w:highlight w:val="none"/>
              </w:rPr>
            </w:pPr>
          </w:p>
        </w:tc>
      </w:tr>
    </w:tbl>
    <w:p>
      <w:pPr>
        <w:pStyle w:val="82"/>
        <w:spacing w:line="400" w:lineRule="exact"/>
        <w:ind w:firstLine="496"/>
        <w:rPr>
          <w:rFonts w:ascii="宋体" w:hAnsi="宋体" w:cs="宋体"/>
          <w:color w:val="auto"/>
          <w:highlight w:val="none"/>
        </w:rPr>
      </w:pPr>
    </w:p>
    <w:p>
      <w:pPr>
        <w:pStyle w:val="82"/>
        <w:ind w:firstLine="0" w:firstLineChars="0"/>
        <w:jc w:val="center"/>
        <w:rPr>
          <w:rFonts w:ascii="宋体" w:hAnsi="宋体" w:cs="宋体"/>
          <w:color w:val="auto"/>
          <w:highlight w:val="none"/>
        </w:rPr>
      </w:pPr>
      <w:r>
        <w:rPr>
          <w:rFonts w:hint="eastAsia" w:ascii="宋体" w:hAnsi="宋体" w:cs="宋体"/>
          <w:color w:val="auto"/>
          <w:highlight w:val="none"/>
        </w:rPr>
        <w:t xml:space="preserve">             投标人：　　（盖章）</w:t>
      </w:r>
    </w:p>
    <w:p>
      <w:pPr>
        <w:pStyle w:val="82"/>
        <w:ind w:firstLine="3720" w:firstLineChars="1500"/>
        <w:rPr>
          <w:rFonts w:ascii="宋体" w:hAnsi="宋体" w:cs="宋体"/>
          <w:color w:val="auto"/>
          <w:highlight w:val="none"/>
        </w:rPr>
      </w:pPr>
      <w:r>
        <w:rPr>
          <w:rFonts w:hint="eastAsia" w:ascii="宋体" w:hAnsi="宋体" w:cs="宋体"/>
          <w:color w:val="auto"/>
          <w:highlight w:val="none"/>
        </w:rPr>
        <w:t>法定代表人或授权代理人(签字或盖章)：</w:t>
      </w:r>
    </w:p>
    <w:p>
      <w:pPr>
        <w:pStyle w:val="82"/>
        <w:ind w:firstLine="3720" w:firstLineChars="1500"/>
        <w:rPr>
          <w:rFonts w:ascii="宋体" w:hAnsi="宋体" w:cs="宋体"/>
          <w:color w:val="auto"/>
          <w:sz w:val="18"/>
          <w:szCs w:val="18"/>
          <w:highlight w:val="none"/>
        </w:rPr>
      </w:pPr>
      <w:r>
        <w:rPr>
          <w:rFonts w:hint="eastAsia" w:ascii="宋体" w:hAnsi="宋体" w:cs="宋体"/>
          <w:color w:val="auto"/>
          <w:highlight w:val="none"/>
        </w:rPr>
        <w:t>日   期：    年    月    日</w:t>
      </w:r>
    </w:p>
    <w:p>
      <w:pPr>
        <w:pStyle w:val="82"/>
        <w:ind w:firstLine="3596" w:firstLineChars="1450"/>
        <w:rPr>
          <w:rFonts w:ascii="宋体" w:hAnsi="宋体" w:cs="宋体"/>
          <w:color w:val="auto"/>
          <w:highlight w:val="none"/>
        </w:rPr>
      </w:pPr>
    </w:p>
    <w:p>
      <w:pPr>
        <w:pStyle w:val="122"/>
        <w:spacing w:beforeLines="0" w:after="120"/>
        <w:jc w:val="left"/>
        <w:rPr>
          <w:rFonts w:ascii="宋体" w:hAnsi="宋体" w:eastAsia="宋体" w:cs="宋体"/>
          <w:b w:val="0"/>
          <w:color w:val="auto"/>
          <w:spacing w:val="0"/>
          <w:kern w:val="2"/>
          <w:highlight w:val="none"/>
        </w:rPr>
      </w:pPr>
      <w:bookmarkStart w:id="47" w:name="_Toc395261105"/>
      <w:bookmarkStart w:id="48" w:name="_Toc352623427"/>
      <w:bookmarkStart w:id="49" w:name="_Toc11987"/>
      <w:bookmarkStart w:id="50" w:name="_Toc163337626"/>
      <w:bookmarkStart w:id="51" w:name="_Toc515454599"/>
      <w:bookmarkStart w:id="52" w:name="_Toc358370584"/>
      <w:bookmarkStart w:id="53" w:name="_Toc352240529"/>
      <w:bookmarkStart w:id="54" w:name="_Toc449308426"/>
      <w:bookmarkStart w:id="55" w:name="_Toc464131230"/>
      <w:bookmarkStart w:id="56" w:name="_Toc337720097"/>
      <w:bookmarkStart w:id="57" w:name="_Toc226209009"/>
      <w:bookmarkStart w:id="58" w:name="_Toc369536776"/>
      <w:bookmarkStart w:id="59" w:name="_Toc239216037"/>
      <w:bookmarkStart w:id="60" w:name="_Toc318924501"/>
      <w:bookmarkStart w:id="61" w:name="_Toc239311752"/>
      <w:bookmarkStart w:id="62" w:name="_Toc23443"/>
      <w:r>
        <w:rPr>
          <w:rFonts w:hint="eastAsia" w:ascii="宋体" w:hAnsi="宋体" w:eastAsia="宋体" w:cs="宋体"/>
          <w:b w:val="0"/>
          <w:color w:val="auto"/>
          <w:spacing w:val="0"/>
          <w:kern w:val="2"/>
          <w:sz w:val="24"/>
          <w:szCs w:val="24"/>
          <w:highlight w:val="none"/>
        </w:rPr>
        <w:br w:type="page"/>
      </w:r>
      <w:bookmarkStart w:id="63" w:name="_Toc22202"/>
      <w:bookmarkStart w:id="64" w:name="_Toc30646"/>
      <w:r>
        <w:rPr>
          <w:rFonts w:hint="eastAsia" w:ascii="宋体" w:hAnsi="宋体" w:eastAsia="宋体" w:cs="宋体"/>
          <w:b w:val="0"/>
          <w:color w:val="auto"/>
          <w:spacing w:val="0"/>
          <w:kern w:val="2"/>
          <w:sz w:val="24"/>
          <w:szCs w:val="24"/>
          <w:highlight w:val="none"/>
        </w:rPr>
        <w:t>附件九：</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施工项目管理团队人员信息表</w:t>
      </w:r>
    </w:p>
    <w:tbl>
      <w:tblPr>
        <w:tblStyle w:val="38"/>
        <w:tblW w:w="4998" w:type="pct"/>
        <w:jc w:val="center"/>
        <w:tblLayout w:type="autofit"/>
        <w:tblCellMar>
          <w:top w:w="0" w:type="dxa"/>
          <w:left w:w="108" w:type="dxa"/>
          <w:bottom w:w="0" w:type="dxa"/>
          <w:right w:w="108" w:type="dxa"/>
        </w:tblCellMar>
      </w:tblPr>
      <w:tblGrid>
        <w:gridCol w:w="661"/>
        <w:gridCol w:w="1161"/>
        <w:gridCol w:w="1946"/>
        <w:gridCol w:w="1173"/>
        <w:gridCol w:w="4343"/>
      </w:tblGrid>
      <w:tr>
        <w:tblPrEx>
          <w:tblCellMar>
            <w:top w:w="0" w:type="dxa"/>
            <w:left w:w="108" w:type="dxa"/>
            <w:bottom w:w="0" w:type="dxa"/>
            <w:right w:w="108" w:type="dxa"/>
          </w:tblCellMar>
        </w:tblPrEx>
        <w:trPr>
          <w:trHeight w:val="482"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25"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姓名</w:t>
            </w:r>
          </w:p>
        </w:tc>
        <w:tc>
          <w:tcPr>
            <w:tcW w:w="1048"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岗位</w:t>
            </w:r>
          </w:p>
        </w:tc>
        <w:tc>
          <w:tcPr>
            <w:tcW w:w="63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职称</w:t>
            </w:r>
          </w:p>
        </w:tc>
        <w:tc>
          <w:tcPr>
            <w:tcW w:w="2337"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职称证书或资格证书编号</w:t>
            </w:r>
          </w:p>
        </w:tc>
      </w:tr>
      <w:tr>
        <w:tblPrEx>
          <w:tblCellMar>
            <w:top w:w="0" w:type="dxa"/>
            <w:left w:w="108" w:type="dxa"/>
            <w:bottom w:w="0" w:type="dxa"/>
            <w:right w:w="108" w:type="dxa"/>
          </w:tblCellMar>
        </w:tblPrEx>
        <w:trPr>
          <w:trHeight w:val="454"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625"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color w:val="auto"/>
                <w:szCs w:val="21"/>
                <w:highlight w:val="none"/>
              </w:rPr>
              <w:t>技术负责人</w:t>
            </w:r>
          </w:p>
        </w:tc>
        <w:tc>
          <w:tcPr>
            <w:tcW w:w="63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2337"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625"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安全负责人</w:t>
            </w:r>
          </w:p>
        </w:tc>
        <w:tc>
          <w:tcPr>
            <w:tcW w:w="63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2337"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625"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质量负责人</w:t>
            </w:r>
          </w:p>
        </w:tc>
        <w:tc>
          <w:tcPr>
            <w:tcW w:w="63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2337"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625"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造价负责人</w:t>
            </w:r>
          </w:p>
        </w:tc>
        <w:tc>
          <w:tcPr>
            <w:tcW w:w="63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2337"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625"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装修工程师</w:t>
            </w:r>
          </w:p>
        </w:tc>
        <w:tc>
          <w:tcPr>
            <w:tcW w:w="63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2337"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625"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机电工程师</w:t>
            </w:r>
          </w:p>
        </w:tc>
        <w:tc>
          <w:tcPr>
            <w:tcW w:w="63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2337"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625"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消防工程师</w:t>
            </w:r>
          </w:p>
        </w:tc>
        <w:tc>
          <w:tcPr>
            <w:tcW w:w="63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2337"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625"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1048" w:type="pct"/>
            <w:tcBorders>
              <w:top w:val="single" w:color="auto" w:sz="4" w:space="0"/>
              <w:left w:val="nil"/>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给排水工程师</w:t>
            </w:r>
          </w:p>
        </w:tc>
        <w:tc>
          <w:tcPr>
            <w:tcW w:w="63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hAnsi="宋体" w:cs="宋体"/>
                <w:bCs/>
                <w:color w:val="auto"/>
                <w:szCs w:val="21"/>
                <w:highlight w:val="none"/>
              </w:rPr>
            </w:pPr>
          </w:p>
        </w:tc>
        <w:tc>
          <w:tcPr>
            <w:tcW w:w="2337"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hAnsi="宋体" w:cs="宋体"/>
                <w:bCs/>
                <w:color w:val="auto"/>
                <w:szCs w:val="21"/>
                <w:highlight w:val="none"/>
              </w:rPr>
            </w:pPr>
          </w:p>
        </w:tc>
      </w:tr>
      <w:tr>
        <w:tblPrEx>
          <w:tblCellMar>
            <w:top w:w="0" w:type="dxa"/>
            <w:left w:w="108" w:type="dxa"/>
            <w:bottom w:w="0" w:type="dxa"/>
            <w:right w:w="108" w:type="dxa"/>
          </w:tblCellMar>
        </w:tblPrEx>
        <w:trPr>
          <w:trHeight w:val="348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kern w:val="0"/>
                <w:szCs w:val="21"/>
                <w:highlight w:val="none"/>
              </w:rPr>
            </w:pPr>
            <w:r>
              <w:rPr>
                <w:rFonts w:hint="eastAsia" w:ascii="宋体" w:hAnsi="宋体" w:cs="宋体"/>
                <w:color w:val="auto"/>
                <w:kern w:val="0"/>
                <w:szCs w:val="21"/>
                <w:highlight w:val="none"/>
              </w:rPr>
              <w:t>备注：</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1、“岗位”要求（除项目负责人和专职安全员外）由招标人根据项目管理需要在本表备注中明确提出。以上项目管理团队人员信息将由交易系统提取后供各相关单位在履约时比对、查核。</w:t>
            </w:r>
          </w:p>
          <w:p>
            <w:pPr>
              <w:snapToGrid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snapToGrid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125"/>
        <w:rPr>
          <w:rFonts w:ascii="宋体" w:hAnsi="宋体" w:eastAsia="宋体" w:cs="宋体"/>
          <w:b w:val="0"/>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125"/>
        <w:rPr>
          <w:rFonts w:ascii="宋体" w:hAnsi="宋体" w:eastAsia="宋体" w:cs="宋体"/>
          <w:b w:val="0"/>
          <w:color w:val="auto"/>
          <w:highlight w:val="none"/>
        </w:rPr>
      </w:pPr>
      <w:r>
        <w:rPr>
          <w:rFonts w:hint="eastAsia" w:ascii="宋体" w:hAnsi="宋体" w:eastAsia="宋体" w:cs="宋体"/>
          <w:b w:val="0"/>
          <w:color w:val="auto"/>
          <w:highlight w:val="none"/>
        </w:rPr>
        <w:t>主要人员简历表</w:t>
      </w:r>
    </w:p>
    <w:tbl>
      <w:tblPr>
        <w:tblStyle w:val="38"/>
        <w:tblpPr w:leftFromText="180" w:rightFromText="180" w:vertAnchor="text" w:tblpX="-206" w:tblpY="7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20"/>
        <w:gridCol w:w="1508"/>
        <w:gridCol w:w="544"/>
        <w:gridCol w:w="964"/>
        <w:gridCol w:w="370"/>
        <w:gridCol w:w="1368"/>
        <w:gridCol w:w="288"/>
        <w:gridCol w:w="1151"/>
        <w:gridCol w:w="6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姓名</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82"/>
              <w:keepNext/>
              <w:keepLines/>
              <w:spacing w:before="120" w:after="120"/>
              <w:ind w:firstLine="0" w:firstLineChars="0"/>
              <w:jc w:val="center"/>
              <w:outlineLvl w:val="0"/>
              <w:rPr>
                <w:rFonts w:ascii="宋体" w:hAnsi="宋体" w:cs="宋体"/>
                <w:b/>
                <w:snapToGrid w:val="0"/>
                <w:color w:val="auto"/>
                <w:kern w:val="2"/>
                <w:highlight w:val="none"/>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性别</w:t>
            </w:r>
          </w:p>
        </w:tc>
        <w:tc>
          <w:tcPr>
            <w:tcW w:w="892" w:type="pct"/>
            <w:gridSpan w:val="2"/>
            <w:tcBorders>
              <w:top w:val="single" w:color="auto" w:sz="4" w:space="0"/>
              <w:left w:val="single" w:color="auto" w:sz="4" w:space="0"/>
              <w:bottom w:val="single" w:color="auto" w:sz="4" w:space="0"/>
              <w:right w:val="single" w:color="auto" w:sz="4" w:space="0"/>
            </w:tcBorders>
            <w:vAlign w:val="center"/>
          </w:tcPr>
          <w:p>
            <w:pPr>
              <w:pStyle w:val="82"/>
              <w:keepNext/>
              <w:keepLines/>
              <w:spacing w:before="120" w:after="120"/>
              <w:ind w:firstLine="0" w:firstLineChars="0"/>
              <w:jc w:val="center"/>
              <w:outlineLvl w:val="0"/>
              <w:rPr>
                <w:rFonts w:ascii="宋体" w:hAnsi="宋体" w:cs="宋体"/>
                <w:b/>
                <w:snapToGrid w:val="0"/>
                <w:color w:val="auto"/>
                <w:kern w:val="2"/>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年龄</w:t>
            </w:r>
          </w:p>
        </w:tc>
        <w:tc>
          <w:tcPr>
            <w:tcW w:w="850" w:type="pct"/>
            <w:gridSpan w:val="2"/>
            <w:tcBorders>
              <w:top w:val="single" w:color="auto" w:sz="4" w:space="0"/>
              <w:left w:val="single" w:color="auto" w:sz="4" w:space="0"/>
              <w:bottom w:val="single" w:color="auto" w:sz="4" w:space="0"/>
              <w:right w:val="single" w:color="auto" w:sz="4" w:space="0"/>
            </w:tcBorders>
            <w:vAlign w:val="center"/>
          </w:tcPr>
          <w:p>
            <w:pPr>
              <w:pStyle w:val="82"/>
              <w:keepNext/>
              <w:keepLines/>
              <w:spacing w:before="120" w:after="120"/>
              <w:ind w:firstLine="0" w:firstLineChars="0"/>
              <w:jc w:val="center"/>
              <w:outlineLvl w:val="0"/>
              <w:rPr>
                <w:rFonts w:ascii="宋体" w:hAnsi="宋体" w:cs="宋体"/>
                <w:b/>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bCs/>
                <w:color w:val="auto"/>
                <w:highlight w:val="none"/>
              </w:rPr>
              <w:t>身份证号码</w:t>
            </w:r>
          </w:p>
        </w:tc>
        <w:tc>
          <w:tcPr>
            <w:tcW w:w="4198" w:type="pct"/>
            <w:gridSpan w:val="10"/>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b/>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职务</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82"/>
              <w:keepNext/>
              <w:keepLines/>
              <w:spacing w:before="120" w:after="120"/>
              <w:ind w:firstLine="0" w:firstLineChars="0"/>
              <w:jc w:val="center"/>
              <w:outlineLvl w:val="0"/>
              <w:rPr>
                <w:rFonts w:ascii="宋体" w:hAnsi="宋体" w:cs="宋体"/>
                <w:b/>
                <w:snapToGrid w:val="0"/>
                <w:color w:val="auto"/>
                <w:kern w:val="2"/>
                <w:highlight w:val="none"/>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职称</w:t>
            </w:r>
          </w:p>
        </w:tc>
        <w:tc>
          <w:tcPr>
            <w:tcW w:w="892" w:type="pct"/>
            <w:gridSpan w:val="2"/>
            <w:tcBorders>
              <w:top w:val="single" w:color="auto" w:sz="4" w:space="0"/>
              <w:left w:val="single" w:color="auto" w:sz="4" w:space="0"/>
              <w:bottom w:val="single" w:color="auto" w:sz="4" w:space="0"/>
              <w:right w:val="single" w:color="auto" w:sz="4" w:space="0"/>
            </w:tcBorders>
            <w:vAlign w:val="center"/>
          </w:tcPr>
          <w:p>
            <w:pPr>
              <w:pStyle w:val="82"/>
              <w:keepNext/>
              <w:keepLines/>
              <w:spacing w:before="120" w:after="120"/>
              <w:ind w:firstLine="0" w:firstLineChars="0"/>
              <w:jc w:val="center"/>
              <w:outlineLvl w:val="0"/>
              <w:rPr>
                <w:rFonts w:ascii="宋体" w:hAnsi="宋体" w:cs="宋体"/>
                <w:b/>
                <w:snapToGrid w:val="0"/>
                <w:color w:val="auto"/>
                <w:kern w:val="2"/>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学历</w:t>
            </w:r>
          </w:p>
        </w:tc>
        <w:tc>
          <w:tcPr>
            <w:tcW w:w="850" w:type="pct"/>
            <w:gridSpan w:val="2"/>
            <w:tcBorders>
              <w:top w:val="single" w:color="auto" w:sz="4" w:space="0"/>
              <w:left w:val="single" w:color="auto" w:sz="4" w:space="0"/>
              <w:bottom w:val="single" w:color="auto" w:sz="4" w:space="0"/>
              <w:right w:val="single" w:color="auto" w:sz="4" w:space="0"/>
            </w:tcBorders>
            <w:vAlign w:val="center"/>
          </w:tcPr>
          <w:p>
            <w:pPr>
              <w:pStyle w:val="82"/>
              <w:keepNext/>
              <w:keepLines/>
              <w:spacing w:before="120" w:after="120"/>
              <w:ind w:firstLine="0" w:firstLineChars="0"/>
              <w:jc w:val="center"/>
              <w:outlineLvl w:val="0"/>
              <w:rPr>
                <w:rFonts w:ascii="宋体" w:hAnsi="宋体" w:cs="宋体"/>
                <w:b/>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参加工作</w:t>
            </w:r>
          </w:p>
          <w:p>
            <w:pPr>
              <w:pStyle w:val="120"/>
              <w:jc w:val="center"/>
              <w:rPr>
                <w:rFonts w:cs="宋体"/>
                <w:b/>
                <w:color w:val="auto"/>
                <w:sz w:val="24"/>
                <w:szCs w:val="24"/>
                <w:highlight w:val="none"/>
              </w:rPr>
            </w:pPr>
            <w:r>
              <w:rPr>
                <w:rFonts w:hint="eastAsia" w:cs="宋体"/>
                <w:b/>
                <w:color w:val="auto"/>
                <w:sz w:val="24"/>
                <w:szCs w:val="24"/>
                <w:highlight w:val="none"/>
              </w:rPr>
              <w:t>时间</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82"/>
              <w:keepNext/>
              <w:keepLines/>
              <w:spacing w:before="120" w:after="120"/>
              <w:ind w:firstLine="0" w:firstLineChars="0"/>
              <w:jc w:val="center"/>
              <w:outlineLvl w:val="0"/>
              <w:rPr>
                <w:rFonts w:ascii="宋体" w:hAnsi="宋体" w:cs="宋体"/>
                <w:b/>
                <w:snapToGrid w:val="0"/>
                <w:color w:val="auto"/>
                <w:kern w:val="2"/>
                <w:highlight w:val="none"/>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b/>
                <w:snapToGrid w:val="0"/>
                <w:color w:val="auto"/>
                <w:kern w:val="2"/>
                <w:highlight w:val="none"/>
              </w:rPr>
            </w:pPr>
            <w:r>
              <w:rPr>
                <w:rFonts w:hint="eastAsia" w:ascii="宋体" w:hAnsi="宋体" w:cs="宋体"/>
                <w:b/>
                <w:snapToGrid w:val="0"/>
                <w:color w:val="auto"/>
                <w:kern w:val="2"/>
                <w:highlight w:val="none"/>
              </w:rPr>
              <w:t>担任相应职务年限</w:t>
            </w:r>
          </w:p>
        </w:tc>
        <w:tc>
          <w:tcPr>
            <w:tcW w:w="2363" w:type="pct"/>
            <w:gridSpan w:val="5"/>
            <w:tcBorders>
              <w:top w:val="single" w:color="auto" w:sz="4" w:space="0"/>
              <w:left w:val="single" w:color="auto" w:sz="4" w:space="0"/>
              <w:bottom w:val="single" w:color="auto" w:sz="4" w:space="0"/>
              <w:right w:val="single" w:color="auto" w:sz="4" w:space="0"/>
            </w:tcBorders>
            <w:vAlign w:val="center"/>
          </w:tcPr>
          <w:p>
            <w:pPr>
              <w:pStyle w:val="82"/>
              <w:keepNext/>
              <w:keepLines/>
              <w:spacing w:before="120" w:after="120"/>
              <w:ind w:firstLine="0" w:firstLineChars="0"/>
              <w:jc w:val="center"/>
              <w:outlineLvl w:val="0"/>
              <w:rPr>
                <w:rFonts w:ascii="宋体" w:hAnsi="宋体" w:cs="宋体"/>
                <w:b/>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资格证书号</w:t>
            </w:r>
          </w:p>
        </w:tc>
        <w:tc>
          <w:tcPr>
            <w:tcW w:w="4198" w:type="pct"/>
            <w:gridSpan w:val="10"/>
            <w:tcBorders>
              <w:top w:val="single" w:color="auto" w:sz="4" w:space="0"/>
              <w:left w:val="single" w:color="auto" w:sz="4" w:space="0"/>
              <w:bottom w:val="single" w:color="auto" w:sz="4" w:space="0"/>
              <w:right w:val="single" w:color="auto" w:sz="4" w:space="0"/>
            </w:tcBorders>
            <w:vAlign w:val="center"/>
          </w:tcPr>
          <w:p>
            <w:pPr>
              <w:pStyle w:val="82"/>
              <w:keepNext/>
              <w:keepLines/>
              <w:spacing w:before="120" w:after="120"/>
              <w:ind w:firstLine="0" w:firstLineChars="0"/>
              <w:jc w:val="center"/>
              <w:outlineLvl w:val="0"/>
              <w:rPr>
                <w:rFonts w:ascii="宋体" w:hAnsi="宋体" w:cs="宋体"/>
                <w:b/>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b/>
                <w:snapToGrid w:val="0"/>
                <w:color w:val="auto"/>
                <w:kern w:val="2"/>
                <w:highlight w:val="none"/>
              </w:rPr>
            </w:pPr>
            <w:r>
              <w:rPr>
                <w:rFonts w:hint="eastAsia" w:ascii="宋体" w:hAnsi="宋体" w:cs="宋体"/>
                <w:b/>
                <w:snapToGrid w:val="0"/>
                <w:color w:val="auto"/>
                <w:kern w:val="2"/>
                <w:highlight w:val="none"/>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建设单位</w:t>
            </w:r>
          </w:p>
        </w:tc>
        <w:tc>
          <w:tcPr>
            <w:tcW w:w="812" w:type="pct"/>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项目名称</w:t>
            </w: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建设规模</w:t>
            </w: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开、竣工日期</w:t>
            </w: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在建或已完</w:t>
            </w:r>
          </w:p>
        </w:tc>
        <w:tc>
          <w:tcPr>
            <w:tcW w:w="814" w:type="pct"/>
            <w:tcBorders>
              <w:top w:val="single" w:color="auto" w:sz="4" w:space="0"/>
              <w:left w:val="single" w:color="auto" w:sz="4" w:space="0"/>
              <w:bottom w:val="single" w:color="auto" w:sz="4" w:space="0"/>
              <w:right w:val="single" w:color="auto" w:sz="4" w:space="0"/>
            </w:tcBorders>
            <w:vAlign w:val="center"/>
          </w:tcPr>
          <w:p>
            <w:pPr>
              <w:pStyle w:val="120"/>
              <w:jc w:val="center"/>
              <w:rPr>
                <w:rFonts w:cs="宋体"/>
                <w:b/>
                <w:color w:val="auto"/>
                <w:sz w:val="24"/>
                <w:szCs w:val="24"/>
                <w:highlight w:val="none"/>
              </w:rPr>
            </w:pPr>
            <w:r>
              <w:rPr>
                <w:rFonts w:hint="eastAsia" w:cs="宋体"/>
                <w:b/>
                <w:color w:val="auto"/>
                <w:sz w:val="24"/>
                <w:szCs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b/>
                <w:snapToGrid w:val="0"/>
                <w:color w:val="auto"/>
                <w:kern w:val="2"/>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b/>
                <w:snapToGrid w:val="0"/>
                <w:color w:val="auto"/>
                <w:kern w:val="2"/>
                <w:highlight w:val="none"/>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b/>
                <w:snapToGrid w:val="0"/>
                <w:color w:val="auto"/>
                <w:kern w:val="2"/>
                <w:highlight w:val="none"/>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b/>
                <w:snapToGrid w:val="0"/>
                <w:color w:val="auto"/>
                <w:kern w:val="2"/>
                <w:highlight w:val="none"/>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b/>
                <w:snapToGrid w:val="0"/>
                <w:color w:val="auto"/>
                <w:kern w:val="2"/>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b/>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82"/>
              <w:ind w:firstLine="0" w:firstLineChars="0"/>
              <w:jc w:val="center"/>
              <w:rPr>
                <w:rFonts w:ascii="宋体" w:hAnsi="宋体" w:cs="宋体"/>
                <w:snapToGrid w:val="0"/>
                <w:color w:val="auto"/>
                <w:kern w:val="2"/>
                <w:highlight w:val="none"/>
              </w:rPr>
            </w:pPr>
          </w:p>
        </w:tc>
      </w:tr>
    </w:tbl>
    <w:p>
      <w:pPr>
        <w:pStyle w:val="82"/>
        <w:ind w:firstLine="3596" w:firstLineChars="1450"/>
        <w:rPr>
          <w:rFonts w:ascii="宋体" w:hAnsi="宋体" w:cs="宋体"/>
          <w:color w:val="auto"/>
          <w:highlight w:val="none"/>
        </w:rPr>
      </w:pPr>
      <w:r>
        <w:rPr>
          <w:rFonts w:hint="eastAsia" w:ascii="宋体" w:hAnsi="宋体" w:cs="宋体"/>
          <w:color w:val="auto"/>
          <w:highlight w:val="none"/>
        </w:rPr>
        <w:t>投标人：　　（盖章）</w:t>
      </w:r>
    </w:p>
    <w:p>
      <w:pPr>
        <w:pStyle w:val="82"/>
        <w:ind w:firstLine="3596" w:firstLineChars="1450"/>
        <w:rPr>
          <w:rFonts w:ascii="宋体" w:hAnsi="宋体" w:cs="宋体"/>
          <w:color w:val="auto"/>
          <w:highlight w:val="none"/>
        </w:rPr>
      </w:pPr>
      <w:r>
        <w:rPr>
          <w:rFonts w:hint="eastAsia" w:ascii="宋体" w:hAnsi="宋体" w:cs="宋体"/>
          <w:color w:val="auto"/>
          <w:highlight w:val="none"/>
        </w:rPr>
        <w:t>法定代表人或授权代理人(签字或盖章)：</w:t>
      </w:r>
    </w:p>
    <w:p>
      <w:pPr>
        <w:tabs>
          <w:tab w:val="left" w:pos="720"/>
        </w:tabs>
        <w:snapToGrid w:val="0"/>
        <w:spacing w:line="360" w:lineRule="auto"/>
        <w:jc w:val="right"/>
        <w:rPr>
          <w:rFonts w:ascii="宋体" w:hAnsi="宋体" w:cs="宋体"/>
          <w:color w:val="auto"/>
          <w:highlight w:val="none"/>
        </w:rPr>
      </w:pPr>
      <w:r>
        <w:rPr>
          <w:rFonts w:hint="eastAsia" w:ascii="宋体" w:hAnsi="宋体" w:cs="宋体"/>
          <w:color w:val="auto"/>
          <w:highlight w:val="none"/>
        </w:rPr>
        <w:t>日期：年月日</w:t>
      </w:r>
    </w:p>
    <w:p>
      <w:pPr>
        <w:rPr>
          <w:rFonts w:ascii="宋体" w:hAnsi="宋体" w:cs="宋体"/>
          <w:color w:val="auto"/>
          <w:szCs w:val="21"/>
          <w:highlight w:val="none"/>
        </w:rPr>
      </w:pPr>
      <w:r>
        <w:rPr>
          <w:rFonts w:hint="eastAsia" w:ascii="宋体" w:hAnsi="宋体" w:cs="宋体"/>
          <w:color w:val="auto"/>
          <w:sz w:val="24"/>
          <w:szCs w:val="24"/>
          <w:highlight w:val="none"/>
        </w:rPr>
        <w:br w:type="page"/>
      </w:r>
    </w:p>
    <w:p>
      <w:pPr>
        <w:pStyle w:val="32"/>
        <w:jc w:val="both"/>
        <w:rPr>
          <w:rFonts w:ascii="宋体" w:hAnsi="宋体" w:cs="宋体"/>
          <w:color w:val="auto"/>
          <w:kern w:val="2"/>
          <w:szCs w:val="24"/>
          <w:highlight w:val="none"/>
        </w:rPr>
      </w:pPr>
      <w:r>
        <w:rPr>
          <w:rFonts w:hint="eastAsia" w:ascii="宋体" w:hAnsi="宋体" w:cs="宋体"/>
          <w:color w:val="auto"/>
          <w:kern w:val="2"/>
          <w:szCs w:val="24"/>
          <w:highlight w:val="none"/>
        </w:rPr>
        <w:t>附件十：</w:t>
      </w:r>
    </w:p>
    <w:p>
      <w:pPr>
        <w:pStyle w:val="32"/>
        <w:ind w:firstLine="482"/>
        <w:jc w:val="center"/>
        <w:rPr>
          <w:rFonts w:ascii="宋体" w:hAnsi="宋体"/>
          <w:b/>
          <w:bCs/>
          <w:color w:val="auto"/>
          <w:sz w:val="40"/>
          <w:szCs w:val="40"/>
          <w:highlight w:val="none"/>
        </w:rPr>
      </w:pPr>
      <w:r>
        <w:rPr>
          <w:rFonts w:hint="eastAsia" w:ascii="宋体" w:hAnsi="宋体"/>
          <w:b/>
          <w:bCs/>
          <w:color w:val="auto"/>
          <w:sz w:val="40"/>
          <w:szCs w:val="40"/>
          <w:highlight w:val="none"/>
        </w:rPr>
        <w:t>投标人廉洁承诺书</w:t>
      </w:r>
    </w:p>
    <w:p>
      <w:pPr>
        <w:pStyle w:val="124"/>
        <w:ind w:firstLine="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致本招标项目招标人及招标监管机构：</w:t>
      </w:r>
    </w:p>
    <w:p>
      <w:pPr>
        <w:pStyle w:val="124"/>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本公司参加了</w:t>
      </w:r>
      <w:r>
        <w:rPr>
          <w:rFonts w:hint="eastAsia" w:ascii="宋体" w:hAnsi="宋体" w:eastAsia="宋体"/>
          <w:color w:val="auto"/>
          <w:sz w:val="24"/>
          <w:szCs w:val="24"/>
          <w:highlight w:val="none"/>
          <w:u w:val="single"/>
        </w:rPr>
        <w:t xml:space="preserve">   （项目名称/标段名称）    </w:t>
      </w:r>
      <w:r>
        <w:rPr>
          <w:rFonts w:hint="eastAsia" w:ascii="宋体" w:hAnsi="宋体" w:eastAsia="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pPr>
        <w:pStyle w:val="124"/>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一、自觉遵守国家有关法律法规及廉洁规定。</w:t>
      </w:r>
    </w:p>
    <w:p>
      <w:pPr>
        <w:pStyle w:val="124"/>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二、不与招标单位工作人员串通投标，损害国家利益、企业利益以及他人的合法利益；</w:t>
      </w:r>
    </w:p>
    <w:p>
      <w:pPr>
        <w:pStyle w:val="124"/>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三、不与其他单位围标、串标，不出让投标资格，不向招标人或评标委员会成员行贿。</w:t>
      </w:r>
    </w:p>
    <w:p>
      <w:pPr>
        <w:pStyle w:val="124"/>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pPr>
        <w:pStyle w:val="124"/>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五、不以任何名义为参与招标、评标工作的有关人员装修住房、婚丧嫁取、配偶子女的工作安排以及境内外旅游等提供方便；</w:t>
      </w:r>
    </w:p>
    <w:p>
      <w:pPr>
        <w:pStyle w:val="124"/>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六、不以谋取非正当利益为目的，擅自与参与招标、评标工作的有关人员就业务问题进行私下商谈或者达成利益默契；</w:t>
      </w:r>
    </w:p>
    <w:p>
      <w:pPr>
        <w:pStyle w:val="124"/>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本公司违反上述承诺，或本承诺陈述与事实不符，经查实，本公司愿意接受公开通报，承担由此带来的法律后果，并自愿停止参加广州市行政辖区内的招标投标活动三个月。</w:t>
      </w:r>
    </w:p>
    <w:p>
      <w:pPr>
        <w:pStyle w:val="124"/>
        <w:jc w:val="left"/>
        <w:rPr>
          <w:rFonts w:ascii="宋体" w:hAnsi="宋体" w:eastAsia="宋体"/>
          <w:color w:val="auto"/>
          <w:sz w:val="24"/>
          <w:szCs w:val="24"/>
          <w:highlight w:val="none"/>
        </w:rPr>
      </w:pPr>
      <w:r>
        <w:rPr>
          <w:rFonts w:hint="eastAsia" w:ascii="宋体" w:hAnsi="宋体" w:eastAsia="宋体"/>
          <w:color w:val="auto"/>
          <w:sz w:val="24"/>
          <w:szCs w:val="24"/>
          <w:highlight w:val="none"/>
        </w:rPr>
        <w:t>特此承诺</w:t>
      </w:r>
    </w:p>
    <w:p>
      <w:pPr>
        <w:pStyle w:val="124"/>
        <w:jc w:val="right"/>
        <w:rPr>
          <w:rFonts w:ascii="宋体" w:hAnsi="宋体" w:eastAsia="宋体"/>
          <w:color w:val="auto"/>
          <w:sz w:val="24"/>
          <w:szCs w:val="24"/>
          <w:highlight w:val="none"/>
        </w:rPr>
      </w:pPr>
      <w:r>
        <w:rPr>
          <w:rFonts w:hint="eastAsia" w:ascii="宋体" w:hAnsi="宋体" w:eastAsia="宋体"/>
          <w:color w:val="auto"/>
          <w:sz w:val="24"/>
          <w:szCs w:val="24"/>
          <w:highlight w:val="none"/>
        </w:rPr>
        <w:t>承诺企业（盖单位章）：      </w:t>
      </w:r>
    </w:p>
    <w:p>
      <w:pPr>
        <w:pStyle w:val="124"/>
        <w:jc w:val="righ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法定代表人签字：           </w:t>
      </w:r>
    </w:p>
    <w:p>
      <w:pPr>
        <w:jc w:val="right"/>
        <w:rPr>
          <w:rFonts w:ascii="宋体" w:hAnsi="宋体" w:cs="宋体"/>
          <w:color w:val="auto"/>
          <w:sz w:val="24"/>
          <w:szCs w:val="24"/>
          <w:highlight w:val="none"/>
        </w:rPr>
      </w:pPr>
      <w:r>
        <w:rPr>
          <w:rFonts w:hint="eastAsia" w:ascii="宋体" w:hAnsi="宋体"/>
          <w:color w:val="auto"/>
          <w:sz w:val="24"/>
          <w:szCs w:val="24"/>
          <w:highlight w:val="none"/>
        </w:rPr>
        <w:t>年   月   日</w:t>
      </w:r>
    </w:p>
    <w:p>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pStyle w:val="122"/>
        <w:spacing w:beforeLines="0" w:after="120"/>
        <w:jc w:val="left"/>
        <w:rPr>
          <w:rFonts w:ascii="宋体" w:hAnsi="宋体" w:eastAsia="宋体" w:cs="宋体"/>
          <w:b w:val="0"/>
          <w:color w:val="auto"/>
          <w:spacing w:val="0"/>
          <w:kern w:val="2"/>
          <w:sz w:val="24"/>
          <w:szCs w:val="24"/>
          <w:highlight w:val="none"/>
        </w:rPr>
      </w:pPr>
      <w:r>
        <w:rPr>
          <w:rFonts w:hint="eastAsia" w:ascii="宋体" w:hAnsi="宋体" w:eastAsia="宋体" w:cs="宋体"/>
          <w:b w:val="0"/>
          <w:color w:val="auto"/>
          <w:spacing w:val="0"/>
          <w:kern w:val="2"/>
          <w:sz w:val="24"/>
          <w:szCs w:val="24"/>
          <w:highlight w:val="none"/>
        </w:rPr>
        <w:t>附件十一：</w:t>
      </w:r>
    </w:p>
    <w:p>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危险性较大的分部分项工程清单及超过一定规模的危险性较大的分部分项工程清单</w:t>
      </w:r>
    </w:p>
    <w:p>
      <w:pPr>
        <w:pStyle w:val="137"/>
        <w:autoSpaceDE w:val="0"/>
        <w:autoSpaceDN w:val="0"/>
        <w:adjustRightInd w:val="0"/>
        <w:spacing w:line="360" w:lineRule="auto"/>
        <w:ind w:firstLine="480"/>
        <w:jc w:val="left"/>
        <w:rPr>
          <w:rFonts w:ascii="宋体" w:hAnsi="宋体" w:cs="宋体"/>
          <w:color w:val="auto"/>
          <w:sz w:val="24"/>
          <w:szCs w:val="28"/>
          <w:highlight w:val="none"/>
        </w:rPr>
      </w:pPr>
      <w:r>
        <w:rPr>
          <w:rFonts w:hint="eastAsia" w:ascii="宋体" w:hAnsi="宋体" w:cs="宋体"/>
          <w:color w:val="auto"/>
          <w:sz w:val="24"/>
          <w:szCs w:val="28"/>
          <w:highlight w:val="none"/>
        </w:rPr>
        <w:t>1、根据中华人民共和国住房和城乡建设部令第37号《危险性较大的分部分项工程安全管理规定》（以下简称“37号文”），投标人在投标时须补充完善危大工程清单并明确相应的安全管理措施。</w:t>
      </w:r>
    </w:p>
    <w:p>
      <w:pPr>
        <w:pStyle w:val="137"/>
        <w:autoSpaceDE w:val="0"/>
        <w:autoSpaceDN w:val="0"/>
        <w:adjustRightInd w:val="0"/>
        <w:spacing w:line="360" w:lineRule="auto"/>
        <w:ind w:firstLine="480"/>
        <w:jc w:val="left"/>
        <w:rPr>
          <w:rFonts w:ascii="宋体" w:hAnsi="宋体" w:cs="宋体"/>
          <w:color w:val="auto"/>
          <w:sz w:val="24"/>
          <w:szCs w:val="28"/>
          <w:highlight w:val="none"/>
        </w:rPr>
      </w:pPr>
      <w:r>
        <w:rPr>
          <w:rFonts w:hint="eastAsia" w:ascii="宋体" w:hAnsi="宋体" w:cs="宋体"/>
          <w:color w:val="auto"/>
          <w:sz w:val="24"/>
          <w:szCs w:val="28"/>
          <w:highlight w:val="none"/>
        </w:rPr>
        <w:t>2、招标人根据设计文件的要求及37号文的规定列出“危险性较大的分部分项工程清单及超过一定规模的危险性较大的分部分项工程清单”中与本招标项目相关的清单项，具体详见第5点“打√”标识。</w:t>
      </w:r>
    </w:p>
    <w:p>
      <w:pPr>
        <w:pStyle w:val="137"/>
        <w:autoSpaceDE w:val="0"/>
        <w:autoSpaceDN w:val="0"/>
        <w:adjustRightInd w:val="0"/>
        <w:spacing w:line="360" w:lineRule="auto"/>
        <w:ind w:firstLine="480"/>
        <w:jc w:val="left"/>
        <w:rPr>
          <w:rFonts w:ascii="宋体" w:hAnsi="宋体" w:cs="宋体"/>
          <w:color w:val="auto"/>
          <w:sz w:val="24"/>
          <w:szCs w:val="28"/>
          <w:highlight w:val="none"/>
        </w:rPr>
      </w:pPr>
      <w:r>
        <w:rPr>
          <w:rFonts w:hint="eastAsia" w:ascii="宋体" w:hAnsi="宋体" w:cs="宋体"/>
          <w:color w:val="auto"/>
          <w:sz w:val="24"/>
          <w:szCs w:val="28"/>
          <w:highlight w:val="none"/>
        </w:rPr>
        <w:t>（1）投标单位同意建设单位在清单中标识的该项请在对应项打“√”标识，并于投标文件中提供相应的安全管理措施。</w:t>
      </w:r>
    </w:p>
    <w:p>
      <w:pPr>
        <w:pStyle w:val="137"/>
        <w:autoSpaceDE w:val="0"/>
        <w:autoSpaceDN w:val="0"/>
        <w:adjustRightInd w:val="0"/>
        <w:spacing w:line="360" w:lineRule="auto"/>
        <w:ind w:firstLine="480"/>
        <w:jc w:val="left"/>
        <w:rPr>
          <w:rFonts w:ascii="宋体" w:hAnsi="宋体" w:cs="宋体"/>
          <w:color w:val="auto"/>
          <w:sz w:val="24"/>
          <w:szCs w:val="28"/>
          <w:highlight w:val="none"/>
        </w:rPr>
      </w:pPr>
      <w:r>
        <w:rPr>
          <w:rFonts w:hint="eastAsia" w:ascii="宋体" w:hAnsi="宋体" w:cs="宋体"/>
          <w:color w:val="auto"/>
          <w:sz w:val="24"/>
          <w:szCs w:val="28"/>
          <w:highlight w:val="none"/>
        </w:rPr>
        <w:t>（2）投标单位对清单中认为需要补充的该项请在对应项打“√”标识，并于投标文件中提供相应的安全管理措施。</w:t>
      </w:r>
    </w:p>
    <w:p>
      <w:pPr>
        <w:pStyle w:val="137"/>
        <w:autoSpaceDE w:val="0"/>
        <w:autoSpaceDN w:val="0"/>
        <w:adjustRightInd w:val="0"/>
        <w:spacing w:line="360" w:lineRule="auto"/>
        <w:ind w:firstLine="480"/>
        <w:jc w:val="left"/>
        <w:rPr>
          <w:rFonts w:ascii="宋体" w:hAnsi="宋体" w:cs="宋体"/>
          <w:color w:val="auto"/>
          <w:sz w:val="24"/>
          <w:szCs w:val="28"/>
          <w:highlight w:val="none"/>
        </w:rPr>
      </w:pPr>
      <w:r>
        <w:rPr>
          <w:rFonts w:hint="eastAsia" w:ascii="宋体" w:hAnsi="宋体" w:cs="宋体"/>
          <w:color w:val="auto"/>
          <w:sz w:val="24"/>
          <w:szCs w:val="28"/>
          <w:highlight w:val="none"/>
        </w:rPr>
        <w:t>（3）投标单位不同意建设单位在清单中标识的该项请在对应项打“×”标识，并在备注栏填上相关说明。</w:t>
      </w:r>
    </w:p>
    <w:p>
      <w:pPr>
        <w:pStyle w:val="137"/>
        <w:autoSpaceDE w:val="0"/>
        <w:autoSpaceDN w:val="0"/>
        <w:adjustRightInd w:val="0"/>
        <w:spacing w:line="360" w:lineRule="auto"/>
        <w:ind w:firstLine="480"/>
        <w:jc w:val="left"/>
        <w:rPr>
          <w:rFonts w:ascii="宋体" w:hAnsi="宋体" w:cs="宋体"/>
          <w:color w:val="auto"/>
          <w:sz w:val="24"/>
          <w:szCs w:val="28"/>
          <w:highlight w:val="none"/>
        </w:rPr>
      </w:pPr>
      <w:r>
        <w:rPr>
          <w:rFonts w:hint="eastAsia" w:ascii="宋体" w:hAnsi="宋体" w:cs="宋体"/>
          <w:color w:val="auto"/>
          <w:sz w:val="24"/>
          <w:szCs w:val="28"/>
          <w:highlight w:val="none"/>
        </w:rPr>
        <w:t>3、投标单位应当在投标时根据招标人提供的下述第5点清单，在中标后提供的施工组织中编制专项施工方案。</w:t>
      </w:r>
    </w:p>
    <w:p>
      <w:pPr>
        <w:pStyle w:val="137"/>
        <w:autoSpaceDE w:val="0"/>
        <w:autoSpaceDN w:val="0"/>
        <w:adjustRightInd w:val="0"/>
        <w:spacing w:line="360" w:lineRule="auto"/>
        <w:ind w:firstLine="480"/>
        <w:jc w:val="left"/>
        <w:rPr>
          <w:rFonts w:ascii="宋体" w:hAnsi="宋体" w:cs="宋体"/>
          <w:color w:val="auto"/>
          <w:sz w:val="24"/>
          <w:szCs w:val="28"/>
          <w:highlight w:val="none"/>
        </w:rPr>
      </w:pPr>
      <w:r>
        <w:rPr>
          <w:rFonts w:hint="eastAsia" w:ascii="宋体" w:hAnsi="宋体" w:cs="宋体"/>
          <w:color w:val="auto"/>
          <w:sz w:val="24"/>
          <w:szCs w:val="28"/>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37"/>
        <w:autoSpaceDE w:val="0"/>
        <w:autoSpaceDN w:val="0"/>
        <w:adjustRightInd w:val="0"/>
        <w:spacing w:line="360" w:lineRule="auto"/>
        <w:ind w:firstLine="480"/>
        <w:jc w:val="left"/>
        <w:rPr>
          <w:rFonts w:ascii="宋体" w:hAnsi="宋体" w:cs="宋体"/>
          <w:color w:val="auto"/>
          <w:sz w:val="24"/>
          <w:szCs w:val="28"/>
          <w:highlight w:val="none"/>
        </w:rPr>
      </w:pPr>
      <w:r>
        <w:rPr>
          <w:rFonts w:hint="eastAsia" w:ascii="宋体" w:hAnsi="宋体" w:cs="宋体"/>
          <w:color w:val="auto"/>
          <w:sz w:val="24"/>
          <w:szCs w:val="28"/>
          <w:highlight w:val="none"/>
        </w:rPr>
        <w:t>5、危险性较大的分部分项工程清单及超过一定规模的危险性较大的分部分项工程清单：</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177"/>
        <w:gridCol w:w="136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vAlign w:val="center"/>
          </w:tcPr>
          <w:p>
            <w:pPr>
              <w:pStyle w:val="137"/>
              <w:autoSpaceDE w:val="0"/>
              <w:autoSpaceDN w:val="0"/>
              <w:adjustRightInd w:val="0"/>
              <w:spacing w:line="360" w:lineRule="auto"/>
              <w:ind w:firstLine="482"/>
              <w:jc w:val="left"/>
              <w:rPr>
                <w:rFonts w:ascii="宋体" w:hAnsi="宋体" w:cs="宋体"/>
                <w:b/>
                <w:color w:val="auto"/>
                <w:sz w:val="24"/>
                <w:highlight w:val="none"/>
              </w:rPr>
            </w:pPr>
            <w:r>
              <w:rPr>
                <w:rFonts w:hint="eastAsia" w:ascii="宋体" w:hAnsi="宋体" w:cs="宋体"/>
                <w:b/>
                <w:color w:val="auto"/>
                <w:sz w:val="24"/>
                <w:highlight w:val="none"/>
              </w:rPr>
              <w:t>一、危险性较大的分部分项工程清单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r>
              <w:rPr>
                <w:rFonts w:hint="eastAsia" w:ascii="宋体" w:hAnsi="宋体" w:cs="宋体"/>
                <w:color w:val="auto"/>
                <w:sz w:val="24"/>
                <w:szCs w:val="36"/>
                <w:highlight w:val="none"/>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r>
              <w:rPr>
                <w:rFonts w:hint="eastAsia" w:ascii="宋体" w:hAnsi="宋体" w:cs="宋体"/>
                <w:color w:val="auto"/>
                <w:sz w:val="24"/>
                <w:szCs w:val="36"/>
                <w:highlight w:val="none"/>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r>
              <w:rPr>
                <w:rFonts w:hint="eastAsia" w:ascii="宋体" w:hAnsi="宋体" w:cs="宋体"/>
                <w:color w:val="auto"/>
                <w:sz w:val="24"/>
                <w:szCs w:val="3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一、基坑支护</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（一）开挖深度超过3m（含3m）的基坑（槽）的土方开挖、支护、降水工程。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（二）开挖深度虽未超过3m，但地质条件、周围环境和地下管线复杂，或影响毗邻建、构筑物安全的基坑（槽）的土方开挖、支护、降水工程。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s="宋体"/>
                <w:color w:val="auto"/>
                <w:sz w:val="24"/>
                <w:highlight w:val="none"/>
              </w:rPr>
            </w:pPr>
            <w:r>
              <w:rPr>
                <w:rFonts w:hint="eastAsia" w:ascii="宋体" w:hAnsi="宋体" w:cs="宋体"/>
                <w:color w:val="auto"/>
                <w:sz w:val="24"/>
                <w:highlight w:val="none"/>
              </w:rPr>
              <w:t>（三）承重支撑体系：用于钢结构安装等满堂支撑体系。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s="宋体"/>
                <w:color w:val="auto"/>
                <w:sz w:val="24"/>
                <w:highlight w:val="none"/>
              </w:rPr>
            </w:pPr>
            <w:r>
              <w:rPr>
                <w:rFonts w:hint="eastAsia" w:ascii="宋体" w:hAnsi="宋体" w:cs="宋体"/>
                <w:color w:val="auto"/>
                <w:sz w:val="24"/>
                <w:highlight w:val="none"/>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s="宋体"/>
                <w:color w:val="auto"/>
                <w:sz w:val="24"/>
                <w:highlight w:val="none"/>
              </w:rPr>
            </w:pPr>
            <w:r>
              <w:rPr>
                <w:rFonts w:hint="eastAsia" w:ascii="宋体" w:hAnsi="宋体" w:cs="宋体"/>
                <w:color w:val="auto"/>
                <w:sz w:val="24"/>
                <w:highlight w:val="none"/>
              </w:rPr>
              <w:t>（一）采用非常规起重设备、方法，且单件起吊重量在10kN及以上的起重吊装工程。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（二）采用起重机械进行安装的工程。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（三）起重机械安装和拆卸工程。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（一）搭设高度24m及以上的落地式钢管脚手架工程（包括采光井、电梯井脚手架）。</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（二）附着式升降脚手架工程。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（三）悬挑式脚手架工程。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（四）高处作业吊篮。</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（五）卸料平台、操作平台工程。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（六）异型脚手架工程。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可能影响行人、交通、电力设施、通讯设施或其它建、构筑物安全的拆除工程。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七、其它</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（一）建筑幕墙安装工程。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（二）钢结构、网架和索膜结构安装工程。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（三）人工挖孔桩工程。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（五）装配式建筑混凝土预制构件安装工程。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rFonts w:ascii="宋体" w:hAnsi="宋体" w:cs="宋体"/>
                <w:b/>
                <w:color w:val="auto"/>
                <w:sz w:val="24"/>
                <w:highlight w:val="none"/>
              </w:rPr>
            </w:pPr>
            <w:r>
              <w:rPr>
                <w:rFonts w:hint="eastAsia" w:ascii="宋体" w:hAnsi="宋体" w:cs="宋体"/>
                <w:b/>
                <w:bCs/>
                <w:color w:val="auto"/>
                <w:sz w:val="24"/>
                <w:highlight w:val="none"/>
              </w:rPr>
              <w:t>二、超过一定规模的危险性较大的分部分项工程清单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一、深基坑工程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开挖深度超过5m（含5m）的基坑（槽）的土方开挖、支护、降水工程。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（二）混凝土模板支撑工程：搭设高度8m及以上，或搭设跨度18m及以上，或施工总荷载（设计值）15kN/m2及以上，或集中线荷载（设计值）20kN/m及以上。</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（三）承重支撑体系：用于钢结构安装等满堂支撑体系，承受单点集中荷载7kN及以上。</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（一）采用非常规起重设备、方法，且单件起吊重量在100kN及以上的起重吊装工程。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（二）起重量300kN及以上，或搭设总高度200m及以上，或搭设基础标高在200m及以上的起重机械安装和拆卸工程。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（一）搭设高度50m及以上的落地式钢管脚手架工程。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（二）提升高度在150m及以上的附着式升降脚手架工程或附着式升降操作平台工程。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（三）分段架体搭设高度20m及以上的悬挑式脚手架工程。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（一）码头、桥梁、高架、烟囱、水塔或拆除中容易引起有毒有害气（液）体或粉尘扩散、易燃易爆事故发生的特殊建、构筑物的拆除工程。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（二）文物保护建筑、优秀历史建筑或历史文化风貌区影响范围内的拆除工程。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七、其它</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（一）施工高度50m及以上的建筑幕墙安装工程。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（二）跨度36m及以上的钢结构安装工程，或跨度60m及以上的网架和索膜结构安装工程。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（三）开挖深度16m及以上的人工挖孔桩工程。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（五）重量1000kN及以上的大型结构整体顶升、平移、转体等施工工艺。</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4"/>
                <w:highlight w:val="none"/>
              </w:rPr>
            </w:pPr>
            <w:r>
              <w:rPr>
                <w:rFonts w:hint="eastAsia" w:ascii="宋体" w:hAnsi="宋体" w:cs="宋体"/>
                <w:color w:val="auto"/>
                <w:sz w:val="24"/>
                <w:highlight w:val="none"/>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36"/>
                <w:highlight w:val="none"/>
              </w:rPr>
            </w:pPr>
          </w:p>
        </w:tc>
      </w:tr>
    </w:tbl>
    <w:p>
      <w:pPr>
        <w:pStyle w:val="137"/>
        <w:autoSpaceDE w:val="0"/>
        <w:autoSpaceDN w:val="0"/>
        <w:adjustRightInd w:val="0"/>
        <w:spacing w:line="360" w:lineRule="auto"/>
        <w:ind w:firstLine="480"/>
        <w:jc w:val="left"/>
        <w:rPr>
          <w:rFonts w:ascii="宋体" w:hAnsi="宋体" w:cs="宋体"/>
          <w:color w:val="auto"/>
          <w:sz w:val="24"/>
          <w:szCs w:val="28"/>
          <w:highlight w:val="none"/>
        </w:rPr>
      </w:pPr>
    </w:p>
    <w:p>
      <w:pPr>
        <w:spacing w:line="360" w:lineRule="auto"/>
        <w:ind w:firstLine="3000" w:firstLineChars="1250"/>
        <w:rPr>
          <w:rFonts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pPr>
        <w:spacing w:line="360" w:lineRule="auto"/>
        <w:ind w:firstLine="3000" w:firstLineChars="125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法定代表人或被授权人（签字或盖章）：</w:t>
      </w:r>
    </w:p>
    <w:p>
      <w:pPr>
        <w:spacing w:line="360" w:lineRule="auto"/>
        <w:ind w:firstLine="3000" w:firstLineChars="1250"/>
        <w:rPr>
          <w:rFonts w:ascii="宋体" w:hAnsi="宋体" w:cs="宋体"/>
          <w:color w:val="auto"/>
          <w:highlight w:val="none"/>
        </w:rPr>
      </w:pPr>
      <w:r>
        <w:rPr>
          <w:rFonts w:hint="eastAsia" w:ascii="宋体" w:hAnsi="宋体" w:cs="宋体"/>
          <w:color w:val="auto"/>
          <w:sz w:val="24"/>
          <w:szCs w:val="20"/>
          <w:highlight w:val="none"/>
        </w:rPr>
        <w:t>日期：   年  月  日</w:t>
      </w:r>
    </w:p>
    <w:p>
      <w:pPr>
        <w:jc w:val="center"/>
        <w:outlineLvl w:val="0"/>
        <w:rPr>
          <w:rFonts w:ascii="宋体" w:hAnsi="宋体" w:cs="宋体"/>
          <w:color w:val="auto"/>
          <w:highlight w:val="none"/>
        </w:rPr>
      </w:pPr>
      <w:r>
        <w:rPr>
          <w:rFonts w:hint="eastAsia" w:ascii="宋体" w:hAnsi="宋体" w:cs="宋体"/>
          <w:color w:val="auto"/>
          <w:highlight w:val="none"/>
        </w:rPr>
        <w:br w:type="page"/>
      </w:r>
      <w:bookmarkStart w:id="65" w:name="_Toc9190"/>
      <w:bookmarkStart w:id="66" w:name="_Toc162269370"/>
      <w:bookmarkStart w:id="67" w:name="_Toc162252729"/>
      <w:bookmarkStart w:id="68" w:name="_Toc162253569"/>
      <w:bookmarkStart w:id="69" w:name="_Toc42392986"/>
      <w:bookmarkStart w:id="70" w:name="_Toc291172704"/>
      <w:r>
        <w:rPr>
          <w:rStyle w:val="53"/>
          <w:rFonts w:hint="eastAsia" w:ascii="宋体" w:hAnsi="宋体" w:cs="宋体"/>
          <w:color w:val="auto"/>
          <w:highlight w:val="none"/>
        </w:rPr>
        <w:t>第五章  技术条件（工程建设标准）</w:t>
      </w:r>
    </w:p>
    <w:p>
      <w:pPr>
        <w:rPr>
          <w:rFonts w:ascii="宋体" w:hAnsi="宋体" w:cs="宋体"/>
          <w:color w:val="auto"/>
          <w:sz w:val="24"/>
          <w:highlight w:val="none"/>
        </w:rPr>
      </w:pPr>
    </w:p>
    <w:bookmarkEnd w:id="65"/>
    <w:p>
      <w:pPr>
        <w:topLinePunct/>
        <w:adjustRightInd w:val="0"/>
        <w:snapToGrid w:val="0"/>
        <w:spacing w:line="360" w:lineRule="auto"/>
        <w:ind w:firstLine="496" w:firstLineChars="200"/>
        <w:jc w:val="left"/>
        <w:rPr>
          <w:rFonts w:hint="eastAsia"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下列文件应被认为是组成本章内容的一部分，并互为补充和解释，如各文件存在冲突之处，以如下排列次序在前者优先适用：</w:t>
      </w:r>
    </w:p>
    <w:p>
      <w:pPr>
        <w:topLinePunct/>
        <w:adjustRightInd w:val="0"/>
        <w:snapToGrid w:val="0"/>
        <w:spacing w:line="360" w:lineRule="auto"/>
        <w:ind w:firstLine="496" w:firstLineChars="200"/>
        <w:jc w:val="left"/>
        <w:rPr>
          <w:rFonts w:hint="eastAsia"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1、采用图纸中规定的其它技术和验收标准；</w:t>
      </w:r>
    </w:p>
    <w:p>
      <w:pPr>
        <w:topLinePunct/>
        <w:adjustRightInd w:val="0"/>
        <w:snapToGrid w:val="0"/>
        <w:spacing w:line="360" w:lineRule="auto"/>
        <w:ind w:firstLine="496" w:firstLineChars="200"/>
        <w:jc w:val="left"/>
        <w:rPr>
          <w:rFonts w:hint="eastAsia"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2、采用中华人民共和国现行技术和验收规范。</w:t>
      </w:r>
    </w:p>
    <w:p>
      <w:pPr>
        <w:pStyle w:val="4"/>
        <w:numPr>
          <w:ilvl w:val="0"/>
          <w:numId w:val="4"/>
        </w:numPr>
        <w:tabs>
          <w:tab w:val="left" w:pos="425"/>
        </w:tabs>
        <w:spacing w:before="0" w:after="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1、安全文明施工标准：杜绝一般事故等级及以上的伤亡事故且工伤责任事故死亡人数为零。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2、工程保修期：按照《建设工程质量管理条例》规定。</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3、本项目地处生产厂区范围内，对施工环境有着严格的要求。在施工期间，需严格执行建设单位相关EHS要求，采用有效的措施，做到不影响厂区环境，特殊作业需办理作业许可证。</w:t>
      </w:r>
    </w:p>
    <w:p>
      <w:pPr>
        <w:numPr>
          <w:ilvl w:val="0"/>
          <w:numId w:val="4"/>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施工组织要求</w:t>
      </w:r>
    </w:p>
    <w:p>
      <w:pPr>
        <w:pStyle w:val="4"/>
        <w:tabs>
          <w:tab w:val="left" w:pos="425"/>
        </w:tabs>
        <w:spacing w:before="0" w:after="0" w:line="360" w:lineRule="auto"/>
        <w:ind w:firstLine="482" w:firstLineChars="200"/>
        <w:jc w:val="left"/>
        <w:rPr>
          <w:rFonts w:hint="eastAsia" w:ascii="宋体" w:hAnsi="宋体" w:eastAsia="宋体" w:cs="宋体"/>
          <w:color w:val="auto"/>
          <w:sz w:val="24"/>
          <w:szCs w:val="24"/>
          <w:highlight w:val="none"/>
        </w:rPr>
      </w:pPr>
      <w:bookmarkStart w:id="71" w:name="_Toc436744926"/>
      <w:bookmarkStart w:id="72" w:name="_Toc229449288"/>
      <w:bookmarkStart w:id="73" w:name="_Toc5261653"/>
      <w:r>
        <w:rPr>
          <w:rFonts w:hint="eastAsia" w:ascii="宋体" w:hAnsi="宋体" w:eastAsia="宋体" w:cs="宋体"/>
          <w:color w:val="auto"/>
          <w:sz w:val="24"/>
          <w:szCs w:val="24"/>
          <w:highlight w:val="none"/>
        </w:rPr>
        <w:t>1、项目管理目标</w:t>
      </w:r>
    </w:p>
    <w:p>
      <w:pPr>
        <w:pStyle w:val="6"/>
        <w:numPr>
          <w:ilvl w:val="3"/>
          <w:numId w:val="0"/>
        </w:numPr>
        <w:tabs>
          <w:tab w:val="left" w:pos="864"/>
          <w:tab w:val="left" w:pos="2880"/>
        </w:tabs>
        <w:snapToGrid w:val="0"/>
        <w:spacing w:beforeLines="0" w:afterLines="0"/>
        <w:ind w:leftChars="200"/>
        <w:rPr>
          <w:rFonts w:hint="eastAsia" w:ascii="宋体" w:hAnsi="宋体" w:cs="宋体"/>
          <w:color w:val="auto"/>
          <w:sz w:val="24"/>
          <w:szCs w:val="24"/>
          <w:highlight w:val="none"/>
        </w:rPr>
      </w:pPr>
      <w:bookmarkStart w:id="74" w:name="_Toc436744902"/>
      <w:r>
        <w:rPr>
          <w:rFonts w:hint="eastAsia" w:ascii="宋体" w:hAnsi="宋体" w:cs="宋体"/>
          <w:color w:val="auto"/>
          <w:sz w:val="24"/>
          <w:szCs w:val="24"/>
          <w:highlight w:val="none"/>
        </w:rPr>
        <w:t>1.1工程质量目标</w:t>
      </w:r>
      <w:bookmarkEnd w:id="7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严格按国家规范标准进行工程项目的施工、验收，运行公司ISO9001国际质量认证体系，坚持质量第一、预防为主的质量方针，运用计划、实施、检查、处理（PDCA）持续改进的质量保证体系，对工程质量进行监控，制定项目质量目标及质量目标分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工程质量管理目标：工程质量达到国家有关施工质量验收规范并满足</w:t>
      </w:r>
      <w:r>
        <w:rPr>
          <w:rFonts w:hint="eastAsia" w:ascii="宋体" w:hAnsi="宋体" w:cs="宋体"/>
          <w:color w:val="auto"/>
          <w:sz w:val="24"/>
          <w:szCs w:val="24"/>
          <w:highlight w:val="none"/>
        </w:rPr>
        <w:t>D级洁净车间相关规范要求。</w:t>
      </w:r>
    </w:p>
    <w:p>
      <w:pPr>
        <w:pStyle w:val="6"/>
        <w:numPr>
          <w:ilvl w:val="3"/>
          <w:numId w:val="0"/>
        </w:numPr>
        <w:tabs>
          <w:tab w:val="left" w:pos="864"/>
          <w:tab w:val="left" w:pos="2880"/>
        </w:tabs>
        <w:snapToGrid w:val="0"/>
        <w:spacing w:beforeLines="0" w:afterLines="0"/>
        <w:ind w:leftChars="200"/>
        <w:rPr>
          <w:rFonts w:hint="eastAsia" w:ascii="宋体" w:hAnsi="宋体" w:cs="宋体"/>
          <w:color w:val="auto"/>
          <w:sz w:val="24"/>
          <w:szCs w:val="24"/>
          <w:highlight w:val="none"/>
        </w:rPr>
      </w:pPr>
      <w:bookmarkStart w:id="75" w:name="_Toc436744903"/>
      <w:r>
        <w:rPr>
          <w:rFonts w:hint="eastAsia" w:ascii="宋体" w:hAnsi="宋体" w:cs="宋体"/>
          <w:color w:val="auto"/>
          <w:sz w:val="24"/>
          <w:szCs w:val="24"/>
          <w:highlight w:val="none"/>
        </w:rPr>
        <w:t>1.2工程工期目标</w:t>
      </w:r>
      <w:bookmarkEnd w:id="75"/>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根据施工要求及工程特点，精心组织，合理安排施工，在发出开工令之日开工，</w:t>
      </w:r>
      <w:r>
        <w:rPr>
          <w:rFonts w:hint="eastAsia" w:ascii="宋体" w:hAnsi="宋体" w:cs="宋体"/>
          <w:color w:val="auto"/>
          <w:sz w:val="24"/>
          <w:szCs w:val="24"/>
          <w:highlight w:val="none"/>
        </w:rPr>
        <w:t>确保在</w:t>
      </w:r>
      <w:r>
        <w:rPr>
          <w:rFonts w:hint="eastAsia" w:ascii="宋体" w:hAnsi="宋体" w:cs="宋体"/>
          <w:color w:val="auto"/>
          <w:sz w:val="24"/>
          <w:szCs w:val="24"/>
          <w:highlight w:val="none"/>
        </w:rPr>
        <w:t>90日历天</w:t>
      </w:r>
      <w:r>
        <w:rPr>
          <w:rFonts w:hint="eastAsia" w:ascii="宋体" w:hAnsi="宋体" w:cs="宋体"/>
          <w:color w:val="auto"/>
          <w:sz w:val="24"/>
          <w:szCs w:val="24"/>
          <w:highlight w:val="none"/>
        </w:rPr>
        <w:t>（具体是否需要夜间施工及采取赶工措施由承包人自行考虑）</w:t>
      </w:r>
      <w:r>
        <w:rPr>
          <w:rFonts w:hint="eastAsia" w:ascii="宋体" w:hAnsi="宋体" w:cs="宋体"/>
          <w:color w:val="auto"/>
          <w:sz w:val="24"/>
          <w:szCs w:val="24"/>
          <w:highlight w:val="none"/>
        </w:rPr>
        <w:t>内完成所有施工内容，并且整体工程竣工验收。</w:t>
      </w:r>
    </w:p>
    <w:p>
      <w:pPr>
        <w:snapToGrid w:val="0"/>
        <w:spacing w:line="360" w:lineRule="auto"/>
        <w:ind w:firstLine="480" w:firstLineChars="200"/>
        <w:rPr>
          <w:rFonts w:hint="eastAsia" w:ascii="宋体" w:hAnsi="宋体" w:cs="宋体"/>
          <w:color w:val="auto"/>
          <w:sz w:val="24"/>
          <w:szCs w:val="24"/>
          <w:highlight w:val="none"/>
        </w:rPr>
      </w:pPr>
      <w:bookmarkStart w:id="76" w:name="_Toc436744904"/>
      <w:r>
        <w:rPr>
          <w:rFonts w:hint="eastAsia" w:ascii="宋体" w:hAnsi="宋体" w:cs="宋体"/>
          <w:color w:val="auto"/>
          <w:sz w:val="24"/>
          <w:szCs w:val="24"/>
          <w:highlight w:val="none"/>
        </w:rPr>
        <w:t>1.3工程职业健康安全管理目标</w:t>
      </w:r>
      <w:bookmarkEnd w:id="76"/>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按照一体化管理的要求制订项目职业健康安全管理目标及职业健康安全管理目标分解表：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工程职业健康安全管理目标：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（1）杜绝因工死亡和永久性伤残事故；</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（2）杜绝职业病、职业中毒的发生；</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（3）杜绝重大安全事故；</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（4）杜绝重大火灾、交通事故；</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（5）杜绝重大设备事故；</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（6）全年一般综合事故控制在10‰以内；</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（7）安全无负面社会影响。</w:t>
      </w:r>
    </w:p>
    <w:p>
      <w:pPr>
        <w:pStyle w:val="6"/>
        <w:numPr>
          <w:ilvl w:val="3"/>
          <w:numId w:val="0"/>
        </w:numPr>
        <w:tabs>
          <w:tab w:val="left" w:pos="864"/>
          <w:tab w:val="left" w:pos="2880"/>
        </w:tabs>
        <w:snapToGrid w:val="0"/>
        <w:spacing w:beforeLines="0" w:afterLines="0"/>
        <w:ind w:leftChars="200"/>
        <w:rPr>
          <w:rFonts w:hint="eastAsia" w:ascii="宋体" w:hAnsi="宋体" w:cs="宋体"/>
          <w:color w:val="auto"/>
          <w:sz w:val="24"/>
          <w:szCs w:val="24"/>
          <w:highlight w:val="none"/>
        </w:rPr>
      </w:pPr>
      <w:bookmarkStart w:id="77" w:name="_Toc436744905"/>
      <w:r>
        <w:rPr>
          <w:rFonts w:hint="eastAsia" w:ascii="宋体" w:hAnsi="宋体" w:cs="宋体"/>
          <w:color w:val="auto"/>
          <w:sz w:val="24"/>
          <w:szCs w:val="24"/>
          <w:highlight w:val="none"/>
        </w:rPr>
        <w:t>1.4文明施工目标</w:t>
      </w:r>
      <w:bookmarkEnd w:id="77"/>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严格贯彻建设单位EHS相关管理要求，动火等特殊作业需办理作业许可证。</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采用有效措施杜绝在各施工阶段出现的扬尘污染。</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施工现场全封闭，施工人员及材料运输走专用式通道。</w:t>
      </w:r>
    </w:p>
    <w:p>
      <w:pPr>
        <w:pStyle w:val="6"/>
        <w:numPr>
          <w:ilvl w:val="3"/>
          <w:numId w:val="0"/>
        </w:numPr>
        <w:tabs>
          <w:tab w:val="left" w:pos="864"/>
          <w:tab w:val="left" w:pos="2880"/>
        </w:tabs>
        <w:snapToGrid w:val="0"/>
        <w:spacing w:beforeLines="0" w:afterLines="0"/>
        <w:ind w:leftChars="200"/>
        <w:rPr>
          <w:rFonts w:hint="eastAsia" w:ascii="宋体" w:hAnsi="宋体" w:cs="宋体"/>
          <w:color w:val="auto"/>
          <w:sz w:val="24"/>
          <w:szCs w:val="24"/>
          <w:highlight w:val="none"/>
        </w:rPr>
      </w:pPr>
      <w:bookmarkStart w:id="78" w:name="_Toc436744906"/>
      <w:r>
        <w:rPr>
          <w:rFonts w:hint="eastAsia" w:ascii="宋体" w:hAnsi="宋体" w:cs="宋体"/>
          <w:color w:val="auto"/>
          <w:sz w:val="24"/>
          <w:szCs w:val="24"/>
          <w:highlight w:val="none"/>
        </w:rPr>
        <w:t>1.5工程环境管理目标</w:t>
      </w:r>
      <w:bookmarkEnd w:id="78"/>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严格按照一体化管理的要求，强化施工现场环境管理，制订项目环境管理目标。  </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（1）施工噪音排放符合《建筑施工场界噪音限值》；  </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（2）产生的废弃物分类收集、统一处理、减少对环境的影响；</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（3）粉尘排放标准：工作场所粉尘符合《大气污染物综合排放标准》，即：空气中的颗粒物≤1.0mg/m3；  </w:t>
      </w:r>
    </w:p>
    <w:p>
      <w:pPr>
        <w:pStyle w:val="4"/>
        <w:tabs>
          <w:tab w:val="left" w:pos="425"/>
        </w:tabs>
        <w:snapToGrid w:val="0"/>
        <w:spacing w:before="0"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2、施工平面布置和安排</w:t>
      </w:r>
      <w:bookmarkEnd w:id="71"/>
      <w:bookmarkEnd w:id="72"/>
      <w:bookmarkEnd w:id="73"/>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2.1布置原则</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装饰现场施工平面图按划定范围内布置，按分区规划，方便管理的原则，合理布置生活、办公区和物料堆放场及仓库、临时施工道路、临时用水用电管道线路等临时设施，布置必须符合标准化管理规范要求，遵守国家《建设工程施工现场管理规范》和地方相关的法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项目经理对施工现场管理做到文明施工，安全有序，整洁卫生，不扰民，不损害公众利益，并经常巡视检查，认真听取邻近公众的意见和反映，及时抓好整改，维护企业形象。</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2.2规划要求</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（1）施工临电：按业主指定接驳点接入施工现场，采用三相五线制、三级配电、设置总配电箱二三级配电箱并符合“一箱一机一闸一漏”规定。</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（2）施工临水：按业主指定接驳点接入施工现场。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（3）施工临排：按业主指定接驳点，分类排放。</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（4）垂直运输：按业主指定室内电梯（按要求做好轿厢保护措施、设专职电梯司机）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施工区域及施工通道：施工场地实行封闭管理，进入大楼内施工通道须设置大门并设置相关安全管理制度、安全管理标识等、施工场地内配置足够的防火设施；现场不设置饭堂、工人宿舍及卫生间(按业主指定位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（6）施工人员管理：按业主要求须提供花名册、照片及身份证复印件办理出入证，须配备有企业标识安全帽及反光衣按业主指定通道进入施工现场。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（7）材料进场及堆放：材料每天17：30才能进入园区，按业主规定临时堆放点整齐堆放，第二天8：00前必须转运至施工区域。</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（8）垃圾清运：施工区域垃圾必须每天工完场清，17：30-第二天8：00间外运。</w:t>
      </w:r>
    </w:p>
    <w:p>
      <w:pPr>
        <w:pStyle w:val="6"/>
        <w:numPr>
          <w:ilvl w:val="3"/>
          <w:numId w:val="0"/>
        </w:numPr>
        <w:tabs>
          <w:tab w:val="left" w:pos="864"/>
          <w:tab w:val="left" w:pos="2880"/>
        </w:tabs>
        <w:snapToGrid w:val="0"/>
        <w:spacing w:beforeLines="0" w:afterLines="0"/>
        <w:ind w:leftChars="200"/>
        <w:rPr>
          <w:rFonts w:hint="eastAsia" w:ascii="宋体" w:hAnsi="宋体" w:cs="宋体"/>
          <w:b/>
          <w:bCs/>
          <w:color w:val="auto"/>
          <w:sz w:val="24"/>
          <w:szCs w:val="24"/>
          <w:highlight w:val="none"/>
        </w:rPr>
      </w:pPr>
      <w:bookmarkStart w:id="79" w:name="_Toc436744908"/>
      <w:r>
        <w:rPr>
          <w:rFonts w:hint="eastAsia" w:ascii="宋体" w:hAnsi="宋体" w:cs="宋体"/>
          <w:b/>
          <w:bCs/>
          <w:color w:val="auto"/>
          <w:sz w:val="24"/>
          <w:szCs w:val="24"/>
          <w:highlight w:val="none"/>
        </w:rPr>
        <w:t>3、项目部管理人员</w:t>
      </w:r>
      <w:bookmarkEnd w:id="79"/>
      <w:r>
        <w:rPr>
          <w:rFonts w:hint="eastAsia" w:ascii="宋体" w:hAnsi="宋体" w:cs="宋体"/>
          <w:b/>
          <w:bCs/>
          <w:color w:val="auto"/>
          <w:sz w:val="24"/>
          <w:szCs w:val="24"/>
          <w:highlight w:val="none"/>
        </w:rPr>
        <w:t>要求</w:t>
      </w:r>
    </w:p>
    <w:p>
      <w:pPr>
        <w:snapToGrid w:val="0"/>
        <w:spacing w:line="360" w:lineRule="auto"/>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3.1项目管理机构人员配置要求表</w:t>
      </w:r>
    </w:p>
    <w:p>
      <w:pPr>
        <w:snapToGrid w:val="0"/>
        <w:spacing w:line="360" w:lineRule="auto"/>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详招标文件要求。</w:t>
      </w:r>
    </w:p>
    <w:p>
      <w:pPr>
        <w:pStyle w:val="6"/>
        <w:numPr>
          <w:ilvl w:val="3"/>
          <w:numId w:val="0"/>
        </w:numPr>
        <w:tabs>
          <w:tab w:val="left" w:pos="864"/>
          <w:tab w:val="left" w:pos="2880"/>
        </w:tabs>
        <w:snapToGrid w:val="0"/>
        <w:spacing w:beforeLines="0" w:afterLines="0"/>
        <w:ind w:leftChars="200"/>
        <w:rPr>
          <w:rFonts w:hint="eastAsia" w:ascii="宋体" w:hAnsi="宋体" w:cs="宋体"/>
          <w:color w:val="auto"/>
          <w:sz w:val="24"/>
          <w:szCs w:val="24"/>
          <w:highlight w:val="none"/>
        </w:rPr>
      </w:pPr>
      <w:bookmarkStart w:id="80" w:name="_Toc436744909"/>
      <w:r>
        <w:rPr>
          <w:rFonts w:hint="eastAsia" w:ascii="宋体" w:hAnsi="宋体" w:cs="宋体"/>
          <w:color w:val="auto"/>
          <w:sz w:val="24"/>
          <w:szCs w:val="24"/>
          <w:highlight w:val="none"/>
        </w:rPr>
        <w:t>3.2管理模式与组织结构</w:t>
      </w:r>
      <w:bookmarkEnd w:id="8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要求按“项目法”施工模式实施管理。项目经理部对工程质量、进度、安全、文明施工和经济效益等方面全面负责。人员配置要求应满足《项目管理机构人员配置要求表》要求。</w:t>
      </w:r>
    </w:p>
    <w:p>
      <w:pPr>
        <w:pStyle w:val="6"/>
        <w:numPr>
          <w:ilvl w:val="3"/>
          <w:numId w:val="0"/>
        </w:numPr>
        <w:tabs>
          <w:tab w:val="left" w:pos="864"/>
          <w:tab w:val="left" w:pos="2880"/>
        </w:tabs>
        <w:snapToGrid w:val="0"/>
        <w:spacing w:beforeLines="0" w:afterLines="0"/>
        <w:ind w:leftChars="200"/>
        <w:rPr>
          <w:rFonts w:hint="eastAsia" w:ascii="宋体" w:hAnsi="宋体" w:cs="宋体"/>
          <w:color w:val="auto"/>
          <w:sz w:val="24"/>
          <w:szCs w:val="24"/>
          <w:highlight w:val="none"/>
        </w:rPr>
      </w:pPr>
      <w:bookmarkStart w:id="81" w:name="_Toc436744910"/>
      <w:r>
        <w:rPr>
          <w:rFonts w:hint="eastAsia" w:ascii="宋体" w:hAnsi="宋体" w:cs="宋体"/>
          <w:color w:val="auto"/>
          <w:sz w:val="24"/>
          <w:szCs w:val="24"/>
          <w:highlight w:val="none"/>
        </w:rPr>
        <w:t>3.3管理职责</w:t>
      </w:r>
      <w:bookmarkEnd w:id="81"/>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（1）项目</w:t>
      </w:r>
      <w:r>
        <w:rPr>
          <w:rFonts w:hint="eastAsia" w:ascii="宋体" w:hAnsi="宋体" w:cs="宋体"/>
          <w:color w:val="auto"/>
          <w:sz w:val="24"/>
          <w:szCs w:val="24"/>
          <w:highlight w:val="none"/>
          <w:lang w:val="en-US" w:eastAsia="zh-CN"/>
        </w:rPr>
        <w:t>管理</w:t>
      </w:r>
      <w:r>
        <w:rPr>
          <w:rFonts w:hint="eastAsia" w:ascii="宋体" w:hAnsi="宋体" w:cs="宋体"/>
          <w:color w:val="auto"/>
          <w:sz w:val="24"/>
          <w:szCs w:val="24"/>
          <w:highlight w:val="none"/>
        </w:rPr>
        <w:t>部职责：全面负责现场施工组织管理工作，强化内部管理，按施工图纸、施工方案精心组织施工；编制各项工作实施计划，高标准、严要求，抓好技术、质量、安全和文明施工；管理好制作、运输、安装等工序的交叉作业；落实各项准备工作；贯彻各项制度和措施；搞好各项成本核算；控制好施工进度，确保工程总体目标的全面实现。</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（2）项目</w:t>
      </w:r>
      <w:r>
        <w:rPr>
          <w:rFonts w:hint="eastAsia" w:ascii="宋体" w:hAnsi="宋体" w:cs="宋体"/>
          <w:color w:val="auto"/>
          <w:sz w:val="24"/>
          <w:szCs w:val="24"/>
          <w:highlight w:val="none"/>
          <w:lang w:val="en-US" w:eastAsia="zh-CN"/>
        </w:rPr>
        <w:t>负责人</w:t>
      </w:r>
      <w:r>
        <w:rPr>
          <w:rFonts w:hint="eastAsia" w:ascii="宋体" w:hAnsi="宋体" w:cs="宋体"/>
          <w:color w:val="auto"/>
          <w:sz w:val="24"/>
          <w:szCs w:val="24"/>
          <w:highlight w:val="none"/>
        </w:rPr>
        <w:t>责职：全面负责本项目工程施工、计划、调度和文明施工管理工作；负责与企业管理层、劳务作业层、业主、监理、总包等协调，解决项目施工中出现的问题；建立质量体系和安全管理体系并组织实施；落实岗位责任制，根据岗位责任制，对管理人员的进度、质量、成本、安全等责任目标进行检查、考核和奖惩，定期组织劳务作业层施工人口进行质量、安全意识教育，进行现场文明施工管理，发现和处理突发事件。协助企业进行项目的检查、鉴定，维护企业形象。</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项目技术负责人责职：主持项目的技术管理工作，执行国家技术政策和企业的技术管理制度，制定项目技术管理工作计划，参与施工图设计会审，提出设计完善意见。主持项目部内部施工图审核，形成审核会议纪录；提出的有关施工方案、技术措施及设计变更要求，在执行前向执行班组进行书面技术交底；负责项目施工各项技术资料的签证、收集、整理和归档。</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（4）施工</w:t>
      </w:r>
      <w:r>
        <w:rPr>
          <w:rFonts w:hint="eastAsia" w:ascii="宋体" w:hAnsi="宋体" w:cs="宋体"/>
          <w:color w:val="auto"/>
          <w:sz w:val="24"/>
          <w:szCs w:val="24"/>
          <w:highlight w:val="none"/>
          <w:lang w:val="en-US" w:eastAsia="zh-CN"/>
        </w:rPr>
        <w:t>管理人</w:t>
      </w:r>
      <w:r>
        <w:rPr>
          <w:rFonts w:hint="eastAsia" w:ascii="宋体" w:hAnsi="宋体" w:cs="宋体"/>
          <w:color w:val="auto"/>
          <w:sz w:val="24"/>
          <w:szCs w:val="24"/>
          <w:highlight w:val="none"/>
        </w:rPr>
        <w:t>员责职：负责实施项目工程进度计划和质量计划，全面完成各项技术经济指标；编制关键工序、特殊工程作业指导书，组织技术攻关，交流技术经验；组织全体施工人员进行岗位知识轮训，并保存培训纪录；制定合理的劳动力使用计划，保证各工种的各类技工配套均衡，对执行进度计划的目标、任务进行监督、考核；定期召开质量、进度分析会议，分析在施工中出现的工程质量、进度问题，制定解决措施，落实班组整改，对潜在的影响工程质量、进度因素和质量通病，采取预防措施。</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认真学习各类定额、文件和政策法规，收集整理施工中测量、试验等原始资料，编制施工预算，竣工决算，按上级有关标准搞好项目的技术档案资料管理工作。</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（5）安全</w:t>
      </w:r>
      <w:r>
        <w:rPr>
          <w:rFonts w:hint="eastAsia" w:ascii="宋体" w:hAnsi="宋体" w:cs="宋体"/>
          <w:color w:val="auto"/>
          <w:sz w:val="24"/>
          <w:szCs w:val="24"/>
          <w:highlight w:val="none"/>
          <w:lang w:val="en-US" w:eastAsia="zh-CN"/>
        </w:rPr>
        <w:t>管理人</w:t>
      </w:r>
      <w:r>
        <w:rPr>
          <w:rFonts w:hint="eastAsia" w:ascii="宋体" w:hAnsi="宋体" w:cs="宋体"/>
          <w:color w:val="auto"/>
          <w:sz w:val="24"/>
          <w:szCs w:val="24"/>
          <w:highlight w:val="none"/>
        </w:rPr>
        <w:t>员责职：认真学习国家和地方安全生产法规、条例、标准和章程，负责项目现场安全生产的日常管理工作，定期对全体施工人员进行安全交底和安全教育，落实安全设施的设置和检查，对施工全过程的安全生产进行监督，排除安全隐患，纠正违章作业，配合有关部门对施工作业人员进行安全规程培训，监督劳保用品的质量和正确使用，组织全员安全活动，开展安全竞赛，提高全体施工作业人员的安全意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（6）材料</w:t>
      </w:r>
      <w:r>
        <w:rPr>
          <w:rFonts w:hint="eastAsia" w:ascii="宋体" w:hAnsi="宋体" w:cs="宋体"/>
          <w:color w:val="auto"/>
          <w:sz w:val="24"/>
          <w:szCs w:val="24"/>
          <w:highlight w:val="none"/>
          <w:lang w:val="en-US" w:eastAsia="zh-CN"/>
        </w:rPr>
        <w:t>管理人</w:t>
      </w:r>
      <w:r>
        <w:rPr>
          <w:rFonts w:hint="eastAsia" w:ascii="宋体" w:hAnsi="宋体" w:cs="宋体"/>
          <w:color w:val="auto"/>
          <w:sz w:val="24"/>
          <w:szCs w:val="24"/>
          <w:highlight w:val="none"/>
        </w:rPr>
        <w:t>员责职：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做好材料计划管理工作，安排日、月、季的种类主材、辅材需用量的供货计划并及时供货到场；加强现场管理，控制材料使用，保证帐、物相符，帐单、卡数据一致，完善材料节约措施，组织材料的回收和结清。</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所有材料采购前应提供供货厂家、有关文本及样品，经发包方、监理方、设计方审查同意后方可订货。如事后发现不合格材料和不符合设计、招标文件、投标书承诺及封样要求的材料，监理工程师和发包人代表将拒绝使用，承包人应负责无条件更换或返工，并承担由此发生的费用和工期损失。</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③用于本工程的所有装饰材料必须达到国家对该装饰材料的环保和防火检验要求，有产品合格证和质量保证书，并符合国家技术标准。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认真执行上级颁布的有关机械机具管理条例和规章制度，建立相应的项目部机械机具使用制度，搞好机械机具的日常维护和合理使用。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4、施工要求：</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4.1建立施工方案先行制度</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4.2建立材料、设备样板制度，经设计、监理、业主确认后方可订货；</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4.3建立材料进场报验制度</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4.4建立饰面材料排版深化制度</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4.5建立施工样板先行制度</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4.6建立成品保护制度</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4.7建立安全文明施工管理制度</w:t>
      </w:r>
    </w:p>
    <w:p>
      <w:pPr>
        <w:snapToGrid w:val="0"/>
        <w:spacing w:line="360" w:lineRule="auto"/>
        <w:ind w:firstLine="496" w:firstLineChars="200"/>
        <w:rPr>
          <w:rFonts w:hint="eastAsia" w:ascii="宋体" w:hAnsi="宋体" w:cs="宋体"/>
          <w:color w:val="auto"/>
          <w:sz w:val="24"/>
          <w:szCs w:val="24"/>
          <w:highlight w:val="none"/>
        </w:rPr>
      </w:pPr>
      <w:r>
        <w:rPr>
          <w:rFonts w:hint="eastAsia" w:ascii="宋体" w:hAnsi="宋体" w:cs="宋体"/>
          <w:snapToGrid w:val="0"/>
          <w:color w:val="auto"/>
          <w:spacing w:val="4"/>
          <w:sz w:val="24"/>
          <w:szCs w:val="24"/>
          <w:highlight w:val="none"/>
        </w:rPr>
        <w:t>4.8</w:t>
      </w:r>
      <w:r>
        <w:rPr>
          <w:rFonts w:hint="eastAsia" w:ascii="宋体" w:hAnsi="宋体" w:cs="宋体"/>
          <w:color w:val="auto"/>
          <w:sz w:val="24"/>
          <w:szCs w:val="24"/>
          <w:highlight w:val="none"/>
        </w:rPr>
        <w:t>建立工程例会制度</w:t>
      </w:r>
    </w:p>
    <w:p>
      <w:pPr>
        <w:numPr>
          <w:ilvl w:val="0"/>
          <w:numId w:val="4"/>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照明、空调系统、纯化水系统技术要求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1、照明：洁净区主要工作室一般照明的照度值不宜低于300lx，辅助工作室、走廊、气闸室、人员净化和物料净化用室的照度值不宜低于300lx。</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2、空调系统：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2.1洁净区环境要求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49"/>
        <w:gridCol w:w="726"/>
        <w:gridCol w:w="420"/>
        <w:gridCol w:w="535"/>
        <w:gridCol w:w="820"/>
        <w:gridCol w:w="721"/>
        <w:gridCol w:w="1237"/>
        <w:gridCol w:w="1238"/>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09" w:type="dxa"/>
            <w:vMerge w:val="restart"/>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洁净级别</w:t>
            </w:r>
          </w:p>
        </w:tc>
        <w:tc>
          <w:tcPr>
            <w:tcW w:w="849" w:type="dxa"/>
            <w:vMerge w:val="restart"/>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温度</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726" w:type="dxa"/>
            <w:vMerge w:val="restart"/>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湿度</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420" w:type="dxa"/>
            <w:vMerge w:val="restart"/>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压差</w:t>
            </w:r>
          </w:p>
        </w:tc>
        <w:tc>
          <w:tcPr>
            <w:tcW w:w="2076" w:type="dxa"/>
            <w:gridSpan w:val="3"/>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悬浮粒子数（粒/m3）</w:t>
            </w:r>
          </w:p>
        </w:tc>
        <w:tc>
          <w:tcPr>
            <w:tcW w:w="3304" w:type="dxa"/>
            <w:gridSpan w:val="3"/>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微生物最大允许数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909" w:type="dxa"/>
            <w:vMerge w:val="continue"/>
            <w:noWrap w:val="0"/>
            <w:vAlign w:val="center"/>
          </w:tcPr>
          <w:p>
            <w:pPr>
              <w:jc w:val="center"/>
              <w:rPr>
                <w:rFonts w:hint="eastAsia" w:ascii="宋体" w:hAnsi="宋体" w:cs="宋体"/>
                <w:color w:val="auto"/>
                <w:sz w:val="24"/>
                <w:szCs w:val="24"/>
                <w:highlight w:val="none"/>
              </w:rPr>
            </w:pPr>
          </w:p>
        </w:tc>
        <w:tc>
          <w:tcPr>
            <w:tcW w:w="849" w:type="dxa"/>
            <w:vMerge w:val="continue"/>
            <w:noWrap w:val="0"/>
            <w:vAlign w:val="center"/>
          </w:tcPr>
          <w:p>
            <w:pPr>
              <w:jc w:val="center"/>
              <w:rPr>
                <w:rFonts w:hint="eastAsia" w:ascii="宋体" w:hAnsi="宋体" w:cs="宋体"/>
                <w:color w:val="auto"/>
                <w:sz w:val="24"/>
                <w:szCs w:val="24"/>
                <w:highlight w:val="none"/>
              </w:rPr>
            </w:pPr>
          </w:p>
        </w:tc>
        <w:tc>
          <w:tcPr>
            <w:tcW w:w="726" w:type="dxa"/>
            <w:vMerge w:val="continue"/>
            <w:noWrap w:val="0"/>
            <w:vAlign w:val="center"/>
          </w:tcPr>
          <w:p>
            <w:pPr>
              <w:jc w:val="center"/>
              <w:rPr>
                <w:rFonts w:hint="eastAsia" w:ascii="宋体" w:hAnsi="宋体" w:cs="宋体"/>
                <w:color w:val="auto"/>
                <w:sz w:val="24"/>
                <w:szCs w:val="24"/>
                <w:highlight w:val="none"/>
              </w:rPr>
            </w:pPr>
          </w:p>
        </w:tc>
        <w:tc>
          <w:tcPr>
            <w:tcW w:w="420" w:type="dxa"/>
            <w:vMerge w:val="continue"/>
            <w:noWrap w:val="0"/>
            <w:vAlign w:val="center"/>
          </w:tcPr>
          <w:p>
            <w:pPr>
              <w:jc w:val="center"/>
              <w:rPr>
                <w:rFonts w:hint="eastAsia" w:ascii="宋体" w:hAnsi="宋体" w:cs="宋体"/>
                <w:color w:val="auto"/>
                <w:sz w:val="24"/>
                <w:szCs w:val="24"/>
                <w:highlight w:val="none"/>
              </w:rPr>
            </w:pPr>
          </w:p>
        </w:tc>
        <w:tc>
          <w:tcPr>
            <w:tcW w:w="53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换气次数</w:t>
            </w:r>
          </w:p>
        </w:tc>
        <w:tc>
          <w:tcPr>
            <w:tcW w:w="820"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≥0.5μm</w:t>
            </w:r>
          </w:p>
        </w:tc>
        <w:tc>
          <w:tcPr>
            <w:tcW w:w="721"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≥5μm</w:t>
            </w:r>
          </w:p>
        </w:tc>
        <w:tc>
          <w:tcPr>
            <w:tcW w:w="1237"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沉降菌</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（Φ90mm）</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（CFU/4h）</w:t>
            </w:r>
          </w:p>
        </w:tc>
        <w:tc>
          <w:tcPr>
            <w:tcW w:w="1238"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浮游菌（CFU/m3）</w:t>
            </w:r>
          </w:p>
        </w:tc>
        <w:tc>
          <w:tcPr>
            <w:tcW w:w="82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表面微生物（接触碟）</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（Φ55mm）</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（CFU/碟）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0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D级</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100,000级（Class 8）</w:t>
            </w:r>
          </w:p>
        </w:tc>
        <w:tc>
          <w:tcPr>
            <w:tcW w:w="84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18-26</w:t>
            </w:r>
          </w:p>
        </w:tc>
        <w:tc>
          <w:tcPr>
            <w:tcW w:w="72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45-65</w:t>
            </w:r>
          </w:p>
        </w:tc>
        <w:tc>
          <w:tcPr>
            <w:tcW w:w="420" w:type="dxa"/>
            <w:vMerge w:val="restart"/>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按图纸要求</w:t>
            </w:r>
          </w:p>
        </w:tc>
        <w:tc>
          <w:tcPr>
            <w:tcW w:w="53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≥15次/h</w:t>
            </w:r>
          </w:p>
        </w:tc>
        <w:tc>
          <w:tcPr>
            <w:tcW w:w="820"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3500000</w:t>
            </w:r>
          </w:p>
        </w:tc>
        <w:tc>
          <w:tcPr>
            <w:tcW w:w="721"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20000</w:t>
            </w:r>
          </w:p>
        </w:tc>
        <w:tc>
          <w:tcPr>
            <w:tcW w:w="1237"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w:t>
            </w:r>
          </w:p>
        </w:tc>
        <w:tc>
          <w:tcPr>
            <w:tcW w:w="1238"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w:t>
            </w:r>
          </w:p>
        </w:tc>
        <w:tc>
          <w:tcPr>
            <w:tcW w:w="82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0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C级</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10,000级</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（Class 7）</w:t>
            </w:r>
          </w:p>
        </w:tc>
        <w:tc>
          <w:tcPr>
            <w:tcW w:w="84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20-24</w:t>
            </w:r>
          </w:p>
        </w:tc>
        <w:tc>
          <w:tcPr>
            <w:tcW w:w="72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45-60</w:t>
            </w:r>
          </w:p>
        </w:tc>
        <w:tc>
          <w:tcPr>
            <w:tcW w:w="420" w:type="dxa"/>
            <w:vMerge w:val="continue"/>
            <w:noWrap w:val="0"/>
            <w:vAlign w:val="center"/>
          </w:tcPr>
          <w:p>
            <w:pPr>
              <w:jc w:val="center"/>
              <w:rPr>
                <w:rFonts w:hint="eastAsia" w:ascii="宋体" w:hAnsi="宋体" w:cs="宋体"/>
                <w:color w:val="auto"/>
                <w:sz w:val="24"/>
                <w:szCs w:val="24"/>
                <w:highlight w:val="none"/>
              </w:rPr>
            </w:pPr>
          </w:p>
        </w:tc>
        <w:tc>
          <w:tcPr>
            <w:tcW w:w="53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≥20次/h</w:t>
            </w:r>
          </w:p>
        </w:tc>
        <w:tc>
          <w:tcPr>
            <w:tcW w:w="820"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350000</w:t>
            </w:r>
          </w:p>
        </w:tc>
        <w:tc>
          <w:tcPr>
            <w:tcW w:w="721"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2000</w:t>
            </w:r>
          </w:p>
        </w:tc>
        <w:tc>
          <w:tcPr>
            <w:tcW w:w="1237"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50</w:t>
            </w:r>
          </w:p>
        </w:tc>
        <w:tc>
          <w:tcPr>
            <w:tcW w:w="1238"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w:t>
            </w:r>
          </w:p>
        </w:tc>
        <w:tc>
          <w:tcPr>
            <w:tcW w:w="82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25</w:t>
            </w:r>
          </w:p>
        </w:tc>
      </w:tr>
    </w:tbl>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2.2臭氧消毒要求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在臭氧发生器开启后30min内，洁净室内臭氧浓度可达到20mg/</w:t>
      </w:r>
      <w:r>
        <w:rPr>
          <w:rFonts w:hint="eastAsia" w:ascii="宋体" w:hAnsi="宋体" w:cs="宋体"/>
          <w:i w:val="0"/>
          <w:color w:val="auto"/>
          <w:sz w:val="24"/>
          <w:szCs w:val="24"/>
          <w:highlight w:val="none"/>
          <w:lang w:val="en-US" w:eastAsia="zh-CN"/>
        </w:rPr>
        <w:t>m</w:t>
      </w:r>
      <w:r>
        <w:rPr>
          <w:rFonts w:hint="eastAsia" w:ascii="宋体" w:hAnsi="宋体" w:cs="宋体"/>
          <w:i w:val="0"/>
          <w:color w:val="auto"/>
          <w:sz w:val="24"/>
          <w:szCs w:val="24"/>
          <w:highlight w:val="none"/>
          <w:vertAlign w:val="superscript"/>
          <w:lang w:val="en-US" w:eastAsia="zh-CN"/>
        </w:rPr>
        <w:t>3</w:t>
      </w:r>
      <w:r>
        <w:rPr>
          <w:rFonts w:hint="eastAsia" w:ascii="宋体" w:hAnsi="宋体" w:cs="宋体"/>
          <w:color w:val="auto"/>
          <w:sz w:val="24"/>
          <w:szCs w:val="24"/>
          <w:highlight w:val="none"/>
        </w:rPr>
        <w:t>。在洁净区采样房间内浓度≥20mg/</w:t>
      </w:r>
      <w:r>
        <w:rPr>
          <w:rFonts w:hint="eastAsia" w:ascii="宋体" w:hAnsi="宋体" w:cs="宋体"/>
          <w:color w:val="auto"/>
          <w:sz w:val="24"/>
          <w:szCs w:val="24"/>
          <w:highlight w:val="none"/>
          <w:lang w:val="en-US" w:eastAsia="zh-CN"/>
        </w:rPr>
        <w:t>m</w:t>
      </w:r>
      <w:r>
        <w:rPr>
          <w:rFonts w:hint="eastAsia" w:ascii="宋体" w:hAnsi="宋体" w:cs="宋体"/>
          <w:color w:val="auto"/>
          <w:sz w:val="24"/>
          <w:szCs w:val="24"/>
          <w:highlight w:val="none"/>
          <w:vertAlign w:val="superscript"/>
          <w:lang w:val="en-US" w:eastAsia="zh-CN"/>
        </w:rPr>
        <w:t>3</w:t>
      </w:r>
      <w:r>
        <w:rPr>
          <w:rFonts w:hint="eastAsia" w:ascii="宋体" w:hAnsi="宋体" w:cs="宋体"/>
          <w:color w:val="auto"/>
          <w:sz w:val="24"/>
          <w:szCs w:val="24"/>
          <w:highlight w:val="none"/>
        </w:rPr>
        <w:t>时开始计时，直到臭氧发生器停止工作，持续时间应≥30min。</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洁净空调系统及臭氧消毒系统安装调试完成后，承包人需委托有资质的第三方机构进行检测，确保系统满足上述要求。</w:t>
      </w:r>
    </w:p>
    <w:p>
      <w:pPr>
        <w:numPr>
          <w:ilvl w:val="0"/>
          <w:numId w:val="5"/>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纯化水水质要求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3.1符合《中国药典》（2020年版）的要求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416"/>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b/>
                <w:bCs/>
                <w:color w:val="auto"/>
                <w:szCs w:val="24"/>
                <w:highlight w:val="none"/>
              </w:rPr>
              <w:t>序号</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b/>
                <w:bCs/>
                <w:color w:val="auto"/>
                <w:szCs w:val="24"/>
                <w:highlight w:val="none"/>
              </w:rPr>
              <w:t>项目</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b/>
                <w:bCs/>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性状</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无色的澄清液体、无臭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pH/酸碱度</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酸碱度符合要求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3</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氨</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≤0.3μg/ml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4</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不挥发物</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≤1mg/100ml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5</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硝酸盐</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≤0.06μg/ml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6</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亚硝酸盐</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≤0.02μg/ml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7</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重金属</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≤0.1μg/ml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8</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易氧化物</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9</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总有机碳</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10</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电导率</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符合规定（一步法测定/内插法）（25℃时为5.1μS/cm）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11</w:t>
            </w:r>
          </w:p>
        </w:tc>
        <w:tc>
          <w:tcPr>
            <w:tcW w:w="0" w:type="auto"/>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微生物限度</w:t>
            </w:r>
          </w:p>
        </w:tc>
        <w:tc>
          <w:tcPr>
            <w:tcW w:w="4052" w:type="dxa"/>
            <w:noWrap w:val="0"/>
            <w:vAlign w:val="center"/>
          </w:tcPr>
          <w:p>
            <w:pPr>
              <w:pStyle w:val="32"/>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需氧菌总数≤100CFU/ml</w:t>
            </w:r>
          </w:p>
        </w:tc>
      </w:tr>
    </w:tbl>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3.2电导率和微生物限度的合格限、警戒限、纠偏限，纯化水系统产水电导率和微生物限度应能长期稳定在警戒限以下。</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5"/>
        <w:gridCol w:w="1882"/>
        <w:gridCol w:w="1968"/>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60" w:type="pct"/>
            <w:vMerge w:val="restar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取水点</w:t>
            </w:r>
          </w:p>
        </w:tc>
        <w:tc>
          <w:tcPr>
            <w:tcW w:w="3138" w:type="pct"/>
            <w:gridSpan w:val="3"/>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电导率（25℃）（μS/cm）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60" w:type="pct"/>
            <w:vMerge w:val="continue"/>
            <w:noWrap w:val="0"/>
            <w:vAlign w:val="center"/>
          </w:tcPr>
          <w:p>
            <w:pPr>
              <w:pStyle w:val="32"/>
              <w:widowControl/>
              <w:jc w:val="center"/>
              <w:rPr>
                <w:rFonts w:hint="eastAsia" w:ascii="宋体" w:hAnsi="宋体" w:cs="宋体"/>
                <w:color w:val="auto"/>
                <w:szCs w:val="24"/>
                <w:highlight w:val="none"/>
              </w:rPr>
            </w:pPr>
          </w:p>
        </w:tc>
        <w:tc>
          <w:tcPr>
            <w:tcW w:w="1013"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合格限</w:t>
            </w:r>
          </w:p>
        </w:tc>
        <w:tc>
          <w:tcPr>
            <w:tcW w:w="1059"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警戒限</w:t>
            </w:r>
          </w:p>
        </w:tc>
        <w:tc>
          <w:tcPr>
            <w:tcW w:w="1065"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纠偏限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60"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总出水口、总回水口、纯化水箱</w:t>
            </w:r>
          </w:p>
        </w:tc>
        <w:tc>
          <w:tcPr>
            <w:tcW w:w="1013"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不大于5.1</w:t>
            </w:r>
          </w:p>
        </w:tc>
        <w:tc>
          <w:tcPr>
            <w:tcW w:w="1059"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不大于1.88</w:t>
            </w:r>
          </w:p>
        </w:tc>
        <w:tc>
          <w:tcPr>
            <w:tcW w:w="1065"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不大于2.80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60" w:type="pct"/>
            <w:vMerge w:val="restar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取水点</w:t>
            </w:r>
          </w:p>
        </w:tc>
        <w:tc>
          <w:tcPr>
            <w:tcW w:w="3138" w:type="pct"/>
            <w:gridSpan w:val="3"/>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微生物限度(Cfu/mL)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60" w:type="pct"/>
            <w:vMerge w:val="continue"/>
            <w:noWrap w:val="0"/>
            <w:vAlign w:val="center"/>
          </w:tcPr>
          <w:p>
            <w:pPr>
              <w:pStyle w:val="32"/>
              <w:widowControl/>
              <w:jc w:val="center"/>
              <w:rPr>
                <w:rFonts w:hint="eastAsia" w:ascii="宋体" w:hAnsi="宋体" w:cs="宋体"/>
                <w:color w:val="auto"/>
                <w:szCs w:val="24"/>
                <w:highlight w:val="none"/>
              </w:rPr>
            </w:pPr>
          </w:p>
        </w:tc>
        <w:tc>
          <w:tcPr>
            <w:tcW w:w="1013"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合格限</w:t>
            </w:r>
          </w:p>
        </w:tc>
        <w:tc>
          <w:tcPr>
            <w:tcW w:w="1059"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警戒限</w:t>
            </w:r>
          </w:p>
        </w:tc>
        <w:tc>
          <w:tcPr>
            <w:tcW w:w="1065"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纠偏限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60"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总出水口、总回水口、纯化水箱</w:t>
            </w:r>
          </w:p>
        </w:tc>
        <w:tc>
          <w:tcPr>
            <w:tcW w:w="1013"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100</w:t>
            </w:r>
          </w:p>
        </w:tc>
        <w:tc>
          <w:tcPr>
            <w:tcW w:w="1059"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38</w:t>
            </w:r>
          </w:p>
        </w:tc>
        <w:tc>
          <w:tcPr>
            <w:tcW w:w="1065" w:type="pct"/>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44</w:t>
            </w:r>
          </w:p>
        </w:tc>
      </w:tr>
    </w:tbl>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纯化水系统安装完成后承包人需委托有资质的第三方机构进行一次所有取水点的水质检测，确保水质满足上述要求。</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四、主要材料、设备推荐品牌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注：投标人须选用《主要设备、材料拟选用品牌表》中推荐品牌或选用优于或相当于该档次品牌的设备或材料。如中标，项目实施前所有材料品牌选择均须报招标人、监理工程师确认，且经检验合格后方能使用。</w:t>
      </w:r>
    </w:p>
    <w:tbl>
      <w:tblPr>
        <w:tblStyle w:val="38"/>
        <w:tblW w:w="0" w:type="auto"/>
        <w:jc w:val="center"/>
        <w:tblLayout w:type="autofit"/>
        <w:tblCellMar>
          <w:top w:w="0" w:type="dxa"/>
          <w:left w:w="108" w:type="dxa"/>
          <w:bottom w:w="0" w:type="dxa"/>
          <w:right w:w="108" w:type="dxa"/>
        </w:tblCellMar>
      </w:tblPr>
      <w:tblGrid>
        <w:gridCol w:w="696"/>
        <w:gridCol w:w="1416"/>
        <w:gridCol w:w="3273"/>
        <w:gridCol w:w="3903"/>
      </w:tblGrid>
      <w:tr>
        <w:tblPrEx>
          <w:tblCellMar>
            <w:top w:w="0" w:type="dxa"/>
            <w:left w:w="108" w:type="dxa"/>
            <w:bottom w:w="0" w:type="dxa"/>
            <w:right w:w="108" w:type="dxa"/>
          </w:tblCellMar>
        </w:tblPrEx>
        <w:trPr>
          <w:trHeight w:val="282" w:hRule="atLeast"/>
          <w:tblHeader/>
          <w:jc w:val="center"/>
        </w:trPr>
        <w:tc>
          <w:tcPr>
            <w:tcW w:w="0" w:type="auto"/>
            <w:tcBorders>
              <w:top w:val="single" w:color="000000" w:sz="4" w:space="0"/>
              <w:left w:val="single" w:color="000000" w:sz="4" w:space="0"/>
              <w:bottom w:val="single" w:color="000000" w:sz="4" w:space="0"/>
              <w:right w:val="single" w:color="auto"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序号</w:t>
            </w:r>
          </w:p>
        </w:tc>
        <w:tc>
          <w:tcPr>
            <w:tcW w:w="0" w:type="auto"/>
            <w:tcBorders>
              <w:top w:val="single" w:color="000000" w:sz="4" w:space="0"/>
              <w:left w:val="single" w:color="000000" w:sz="4" w:space="0"/>
              <w:bottom w:val="single" w:color="000000" w:sz="4" w:space="0"/>
              <w:right w:val="single" w:color="auto"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材料类型</w:t>
            </w:r>
          </w:p>
        </w:tc>
        <w:tc>
          <w:tcPr>
            <w:tcW w:w="0" w:type="auto"/>
            <w:tcBorders>
              <w:top w:val="single" w:color="000000" w:sz="4" w:space="0"/>
              <w:left w:val="single" w:color="auto"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推荐品牌（参照或相当于）</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0" w:type="auto"/>
            <w:vMerge w:val="restart"/>
            <w:tcBorders>
              <w:top w:val="single" w:color="000000" w:sz="4" w:space="0"/>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装饰材料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墙地面瓷砖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蒙娜丽莎、东鹏、金意陶</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PVC地胶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LG、KCC、Gerflor</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3</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墙面涂料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三棵树、立邦、多乐士</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4</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75厚手工玻镁彩钢板（天花及墙面）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华翱洁净、林森净化、莱润</w:t>
            </w:r>
          </w:p>
        </w:tc>
      </w:tr>
      <w:tr>
        <w:tblPrEx>
          <w:tblCellMar>
            <w:top w:w="0" w:type="dxa"/>
            <w:left w:w="108" w:type="dxa"/>
            <w:bottom w:w="0" w:type="dxa"/>
            <w:right w:w="108" w:type="dxa"/>
          </w:tblCellMar>
        </w:tblPrEx>
        <w:trPr>
          <w:trHeight w:val="3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5</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传递窗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AAF、无锡零界、联合德艺</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6</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钢制防火门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桂安消防、永安、联塑安防、南粤</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7</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钢质洁净门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易众、苏州林森、华翱</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8</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设备安全门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易众、林森净化、华翱</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9</w:t>
            </w:r>
          </w:p>
        </w:tc>
        <w:tc>
          <w:tcPr>
            <w:tcW w:w="0" w:type="auto"/>
            <w:vMerge w:val="continue"/>
            <w:tcBorders>
              <w:left w:val="single" w:color="000000" w:sz="4" w:space="0"/>
              <w:bottom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中空玻璃观察视窗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易众、林森净化、华翱</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10</w:t>
            </w:r>
          </w:p>
        </w:tc>
        <w:tc>
          <w:tcPr>
            <w:tcW w:w="0" w:type="auto"/>
            <w:vMerge w:val="restart"/>
            <w:tcBorders>
              <w:top w:val="single" w:color="000000" w:sz="4" w:space="0"/>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电气材料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镀锌桥架、线管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吉博力、瓦希、伟星、金牛、桥鑫、宏际</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11</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电缆、电线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天虹、广州电缆厂、南洋</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12</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普通灯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飞利浦、欧司朗、欧普</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13</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洁净灯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飞利浦、松下、中工通明</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14</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开关插座、面板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西门子、施耐德、罗格朗</w:t>
            </w:r>
          </w:p>
        </w:tc>
      </w:tr>
      <w:tr>
        <w:tblPrEx>
          <w:tblCellMar>
            <w:top w:w="0" w:type="dxa"/>
            <w:left w:w="108" w:type="dxa"/>
            <w:bottom w:w="0" w:type="dxa"/>
            <w:right w:w="108" w:type="dxa"/>
          </w:tblCellMar>
        </w:tblPrEx>
        <w:trPr>
          <w:trHeight w:val="6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15</w:t>
            </w:r>
          </w:p>
        </w:tc>
        <w:tc>
          <w:tcPr>
            <w:tcW w:w="0" w:type="auto"/>
            <w:vMerge w:val="continue"/>
            <w:tcBorders>
              <w:left w:val="single" w:color="000000" w:sz="4" w:space="0"/>
              <w:bottom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电箱及元器件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箱体：深蓉电器、利恒电器、明业电气</w:t>
            </w:r>
            <w:r>
              <w:rPr>
                <w:rFonts w:hint="eastAsia" w:ascii="宋体" w:hAnsi="宋体" w:cs="宋体"/>
                <w:color w:val="auto"/>
                <w:szCs w:val="24"/>
                <w:highlight w:val="none"/>
              </w:rPr>
              <w:br w:type="textWrapping"/>
            </w:r>
            <w:r>
              <w:rPr>
                <w:rFonts w:hint="eastAsia" w:ascii="宋体" w:hAnsi="宋体" w:cs="宋体"/>
                <w:color w:val="auto"/>
                <w:szCs w:val="24"/>
                <w:highlight w:val="none"/>
              </w:rPr>
              <w:t>元器件：abb、施耐德、伊顿</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16</w:t>
            </w:r>
          </w:p>
        </w:tc>
        <w:tc>
          <w:tcPr>
            <w:tcW w:w="0" w:type="auto"/>
            <w:vMerge w:val="restart"/>
            <w:tcBorders>
              <w:top w:val="single" w:color="000000" w:sz="4" w:space="0"/>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给排水材料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PPR管、PVC管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联塑、雄塑、金牛</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17</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纯净水管道（316L不锈钢）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吉博力、瓦希、伟星、金牛、联塑</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18</w:t>
            </w:r>
          </w:p>
        </w:tc>
        <w:tc>
          <w:tcPr>
            <w:tcW w:w="0" w:type="auto"/>
            <w:vMerge w:val="continue"/>
            <w:tcBorders>
              <w:left w:val="single" w:color="000000" w:sz="4" w:space="0"/>
              <w:bottom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洁具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TOTO、科勒、箭牌</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19</w:t>
            </w:r>
          </w:p>
        </w:tc>
        <w:tc>
          <w:tcPr>
            <w:tcW w:w="0" w:type="auto"/>
            <w:vMerge w:val="restart"/>
            <w:tcBorders>
              <w:top w:val="single" w:color="000000" w:sz="4" w:space="0"/>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暖通材料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挂机、天花机、多联机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美的、格力、海信</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20</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中央机组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美的、格力、海信</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21</w:t>
            </w:r>
          </w:p>
        </w:tc>
        <w:tc>
          <w:tcPr>
            <w:tcW w:w="0" w:type="auto"/>
            <w:vMerge w:val="continue"/>
            <w:tcBorders>
              <w:left w:val="single" w:color="000000" w:sz="4" w:space="0"/>
              <w:right w:val="single" w:color="000000" w:sz="4" w:space="0"/>
            </w:tcBorders>
            <w:shd w:val="clear" w:color="auto" w:fill="auto"/>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洁净机组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天加、</w:t>
            </w:r>
            <w:r>
              <w:rPr>
                <w:rFonts w:hint="eastAsia" w:ascii="宋体" w:hAnsi="宋体" w:cs="宋体"/>
                <w:color w:val="auto"/>
                <w:szCs w:val="24"/>
                <w:highlight w:val="none"/>
                <w:lang w:val="en-US" w:eastAsia="zh-CN"/>
              </w:rPr>
              <w:t>欧博</w:t>
            </w:r>
            <w:r>
              <w:rPr>
                <w:rFonts w:hint="eastAsia" w:ascii="宋体" w:hAnsi="宋体" w:cs="宋体"/>
                <w:color w:val="auto"/>
                <w:szCs w:val="24"/>
                <w:highlight w:val="none"/>
              </w:rPr>
              <w:t>、国翔</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ascii="宋体" w:hAnsi="宋体" w:cs="宋体"/>
                <w:color w:val="auto"/>
                <w:szCs w:val="24"/>
                <w:highlight w:val="none"/>
              </w:rPr>
            </w:pPr>
            <w:r>
              <w:rPr>
                <w:rFonts w:hint="eastAsia" w:ascii="宋体" w:hAnsi="宋体" w:cs="宋体"/>
                <w:color w:val="auto"/>
                <w:szCs w:val="24"/>
                <w:highlight w:val="none"/>
              </w:rPr>
              <w:t>22</w:t>
            </w:r>
          </w:p>
        </w:tc>
        <w:tc>
          <w:tcPr>
            <w:tcW w:w="0" w:type="auto"/>
            <w:vMerge w:val="continue"/>
            <w:tcBorders>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高效送风口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2"/>
              <w:widowControl/>
              <w:jc w:val="center"/>
              <w:rPr>
                <w:rFonts w:hint="eastAsia" w:ascii="宋体" w:hAnsi="宋体" w:cs="宋体"/>
                <w:color w:val="auto"/>
                <w:szCs w:val="24"/>
                <w:highlight w:val="none"/>
              </w:rPr>
            </w:pPr>
            <w:r>
              <w:rPr>
                <w:rFonts w:hint="eastAsia" w:ascii="宋体" w:hAnsi="宋体" w:cs="宋体"/>
                <w:color w:val="auto"/>
                <w:szCs w:val="24"/>
                <w:highlight w:val="none"/>
              </w:rPr>
              <w:t>康斐尔、AAF、无锡零界</w:t>
            </w:r>
          </w:p>
        </w:tc>
      </w:tr>
    </w:tbl>
    <w:p>
      <w:pPr>
        <w:topLinePunct/>
        <w:adjustRightInd w:val="0"/>
        <w:snapToGrid w:val="0"/>
        <w:spacing w:line="360" w:lineRule="auto"/>
        <w:ind w:firstLine="498" w:firstLineChars="200"/>
        <w:jc w:val="left"/>
        <w:rPr>
          <w:rFonts w:hint="eastAsia" w:ascii="宋体" w:hAnsi="宋体" w:cs="宋体"/>
          <w:b/>
          <w:bCs/>
          <w:snapToGrid w:val="0"/>
          <w:color w:val="auto"/>
          <w:spacing w:val="4"/>
          <w:sz w:val="24"/>
          <w:szCs w:val="24"/>
          <w:highlight w:val="none"/>
        </w:rPr>
      </w:pPr>
      <w:r>
        <w:rPr>
          <w:rFonts w:hint="eastAsia" w:ascii="宋体" w:hAnsi="宋体" w:cs="宋体"/>
          <w:b/>
          <w:bCs/>
          <w:snapToGrid w:val="0"/>
          <w:color w:val="auto"/>
          <w:spacing w:val="4"/>
          <w:sz w:val="24"/>
          <w:szCs w:val="24"/>
          <w:highlight w:val="none"/>
        </w:rPr>
        <w:t>五、EHS要求</w:t>
      </w:r>
    </w:p>
    <w:p>
      <w:pPr>
        <w:topLinePunct/>
        <w:adjustRightInd w:val="0"/>
        <w:snapToGrid w:val="0"/>
        <w:spacing w:line="360" w:lineRule="auto"/>
        <w:ind w:firstLine="496" w:firstLineChars="200"/>
        <w:jc w:val="left"/>
        <w:rPr>
          <w:rFonts w:hint="eastAsia"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1、承包人进场前应与发包人签订《EHS协议》，本协议作为合同附件，详见合同模板</w:t>
      </w:r>
    </w:p>
    <w:p>
      <w:pPr>
        <w:topLinePunct/>
        <w:adjustRightInd w:val="0"/>
        <w:snapToGrid w:val="0"/>
        <w:spacing w:line="360" w:lineRule="auto"/>
        <w:ind w:firstLine="496" w:firstLineChars="200"/>
        <w:jc w:val="left"/>
        <w:rPr>
          <w:rFonts w:hint="eastAsia"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2、承包人进场后涉及特殊作业时，如动火、进入受限空间、盲板抽堵、高处作业、吊装、临时用电、动土、断路等，除按监理工程师要求办理相关手续外，还应及时联系发包人办理厂区作业许可证。</w:t>
      </w:r>
    </w:p>
    <w:p>
      <w:pPr>
        <w:pStyle w:val="36"/>
        <w:ind w:firstLine="0"/>
        <w:rPr>
          <w:color w:val="auto"/>
          <w:highlight w:val="none"/>
        </w:rPr>
      </w:pPr>
    </w:p>
    <w:p>
      <w:pPr>
        <w:rPr>
          <w:rFonts w:ascii="宋体" w:hAnsi="宋体" w:cs="宋体"/>
          <w:color w:val="auto"/>
          <w:sz w:val="24"/>
          <w:highlight w:val="none"/>
        </w:rPr>
      </w:pPr>
      <w:r>
        <w:rPr>
          <w:rFonts w:hint="eastAsia" w:ascii="宋体" w:hAnsi="宋体" w:cs="宋体"/>
          <w:color w:val="auto"/>
          <w:sz w:val="24"/>
          <w:highlight w:val="none"/>
        </w:rPr>
        <w:br w:type="page"/>
      </w:r>
    </w:p>
    <w:bookmarkEnd w:id="66"/>
    <w:bookmarkEnd w:id="67"/>
    <w:bookmarkEnd w:id="68"/>
    <w:bookmarkEnd w:id="69"/>
    <w:bookmarkEnd w:id="70"/>
    <w:p>
      <w:pPr>
        <w:pStyle w:val="3"/>
        <w:jc w:val="center"/>
        <w:rPr>
          <w:rFonts w:ascii="宋体" w:hAnsi="宋体" w:cs="宋体"/>
          <w:b/>
          <w:bCs/>
          <w:color w:val="auto"/>
          <w:highlight w:val="none"/>
        </w:rPr>
      </w:pPr>
      <w:bookmarkStart w:id="82" w:name="_Toc12270"/>
      <w:r>
        <w:rPr>
          <w:rFonts w:hint="eastAsia" w:ascii="宋体" w:hAnsi="宋体" w:cs="宋体"/>
          <w:b/>
          <w:bCs/>
          <w:color w:val="auto"/>
          <w:highlight w:val="none"/>
        </w:rPr>
        <w:t>第六章  图纸及勘察资料</w:t>
      </w:r>
      <w:bookmarkEnd w:id="82"/>
    </w:p>
    <w:p>
      <w:pPr>
        <w:rPr>
          <w:rFonts w:ascii="宋体" w:hAnsi="宋体" w:cs="宋体"/>
          <w:b/>
          <w:color w:val="auto"/>
          <w:sz w:val="36"/>
          <w:szCs w:val="36"/>
          <w:highlight w:val="none"/>
        </w:rPr>
      </w:pPr>
      <w:r>
        <w:rPr>
          <w:rFonts w:hint="eastAsia" w:ascii="宋体" w:hAnsi="宋体" w:cs="宋体"/>
          <w:color w:val="auto"/>
          <w:szCs w:val="21"/>
          <w:highlight w:val="none"/>
        </w:rPr>
        <w:t>另册。</w:t>
      </w:r>
    </w:p>
    <w:p>
      <w:pPr>
        <w:pStyle w:val="3"/>
        <w:jc w:val="center"/>
        <w:rPr>
          <w:rFonts w:ascii="宋体" w:hAnsi="宋体" w:cs="宋体"/>
          <w:b/>
          <w:bCs/>
          <w:color w:val="auto"/>
          <w:highlight w:val="none"/>
        </w:rPr>
      </w:pPr>
      <w:r>
        <w:rPr>
          <w:rFonts w:hint="eastAsia" w:ascii="宋体" w:hAnsi="宋体" w:cs="宋体"/>
          <w:color w:val="auto"/>
          <w:sz w:val="24"/>
          <w:szCs w:val="24"/>
          <w:highlight w:val="none"/>
        </w:rPr>
        <w:br w:type="page"/>
      </w:r>
      <w:bookmarkStart w:id="83" w:name="_Toc20750"/>
      <w:r>
        <w:rPr>
          <w:rFonts w:hint="eastAsia" w:ascii="宋体" w:hAnsi="宋体" w:cs="宋体"/>
          <w:b/>
          <w:bCs/>
          <w:color w:val="auto"/>
          <w:highlight w:val="none"/>
        </w:rPr>
        <w:t>第七章  工程量清单</w:t>
      </w:r>
      <w:bookmarkEnd w:id="83"/>
    </w:p>
    <w:p>
      <w:pPr>
        <w:rPr>
          <w:rFonts w:ascii="宋体" w:hAnsi="宋体" w:cs="宋体"/>
          <w:color w:val="auto"/>
          <w:highlight w:val="none"/>
        </w:rPr>
      </w:pPr>
      <w:r>
        <w:rPr>
          <w:rFonts w:hint="eastAsia" w:ascii="宋体" w:hAnsi="宋体" w:cs="宋体"/>
          <w:color w:val="auto"/>
          <w:szCs w:val="21"/>
          <w:highlight w:val="none"/>
        </w:rPr>
        <w:t>另册。</w:t>
      </w:r>
    </w:p>
    <w:p>
      <w:pPr>
        <w:pStyle w:val="3"/>
        <w:jc w:val="center"/>
        <w:rPr>
          <w:rFonts w:ascii="宋体" w:hAnsi="宋体" w:cs="宋体"/>
          <w:b/>
          <w:bCs/>
          <w:color w:val="auto"/>
          <w:highlight w:val="none"/>
        </w:rPr>
      </w:pPr>
      <w:r>
        <w:rPr>
          <w:rFonts w:hint="eastAsia" w:ascii="宋体" w:hAnsi="宋体" w:cs="宋体"/>
          <w:color w:val="auto"/>
          <w:sz w:val="24"/>
          <w:szCs w:val="24"/>
          <w:highlight w:val="none"/>
        </w:rPr>
        <w:br w:type="page"/>
      </w:r>
      <w:bookmarkStart w:id="84" w:name="_Toc17523"/>
      <w:r>
        <w:rPr>
          <w:rFonts w:hint="eastAsia" w:ascii="宋体" w:hAnsi="宋体" w:cs="宋体"/>
          <w:b/>
          <w:bCs/>
          <w:color w:val="auto"/>
          <w:highlight w:val="none"/>
        </w:rPr>
        <w:t>第八章  最高投标限价</w:t>
      </w:r>
      <w:bookmarkEnd w:id="84"/>
    </w:p>
    <w:p>
      <w:pPr>
        <w:rPr>
          <w:rFonts w:ascii="宋体" w:hAnsi="宋体" w:cs="宋体"/>
          <w:b/>
          <w:color w:val="auto"/>
          <w:sz w:val="36"/>
          <w:szCs w:val="36"/>
          <w:highlight w:val="none"/>
        </w:rPr>
      </w:pPr>
      <w:r>
        <w:rPr>
          <w:rFonts w:hint="eastAsia" w:ascii="宋体" w:hAnsi="宋体" w:cs="宋体"/>
          <w:color w:val="auto"/>
          <w:szCs w:val="21"/>
          <w:highlight w:val="none"/>
        </w:rPr>
        <w:t>另册。</w:t>
      </w:r>
    </w:p>
    <w:p>
      <w:pPr>
        <w:rPr>
          <w:rFonts w:ascii="宋体" w:hAnsi="宋体" w:cs="宋体"/>
          <w:color w:val="auto"/>
          <w:highlight w:val="none"/>
        </w:rPr>
      </w:pPr>
    </w:p>
    <w:sectPr>
      <w:pgSz w:w="11906" w:h="16838"/>
      <w:pgMar w:top="1134" w:right="1417" w:bottom="1247" w:left="1417" w:header="851" w:footer="907"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element-icon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rPr>
        <w:rStyle w:val="4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rPr>
        <w:rStyle w:val="4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8F56kBAABDAwAADgAAAGRycy9lMm9Eb2MueG1srVLNahsxEL4H+g5C&#10;91prQ4N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nlDhucUaHn0+HX38Ov3+QebX4lCXqA9SYeRcwNw1f/IDpkx/QmZkPKtp8&#10;IyeCcRR7fxJYDomI/Gm5WC4rDAmMTQ/EZy/fQ4T0VXpLstHQiBMswvLdDaRj6pSSqzl/pY0pUzTu&#10;LwdiZg/LvR97zFYaNsNIaOPbPfLpcfgNdbidlJhrh9rmPZmMOBmb0cg1IHx+TFi49JNRj1BjMZxU&#10;YTRuVV6F1++S9bL762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Ad8F56kBAABDAwAADgAA&#10;AAAAAAABACAAAAAeAQAAZHJzL2Uyb0RvYy54bWxQSwUGAAAAAAYABgBZAQAAOQ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pPr>
    <w:r>
      <w:fldChar w:fldCharType="begin"/>
    </w:r>
    <w:r>
      <w:rPr>
        <w:rStyle w:val="43"/>
      </w:rPr>
      <w:instrText xml:space="preserve"> PAGE </w:instrText>
    </w:r>
    <w:r>
      <w:fldChar w:fldCharType="separate"/>
    </w:r>
    <w:r>
      <w:rPr>
        <w:rStyle w:val="43"/>
      </w:rPr>
      <w:t>48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xJ4/UakBAABDAwAADgAA&#10;AAAAAAABACAAAAAeAQAAZHJzL2Uyb0RvYy54bWxQSwUGAAAAAAYABgBZAQAAOQ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50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Ht5ixqkBAABDAwAADgAA&#10;AAAAAAABACAAAAAeAQAAZHJzL2Uyb0RvYy54bWxQSwUGAAAAAAYABgBZAQAAOQ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B38AE"/>
    <w:multiLevelType w:val="singleLevel"/>
    <w:tmpl w:val="8F9B38AE"/>
    <w:lvl w:ilvl="0" w:tentative="0">
      <w:start w:val="3"/>
      <w:numFmt w:val="decimal"/>
      <w:suff w:val="nothing"/>
      <w:lvlText w:val="%1、"/>
      <w:lvlJc w:val="left"/>
    </w:lvl>
  </w:abstractNum>
  <w:abstractNum w:abstractNumId="1">
    <w:nsid w:val="E43EB0D7"/>
    <w:multiLevelType w:val="singleLevel"/>
    <w:tmpl w:val="E43EB0D7"/>
    <w:lvl w:ilvl="0" w:tentative="0">
      <w:start w:val="1"/>
      <w:numFmt w:val="chineseCounting"/>
      <w:suff w:val="nothing"/>
      <w:lvlText w:val="%1、"/>
      <w:lvlJc w:val="left"/>
      <w:rPr>
        <w:rFonts w:hint="eastAsia"/>
      </w:rPr>
    </w:lvl>
  </w:abstractNum>
  <w:abstractNum w:abstractNumId="2">
    <w:nsid w:val="259905B5"/>
    <w:multiLevelType w:val="multilevel"/>
    <w:tmpl w:val="259905B5"/>
    <w:lvl w:ilvl="0" w:tentative="0">
      <w:start w:val="1"/>
      <w:numFmt w:val="chineseCountingThousand"/>
      <w:pStyle w:val="118"/>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3">
    <w:nsid w:val="5EC63031"/>
    <w:multiLevelType w:val="singleLevel"/>
    <w:tmpl w:val="5EC63031"/>
    <w:lvl w:ilvl="0" w:tentative="0">
      <w:start w:val="4"/>
      <w:numFmt w:val="chineseCounting"/>
      <w:suff w:val="space"/>
      <w:lvlText w:val="第%1章"/>
      <w:lvlJc w:val="left"/>
      <w:rPr>
        <w:rFonts w:hint="eastAsia"/>
      </w:rPr>
    </w:lvl>
  </w:abstractNum>
  <w:abstractNum w:abstractNumId="4">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YTFlYmE0ZjQ4MjFmYzI2OGY4NzYwYzQxZGVlZDEifQ=="/>
  </w:docVars>
  <w:rsids>
    <w:rsidRoot w:val="00172A27"/>
    <w:rsid w:val="00005D13"/>
    <w:rsid w:val="0001289E"/>
    <w:rsid w:val="00015EC9"/>
    <w:rsid w:val="00020941"/>
    <w:rsid w:val="00030D9C"/>
    <w:rsid w:val="00041F74"/>
    <w:rsid w:val="000759EE"/>
    <w:rsid w:val="00076695"/>
    <w:rsid w:val="00085996"/>
    <w:rsid w:val="00094870"/>
    <w:rsid w:val="000A7196"/>
    <w:rsid w:val="000B7EB3"/>
    <w:rsid w:val="000C5828"/>
    <w:rsid w:val="000D4EA9"/>
    <w:rsid w:val="000E2149"/>
    <w:rsid w:val="00107946"/>
    <w:rsid w:val="00112A0C"/>
    <w:rsid w:val="00113A64"/>
    <w:rsid w:val="00117AE4"/>
    <w:rsid w:val="00121757"/>
    <w:rsid w:val="00135762"/>
    <w:rsid w:val="00153E1B"/>
    <w:rsid w:val="001602A4"/>
    <w:rsid w:val="00172A27"/>
    <w:rsid w:val="00184CD6"/>
    <w:rsid w:val="00192113"/>
    <w:rsid w:val="001A3A7C"/>
    <w:rsid w:val="001A5DF7"/>
    <w:rsid w:val="001B1978"/>
    <w:rsid w:val="001C1F9B"/>
    <w:rsid w:val="001C2EA6"/>
    <w:rsid w:val="001C5C3C"/>
    <w:rsid w:val="001D2863"/>
    <w:rsid w:val="001E4DCF"/>
    <w:rsid w:val="002025B5"/>
    <w:rsid w:val="002411B9"/>
    <w:rsid w:val="00261BD4"/>
    <w:rsid w:val="00274290"/>
    <w:rsid w:val="002961F1"/>
    <w:rsid w:val="002A65EC"/>
    <w:rsid w:val="002E5C2F"/>
    <w:rsid w:val="002E5ECA"/>
    <w:rsid w:val="002F06FA"/>
    <w:rsid w:val="00304B69"/>
    <w:rsid w:val="00315A54"/>
    <w:rsid w:val="00324B89"/>
    <w:rsid w:val="0032745C"/>
    <w:rsid w:val="0033362B"/>
    <w:rsid w:val="00341969"/>
    <w:rsid w:val="0034431F"/>
    <w:rsid w:val="0038792B"/>
    <w:rsid w:val="003907F7"/>
    <w:rsid w:val="00393E76"/>
    <w:rsid w:val="003951C5"/>
    <w:rsid w:val="003C1C8E"/>
    <w:rsid w:val="004306DE"/>
    <w:rsid w:val="00434B33"/>
    <w:rsid w:val="00462D80"/>
    <w:rsid w:val="004710CE"/>
    <w:rsid w:val="00492BCF"/>
    <w:rsid w:val="004A2237"/>
    <w:rsid w:val="004A7C38"/>
    <w:rsid w:val="004B1BD5"/>
    <w:rsid w:val="004E3FE5"/>
    <w:rsid w:val="00523CF8"/>
    <w:rsid w:val="00534947"/>
    <w:rsid w:val="00591DB5"/>
    <w:rsid w:val="0059302E"/>
    <w:rsid w:val="005A0693"/>
    <w:rsid w:val="005B579D"/>
    <w:rsid w:val="005C489A"/>
    <w:rsid w:val="005D2EE2"/>
    <w:rsid w:val="005F037B"/>
    <w:rsid w:val="00604E15"/>
    <w:rsid w:val="00605397"/>
    <w:rsid w:val="0063155F"/>
    <w:rsid w:val="006335E3"/>
    <w:rsid w:val="0063385C"/>
    <w:rsid w:val="006508AB"/>
    <w:rsid w:val="00675E5C"/>
    <w:rsid w:val="006B6B0D"/>
    <w:rsid w:val="00700508"/>
    <w:rsid w:val="00704AB7"/>
    <w:rsid w:val="0070756D"/>
    <w:rsid w:val="00713FB4"/>
    <w:rsid w:val="007262C3"/>
    <w:rsid w:val="00735360"/>
    <w:rsid w:val="007443D5"/>
    <w:rsid w:val="007632B6"/>
    <w:rsid w:val="007646C8"/>
    <w:rsid w:val="007B0B3C"/>
    <w:rsid w:val="007B41BE"/>
    <w:rsid w:val="007E1D19"/>
    <w:rsid w:val="0080488F"/>
    <w:rsid w:val="00805998"/>
    <w:rsid w:val="00824E3E"/>
    <w:rsid w:val="00831E6E"/>
    <w:rsid w:val="00834F89"/>
    <w:rsid w:val="008457C9"/>
    <w:rsid w:val="0085034F"/>
    <w:rsid w:val="008635D8"/>
    <w:rsid w:val="008836D8"/>
    <w:rsid w:val="008A19CB"/>
    <w:rsid w:val="008A67E2"/>
    <w:rsid w:val="008D39D0"/>
    <w:rsid w:val="008F4AB4"/>
    <w:rsid w:val="00900FF4"/>
    <w:rsid w:val="00905BAA"/>
    <w:rsid w:val="0090600B"/>
    <w:rsid w:val="009234FB"/>
    <w:rsid w:val="00944D5C"/>
    <w:rsid w:val="00957A32"/>
    <w:rsid w:val="00962DEC"/>
    <w:rsid w:val="009871C3"/>
    <w:rsid w:val="009B2D84"/>
    <w:rsid w:val="009C2C75"/>
    <w:rsid w:val="009C56C0"/>
    <w:rsid w:val="009D2D51"/>
    <w:rsid w:val="009D66E1"/>
    <w:rsid w:val="00A16E0F"/>
    <w:rsid w:val="00A23E2E"/>
    <w:rsid w:val="00A73120"/>
    <w:rsid w:val="00A86462"/>
    <w:rsid w:val="00AB6AAA"/>
    <w:rsid w:val="00AC2B3B"/>
    <w:rsid w:val="00AC37D5"/>
    <w:rsid w:val="00AE160C"/>
    <w:rsid w:val="00AE1AC3"/>
    <w:rsid w:val="00AE1D40"/>
    <w:rsid w:val="00AE3BAB"/>
    <w:rsid w:val="00AF2557"/>
    <w:rsid w:val="00B01DB6"/>
    <w:rsid w:val="00B053B6"/>
    <w:rsid w:val="00B236C9"/>
    <w:rsid w:val="00B23E5D"/>
    <w:rsid w:val="00B37967"/>
    <w:rsid w:val="00B429B2"/>
    <w:rsid w:val="00B73135"/>
    <w:rsid w:val="00B7711F"/>
    <w:rsid w:val="00B85EB6"/>
    <w:rsid w:val="00B86FDC"/>
    <w:rsid w:val="00BA1FE0"/>
    <w:rsid w:val="00BB7655"/>
    <w:rsid w:val="00BC2B4D"/>
    <w:rsid w:val="00BC6A43"/>
    <w:rsid w:val="00BC7F77"/>
    <w:rsid w:val="00C27837"/>
    <w:rsid w:val="00C408D3"/>
    <w:rsid w:val="00C44682"/>
    <w:rsid w:val="00C44F2E"/>
    <w:rsid w:val="00C53C2F"/>
    <w:rsid w:val="00C62A97"/>
    <w:rsid w:val="00C8237C"/>
    <w:rsid w:val="00C95251"/>
    <w:rsid w:val="00C96388"/>
    <w:rsid w:val="00CA3057"/>
    <w:rsid w:val="00CA48AA"/>
    <w:rsid w:val="00CA6851"/>
    <w:rsid w:val="00CA7CA6"/>
    <w:rsid w:val="00D50F19"/>
    <w:rsid w:val="00D7074B"/>
    <w:rsid w:val="00D72F7B"/>
    <w:rsid w:val="00D90311"/>
    <w:rsid w:val="00D9177E"/>
    <w:rsid w:val="00DB774A"/>
    <w:rsid w:val="00DD6C6C"/>
    <w:rsid w:val="00DE0E55"/>
    <w:rsid w:val="00E14F29"/>
    <w:rsid w:val="00E15E33"/>
    <w:rsid w:val="00E36CB2"/>
    <w:rsid w:val="00E56493"/>
    <w:rsid w:val="00E64487"/>
    <w:rsid w:val="00E6639E"/>
    <w:rsid w:val="00E94D22"/>
    <w:rsid w:val="00EB0F85"/>
    <w:rsid w:val="00EF2B3A"/>
    <w:rsid w:val="00EF2C5A"/>
    <w:rsid w:val="00F053A1"/>
    <w:rsid w:val="00F136F3"/>
    <w:rsid w:val="00F16648"/>
    <w:rsid w:val="00F16847"/>
    <w:rsid w:val="00F22375"/>
    <w:rsid w:val="00F24BE4"/>
    <w:rsid w:val="00F50B3D"/>
    <w:rsid w:val="00F73E07"/>
    <w:rsid w:val="00F82701"/>
    <w:rsid w:val="00F871EC"/>
    <w:rsid w:val="00F967BD"/>
    <w:rsid w:val="00F9704C"/>
    <w:rsid w:val="00FA77DD"/>
    <w:rsid w:val="00FD3F21"/>
    <w:rsid w:val="00FD60F6"/>
    <w:rsid w:val="00FE2126"/>
    <w:rsid w:val="00FF2A13"/>
    <w:rsid w:val="00FF4B98"/>
    <w:rsid w:val="010074D2"/>
    <w:rsid w:val="010D6029"/>
    <w:rsid w:val="013A16E3"/>
    <w:rsid w:val="013B397F"/>
    <w:rsid w:val="01540ADA"/>
    <w:rsid w:val="016E1B67"/>
    <w:rsid w:val="01904305"/>
    <w:rsid w:val="01A0487B"/>
    <w:rsid w:val="01AC056F"/>
    <w:rsid w:val="01BF523B"/>
    <w:rsid w:val="01C268D3"/>
    <w:rsid w:val="01C91E01"/>
    <w:rsid w:val="01EA1FC0"/>
    <w:rsid w:val="020C4532"/>
    <w:rsid w:val="02130FD6"/>
    <w:rsid w:val="02220C44"/>
    <w:rsid w:val="023E3B2A"/>
    <w:rsid w:val="024209B9"/>
    <w:rsid w:val="024E62CB"/>
    <w:rsid w:val="02536E58"/>
    <w:rsid w:val="02571E21"/>
    <w:rsid w:val="02701A1B"/>
    <w:rsid w:val="02717394"/>
    <w:rsid w:val="029562D6"/>
    <w:rsid w:val="029F0224"/>
    <w:rsid w:val="02AE5769"/>
    <w:rsid w:val="02B212CA"/>
    <w:rsid w:val="02C329B7"/>
    <w:rsid w:val="02CA694B"/>
    <w:rsid w:val="02CD1F13"/>
    <w:rsid w:val="02CE72B4"/>
    <w:rsid w:val="02D15574"/>
    <w:rsid w:val="02D15920"/>
    <w:rsid w:val="02D64DB9"/>
    <w:rsid w:val="02E10537"/>
    <w:rsid w:val="02E75FB9"/>
    <w:rsid w:val="02EB5511"/>
    <w:rsid w:val="02F230FA"/>
    <w:rsid w:val="02F95075"/>
    <w:rsid w:val="031A2FE6"/>
    <w:rsid w:val="03274EAB"/>
    <w:rsid w:val="032F672A"/>
    <w:rsid w:val="032F7263"/>
    <w:rsid w:val="033D4F2C"/>
    <w:rsid w:val="033F3C93"/>
    <w:rsid w:val="03670C13"/>
    <w:rsid w:val="038044A7"/>
    <w:rsid w:val="03816883"/>
    <w:rsid w:val="038679A8"/>
    <w:rsid w:val="03A260C2"/>
    <w:rsid w:val="03BC20CC"/>
    <w:rsid w:val="03C541E5"/>
    <w:rsid w:val="03DD6494"/>
    <w:rsid w:val="03E10905"/>
    <w:rsid w:val="03E14C64"/>
    <w:rsid w:val="03E4503E"/>
    <w:rsid w:val="0413601A"/>
    <w:rsid w:val="041476CE"/>
    <w:rsid w:val="041969DB"/>
    <w:rsid w:val="0424086D"/>
    <w:rsid w:val="043833BC"/>
    <w:rsid w:val="04405D9B"/>
    <w:rsid w:val="044503BF"/>
    <w:rsid w:val="04535E27"/>
    <w:rsid w:val="045D238B"/>
    <w:rsid w:val="045E1129"/>
    <w:rsid w:val="04690F65"/>
    <w:rsid w:val="046A686F"/>
    <w:rsid w:val="047153A5"/>
    <w:rsid w:val="0479465A"/>
    <w:rsid w:val="049F7018"/>
    <w:rsid w:val="04A21E6A"/>
    <w:rsid w:val="04A71B2E"/>
    <w:rsid w:val="04AB5A2A"/>
    <w:rsid w:val="04B2271B"/>
    <w:rsid w:val="04B7004B"/>
    <w:rsid w:val="04C35ED3"/>
    <w:rsid w:val="04CA2892"/>
    <w:rsid w:val="05016B3D"/>
    <w:rsid w:val="05021E26"/>
    <w:rsid w:val="05025778"/>
    <w:rsid w:val="050545C8"/>
    <w:rsid w:val="050D4170"/>
    <w:rsid w:val="0549284E"/>
    <w:rsid w:val="056C1967"/>
    <w:rsid w:val="056F3B9B"/>
    <w:rsid w:val="057667D6"/>
    <w:rsid w:val="058A162D"/>
    <w:rsid w:val="058B7615"/>
    <w:rsid w:val="05965BC8"/>
    <w:rsid w:val="059A40DB"/>
    <w:rsid w:val="059D30B6"/>
    <w:rsid w:val="05AF15F9"/>
    <w:rsid w:val="05B64EE1"/>
    <w:rsid w:val="05C86BBC"/>
    <w:rsid w:val="05FC76AB"/>
    <w:rsid w:val="05FF3094"/>
    <w:rsid w:val="060B06D8"/>
    <w:rsid w:val="06181408"/>
    <w:rsid w:val="061A5DE6"/>
    <w:rsid w:val="0627667A"/>
    <w:rsid w:val="062E2B49"/>
    <w:rsid w:val="06326C4C"/>
    <w:rsid w:val="063473E1"/>
    <w:rsid w:val="063B3638"/>
    <w:rsid w:val="06492E89"/>
    <w:rsid w:val="06557E95"/>
    <w:rsid w:val="065F2C53"/>
    <w:rsid w:val="06681E71"/>
    <w:rsid w:val="0675368A"/>
    <w:rsid w:val="06753B14"/>
    <w:rsid w:val="06955753"/>
    <w:rsid w:val="06A738C8"/>
    <w:rsid w:val="06BE36DD"/>
    <w:rsid w:val="06C00178"/>
    <w:rsid w:val="06D5521B"/>
    <w:rsid w:val="070018B2"/>
    <w:rsid w:val="07076189"/>
    <w:rsid w:val="0710675B"/>
    <w:rsid w:val="071365F6"/>
    <w:rsid w:val="073A5DB1"/>
    <w:rsid w:val="073B727B"/>
    <w:rsid w:val="07405C23"/>
    <w:rsid w:val="074C4D53"/>
    <w:rsid w:val="0755780B"/>
    <w:rsid w:val="076845C8"/>
    <w:rsid w:val="07702D9A"/>
    <w:rsid w:val="077C0B51"/>
    <w:rsid w:val="078826EE"/>
    <w:rsid w:val="078F0EC7"/>
    <w:rsid w:val="078F65C3"/>
    <w:rsid w:val="079B28D1"/>
    <w:rsid w:val="07AA753B"/>
    <w:rsid w:val="07B165BA"/>
    <w:rsid w:val="07B34F1F"/>
    <w:rsid w:val="07DB3EBD"/>
    <w:rsid w:val="07E56D86"/>
    <w:rsid w:val="07F30CD9"/>
    <w:rsid w:val="07F47A44"/>
    <w:rsid w:val="07F647A3"/>
    <w:rsid w:val="07F81966"/>
    <w:rsid w:val="081418AD"/>
    <w:rsid w:val="08415EBD"/>
    <w:rsid w:val="08475DBA"/>
    <w:rsid w:val="084D5140"/>
    <w:rsid w:val="085E0B89"/>
    <w:rsid w:val="086C1DC8"/>
    <w:rsid w:val="087F151B"/>
    <w:rsid w:val="08A00CAC"/>
    <w:rsid w:val="08A11AA0"/>
    <w:rsid w:val="08A5231F"/>
    <w:rsid w:val="08A70B11"/>
    <w:rsid w:val="08B4574D"/>
    <w:rsid w:val="08B60D54"/>
    <w:rsid w:val="08C32DBB"/>
    <w:rsid w:val="08F9013A"/>
    <w:rsid w:val="0908581E"/>
    <w:rsid w:val="090C3022"/>
    <w:rsid w:val="093C7BDC"/>
    <w:rsid w:val="094422F5"/>
    <w:rsid w:val="09501632"/>
    <w:rsid w:val="09541F4B"/>
    <w:rsid w:val="095C7B4D"/>
    <w:rsid w:val="09670FF5"/>
    <w:rsid w:val="09671F09"/>
    <w:rsid w:val="09821A8A"/>
    <w:rsid w:val="09957574"/>
    <w:rsid w:val="09A01AC7"/>
    <w:rsid w:val="09A07E44"/>
    <w:rsid w:val="09A6526C"/>
    <w:rsid w:val="09A729C9"/>
    <w:rsid w:val="09A80656"/>
    <w:rsid w:val="09AE133E"/>
    <w:rsid w:val="09BB6D63"/>
    <w:rsid w:val="09BF766A"/>
    <w:rsid w:val="09C12A91"/>
    <w:rsid w:val="09D41E3F"/>
    <w:rsid w:val="09D5345C"/>
    <w:rsid w:val="09D7525B"/>
    <w:rsid w:val="09FA113C"/>
    <w:rsid w:val="09FB0CDF"/>
    <w:rsid w:val="09FB55B8"/>
    <w:rsid w:val="09FD67E9"/>
    <w:rsid w:val="0A0041E2"/>
    <w:rsid w:val="0A0424B8"/>
    <w:rsid w:val="0A0B5121"/>
    <w:rsid w:val="0A11655F"/>
    <w:rsid w:val="0A167A7F"/>
    <w:rsid w:val="0A1E7A99"/>
    <w:rsid w:val="0A1E7C70"/>
    <w:rsid w:val="0A3F6C18"/>
    <w:rsid w:val="0A4B7BB6"/>
    <w:rsid w:val="0A626216"/>
    <w:rsid w:val="0A6D0F03"/>
    <w:rsid w:val="0A7215F0"/>
    <w:rsid w:val="0A733F58"/>
    <w:rsid w:val="0A765E32"/>
    <w:rsid w:val="0A7A4F9A"/>
    <w:rsid w:val="0A813A44"/>
    <w:rsid w:val="0A924985"/>
    <w:rsid w:val="0AA2673C"/>
    <w:rsid w:val="0AD67F73"/>
    <w:rsid w:val="0AD876A7"/>
    <w:rsid w:val="0ADE529F"/>
    <w:rsid w:val="0AE150CC"/>
    <w:rsid w:val="0AE80E7C"/>
    <w:rsid w:val="0B05532B"/>
    <w:rsid w:val="0B0E2A78"/>
    <w:rsid w:val="0B0F0330"/>
    <w:rsid w:val="0B111AA5"/>
    <w:rsid w:val="0B113447"/>
    <w:rsid w:val="0B1B51A9"/>
    <w:rsid w:val="0B2E6C33"/>
    <w:rsid w:val="0B4C6E5E"/>
    <w:rsid w:val="0B4F1B41"/>
    <w:rsid w:val="0B535FAE"/>
    <w:rsid w:val="0B552AA6"/>
    <w:rsid w:val="0B865355"/>
    <w:rsid w:val="0BA03C2D"/>
    <w:rsid w:val="0BAE588C"/>
    <w:rsid w:val="0BB41559"/>
    <w:rsid w:val="0BBF724F"/>
    <w:rsid w:val="0BC375B5"/>
    <w:rsid w:val="0BCA09B8"/>
    <w:rsid w:val="0BDC2B05"/>
    <w:rsid w:val="0BED7AC3"/>
    <w:rsid w:val="0BF00A21"/>
    <w:rsid w:val="0BF16634"/>
    <w:rsid w:val="0C005C7A"/>
    <w:rsid w:val="0C0270B0"/>
    <w:rsid w:val="0C046B5E"/>
    <w:rsid w:val="0C1F0599"/>
    <w:rsid w:val="0C316A63"/>
    <w:rsid w:val="0C3D5A96"/>
    <w:rsid w:val="0C465FA0"/>
    <w:rsid w:val="0C474574"/>
    <w:rsid w:val="0C4F1D93"/>
    <w:rsid w:val="0C5065DE"/>
    <w:rsid w:val="0C511C1F"/>
    <w:rsid w:val="0C6671C3"/>
    <w:rsid w:val="0C6B374D"/>
    <w:rsid w:val="0C776777"/>
    <w:rsid w:val="0C7A3FBD"/>
    <w:rsid w:val="0C85528E"/>
    <w:rsid w:val="0C9470B7"/>
    <w:rsid w:val="0C9C6F10"/>
    <w:rsid w:val="0CE031F7"/>
    <w:rsid w:val="0CEA5470"/>
    <w:rsid w:val="0CF031B7"/>
    <w:rsid w:val="0D16240A"/>
    <w:rsid w:val="0D2E1801"/>
    <w:rsid w:val="0D36491F"/>
    <w:rsid w:val="0D4848A0"/>
    <w:rsid w:val="0D530E4D"/>
    <w:rsid w:val="0D5D3682"/>
    <w:rsid w:val="0D713AAF"/>
    <w:rsid w:val="0D7C53D8"/>
    <w:rsid w:val="0D827467"/>
    <w:rsid w:val="0D840F6C"/>
    <w:rsid w:val="0D896853"/>
    <w:rsid w:val="0D8E386E"/>
    <w:rsid w:val="0D957AD2"/>
    <w:rsid w:val="0D9A756D"/>
    <w:rsid w:val="0DB708B7"/>
    <w:rsid w:val="0DB83A46"/>
    <w:rsid w:val="0DC254D2"/>
    <w:rsid w:val="0DCF1DAD"/>
    <w:rsid w:val="0DF6090C"/>
    <w:rsid w:val="0DFC39FC"/>
    <w:rsid w:val="0DFE5BC4"/>
    <w:rsid w:val="0E06335B"/>
    <w:rsid w:val="0E1339E0"/>
    <w:rsid w:val="0E4678D6"/>
    <w:rsid w:val="0E855986"/>
    <w:rsid w:val="0E8801FF"/>
    <w:rsid w:val="0E927A52"/>
    <w:rsid w:val="0EB62A25"/>
    <w:rsid w:val="0ECB4A99"/>
    <w:rsid w:val="0ED16285"/>
    <w:rsid w:val="0ED458F2"/>
    <w:rsid w:val="0EE37204"/>
    <w:rsid w:val="0EF058FB"/>
    <w:rsid w:val="0EF2523B"/>
    <w:rsid w:val="0EF60AB7"/>
    <w:rsid w:val="0EFA7B59"/>
    <w:rsid w:val="0F0563A0"/>
    <w:rsid w:val="0F185413"/>
    <w:rsid w:val="0F270BAA"/>
    <w:rsid w:val="0F2B5050"/>
    <w:rsid w:val="0F3B5EF1"/>
    <w:rsid w:val="0F3E3322"/>
    <w:rsid w:val="0F456BFE"/>
    <w:rsid w:val="0F4C2740"/>
    <w:rsid w:val="0F563291"/>
    <w:rsid w:val="0F5B24A1"/>
    <w:rsid w:val="0F635A4C"/>
    <w:rsid w:val="0F660125"/>
    <w:rsid w:val="0F6931C8"/>
    <w:rsid w:val="0FA533AF"/>
    <w:rsid w:val="0FB676E2"/>
    <w:rsid w:val="0FD17044"/>
    <w:rsid w:val="0FD75899"/>
    <w:rsid w:val="1005368D"/>
    <w:rsid w:val="10084FF9"/>
    <w:rsid w:val="10101932"/>
    <w:rsid w:val="10164E3D"/>
    <w:rsid w:val="10235934"/>
    <w:rsid w:val="10286AF6"/>
    <w:rsid w:val="102A1F5D"/>
    <w:rsid w:val="104100E8"/>
    <w:rsid w:val="10464C43"/>
    <w:rsid w:val="105744E8"/>
    <w:rsid w:val="10955B2F"/>
    <w:rsid w:val="10995817"/>
    <w:rsid w:val="10B70033"/>
    <w:rsid w:val="10B8390E"/>
    <w:rsid w:val="10BE10ED"/>
    <w:rsid w:val="10BE7AAC"/>
    <w:rsid w:val="10C9787B"/>
    <w:rsid w:val="10D77991"/>
    <w:rsid w:val="10EC4218"/>
    <w:rsid w:val="10ED3781"/>
    <w:rsid w:val="110A00C6"/>
    <w:rsid w:val="11234CBE"/>
    <w:rsid w:val="112C1969"/>
    <w:rsid w:val="114C007F"/>
    <w:rsid w:val="114D329F"/>
    <w:rsid w:val="1157573E"/>
    <w:rsid w:val="116370BD"/>
    <w:rsid w:val="11921749"/>
    <w:rsid w:val="11965869"/>
    <w:rsid w:val="11992AC1"/>
    <w:rsid w:val="119F6630"/>
    <w:rsid w:val="11B61270"/>
    <w:rsid w:val="11C65384"/>
    <w:rsid w:val="11D95C36"/>
    <w:rsid w:val="11DA047F"/>
    <w:rsid w:val="11F0184F"/>
    <w:rsid w:val="12094350"/>
    <w:rsid w:val="12183CC4"/>
    <w:rsid w:val="12302ADE"/>
    <w:rsid w:val="12303925"/>
    <w:rsid w:val="124E78C6"/>
    <w:rsid w:val="125957A1"/>
    <w:rsid w:val="12797A0B"/>
    <w:rsid w:val="127C75DE"/>
    <w:rsid w:val="12892A91"/>
    <w:rsid w:val="12901631"/>
    <w:rsid w:val="129F1D9B"/>
    <w:rsid w:val="12A2347A"/>
    <w:rsid w:val="12A80D3A"/>
    <w:rsid w:val="12B51E98"/>
    <w:rsid w:val="12BB72FB"/>
    <w:rsid w:val="12C603DA"/>
    <w:rsid w:val="12C85ACD"/>
    <w:rsid w:val="12CB0F05"/>
    <w:rsid w:val="12DF4148"/>
    <w:rsid w:val="12DF5787"/>
    <w:rsid w:val="13291396"/>
    <w:rsid w:val="1332640D"/>
    <w:rsid w:val="133501ED"/>
    <w:rsid w:val="133767A4"/>
    <w:rsid w:val="13413127"/>
    <w:rsid w:val="13427E55"/>
    <w:rsid w:val="134379B3"/>
    <w:rsid w:val="134D635B"/>
    <w:rsid w:val="13766BE3"/>
    <w:rsid w:val="137B4F51"/>
    <w:rsid w:val="138A7508"/>
    <w:rsid w:val="13A14FBF"/>
    <w:rsid w:val="13AC57F8"/>
    <w:rsid w:val="13AF2762"/>
    <w:rsid w:val="13B97EE4"/>
    <w:rsid w:val="13DF2DA3"/>
    <w:rsid w:val="13E5251E"/>
    <w:rsid w:val="13E84D18"/>
    <w:rsid w:val="1403099A"/>
    <w:rsid w:val="14033C6A"/>
    <w:rsid w:val="14195FFB"/>
    <w:rsid w:val="142376D5"/>
    <w:rsid w:val="14445DC7"/>
    <w:rsid w:val="144B00FF"/>
    <w:rsid w:val="144E0982"/>
    <w:rsid w:val="145C6C53"/>
    <w:rsid w:val="1463784D"/>
    <w:rsid w:val="14894222"/>
    <w:rsid w:val="148B6803"/>
    <w:rsid w:val="14E0580D"/>
    <w:rsid w:val="14ED4913"/>
    <w:rsid w:val="1505553D"/>
    <w:rsid w:val="151326FF"/>
    <w:rsid w:val="1520289B"/>
    <w:rsid w:val="15372817"/>
    <w:rsid w:val="15574A5F"/>
    <w:rsid w:val="155B7B8E"/>
    <w:rsid w:val="1582731D"/>
    <w:rsid w:val="15880362"/>
    <w:rsid w:val="158C595D"/>
    <w:rsid w:val="15BA6327"/>
    <w:rsid w:val="15C64414"/>
    <w:rsid w:val="15CA2E6E"/>
    <w:rsid w:val="15DB1323"/>
    <w:rsid w:val="15E06E6A"/>
    <w:rsid w:val="15E149F4"/>
    <w:rsid w:val="15EC3FC3"/>
    <w:rsid w:val="15FC72EA"/>
    <w:rsid w:val="160838A2"/>
    <w:rsid w:val="161A5018"/>
    <w:rsid w:val="161C4039"/>
    <w:rsid w:val="1620060F"/>
    <w:rsid w:val="16270A78"/>
    <w:rsid w:val="16287735"/>
    <w:rsid w:val="163D18E5"/>
    <w:rsid w:val="164F1792"/>
    <w:rsid w:val="16531299"/>
    <w:rsid w:val="165C5741"/>
    <w:rsid w:val="165E218F"/>
    <w:rsid w:val="16610AB7"/>
    <w:rsid w:val="168263A6"/>
    <w:rsid w:val="16877CA9"/>
    <w:rsid w:val="16912848"/>
    <w:rsid w:val="169F4260"/>
    <w:rsid w:val="16B6220D"/>
    <w:rsid w:val="16BA2B3B"/>
    <w:rsid w:val="16BF4870"/>
    <w:rsid w:val="16CF678A"/>
    <w:rsid w:val="16D375ED"/>
    <w:rsid w:val="16DB3E22"/>
    <w:rsid w:val="16E01C07"/>
    <w:rsid w:val="16F921CD"/>
    <w:rsid w:val="17196F8C"/>
    <w:rsid w:val="173358D0"/>
    <w:rsid w:val="17365E81"/>
    <w:rsid w:val="173C434C"/>
    <w:rsid w:val="173E7A8F"/>
    <w:rsid w:val="174B6B68"/>
    <w:rsid w:val="17516BC1"/>
    <w:rsid w:val="17594321"/>
    <w:rsid w:val="175C0B85"/>
    <w:rsid w:val="17602AE3"/>
    <w:rsid w:val="1761070A"/>
    <w:rsid w:val="176D4945"/>
    <w:rsid w:val="17721D0F"/>
    <w:rsid w:val="177702D8"/>
    <w:rsid w:val="178A2E03"/>
    <w:rsid w:val="178C372E"/>
    <w:rsid w:val="17A0413C"/>
    <w:rsid w:val="17A771A4"/>
    <w:rsid w:val="17AE3C6A"/>
    <w:rsid w:val="17B36DE7"/>
    <w:rsid w:val="17CB6E24"/>
    <w:rsid w:val="17D45786"/>
    <w:rsid w:val="17DB0714"/>
    <w:rsid w:val="17FC17DF"/>
    <w:rsid w:val="181A30AD"/>
    <w:rsid w:val="181D5D28"/>
    <w:rsid w:val="1820029D"/>
    <w:rsid w:val="182069E9"/>
    <w:rsid w:val="18234574"/>
    <w:rsid w:val="182F3296"/>
    <w:rsid w:val="18354E66"/>
    <w:rsid w:val="18381E73"/>
    <w:rsid w:val="18386ED8"/>
    <w:rsid w:val="18407A2F"/>
    <w:rsid w:val="184E7FCE"/>
    <w:rsid w:val="1864257A"/>
    <w:rsid w:val="18656DB1"/>
    <w:rsid w:val="18910E95"/>
    <w:rsid w:val="18B20615"/>
    <w:rsid w:val="18BE4634"/>
    <w:rsid w:val="18BE55E5"/>
    <w:rsid w:val="18CD4E78"/>
    <w:rsid w:val="18DF06AB"/>
    <w:rsid w:val="19065A91"/>
    <w:rsid w:val="19120228"/>
    <w:rsid w:val="192F2B88"/>
    <w:rsid w:val="19477ABA"/>
    <w:rsid w:val="194F204E"/>
    <w:rsid w:val="19560BD8"/>
    <w:rsid w:val="195F0FB4"/>
    <w:rsid w:val="19654926"/>
    <w:rsid w:val="1967337B"/>
    <w:rsid w:val="196C5488"/>
    <w:rsid w:val="196C7118"/>
    <w:rsid w:val="198D698E"/>
    <w:rsid w:val="19A14F2D"/>
    <w:rsid w:val="19BB61C6"/>
    <w:rsid w:val="19CC0666"/>
    <w:rsid w:val="19DF21D8"/>
    <w:rsid w:val="19F952E2"/>
    <w:rsid w:val="1A257008"/>
    <w:rsid w:val="1A292DD4"/>
    <w:rsid w:val="1A2C531A"/>
    <w:rsid w:val="1A537115"/>
    <w:rsid w:val="1A612A1C"/>
    <w:rsid w:val="1A815666"/>
    <w:rsid w:val="1A846CB9"/>
    <w:rsid w:val="1A883F8C"/>
    <w:rsid w:val="1A947DBD"/>
    <w:rsid w:val="1A9C7BAA"/>
    <w:rsid w:val="1AB428BA"/>
    <w:rsid w:val="1AB937DF"/>
    <w:rsid w:val="1AC40B3F"/>
    <w:rsid w:val="1ACA4736"/>
    <w:rsid w:val="1ACE6812"/>
    <w:rsid w:val="1AE3043E"/>
    <w:rsid w:val="1AE6528E"/>
    <w:rsid w:val="1AEA6BE6"/>
    <w:rsid w:val="1AF56462"/>
    <w:rsid w:val="1AF87270"/>
    <w:rsid w:val="1AFD5D26"/>
    <w:rsid w:val="1B1A33C4"/>
    <w:rsid w:val="1B284797"/>
    <w:rsid w:val="1B3161C8"/>
    <w:rsid w:val="1B4D6483"/>
    <w:rsid w:val="1B587B57"/>
    <w:rsid w:val="1B7F2725"/>
    <w:rsid w:val="1B8342A5"/>
    <w:rsid w:val="1B835F0C"/>
    <w:rsid w:val="1B972169"/>
    <w:rsid w:val="1BC33C07"/>
    <w:rsid w:val="1BDB0DA5"/>
    <w:rsid w:val="1BE2796C"/>
    <w:rsid w:val="1BE51A7E"/>
    <w:rsid w:val="1BF22477"/>
    <w:rsid w:val="1BF65BBD"/>
    <w:rsid w:val="1BFA092C"/>
    <w:rsid w:val="1BFA0C5D"/>
    <w:rsid w:val="1BFD51C0"/>
    <w:rsid w:val="1C0A2D4E"/>
    <w:rsid w:val="1C357D1B"/>
    <w:rsid w:val="1C3E79C8"/>
    <w:rsid w:val="1C4526C3"/>
    <w:rsid w:val="1C4D0737"/>
    <w:rsid w:val="1C5555C3"/>
    <w:rsid w:val="1C6B037B"/>
    <w:rsid w:val="1C6D7908"/>
    <w:rsid w:val="1C705007"/>
    <w:rsid w:val="1C7142BF"/>
    <w:rsid w:val="1C721804"/>
    <w:rsid w:val="1C8F233F"/>
    <w:rsid w:val="1C9245F1"/>
    <w:rsid w:val="1C953DEA"/>
    <w:rsid w:val="1C9E3764"/>
    <w:rsid w:val="1CB54BB4"/>
    <w:rsid w:val="1CCB0B3D"/>
    <w:rsid w:val="1CE558F5"/>
    <w:rsid w:val="1CFE580E"/>
    <w:rsid w:val="1D034873"/>
    <w:rsid w:val="1D067072"/>
    <w:rsid w:val="1D1931C2"/>
    <w:rsid w:val="1D1A5933"/>
    <w:rsid w:val="1D277E8F"/>
    <w:rsid w:val="1D2E76EA"/>
    <w:rsid w:val="1D4C45D1"/>
    <w:rsid w:val="1DCF61E0"/>
    <w:rsid w:val="1DEA449D"/>
    <w:rsid w:val="1DF45212"/>
    <w:rsid w:val="1E031A4F"/>
    <w:rsid w:val="1E0518D3"/>
    <w:rsid w:val="1E0839A8"/>
    <w:rsid w:val="1E3033EF"/>
    <w:rsid w:val="1E32375F"/>
    <w:rsid w:val="1E326739"/>
    <w:rsid w:val="1E4924FE"/>
    <w:rsid w:val="1E4C2987"/>
    <w:rsid w:val="1E5B03BF"/>
    <w:rsid w:val="1E611FF0"/>
    <w:rsid w:val="1E674B72"/>
    <w:rsid w:val="1E7419C1"/>
    <w:rsid w:val="1EAA7D2F"/>
    <w:rsid w:val="1EB756DE"/>
    <w:rsid w:val="1EDD1368"/>
    <w:rsid w:val="1EEC01C4"/>
    <w:rsid w:val="1F004F75"/>
    <w:rsid w:val="1F1A1C0E"/>
    <w:rsid w:val="1F215C8B"/>
    <w:rsid w:val="1F3702EE"/>
    <w:rsid w:val="1F3B2567"/>
    <w:rsid w:val="1F404366"/>
    <w:rsid w:val="1F4271E7"/>
    <w:rsid w:val="1F444C56"/>
    <w:rsid w:val="1F474F76"/>
    <w:rsid w:val="1F480BD5"/>
    <w:rsid w:val="1F49661C"/>
    <w:rsid w:val="1F9429D6"/>
    <w:rsid w:val="1FB14BE7"/>
    <w:rsid w:val="1FCE33A5"/>
    <w:rsid w:val="1FD076F3"/>
    <w:rsid w:val="1FD20711"/>
    <w:rsid w:val="1FEA66CE"/>
    <w:rsid w:val="1FEB4313"/>
    <w:rsid w:val="1FEE1A78"/>
    <w:rsid w:val="1FEE5A47"/>
    <w:rsid w:val="200C3197"/>
    <w:rsid w:val="200E4011"/>
    <w:rsid w:val="20166252"/>
    <w:rsid w:val="201B2E55"/>
    <w:rsid w:val="201C57D3"/>
    <w:rsid w:val="20231D47"/>
    <w:rsid w:val="204B4BB2"/>
    <w:rsid w:val="205100F2"/>
    <w:rsid w:val="205B0B85"/>
    <w:rsid w:val="20744B90"/>
    <w:rsid w:val="20872A54"/>
    <w:rsid w:val="208E0C7B"/>
    <w:rsid w:val="209303AC"/>
    <w:rsid w:val="20B40849"/>
    <w:rsid w:val="20BB5253"/>
    <w:rsid w:val="20BD5AEB"/>
    <w:rsid w:val="20CF4A6E"/>
    <w:rsid w:val="20E53B86"/>
    <w:rsid w:val="20F122CF"/>
    <w:rsid w:val="20FA6951"/>
    <w:rsid w:val="21036593"/>
    <w:rsid w:val="210455D9"/>
    <w:rsid w:val="213C49BF"/>
    <w:rsid w:val="214E003C"/>
    <w:rsid w:val="217105E2"/>
    <w:rsid w:val="21820752"/>
    <w:rsid w:val="218A22AE"/>
    <w:rsid w:val="21955113"/>
    <w:rsid w:val="21A260CC"/>
    <w:rsid w:val="21C26972"/>
    <w:rsid w:val="21C747A7"/>
    <w:rsid w:val="21D75751"/>
    <w:rsid w:val="21DB2C70"/>
    <w:rsid w:val="21E962A7"/>
    <w:rsid w:val="21EA5582"/>
    <w:rsid w:val="21FD75B8"/>
    <w:rsid w:val="21FF7E06"/>
    <w:rsid w:val="22041C79"/>
    <w:rsid w:val="2209790D"/>
    <w:rsid w:val="22306E3A"/>
    <w:rsid w:val="2258337D"/>
    <w:rsid w:val="22681F0D"/>
    <w:rsid w:val="226F2EA9"/>
    <w:rsid w:val="22714F68"/>
    <w:rsid w:val="227B0F9B"/>
    <w:rsid w:val="228A7D35"/>
    <w:rsid w:val="22B478FE"/>
    <w:rsid w:val="22BA2895"/>
    <w:rsid w:val="22BB60FF"/>
    <w:rsid w:val="22BC2C1B"/>
    <w:rsid w:val="22BE1816"/>
    <w:rsid w:val="22D33394"/>
    <w:rsid w:val="22D66196"/>
    <w:rsid w:val="22DE47AF"/>
    <w:rsid w:val="22EB547A"/>
    <w:rsid w:val="22F8335B"/>
    <w:rsid w:val="23055EEC"/>
    <w:rsid w:val="23076316"/>
    <w:rsid w:val="23091E70"/>
    <w:rsid w:val="230D29E5"/>
    <w:rsid w:val="230F25DD"/>
    <w:rsid w:val="231144E4"/>
    <w:rsid w:val="2320398D"/>
    <w:rsid w:val="232804AB"/>
    <w:rsid w:val="23294CBD"/>
    <w:rsid w:val="2342410B"/>
    <w:rsid w:val="23490CEA"/>
    <w:rsid w:val="234C6F3D"/>
    <w:rsid w:val="235B27CC"/>
    <w:rsid w:val="23606162"/>
    <w:rsid w:val="23607DE2"/>
    <w:rsid w:val="23654070"/>
    <w:rsid w:val="23654586"/>
    <w:rsid w:val="238275E5"/>
    <w:rsid w:val="238647DA"/>
    <w:rsid w:val="23B0187E"/>
    <w:rsid w:val="23B732D3"/>
    <w:rsid w:val="23B97B95"/>
    <w:rsid w:val="23BD23FC"/>
    <w:rsid w:val="23BD4BAD"/>
    <w:rsid w:val="23CA24BD"/>
    <w:rsid w:val="23D2181F"/>
    <w:rsid w:val="24027F80"/>
    <w:rsid w:val="24061C63"/>
    <w:rsid w:val="24092228"/>
    <w:rsid w:val="241C2D00"/>
    <w:rsid w:val="2422030A"/>
    <w:rsid w:val="2423778D"/>
    <w:rsid w:val="242749C2"/>
    <w:rsid w:val="24415FF3"/>
    <w:rsid w:val="244B1945"/>
    <w:rsid w:val="24521E21"/>
    <w:rsid w:val="24575689"/>
    <w:rsid w:val="245C4332"/>
    <w:rsid w:val="247F4DE3"/>
    <w:rsid w:val="2481649F"/>
    <w:rsid w:val="2487655B"/>
    <w:rsid w:val="248C70E1"/>
    <w:rsid w:val="24A42887"/>
    <w:rsid w:val="24B94574"/>
    <w:rsid w:val="24C6093E"/>
    <w:rsid w:val="24DA1DD2"/>
    <w:rsid w:val="24DE078D"/>
    <w:rsid w:val="24E0065E"/>
    <w:rsid w:val="24FA0E8C"/>
    <w:rsid w:val="25022907"/>
    <w:rsid w:val="251F57EE"/>
    <w:rsid w:val="2523607B"/>
    <w:rsid w:val="25246D8F"/>
    <w:rsid w:val="252C6CAA"/>
    <w:rsid w:val="252D0109"/>
    <w:rsid w:val="253A554B"/>
    <w:rsid w:val="25563DDE"/>
    <w:rsid w:val="25577607"/>
    <w:rsid w:val="25711304"/>
    <w:rsid w:val="257B5644"/>
    <w:rsid w:val="25AA04C5"/>
    <w:rsid w:val="25AB4DE7"/>
    <w:rsid w:val="25D732A6"/>
    <w:rsid w:val="25DC5F0B"/>
    <w:rsid w:val="25E51036"/>
    <w:rsid w:val="25EE058F"/>
    <w:rsid w:val="260B5D15"/>
    <w:rsid w:val="260E135B"/>
    <w:rsid w:val="260F2A3B"/>
    <w:rsid w:val="26153106"/>
    <w:rsid w:val="26217DF1"/>
    <w:rsid w:val="265479E5"/>
    <w:rsid w:val="26594E46"/>
    <w:rsid w:val="265A2354"/>
    <w:rsid w:val="265A694E"/>
    <w:rsid w:val="265D7353"/>
    <w:rsid w:val="266C3D2B"/>
    <w:rsid w:val="26791D03"/>
    <w:rsid w:val="267C2264"/>
    <w:rsid w:val="268E2890"/>
    <w:rsid w:val="26B57584"/>
    <w:rsid w:val="26B714A3"/>
    <w:rsid w:val="26B878C6"/>
    <w:rsid w:val="26BE72FA"/>
    <w:rsid w:val="26D477AB"/>
    <w:rsid w:val="26D703BB"/>
    <w:rsid w:val="26DA4C5A"/>
    <w:rsid w:val="26DC3B65"/>
    <w:rsid w:val="26E760D0"/>
    <w:rsid w:val="26EE7226"/>
    <w:rsid w:val="26EF15AD"/>
    <w:rsid w:val="271055D7"/>
    <w:rsid w:val="271572C7"/>
    <w:rsid w:val="271621F5"/>
    <w:rsid w:val="271B39F9"/>
    <w:rsid w:val="271D6BF2"/>
    <w:rsid w:val="2722563E"/>
    <w:rsid w:val="272F6ACE"/>
    <w:rsid w:val="275D1456"/>
    <w:rsid w:val="2760453C"/>
    <w:rsid w:val="27677EE8"/>
    <w:rsid w:val="276B300F"/>
    <w:rsid w:val="277B4DBB"/>
    <w:rsid w:val="277D265E"/>
    <w:rsid w:val="279354DD"/>
    <w:rsid w:val="279D2657"/>
    <w:rsid w:val="27A86180"/>
    <w:rsid w:val="27B76119"/>
    <w:rsid w:val="27BA11FB"/>
    <w:rsid w:val="27C03587"/>
    <w:rsid w:val="27CF665E"/>
    <w:rsid w:val="27D528A6"/>
    <w:rsid w:val="27D96A21"/>
    <w:rsid w:val="27DD7361"/>
    <w:rsid w:val="27E267D5"/>
    <w:rsid w:val="27E67C02"/>
    <w:rsid w:val="27F0321E"/>
    <w:rsid w:val="27F27E01"/>
    <w:rsid w:val="27F36758"/>
    <w:rsid w:val="27FC4C3E"/>
    <w:rsid w:val="28033E7D"/>
    <w:rsid w:val="28053D2F"/>
    <w:rsid w:val="280C63A8"/>
    <w:rsid w:val="280D0956"/>
    <w:rsid w:val="280E2B80"/>
    <w:rsid w:val="281D61F8"/>
    <w:rsid w:val="28243D9D"/>
    <w:rsid w:val="28245D26"/>
    <w:rsid w:val="282E29D2"/>
    <w:rsid w:val="28302775"/>
    <w:rsid w:val="283074A0"/>
    <w:rsid w:val="283F4D75"/>
    <w:rsid w:val="284A533C"/>
    <w:rsid w:val="284F1421"/>
    <w:rsid w:val="28583650"/>
    <w:rsid w:val="287A27B0"/>
    <w:rsid w:val="2880161A"/>
    <w:rsid w:val="28865461"/>
    <w:rsid w:val="288E196F"/>
    <w:rsid w:val="289B5394"/>
    <w:rsid w:val="28A928BB"/>
    <w:rsid w:val="28AA2E6A"/>
    <w:rsid w:val="28CB615E"/>
    <w:rsid w:val="28FF2AE6"/>
    <w:rsid w:val="290045B0"/>
    <w:rsid w:val="291F052E"/>
    <w:rsid w:val="294E4F1F"/>
    <w:rsid w:val="29564DCA"/>
    <w:rsid w:val="297317D3"/>
    <w:rsid w:val="29802F8C"/>
    <w:rsid w:val="298370C8"/>
    <w:rsid w:val="29856872"/>
    <w:rsid w:val="29874822"/>
    <w:rsid w:val="298D57C7"/>
    <w:rsid w:val="299A2DD8"/>
    <w:rsid w:val="29AE1C97"/>
    <w:rsid w:val="29B1315D"/>
    <w:rsid w:val="29B227F8"/>
    <w:rsid w:val="29B83E8B"/>
    <w:rsid w:val="29BD1846"/>
    <w:rsid w:val="29EA3ABC"/>
    <w:rsid w:val="29EF1312"/>
    <w:rsid w:val="29F04FCA"/>
    <w:rsid w:val="2A0840E6"/>
    <w:rsid w:val="2A142CA0"/>
    <w:rsid w:val="2A392F30"/>
    <w:rsid w:val="2A40080A"/>
    <w:rsid w:val="2A4018B0"/>
    <w:rsid w:val="2A456BC6"/>
    <w:rsid w:val="2A4917F3"/>
    <w:rsid w:val="2A4D6D7B"/>
    <w:rsid w:val="2A5E6A18"/>
    <w:rsid w:val="2A87171A"/>
    <w:rsid w:val="2A893A72"/>
    <w:rsid w:val="2A8964D8"/>
    <w:rsid w:val="2A94496D"/>
    <w:rsid w:val="2A9C737E"/>
    <w:rsid w:val="2AC73582"/>
    <w:rsid w:val="2AD509DD"/>
    <w:rsid w:val="2ADD1B45"/>
    <w:rsid w:val="2ADF03DE"/>
    <w:rsid w:val="2AFD4458"/>
    <w:rsid w:val="2B1B496B"/>
    <w:rsid w:val="2B2700E3"/>
    <w:rsid w:val="2B33701E"/>
    <w:rsid w:val="2B3F46DF"/>
    <w:rsid w:val="2B411C10"/>
    <w:rsid w:val="2B6D3C2D"/>
    <w:rsid w:val="2B8D22FF"/>
    <w:rsid w:val="2B942D1F"/>
    <w:rsid w:val="2B961E48"/>
    <w:rsid w:val="2B9D1881"/>
    <w:rsid w:val="2BB10E19"/>
    <w:rsid w:val="2BBA0D78"/>
    <w:rsid w:val="2BBD4403"/>
    <w:rsid w:val="2BC52FD9"/>
    <w:rsid w:val="2BC80E7E"/>
    <w:rsid w:val="2BD35929"/>
    <w:rsid w:val="2BE377ED"/>
    <w:rsid w:val="2BE42BAA"/>
    <w:rsid w:val="2C125B1F"/>
    <w:rsid w:val="2C1637CE"/>
    <w:rsid w:val="2C1F0378"/>
    <w:rsid w:val="2C2C3925"/>
    <w:rsid w:val="2C7A7731"/>
    <w:rsid w:val="2C956603"/>
    <w:rsid w:val="2CA27357"/>
    <w:rsid w:val="2CAA441E"/>
    <w:rsid w:val="2CAC0C68"/>
    <w:rsid w:val="2CBE38FD"/>
    <w:rsid w:val="2CCA4A56"/>
    <w:rsid w:val="2CCB5B45"/>
    <w:rsid w:val="2CDC010A"/>
    <w:rsid w:val="2CE5374C"/>
    <w:rsid w:val="2CE82819"/>
    <w:rsid w:val="2CF77681"/>
    <w:rsid w:val="2CFD3981"/>
    <w:rsid w:val="2D180106"/>
    <w:rsid w:val="2D1C431A"/>
    <w:rsid w:val="2D2C51EC"/>
    <w:rsid w:val="2D3757E1"/>
    <w:rsid w:val="2D493DCD"/>
    <w:rsid w:val="2D670CE2"/>
    <w:rsid w:val="2D697326"/>
    <w:rsid w:val="2D6C09B2"/>
    <w:rsid w:val="2D7566D8"/>
    <w:rsid w:val="2DBB0FB2"/>
    <w:rsid w:val="2DBF2802"/>
    <w:rsid w:val="2DCE7BCA"/>
    <w:rsid w:val="2DD13C76"/>
    <w:rsid w:val="2DF3628F"/>
    <w:rsid w:val="2E280B5E"/>
    <w:rsid w:val="2E3031D3"/>
    <w:rsid w:val="2E446745"/>
    <w:rsid w:val="2E5B2891"/>
    <w:rsid w:val="2E632C3A"/>
    <w:rsid w:val="2E813A38"/>
    <w:rsid w:val="2E9164D7"/>
    <w:rsid w:val="2E947BD2"/>
    <w:rsid w:val="2E960B5C"/>
    <w:rsid w:val="2E9C6B58"/>
    <w:rsid w:val="2EA52720"/>
    <w:rsid w:val="2EBE4744"/>
    <w:rsid w:val="2ECC4570"/>
    <w:rsid w:val="2EDF143F"/>
    <w:rsid w:val="2EE639D5"/>
    <w:rsid w:val="2EE97C78"/>
    <w:rsid w:val="2EEF5074"/>
    <w:rsid w:val="2EFA3040"/>
    <w:rsid w:val="2F005D90"/>
    <w:rsid w:val="2F11041D"/>
    <w:rsid w:val="2F1A79DF"/>
    <w:rsid w:val="2F2A7EBA"/>
    <w:rsid w:val="2F2C087C"/>
    <w:rsid w:val="2F585448"/>
    <w:rsid w:val="2F886361"/>
    <w:rsid w:val="2F92185E"/>
    <w:rsid w:val="2FA26195"/>
    <w:rsid w:val="2FB971F8"/>
    <w:rsid w:val="2FC26776"/>
    <w:rsid w:val="2FCA7304"/>
    <w:rsid w:val="2FD22068"/>
    <w:rsid w:val="2FD50BA6"/>
    <w:rsid w:val="2FE065FC"/>
    <w:rsid w:val="2FE7751E"/>
    <w:rsid w:val="2FF67E7C"/>
    <w:rsid w:val="2FFA53A6"/>
    <w:rsid w:val="2FFC0C14"/>
    <w:rsid w:val="30111B75"/>
    <w:rsid w:val="301275F2"/>
    <w:rsid w:val="301E7C66"/>
    <w:rsid w:val="302476CD"/>
    <w:rsid w:val="303838E5"/>
    <w:rsid w:val="303E3D77"/>
    <w:rsid w:val="303E7123"/>
    <w:rsid w:val="305051F8"/>
    <w:rsid w:val="30641298"/>
    <w:rsid w:val="3065794D"/>
    <w:rsid w:val="30667749"/>
    <w:rsid w:val="307E2994"/>
    <w:rsid w:val="308D2386"/>
    <w:rsid w:val="30A1347E"/>
    <w:rsid w:val="30A530BB"/>
    <w:rsid w:val="30AD3885"/>
    <w:rsid w:val="30BC6725"/>
    <w:rsid w:val="30E33659"/>
    <w:rsid w:val="30FA7A74"/>
    <w:rsid w:val="310E43BD"/>
    <w:rsid w:val="31236CCA"/>
    <w:rsid w:val="312A74A0"/>
    <w:rsid w:val="312D4941"/>
    <w:rsid w:val="3141717F"/>
    <w:rsid w:val="314E45CF"/>
    <w:rsid w:val="315A5C79"/>
    <w:rsid w:val="315B6A09"/>
    <w:rsid w:val="315B7C22"/>
    <w:rsid w:val="316F1F3B"/>
    <w:rsid w:val="318B011D"/>
    <w:rsid w:val="31AE3E57"/>
    <w:rsid w:val="31BE2C9D"/>
    <w:rsid w:val="31BF526D"/>
    <w:rsid w:val="31C17736"/>
    <w:rsid w:val="31CB0F43"/>
    <w:rsid w:val="31D976DD"/>
    <w:rsid w:val="31F46601"/>
    <w:rsid w:val="32011947"/>
    <w:rsid w:val="321327E8"/>
    <w:rsid w:val="324B1034"/>
    <w:rsid w:val="324E1191"/>
    <w:rsid w:val="324E7B8F"/>
    <w:rsid w:val="326E63CC"/>
    <w:rsid w:val="32874F81"/>
    <w:rsid w:val="32892CC9"/>
    <w:rsid w:val="328F7F00"/>
    <w:rsid w:val="32A1627D"/>
    <w:rsid w:val="32B4138B"/>
    <w:rsid w:val="32C76E2A"/>
    <w:rsid w:val="32C959A4"/>
    <w:rsid w:val="32F629B0"/>
    <w:rsid w:val="33060B25"/>
    <w:rsid w:val="33093B71"/>
    <w:rsid w:val="33116F58"/>
    <w:rsid w:val="333D1567"/>
    <w:rsid w:val="335A33AB"/>
    <w:rsid w:val="33730036"/>
    <w:rsid w:val="33B95385"/>
    <w:rsid w:val="33C04270"/>
    <w:rsid w:val="33C63CA9"/>
    <w:rsid w:val="33C93D5B"/>
    <w:rsid w:val="33CA2D93"/>
    <w:rsid w:val="33CC539B"/>
    <w:rsid w:val="33DE0FDB"/>
    <w:rsid w:val="33E70D43"/>
    <w:rsid w:val="34055EEA"/>
    <w:rsid w:val="340C5B48"/>
    <w:rsid w:val="341509B2"/>
    <w:rsid w:val="3416085D"/>
    <w:rsid w:val="341D705D"/>
    <w:rsid w:val="341E42FC"/>
    <w:rsid w:val="34326364"/>
    <w:rsid w:val="344076B3"/>
    <w:rsid w:val="3444151B"/>
    <w:rsid w:val="344E25CC"/>
    <w:rsid w:val="34667FFF"/>
    <w:rsid w:val="34690523"/>
    <w:rsid w:val="347171DF"/>
    <w:rsid w:val="347D4D87"/>
    <w:rsid w:val="348B4F98"/>
    <w:rsid w:val="34933736"/>
    <w:rsid w:val="349519D6"/>
    <w:rsid w:val="34B3661E"/>
    <w:rsid w:val="34B81243"/>
    <w:rsid w:val="34BF1622"/>
    <w:rsid w:val="34C96C44"/>
    <w:rsid w:val="34E33FD9"/>
    <w:rsid w:val="34EF2EF3"/>
    <w:rsid w:val="34F43741"/>
    <w:rsid w:val="350C4EE6"/>
    <w:rsid w:val="35152BAF"/>
    <w:rsid w:val="3515527C"/>
    <w:rsid w:val="351917AF"/>
    <w:rsid w:val="353C4F35"/>
    <w:rsid w:val="3544342C"/>
    <w:rsid w:val="354558B8"/>
    <w:rsid w:val="35605664"/>
    <w:rsid w:val="35646059"/>
    <w:rsid w:val="3566664D"/>
    <w:rsid w:val="35683AF9"/>
    <w:rsid w:val="356B4BBD"/>
    <w:rsid w:val="35782713"/>
    <w:rsid w:val="35816D2B"/>
    <w:rsid w:val="35B2056F"/>
    <w:rsid w:val="35B47C93"/>
    <w:rsid w:val="35BA15D4"/>
    <w:rsid w:val="35C422B6"/>
    <w:rsid w:val="35CA6AEE"/>
    <w:rsid w:val="35CD1307"/>
    <w:rsid w:val="35D96B49"/>
    <w:rsid w:val="35E01551"/>
    <w:rsid w:val="35FD0483"/>
    <w:rsid w:val="360B0081"/>
    <w:rsid w:val="360B7296"/>
    <w:rsid w:val="361A00DF"/>
    <w:rsid w:val="36296547"/>
    <w:rsid w:val="3632560E"/>
    <w:rsid w:val="363D3F98"/>
    <w:rsid w:val="364C3AAE"/>
    <w:rsid w:val="36721EAF"/>
    <w:rsid w:val="36740AF6"/>
    <w:rsid w:val="368B6F70"/>
    <w:rsid w:val="369622A4"/>
    <w:rsid w:val="369F5E70"/>
    <w:rsid w:val="36C16AAB"/>
    <w:rsid w:val="36C20D84"/>
    <w:rsid w:val="36E50144"/>
    <w:rsid w:val="36F21067"/>
    <w:rsid w:val="36F75FD1"/>
    <w:rsid w:val="37084D57"/>
    <w:rsid w:val="373553B6"/>
    <w:rsid w:val="373A6E70"/>
    <w:rsid w:val="37545091"/>
    <w:rsid w:val="37546640"/>
    <w:rsid w:val="37582F5A"/>
    <w:rsid w:val="375C22EB"/>
    <w:rsid w:val="375D2B5F"/>
    <w:rsid w:val="376419E9"/>
    <w:rsid w:val="37654B44"/>
    <w:rsid w:val="377A1D27"/>
    <w:rsid w:val="377F2AD5"/>
    <w:rsid w:val="37A02766"/>
    <w:rsid w:val="37C56718"/>
    <w:rsid w:val="37C74E88"/>
    <w:rsid w:val="3803716D"/>
    <w:rsid w:val="38043092"/>
    <w:rsid w:val="38187167"/>
    <w:rsid w:val="381B0896"/>
    <w:rsid w:val="38251673"/>
    <w:rsid w:val="383C234C"/>
    <w:rsid w:val="3841140F"/>
    <w:rsid w:val="38424834"/>
    <w:rsid w:val="38442B07"/>
    <w:rsid w:val="38453B56"/>
    <w:rsid w:val="38487597"/>
    <w:rsid w:val="384D5E3D"/>
    <w:rsid w:val="386251AF"/>
    <w:rsid w:val="38670D12"/>
    <w:rsid w:val="38703F00"/>
    <w:rsid w:val="387543A5"/>
    <w:rsid w:val="38865364"/>
    <w:rsid w:val="388A06B0"/>
    <w:rsid w:val="388A4FF3"/>
    <w:rsid w:val="389B048C"/>
    <w:rsid w:val="38A333D2"/>
    <w:rsid w:val="38A51829"/>
    <w:rsid w:val="38B85C64"/>
    <w:rsid w:val="38C46EC4"/>
    <w:rsid w:val="38D330D8"/>
    <w:rsid w:val="38E26AF6"/>
    <w:rsid w:val="38E516DC"/>
    <w:rsid w:val="38FB6E89"/>
    <w:rsid w:val="39160AB4"/>
    <w:rsid w:val="3918737E"/>
    <w:rsid w:val="391975A4"/>
    <w:rsid w:val="391F645A"/>
    <w:rsid w:val="394916F9"/>
    <w:rsid w:val="39584D00"/>
    <w:rsid w:val="3977132C"/>
    <w:rsid w:val="398C5A2B"/>
    <w:rsid w:val="398F4611"/>
    <w:rsid w:val="398F7031"/>
    <w:rsid w:val="399640A8"/>
    <w:rsid w:val="39A36673"/>
    <w:rsid w:val="39A5327C"/>
    <w:rsid w:val="39A80DAB"/>
    <w:rsid w:val="39DE64A1"/>
    <w:rsid w:val="39EF53C1"/>
    <w:rsid w:val="3A23599A"/>
    <w:rsid w:val="3A472A48"/>
    <w:rsid w:val="3A4C07C2"/>
    <w:rsid w:val="3A612966"/>
    <w:rsid w:val="3A6565D0"/>
    <w:rsid w:val="3A662AC7"/>
    <w:rsid w:val="3A6815EC"/>
    <w:rsid w:val="3A706E73"/>
    <w:rsid w:val="3A7837D1"/>
    <w:rsid w:val="3A7E78DA"/>
    <w:rsid w:val="3A9E7F59"/>
    <w:rsid w:val="3ADB44C6"/>
    <w:rsid w:val="3AF33AC3"/>
    <w:rsid w:val="3AF85078"/>
    <w:rsid w:val="3B137C65"/>
    <w:rsid w:val="3B311A87"/>
    <w:rsid w:val="3B331C0C"/>
    <w:rsid w:val="3B541B43"/>
    <w:rsid w:val="3B59446D"/>
    <w:rsid w:val="3B630348"/>
    <w:rsid w:val="3B6902C1"/>
    <w:rsid w:val="3B6F744F"/>
    <w:rsid w:val="3B7F12F6"/>
    <w:rsid w:val="3B8546B9"/>
    <w:rsid w:val="3BA1322F"/>
    <w:rsid w:val="3BB61594"/>
    <w:rsid w:val="3BBA7170"/>
    <w:rsid w:val="3BCB1537"/>
    <w:rsid w:val="3BDF201C"/>
    <w:rsid w:val="3BFA0BC7"/>
    <w:rsid w:val="3C1F2FC0"/>
    <w:rsid w:val="3C221C81"/>
    <w:rsid w:val="3C226F76"/>
    <w:rsid w:val="3C2E582E"/>
    <w:rsid w:val="3C3251D9"/>
    <w:rsid w:val="3C393AD5"/>
    <w:rsid w:val="3C3F4301"/>
    <w:rsid w:val="3C463F15"/>
    <w:rsid w:val="3C5851D9"/>
    <w:rsid w:val="3C5C5193"/>
    <w:rsid w:val="3C633A43"/>
    <w:rsid w:val="3C694EE5"/>
    <w:rsid w:val="3C6A6BC1"/>
    <w:rsid w:val="3C700C3E"/>
    <w:rsid w:val="3C7262C5"/>
    <w:rsid w:val="3C940BFA"/>
    <w:rsid w:val="3CA9599D"/>
    <w:rsid w:val="3CC03974"/>
    <w:rsid w:val="3CCF699C"/>
    <w:rsid w:val="3CD459EE"/>
    <w:rsid w:val="3CDA3AC5"/>
    <w:rsid w:val="3CDE5C79"/>
    <w:rsid w:val="3CF71663"/>
    <w:rsid w:val="3CFD6D40"/>
    <w:rsid w:val="3CFE7149"/>
    <w:rsid w:val="3CFE7B29"/>
    <w:rsid w:val="3D0E279C"/>
    <w:rsid w:val="3D112D10"/>
    <w:rsid w:val="3D1D157C"/>
    <w:rsid w:val="3D307E05"/>
    <w:rsid w:val="3D464997"/>
    <w:rsid w:val="3D552F65"/>
    <w:rsid w:val="3D5A55A1"/>
    <w:rsid w:val="3D6E19E5"/>
    <w:rsid w:val="3D7D1E84"/>
    <w:rsid w:val="3D95620E"/>
    <w:rsid w:val="3D9F722B"/>
    <w:rsid w:val="3DA32353"/>
    <w:rsid w:val="3DC808F4"/>
    <w:rsid w:val="3DFC548F"/>
    <w:rsid w:val="3DFD452B"/>
    <w:rsid w:val="3E0748C6"/>
    <w:rsid w:val="3E086EC7"/>
    <w:rsid w:val="3E0B0C9A"/>
    <w:rsid w:val="3E117CBE"/>
    <w:rsid w:val="3E17048A"/>
    <w:rsid w:val="3E1C788F"/>
    <w:rsid w:val="3E233019"/>
    <w:rsid w:val="3E3772B0"/>
    <w:rsid w:val="3E416D36"/>
    <w:rsid w:val="3E4601CC"/>
    <w:rsid w:val="3E6710B4"/>
    <w:rsid w:val="3E7C0513"/>
    <w:rsid w:val="3E8A718F"/>
    <w:rsid w:val="3EAE4245"/>
    <w:rsid w:val="3EAE4852"/>
    <w:rsid w:val="3EBD1E6E"/>
    <w:rsid w:val="3EBE37CE"/>
    <w:rsid w:val="3EC129FF"/>
    <w:rsid w:val="3EC95DEC"/>
    <w:rsid w:val="3EE22562"/>
    <w:rsid w:val="3EE4121D"/>
    <w:rsid w:val="3EE5462F"/>
    <w:rsid w:val="3EE97955"/>
    <w:rsid w:val="3EF05CE8"/>
    <w:rsid w:val="3EFD284F"/>
    <w:rsid w:val="3F141D55"/>
    <w:rsid w:val="3F175EC4"/>
    <w:rsid w:val="3F1E7C2D"/>
    <w:rsid w:val="3F37496B"/>
    <w:rsid w:val="3F3B4740"/>
    <w:rsid w:val="3F4E1332"/>
    <w:rsid w:val="3F5443B1"/>
    <w:rsid w:val="3F547134"/>
    <w:rsid w:val="3F635074"/>
    <w:rsid w:val="3F6F78D3"/>
    <w:rsid w:val="3F7B5566"/>
    <w:rsid w:val="3FB53025"/>
    <w:rsid w:val="3FB57928"/>
    <w:rsid w:val="3FBB27B3"/>
    <w:rsid w:val="3FD20DF3"/>
    <w:rsid w:val="3FDA11F0"/>
    <w:rsid w:val="3FDE6039"/>
    <w:rsid w:val="3FE6109F"/>
    <w:rsid w:val="3FF036D6"/>
    <w:rsid w:val="3FFE6D98"/>
    <w:rsid w:val="40092D50"/>
    <w:rsid w:val="40187BE4"/>
    <w:rsid w:val="401D0C2C"/>
    <w:rsid w:val="402803C3"/>
    <w:rsid w:val="403D08A6"/>
    <w:rsid w:val="403D1A8C"/>
    <w:rsid w:val="40434C72"/>
    <w:rsid w:val="40461D7D"/>
    <w:rsid w:val="4048682E"/>
    <w:rsid w:val="404C35CE"/>
    <w:rsid w:val="405D2A3A"/>
    <w:rsid w:val="407105CD"/>
    <w:rsid w:val="407C0E8D"/>
    <w:rsid w:val="408A6D7E"/>
    <w:rsid w:val="40906F4C"/>
    <w:rsid w:val="409327E5"/>
    <w:rsid w:val="40A84DF8"/>
    <w:rsid w:val="40AD7779"/>
    <w:rsid w:val="40B324F2"/>
    <w:rsid w:val="40C316C3"/>
    <w:rsid w:val="40C86825"/>
    <w:rsid w:val="40DB24F9"/>
    <w:rsid w:val="40ED0414"/>
    <w:rsid w:val="40F2629B"/>
    <w:rsid w:val="40F474CF"/>
    <w:rsid w:val="41263501"/>
    <w:rsid w:val="412C41DD"/>
    <w:rsid w:val="412E3AA0"/>
    <w:rsid w:val="41320BB8"/>
    <w:rsid w:val="4133259E"/>
    <w:rsid w:val="41403EDD"/>
    <w:rsid w:val="414E67F4"/>
    <w:rsid w:val="415F3F37"/>
    <w:rsid w:val="415F460A"/>
    <w:rsid w:val="41B92EC6"/>
    <w:rsid w:val="41BC1D5B"/>
    <w:rsid w:val="41C41EE0"/>
    <w:rsid w:val="41D00BF3"/>
    <w:rsid w:val="41EB06B1"/>
    <w:rsid w:val="41FA3A2A"/>
    <w:rsid w:val="42147A3A"/>
    <w:rsid w:val="42176738"/>
    <w:rsid w:val="421D797E"/>
    <w:rsid w:val="423D67D1"/>
    <w:rsid w:val="424423C9"/>
    <w:rsid w:val="424B1C04"/>
    <w:rsid w:val="425E31D6"/>
    <w:rsid w:val="42744F8C"/>
    <w:rsid w:val="42AD063B"/>
    <w:rsid w:val="42C171F3"/>
    <w:rsid w:val="42D266C7"/>
    <w:rsid w:val="42D651C1"/>
    <w:rsid w:val="42D913E9"/>
    <w:rsid w:val="42E14644"/>
    <w:rsid w:val="42E40DD1"/>
    <w:rsid w:val="42EC34F6"/>
    <w:rsid w:val="430201D2"/>
    <w:rsid w:val="43072DA7"/>
    <w:rsid w:val="43135319"/>
    <w:rsid w:val="432C2A32"/>
    <w:rsid w:val="432D1C04"/>
    <w:rsid w:val="433619DB"/>
    <w:rsid w:val="434E5F92"/>
    <w:rsid w:val="43515C68"/>
    <w:rsid w:val="435567B0"/>
    <w:rsid w:val="43575365"/>
    <w:rsid w:val="43577E34"/>
    <w:rsid w:val="435E6358"/>
    <w:rsid w:val="435E7642"/>
    <w:rsid w:val="43680537"/>
    <w:rsid w:val="43700157"/>
    <w:rsid w:val="439F701C"/>
    <w:rsid w:val="43A11518"/>
    <w:rsid w:val="43A5262D"/>
    <w:rsid w:val="43C07C63"/>
    <w:rsid w:val="43C55D14"/>
    <w:rsid w:val="43CB142F"/>
    <w:rsid w:val="43DE6B3B"/>
    <w:rsid w:val="43F11CEA"/>
    <w:rsid w:val="43F206CA"/>
    <w:rsid w:val="43FE4F8A"/>
    <w:rsid w:val="44166BF1"/>
    <w:rsid w:val="44717D3E"/>
    <w:rsid w:val="44925C64"/>
    <w:rsid w:val="44947D38"/>
    <w:rsid w:val="449556E6"/>
    <w:rsid w:val="44A0537A"/>
    <w:rsid w:val="44A5762A"/>
    <w:rsid w:val="44C37AAB"/>
    <w:rsid w:val="44D632A8"/>
    <w:rsid w:val="44E94EF1"/>
    <w:rsid w:val="44EA41B5"/>
    <w:rsid w:val="44F62472"/>
    <w:rsid w:val="44FD22D5"/>
    <w:rsid w:val="45063994"/>
    <w:rsid w:val="452B2344"/>
    <w:rsid w:val="45302925"/>
    <w:rsid w:val="453221C1"/>
    <w:rsid w:val="453B3D19"/>
    <w:rsid w:val="4555107C"/>
    <w:rsid w:val="456600C8"/>
    <w:rsid w:val="456C1FA4"/>
    <w:rsid w:val="456C2D26"/>
    <w:rsid w:val="457A7A7F"/>
    <w:rsid w:val="457B3AC6"/>
    <w:rsid w:val="45983295"/>
    <w:rsid w:val="459A6248"/>
    <w:rsid w:val="459C19DC"/>
    <w:rsid w:val="459E1DF2"/>
    <w:rsid w:val="45B42304"/>
    <w:rsid w:val="45C26CA2"/>
    <w:rsid w:val="45D71D2E"/>
    <w:rsid w:val="45DA5C7B"/>
    <w:rsid w:val="45E7300C"/>
    <w:rsid w:val="45F37CC1"/>
    <w:rsid w:val="46030EB3"/>
    <w:rsid w:val="460958D0"/>
    <w:rsid w:val="460F7455"/>
    <w:rsid w:val="46130A89"/>
    <w:rsid w:val="46317253"/>
    <w:rsid w:val="464F5100"/>
    <w:rsid w:val="46537317"/>
    <w:rsid w:val="465E47C3"/>
    <w:rsid w:val="46761090"/>
    <w:rsid w:val="467E09EF"/>
    <w:rsid w:val="46813DBF"/>
    <w:rsid w:val="46893F5C"/>
    <w:rsid w:val="4693575D"/>
    <w:rsid w:val="46AE583F"/>
    <w:rsid w:val="46AE6E07"/>
    <w:rsid w:val="46B40F2B"/>
    <w:rsid w:val="46C0699C"/>
    <w:rsid w:val="46DA3713"/>
    <w:rsid w:val="46DD60EE"/>
    <w:rsid w:val="46DE2D82"/>
    <w:rsid w:val="46DE55E8"/>
    <w:rsid w:val="46E915AB"/>
    <w:rsid w:val="46F36309"/>
    <w:rsid w:val="46F60CF6"/>
    <w:rsid w:val="46FD6C53"/>
    <w:rsid w:val="470C1F25"/>
    <w:rsid w:val="470C4B51"/>
    <w:rsid w:val="47263250"/>
    <w:rsid w:val="472A62F3"/>
    <w:rsid w:val="472C5E04"/>
    <w:rsid w:val="472F1E22"/>
    <w:rsid w:val="47332F94"/>
    <w:rsid w:val="473339CD"/>
    <w:rsid w:val="47376734"/>
    <w:rsid w:val="473E145B"/>
    <w:rsid w:val="47417B21"/>
    <w:rsid w:val="47443E3C"/>
    <w:rsid w:val="475112EB"/>
    <w:rsid w:val="47512785"/>
    <w:rsid w:val="4760696F"/>
    <w:rsid w:val="477325D6"/>
    <w:rsid w:val="477C3A73"/>
    <w:rsid w:val="47831BFE"/>
    <w:rsid w:val="479809B8"/>
    <w:rsid w:val="47B16BE0"/>
    <w:rsid w:val="47D47E08"/>
    <w:rsid w:val="47DE4857"/>
    <w:rsid w:val="47DE71F1"/>
    <w:rsid w:val="47FB7648"/>
    <w:rsid w:val="480027FF"/>
    <w:rsid w:val="480B6A91"/>
    <w:rsid w:val="480C4220"/>
    <w:rsid w:val="48294272"/>
    <w:rsid w:val="48357B3B"/>
    <w:rsid w:val="4839101C"/>
    <w:rsid w:val="48474C82"/>
    <w:rsid w:val="484C7DB3"/>
    <w:rsid w:val="485D4C28"/>
    <w:rsid w:val="486329A7"/>
    <w:rsid w:val="487D480D"/>
    <w:rsid w:val="48822B58"/>
    <w:rsid w:val="48862167"/>
    <w:rsid w:val="48964AD8"/>
    <w:rsid w:val="48AB093C"/>
    <w:rsid w:val="48D82045"/>
    <w:rsid w:val="48DC3718"/>
    <w:rsid w:val="48F40954"/>
    <w:rsid w:val="492662B8"/>
    <w:rsid w:val="495A6EFE"/>
    <w:rsid w:val="495B6457"/>
    <w:rsid w:val="49683DC4"/>
    <w:rsid w:val="49781549"/>
    <w:rsid w:val="49782801"/>
    <w:rsid w:val="49785D34"/>
    <w:rsid w:val="49790338"/>
    <w:rsid w:val="498D5958"/>
    <w:rsid w:val="499D721E"/>
    <w:rsid w:val="49A577F9"/>
    <w:rsid w:val="49AF5DB5"/>
    <w:rsid w:val="49D0144B"/>
    <w:rsid w:val="49D35C36"/>
    <w:rsid w:val="49F50870"/>
    <w:rsid w:val="4A26019D"/>
    <w:rsid w:val="4A3431F4"/>
    <w:rsid w:val="4A355532"/>
    <w:rsid w:val="4A383046"/>
    <w:rsid w:val="4A3B526E"/>
    <w:rsid w:val="4A471C26"/>
    <w:rsid w:val="4A4D76CB"/>
    <w:rsid w:val="4A5C75B9"/>
    <w:rsid w:val="4A5F5501"/>
    <w:rsid w:val="4A73708A"/>
    <w:rsid w:val="4A7E52E5"/>
    <w:rsid w:val="4A82749F"/>
    <w:rsid w:val="4A8741AF"/>
    <w:rsid w:val="4AC152FB"/>
    <w:rsid w:val="4AC57702"/>
    <w:rsid w:val="4ADA25F1"/>
    <w:rsid w:val="4AE03433"/>
    <w:rsid w:val="4AE21620"/>
    <w:rsid w:val="4AEE4B87"/>
    <w:rsid w:val="4AF00096"/>
    <w:rsid w:val="4AFD336F"/>
    <w:rsid w:val="4B0B0E05"/>
    <w:rsid w:val="4B3764A7"/>
    <w:rsid w:val="4B4E65EF"/>
    <w:rsid w:val="4B610736"/>
    <w:rsid w:val="4B64401B"/>
    <w:rsid w:val="4B70749F"/>
    <w:rsid w:val="4B733540"/>
    <w:rsid w:val="4B8B6576"/>
    <w:rsid w:val="4B9666BC"/>
    <w:rsid w:val="4BB56E0D"/>
    <w:rsid w:val="4BBE441A"/>
    <w:rsid w:val="4BC44B03"/>
    <w:rsid w:val="4BC76479"/>
    <w:rsid w:val="4BCC2290"/>
    <w:rsid w:val="4BD272AD"/>
    <w:rsid w:val="4BD4754C"/>
    <w:rsid w:val="4BDF471B"/>
    <w:rsid w:val="4BF050E7"/>
    <w:rsid w:val="4C00634E"/>
    <w:rsid w:val="4C3F1EF8"/>
    <w:rsid w:val="4C4F6AC2"/>
    <w:rsid w:val="4C524663"/>
    <w:rsid w:val="4C551CE7"/>
    <w:rsid w:val="4C5C6B91"/>
    <w:rsid w:val="4C5D61E1"/>
    <w:rsid w:val="4CA471B4"/>
    <w:rsid w:val="4CA6016B"/>
    <w:rsid w:val="4CAC05A1"/>
    <w:rsid w:val="4CB37ECC"/>
    <w:rsid w:val="4CC3431D"/>
    <w:rsid w:val="4CE32639"/>
    <w:rsid w:val="4CEB7145"/>
    <w:rsid w:val="4CFD207A"/>
    <w:rsid w:val="4D126D3C"/>
    <w:rsid w:val="4D16233D"/>
    <w:rsid w:val="4D2F2B78"/>
    <w:rsid w:val="4D5D40C1"/>
    <w:rsid w:val="4D5F7A07"/>
    <w:rsid w:val="4D737EAE"/>
    <w:rsid w:val="4D746F26"/>
    <w:rsid w:val="4D7D0979"/>
    <w:rsid w:val="4D7F0CE1"/>
    <w:rsid w:val="4D87299B"/>
    <w:rsid w:val="4D883B71"/>
    <w:rsid w:val="4D8A45B0"/>
    <w:rsid w:val="4D91586D"/>
    <w:rsid w:val="4DA86C8B"/>
    <w:rsid w:val="4DAB0F88"/>
    <w:rsid w:val="4DB206FC"/>
    <w:rsid w:val="4DB51C9F"/>
    <w:rsid w:val="4DBB3831"/>
    <w:rsid w:val="4DBF0B7C"/>
    <w:rsid w:val="4DC63176"/>
    <w:rsid w:val="4DCB57F5"/>
    <w:rsid w:val="4DD418AA"/>
    <w:rsid w:val="4DDE676B"/>
    <w:rsid w:val="4DE361F4"/>
    <w:rsid w:val="4DFC1907"/>
    <w:rsid w:val="4E114094"/>
    <w:rsid w:val="4E132D5B"/>
    <w:rsid w:val="4E1522AB"/>
    <w:rsid w:val="4E22092A"/>
    <w:rsid w:val="4E415771"/>
    <w:rsid w:val="4E447CC9"/>
    <w:rsid w:val="4E605328"/>
    <w:rsid w:val="4E743B3C"/>
    <w:rsid w:val="4E807468"/>
    <w:rsid w:val="4E896D30"/>
    <w:rsid w:val="4E932484"/>
    <w:rsid w:val="4E987B37"/>
    <w:rsid w:val="4E9B47DC"/>
    <w:rsid w:val="4EA51DC2"/>
    <w:rsid w:val="4EB106F2"/>
    <w:rsid w:val="4EB66A33"/>
    <w:rsid w:val="4EBB5DBE"/>
    <w:rsid w:val="4EC26A4D"/>
    <w:rsid w:val="4ED45EDF"/>
    <w:rsid w:val="4EE1241C"/>
    <w:rsid w:val="4EF77FB8"/>
    <w:rsid w:val="4F163447"/>
    <w:rsid w:val="4F1A7008"/>
    <w:rsid w:val="4F1D02BB"/>
    <w:rsid w:val="4F2401A6"/>
    <w:rsid w:val="4F2414FE"/>
    <w:rsid w:val="4F364EA4"/>
    <w:rsid w:val="4F386D08"/>
    <w:rsid w:val="4F414506"/>
    <w:rsid w:val="4F423AC5"/>
    <w:rsid w:val="4F45280C"/>
    <w:rsid w:val="4F591EDF"/>
    <w:rsid w:val="4F632538"/>
    <w:rsid w:val="4F66013C"/>
    <w:rsid w:val="4F704107"/>
    <w:rsid w:val="4F7A7484"/>
    <w:rsid w:val="4F857B9F"/>
    <w:rsid w:val="4F8B6983"/>
    <w:rsid w:val="4F912F4E"/>
    <w:rsid w:val="4F987D83"/>
    <w:rsid w:val="4F9F6305"/>
    <w:rsid w:val="4FAD1767"/>
    <w:rsid w:val="4FB52022"/>
    <w:rsid w:val="4FC82E13"/>
    <w:rsid w:val="4FD756FD"/>
    <w:rsid w:val="4FD75ECD"/>
    <w:rsid w:val="4FE85DF4"/>
    <w:rsid w:val="5002393A"/>
    <w:rsid w:val="500E7BE8"/>
    <w:rsid w:val="500F5168"/>
    <w:rsid w:val="500F5DAE"/>
    <w:rsid w:val="501645C5"/>
    <w:rsid w:val="501D2002"/>
    <w:rsid w:val="50255035"/>
    <w:rsid w:val="504132E3"/>
    <w:rsid w:val="504D24F4"/>
    <w:rsid w:val="505D122C"/>
    <w:rsid w:val="505D1564"/>
    <w:rsid w:val="50783A55"/>
    <w:rsid w:val="507C384E"/>
    <w:rsid w:val="508401E4"/>
    <w:rsid w:val="509D1F88"/>
    <w:rsid w:val="509E4866"/>
    <w:rsid w:val="50A02775"/>
    <w:rsid w:val="50A37762"/>
    <w:rsid w:val="50A5492D"/>
    <w:rsid w:val="50CC2E96"/>
    <w:rsid w:val="50DB3FDE"/>
    <w:rsid w:val="50E32EF9"/>
    <w:rsid w:val="50EE64BD"/>
    <w:rsid w:val="51023A7C"/>
    <w:rsid w:val="51174EDA"/>
    <w:rsid w:val="511B1ACD"/>
    <w:rsid w:val="511E6A63"/>
    <w:rsid w:val="514736E5"/>
    <w:rsid w:val="51506A75"/>
    <w:rsid w:val="51523DD1"/>
    <w:rsid w:val="51561BDF"/>
    <w:rsid w:val="51583A45"/>
    <w:rsid w:val="516A0A8F"/>
    <w:rsid w:val="51774495"/>
    <w:rsid w:val="5178037B"/>
    <w:rsid w:val="51842A7D"/>
    <w:rsid w:val="51982F91"/>
    <w:rsid w:val="519A35C6"/>
    <w:rsid w:val="519F2583"/>
    <w:rsid w:val="51AB557F"/>
    <w:rsid w:val="51AD6556"/>
    <w:rsid w:val="51BB3CB5"/>
    <w:rsid w:val="51BF6981"/>
    <w:rsid w:val="51DF3001"/>
    <w:rsid w:val="51F37983"/>
    <w:rsid w:val="51FA3D00"/>
    <w:rsid w:val="51FB4517"/>
    <w:rsid w:val="51FB4635"/>
    <w:rsid w:val="52026AE1"/>
    <w:rsid w:val="521F09DD"/>
    <w:rsid w:val="5222752C"/>
    <w:rsid w:val="52255AF3"/>
    <w:rsid w:val="523E13E6"/>
    <w:rsid w:val="524005E4"/>
    <w:rsid w:val="525106DF"/>
    <w:rsid w:val="5253532C"/>
    <w:rsid w:val="52663CB5"/>
    <w:rsid w:val="52705573"/>
    <w:rsid w:val="527375D2"/>
    <w:rsid w:val="527B54B3"/>
    <w:rsid w:val="527C282B"/>
    <w:rsid w:val="5289751A"/>
    <w:rsid w:val="52A62656"/>
    <w:rsid w:val="52AB2DED"/>
    <w:rsid w:val="52AD1D52"/>
    <w:rsid w:val="52B70F1D"/>
    <w:rsid w:val="52C04276"/>
    <w:rsid w:val="52C85AB9"/>
    <w:rsid w:val="52E22D49"/>
    <w:rsid w:val="52EA6127"/>
    <w:rsid w:val="52F5611F"/>
    <w:rsid w:val="530134AB"/>
    <w:rsid w:val="530734F8"/>
    <w:rsid w:val="531505DE"/>
    <w:rsid w:val="531B06DD"/>
    <w:rsid w:val="532260D6"/>
    <w:rsid w:val="53265CEC"/>
    <w:rsid w:val="53381174"/>
    <w:rsid w:val="53395A8D"/>
    <w:rsid w:val="53430A03"/>
    <w:rsid w:val="53453181"/>
    <w:rsid w:val="535832A7"/>
    <w:rsid w:val="53684556"/>
    <w:rsid w:val="5374208A"/>
    <w:rsid w:val="53890B0C"/>
    <w:rsid w:val="539E2038"/>
    <w:rsid w:val="53AC04B8"/>
    <w:rsid w:val="53AD6020"/>
    <w:rsid w:val="53D004E8"/>
    <w:rsid w:val="53DD074C"/>
    <w:rsid w:val="53EC2E48"/>
    <w:rsid w:val="53F03A50"/>
    <w:rsid w:val="53FB074F"/>
    <w:rsid w:val="53FC004C"/>
    <w:rsid w:val="540422CF"/>
    <w:rsid w:val="54371493"/>
    <w:rsid w:val="54475DCC"/>
    <w:rsid w:val="544A38FA"/>
    <w:rsid w:val="54616281"/>
    <w:rsid w:val="54751090"/>
    <w:rsid w:val="5479673C"/>
    <w:rsid w:val="548212A3"/>
    <w:rsid w:val="54871388"/>
    <w:rsid w:val="548A728F"/>
    <w:rsid w:val="54905ECA"/>
    <w:rsid w:val="549D6AC8"/>
    <w:rsid w:val="54A066F5"/>
    <w:rsid w:val="54A212AE"/>
    <w:rsid w:val="54A9232C"/>
    <w:rsid w:val="54AC532F"/>
    <w:rsid w:val="54B25F3F"/>
    <w:rsid w:val="54B4790E"/>
    <w:rsid w:val="54BD2D90"/>
    <w:rsid w:val="54D15BCB"/>
    <w:rsid w:val="54FB1595"/>
    <w:rsid w:val="5516017D"/>
    <w:rsid w:val="55585D19"/>
    <w:rsid w:val="556E4059"/>
    <w:rsid w:val="557E0E4D"/>
    <w:rsid w:val="55984425"/>
    <w:rsid w:val="55AF14AC"/>
    <w:rsid w:val="55B96E21"/>
    <w:rsid w:val="55C91189"/>
    <w:rsid w:val="55CE7DB6"/>
    <w:rsid w:val="55E1458A"/>
    <w:rsid w:val="55E406BF"/>
    <w:rsid w:val="55E42029"/>
    <w:rsid w:val="55EA6E84"/>
    <w:rsid w:val="55EB6977"/>
    <w:rsid w:val="5607784E"/>
    <w:rsid w:val="560B6A22"/>
    <w:rsid w:val="563166DC"/>
    <w:rsid w:val="564877A5"/>
    <w:rsid w:val="56603E65"/>
    <w:rsid w:val="5660731A"/>
    <w:rsid w:val="56890E23"/>
    <w:rsid w:val="5695539B"/>
    <w:rsid w:val="5695773D"/>
    <w:rsid w:val="56C101B4"/>
    <w:rsid w:val="56C279DB"/>
    <w:rsid w:val="56D63A7A"/>
    <w:rsid w:val="56D97728"/>
    <w:rsid w:val="56DA1345"/>
    <w:rsid w:val="56DD6858"/>
    <w:rsid w:val="56EE44F1"/>
    <w:rsid w:val="5715028F"/>
    <w:rsid w:val="5717185B"/>
    <w:rsid w:val="571747DE"/>
    <w:rsid w:val="57255660"/>
    <w:rsid w:val="5746685D"/>
    <w:rsid w:val="57471110"/>
    <w:rsid w:val="57516383"/>
    <w:rsid w:val="57573FCF"/>
    <w:rsid w:val="576F5233"/>
    <w:rsid w:val="57937A03"/>
    <w:rsid w:val="57AB14EB"/>
    <w:rsid w:val="57B37B43"/>
    <w:rsid w:val="57C45AC7"/>
    <w:rsid w:val="57CCC813"/>
    <w:rsid w:val="57D56212"/>
    <w:rsid w:val="57D72812"/>
    <w:rsid w:val="57EF5E0E"/>
    <w:rsid w:val="58054C91"/>
    <w:rsid w:val="5806097D"/>
    <w:rsid w:val="580E372B"/>
    <w:rsid w:val="58101591"/>
    <w:rsid w:val="58120A77"/>
    <w:rsid w:val="58136BF6"/>
    <w:rsid w:val="58156BCB"/>
    <w:rsid w:val="58235DE1"/>
    <w:rsid w:val="58294898"/>
    <w:rsid w:val="58385787"/>
    <w:rsid w:val="584450AA"/>
    <w:rsid w:val="584C2341"/>
    <w:rsid w:val="5850268F"/>
    <w:rsid w:val="585431F4"/>
    <w:rsid w:val="586F66CF"/>
    <w:rsid w:val="587655E7"/>
    <w:rsid w:val="58785DD8"/>
    <w:rsid w:val="58801DB1"/>
    <w:rsid w:val="5881483E"/>
    <w:rsid w:val="58894DAF"/>
    <w:rsid w:val="588A205B"/>
    <w:rsid w:val="588F7B43"/>
    <w:rsid w:val="58B312C4"/>
    <w:rsid w:val="58BB21DC"/>
    <w:rsid w:val="58BB441C"/>
    <w:rsid w:val="58BF28DA"/>
    <w:rsid w:val="58C24B17"/>
    <w:rsid w:val="58D3217E"/>
    <w:rsid w:val="58DA7713"/>
    <w:rsid w:val="58DD051D"/>
    <w:rsid w:val="58F00C86"/>
    <w:rsid w:val="58FF5879"/>
    <w:rsid w:val="59041CE1"/>
    <w:rsid w:val="590F2C2D"/>
    <w:rsid w:val="591B012B"/>
    <w:rsid w:val="591C0741"/>
    <w:rsid w:val="59204EF1"/>
    <w:rsid w:val="59271F35"/>
    <w:rsid w:val="59310CA2"/>
    <w:rsid w:val="59431CD3"/>
    <w:rsid w:val="59441031"/>
    <w:rsid w:val="59623730"/>
    <w:rsid w:val="59690793"/>
    <w:rsid w:val="5978454B"/>
    <w:rsid w:val="597C47A4"/>
    <w:rsid w:val="598D7D01"/>
    <w:rsid w:val="598F5362"/>
    <w:rsid w:val="5998614C"/>
    <w:rsid w:val="59A64B33"/>
    <w:rsid w:val="59BC3BE1"/>
    <w:rsid w:val="59BE0DE3"/>
    <w:rsid w:val="59C7491A"/>
    <w:rsid w:val="59D21773"/>
    <w:rsid w:val="59D84075"/>
    <w:rsid w:val="59DA5F12"/>
    <w:rsid w:val="5A055A2B"/>
    <w:rsid w:val="5A0D7986"/>
    <w:rsid w:val="5A1D1CD0"/>
    <w:rsid w:val="5A2748B5"/>
    <w:rsid w:val="5A3075E2"/>
    <w:rsid w:val="5A34016C"/>
    <w:rsid w:val="5A562228"/>
    <w:rsid w:val="5A5E37A2"/>
    <w:rsid w:val="5A641A16"/>
    <w:rsid w:val="5A6870DC"/>
    <w:rsid w:val="5A6A6AB2"/>
    <w:rsid w:val="5A6E44D0"/>
    <w:rsid w:val="5A7B66B2"/>
    <w:rsid w:val="5A9304C2"/>
    <w:rsid w:val="5A9640B1"/>
    <w:rsid w:val="5ABA1A75"/>
    <w:rsid w:val="5AC834F5"/>
    <w:rsid w:val="5AD21B15"/>
    <w:rsid w:val="5AEB1673"/>
    <w:rsid w:val="5AEF2EDA"/>
    <w:rsid w:val="5B0633C0"/>
    <w:rsid w:val="5B24231E"/>
    <w:rsid w:val="5B28699E"/>
    <w:rsid w:val="5B306F7E"/>
    <w:rsid w:val="5B432EDC"/>
    <w:rsid w:val="5B53608C"/>
    <w:rsid w:val="5B5F0ACD"/>
    <w:rsid w:val="5B6023D9"/>
    <w:rsid w:val="5B767BC7"/>
    <w:rsid w:val="5B777ABF"/>
    <w:rsid w:val="5B7D019F"/>
    <w:rsid w:val="5B87717D"/>
    <w:rsid w:val="5B9751CE"/>
    <w:rsid w:val="5BA131E7"/>
    <w:rsid w:val="5BA272A6"/>
    <w:rsid w:val="5BB32F70"/>
    <w:rsid w:val="5BB54A4D"/>
    <w:rsid w:val="5BB57FC4"/>
    <w:rsid w:val="5BD41BC2"/>
    <w:rsid w:val="5C17602F"/>
    <w:rsid w:val="5C1C4D52"/>
    <w:rsid w:val="5C20315A"/>
    <w:rsid w:val="5C287746"/>
    <w:rsid w:val="5C346CE4"/>
    <w:rsid w:val="5C3C3455"/>
    <w:rsid w:val="5C4F0418"/>
    <w:rsid w:val="5C6B7D11"/>
    <w:rsid w:val="5C6C23B9"/>
    <w:rsid w:val="5C6F5488"/>
    <w:rsid w:val="5C7210A2"/>
    <w:rsid w:val="5C791CC0"/>
    <w:rsid w:val="5C7F7B49"/>
    <w:rsid w:val="5C97462C"/>
    <w:rsid w:val="5C9B19C2"/>
    <w:rsid w:val="5CAC3166"/>
    <w:rsid w:val="5CAD05E2"/>
    <w:rsid w:val="5CB309A7"/>
    <w:rsid w:val="5CB51004"/>
    <w:rsid w:val="5CE77B5D"/>
    <w:rsid w:val="5CE95669"/>
    <w:rsid w:val="5CF96232"/>
    <w:rsid w:val="5D00723B"/>
    <w:rsid w:val="5D0E27BC"/>
    <w:rsid w:val="5D174F7F"/>
    <w:rsid w:val="5D193DB1"/>
    <w:rsid w:val="5D364460"/>
    <w:rsid w:val="5D550EDB"/>
    <w:rsid w:val="5D5A0BF3"/>
    <w:rsid w:val="5D5E7DF4"/>
    <w:rsid w:val="5D5F6D1D"/>
    <w:rsid w:val="5D6D1FFC"/>
    <w:rsid w:val="5D7A7774"/>
    <w:rsid w:val="5D7B09A3"/>
    <w:rsid w:val="5D7E7C70"/>
    <w:rsid w:val="5D9D345A"/>
    <w:rsid w:val="5DAA1DAA"/>
    <w:rsid w:val="5DAC1C09"/>
    <w:rsid w:val="5DC15672"/>
    <w:rsid w:val="5DCB6516"/>
    <w:rsid w:val="5DD605D7"/>
    <w:rsid w:val="5DDC2224"/>
    <w:rsid w:val="5DE033EA"/>
    <w:rsid w:val="5E11388E"/>
    <w:rsid w:val="5E230C3A"/>
    <w:rsid w:val="5E3C5819"/>
    <w:rsid w:val="5E4B68D2"/>
    <w:rsid w:val="5E585F52"/>
    <w:rsid w:val="5E650084"/>
    <w:rsid w:val="5E6A32E8"/>
    <w:rsid w:val="5E6F0B64"/>
    <w:rsid w:val="5E830965"/>
    <w:rsid w:val="5E8C408F"/>
    <w:rsid w:val="5E994F7A"/>
    <w:rsid w:val="5E997625"/>
    <w:rsid w:val="5E9E3F7E"/>
    <w:rsid w:val="5EBD5AB9"/>
    <w:rsid w:val="5ED82764"/>
    <w:rsid w:val="5EDE34EF"/>
    <w:rsid w:val="5EE65303"/>
    <w:rsid w:val="5EEB1B57"/>
    <w:rsid w:val="5EEB1B82"/>
    <w:rsid w:val="5EEB5931"/>
    <w:rsid w:val="5EF05C48"/>
    <w:rsid w:val="5F045798"/>
    <w:rsid w:val="5F055986"/>
    <w:rsid w:val="5F186916"/>
    <w:rsid w:val="5F1D7B8D"/>
    <w:rsid w:val="5F1F0361"/>
    <w:rsid w:val="5F2070F3"/>
    <w:rsid w:val="5F2521B5"/>
    <w:rsid w:val="5F293990"/>
    <w:rsid w:val="5F2D50D0"/>
    <w:rsid w:val="5F2E1DC0"/>
    <w:rsid w:val="5F355C39"/>
    <w:rsid w:val="5F3B1F6C"/>
    <w:rsid w:val="5F3F6ACE"/>
    <w:rsid w:val="5F4165AB"/>
    <w:rsid w:val="5F423E29"/>
    <w:rsid w:val="5F4B43E8"/>
    <w:rsid w:val="5F4B5D21"/>
    <w:rsid w:val="5F620DA7"/>
    <w:rsid w:val="5F626165"/>
    <w:rsid w:val="5F731101"/>
    <w:rsid w:val="5F9C361C"/>
    <w:rsid w:val="5FA019E5"/>
    <w:rsid w:val="5FC14BC7"/>
    <w:rsid w:val="5FD15AD2"/>
    <w:rsid w:val="5FE63288"/>
    <w:rsid w:val="5FED48F2"/>
    <w:rsid w:val="5FF576C4"/>
    <w:rsid w:val="60067040"/>
    <w:rsid w:val="600D5A0F"/>
    <w:rsid w:val="60100168"/>
    <w:rsid w:val="60174473"/>
    <w:rsid w:val="6018338A"/>
    <w:rsid w:val="602023AF"/>
    <w:rsid w:val="603E67DA"/>
    <w:rsid w:val="6058076B"/>
    <w:rsid w:val="60691C79"/>
    <w:rsid w:val="606A2308"/>
    <w:rsid w:val="608D0B89"/>
    <w:rsid w:val="608D13B8"/>
    <w:rsid w:val="608E53E0"/>
    <w:rsid w:val="608F6DCF"/>
    <w:rsid w:val="60AF6EEF"/>
    <w:rsid w:val="60BA67A8"/>
    <w:rsid w:val="60CE5E9C"/>
    <w:rsid w:val="60D20E7C"/>
    <w:rsid w:val="60D30D2A"/>
    <w:rsid w:val="60F50EA4"/>
    <w:rsid w:val="60FC046A"/>
    <w:rsid w:val="61195DA0"/>
    <w:rsid w:val="613227E3"/>
    <w:rsid w:val="613333DD"/>
    <w:rsid w:val="6133663B"/>
    <w:rsid w:val="613F695D"/>
    <w:rsid w:val="614B7A50"/>
    <w:rsid w:val="6155202D"/>
    <w:rsid w:val="61603826"/>
    <w:rsid w:val="61647C13"/>
    <w:rsid w:val="61773B2D"/>
    <w:rsid w:val="618109F2"/>
    <w:rsid w:val="61890DAD"/>
    <w:rsid w:val="618D2C03"/>
    <w:rsid w:val="61A478CD"/>
    <w:rsid w:val="61A741F8"/>
    <w:rsid w:val="61B93A0D"/>
    <w:rsid w:val="61BA70C3"/>
    <w:rsid w:val="61BC7C78"/>
    <w:rsid w:val="61C37CAC"/>
    <w:rsid w:val="61EE2831"/>
    <w:rsid w:val="61FF01EB"/>
    <w:rsid w:val="62052E9D"/>
    <w:rsid w:val="622B2A75"/>
    <w:rsid w:val="62344338"/>
    <w:rsid w:val="6235433D"/>
    <w:rsid w:val="624668BE"/>
    <w:rsid w:val="624A2316"/>
    <w:rsid w:val="625B49E0"/>
    <w:rsid w:val="62631D21"/>
    <w:rsid w:val="62652744"/>
    <w:rsid w:val="6269194F"/>
    <w:rsid w:val="629F593D"/>
    <w:rsid w:val="62B33636"/>
    <w:rsid w:val="62BD64F1"/>
    <w:rsid w:val="62C2089F"/>
    <w:rsid w:val="62C20B6E"/>
    <w:rsid w:val="62CE4A93"/>
    <w:rsid w:val="62D35C9A"/>
    <w:rsid w:val="62D54765"/>
    <w:rsid w:val="62DB7664"/>
    <w:rsid w:val="62EF54E3"/>
    <w:rsid w:val="62FE221F"/>
    <w:rsid w:val="63072B74"/>
    <w:rsid w:val="63097573"/>
    <w:rsid w:val="63117015"/>
    <w:rsid w:val="631E47F0"/>
    <w:rsid w:val="63211AF7"/>
    <w:rsid w:val="632A18EE"/>
    <w:rsid w:val="632A4CAE"/>
    <w:rsid w:val="6337115D"/>
    <w:rsid w:val="634426C1"/>
    <w:rsid w:val="6350134F"/>
    <w:rsid w:val="636C04D1"/>
    <w:rsid w:val="63760BAB"/>
    <w:rsid w:val="637D5D70"/>
    <w:rsid w:val="637D73A5"/>
    <w:rsid w:val="639338AB"/>
    <w:rsid w:val="63C11207"/>
    <w:rsid w:val="63C90472"/>
    <w:rsid w:val="63CA2316"/>
    <w:rsid w:val="63E04D05"/>
    <w:rsid w:val="63E34461"/>
    <w:rsid w:val="63EA5747"/>
    <w:rsid w:val="63EB5108"/>
    <w:rsid w:val="63F21953"/>
    <w:rsid w:val="640B4148"/>
    <w:rsid w:val="64101881"/>
    <w:rsid w:val="64274A84"/>
    <w:rsid w:val="642A0B53"/>
    <w:rsid w:val="644E725E"/>
    <w:rsid w:val="64616ABE"/>
    <w:rsid w:val="6466124F"/>
    <w:rsid w:val="648E2D36"/>
    <w:rsid w:val="64CA2BC8"/>
    <w:rsid w:val="64DC65F2"/>
    <w:rsid w:val="64E52B38"/>
    <w:rsid w:val="64F40E1A"/>
    <w:rsid w:val="64F75E2E"/>
    <w:rsid w:val="64FD6C0C"/>
    <w:rsid w:val="65062B47"/>
    <w:rsid w:val="651545C9"/>
    <w:rsid w:val="651F7051"/>
    <w:rsid w:val="652801D5"/>
    <w:rsid w:val="653F0A94"/>
    <w:rsid w:val="65422B5E"/>
    <w:rsid w:val="65510D5D"/>
    <w:rsid w:val="655363FF"/>
    <w:rsid w:val="65543B68"/>
    <w:rsid w:val="65550F6C"/>
    <w:rsid w:val="655722C3"/>
    <w:rsid w:val="655C6433"/>
    <w:rsid w:val="65644578"/>
    <w:rsid w:val="656B71A0"/>
    <w:rsid w:val="656E1285"/>
    <w:rsid w:val="65987AD6"/>
    <w:rsid w:val="659D2C6E"/>
    <w:rsid w:val="659E70CA"/>
    <w:rsid w:val="659F59C1"/>
    <w:rsid w:val="65A76AC1"/>
    <w:rsid w:val="65A90596"/>
    <w:rsid w:val="65B76EC6"/>
    <w:rsid w:val="65BC7CB7"/>
    <w:rsid w:val="65C7766D"/>
    <w:rsid w:val="65D02CDA"/>
    <w:rsid w:val="65D37CEE"/>
    <w:rsid w:val="65D66F61"/>
    <w:rsid w:val="65E63B9C"/>
    <w:rsid w:val="65F51DC0"/>
    <w:rsid w:val="65F62BA4"/>
    <w:rsid w:val="66100C18"/>
    <w:rsid w:val="66171FA7"/>
    <w:rsid w:val="6619273A"/>
    <w:rsid w:val="662369D4"/>
    <w:rsid w:val="66251F2D"/>
    <w:rsid w:val="662F5994"/>
    <w:rsid w:val="663012BB"/>
    <w:rsid w:val="66356DF9"/>
    <w:rsid w:val="664A237C"/>
    <w:rsid w:val="664F74F8"/>
    <w:rsid w:val="6652789F"/>
    <w:rsid w:val="66554A2F"/>
    <w:rsid w:val="665A4F61"/>
    <w:rsid w:val="6665474F"/>
    <w:rsid w:val="667860ED"/>
    <w:rsid w:val="66837B42"/>
    <w:rsid w:val="668C451F"/>
    <w:rsid w:val="669F7F7B"/>
    <w:rsid w:val="66A95CED"/>
    <w:rsid w:val="66AE61AD"/>
    <w:rsid w:val="66AF21DF"/>
    <w:rsid w:val="66E85379"/>
    <w:rsid w:val="66F330C8"/>
    <w:rsid w:val="66F56645"/>
    <w:rsid w:val="66F771A7"/>
    <w:rsid w:val="6705101D"/>
    <w:rsid w:val="670558E8"/>
    <w:rsid w:val="6712085D"/>
    <w:rsid w:val="67632E35"/>
    <w:rsid w:val="67654A77"/>
    <w:rsid w:val="676915DC"/>
    <w:rsid w:val="676E12FC"/>
    <w:rsid w:val="67765505"/>
    <w:rsid w:val="67771202"/>
    <w:rsid w:val="67805055"/>
    <w:rsid w:val="67A208E9"/>
    <w:rsid w:val="67A81461"/>
    <w:rsid w:val="67C71028"/>
    <w:rsid w:val="67C76DB5"/>
    <w:rsid w:val="67E6546D"/>
    <w:rsid w:val="67F85E08"/>
    <w:rsid w:val="68120C78"/>
    <w:rsid w:val="6839048A"/>
    <w:rsid w:val="684B1A94"/>
    <w:rsid w:val="68587782"/>
    <w:rsid w:val="685F7C35"/>
    <w:rsid w:val="686061C9"/>
    <w:rsid w:val="68610E40"/>
    <w:rsid w:val="687E4606"/>
    <w:rsid w:val="68903EBC"/>
    <w:rsid w:val="68922C4A"/>
    <w:rsid w:val="68975C9D"/>
    <w:rsid w:val="68A82E84"/>
    <w:rsid w:val="68CC3A98"/>
    <w:rsid w:val="68F20AA9"/>
    <w:rsid w:val="691B2DFC"/>
    <w:rsid w:val="692045F1"/>
    <w:rsid w:val="693379B4"/>
    <w:rsid w:val="693510F0"/>
    <w:rsid w:val="6941327F"/>
    <w:rsid w:val="69673B44"/>
    <w:rsid w:val="6978078B"/>
    <w:rsid w:val="697A3842"/>
    <w:rsid w:val="697C62A8"/>
    <w:rsid w:val="69847791"/>
    <w:rsid w:val="69853E38"/>
    <w:rsid w:val="699975C7"/>
    <w:rsid w:val="69C231B3"/>
    <w:rsid w:val="69D35EEC"/>
    <w:rsid w:val="69DD6E88"/>
    <w:rsid w:val="69E312EA"/>
    <w:rsid w:val="69EA5D98"/>
    <w:rsid w:val="69FB617B"/>
    <w:rsid w:val="6A063470"/>
    <w:rsid w:val="6A073376"/>
    <w:rsid w:val="6A0A7BC5"/>
    <w:rsid w:val="6A0C209B"/>
    <w:rsid w:val="6A104E32"/>
    <w:rsid w:val="6A267741"/>
    <w:rsid w:val="6A2E78BF"/>
    <w:rsid w:val="6A440E91"/>
    <w:rsid w:val="6A55309E"/>
    <w:rsid w:val="6A853969"/>
    <w:rsid w:val="6A8F3879"/>
    <w:rsid w:val="6AB26B47"/>
    <w:rsid w:val="6AB67253"/>
    <w:rsid w:val="6AB83FD0"/>
    <w:rsid w:val="6ABF6111"/>
    <w:rsid w:val="6AC61A0E"/>
    <w:rsid w:val="6ACB3D20"/>
    <w:rsid w:val="6AE13829"/>
    <w:rsid w:val="6AF969DC"/>
    <w:rsid w:val="6AFD2A27"/>
    <w:rsid w:val="6B1C7940"/>
    <w:rsid w:val="6B2556D4"/>
    <w:rsid w:val="6B2770E7"/>
    <w:rsid w:val="6B40766A"/>
    <w:rsid w:val="6B4C5B1C"/>
    <w:rsid w:val="6B506CC2"/>
    <w:rsid w:val="6B5920BF"/>
    <w:rsid w:val="6B614BD7"/>
    <w:rsid w:val="6B6C4B43"/>
    <w:rsid w:val="6BAA6F1F"/>
    <w:rsid w:val="6BD244BA"/>
    <w:rsid w:val="6BD92C38"/>
    <w:rsid w:val="6BDB50B3"/>
    <w:rsid w:val="6BE5371F"/>
    <w:rsid w:val="6BEA3B62"/>
    <w:rsid w:val="6BEE5EB9"/>
    <w:rsid w:val="6BF07522"/>
    <w:rsid w:val="6BF2344D"/>
    <w:rsid w:val="6BF4517A"/>
    <w:rsid w:val="6BF45B5C"/>
    <w:rsid w:val="6C245957"/>
    <w:rsid w:val="6C380772"/>
    <w:rsid w:val="6C601E17"/>
    <w:rsid w:val="6C6634D7"/>
    <w:rsid w:val="6C891725"/>
    <w:rsid w:val="6CA51767"/>
    <w:rsid w:val="6CAD496E"/>
    <w:rsid w:val="6CB015C4"/>
    <w:rsid w:val="6CB613C7"/>
    <w:rsid w:val="6CC13353"/>
    <w:rsid w:val="6CC97AEC"/>
    <w:rsid w:val="6CD058E0"/>
    <w:rsid w:val="6CDE381E"/>
    <w:rsid w:val="6D2D3320"/>
    <w:rsid w:val="6D312E7C"/>
    <w:rsid w:val="6D3C58FF"/>
    <w:rsid w:val="6D571AC3"/>
    <w:rsid w:val="6D5F7612"/>
    <w:rsid w:val="6D6C50AC"/>
    <w:rsid w:val="6D700A5F"/>
    <w:rsid w:val="6D710D5D"/>
    <w:rsid w:val="6D7C00C5"/>
    <w:rsid w:val="6D910991"/>
    <w:rsid w:val="6D965483"/>
    <w:rsid w:val="6D9B526C"/>
    <w:rsid w:val="6DA649C0"/>
    <w:rsid w:val="6DA81E1C"/>
    <w:rsid w:val="6DAE5B0D"/>
    <w:rsid w:val="6DCD5952"/>
    <w:rsid w:val="6DF049BD"/>
    <w:rsid w:val="6DF54F14"/>
    <w:rsid w:val="6DFC6948"/>
    <w:rsid w:val="6DFD31A9"/>
    <w:rsid w:val="6E000232"/>
    <w:rsid w:val="6E1A4649"/>
    <w:rsid w:val="6E22562B"/>
    <w:rsid w:val="6E497753"/>
    <w:rsid w:val="6E867227"/>
    <w:rsid w:val="6E883820"/>
    <w:rsid w:val="6E925478"/>
    <w:rsid w:val="6E9A0087"/>
    <w:rsid w:val="6EA30452"/>
    <w:rsid w:val="6EA36D56"/>
    <w:rsid w:val="6EA54A62"/>
    <w:rsid w:val="6EA72D69"/>
    <w:rsid w:val="6EA97255"/>
    <w:rsid w:val="6EF21B94"/>
    <w:rsid w:val="6EFA68C0"/>
    <w:rsid w:val="6F0003FC"/>
    <w:rsid w:val="6F3A0F29"/>
    <w:rsid w:val="6F4C6D18"/>
    <w:rsid w:val="6F5C119C"/>
    <w:rsid w:val="6F715FF8"/>
    <w:rsid w:val="6F862598"/>
    <w:rsid w:val="6F8B1310"/>
    <w:rsid w:val="6F8B14B1"/>
    <w:rsid w:val="6FDC1B6B"/>
    <w:rsid w:val="6FDC2A6F"/>
    <w:rsid w:val="6FEB6780"/>
    <w:rsid w:val="6FF8536C"/>
    <w:rsid w:val="70061E86"/>
    <w:rsid w:val="70096235"/>
    <w:rsid w:val="701C5D76"/>
    <w:rsid w:val="70294093"/>
    <w:rsid w:val="70337DDE"/>
    <w:rsid w:val="704C7922"/>
    <w:rsid w:val="70572627"/>
    <w:rsid w:val="70581235"/>
    <w:rsid w:val="70781894"/>
    <w:rsid w:val="7090557F"/>
    <w:rsid w:val="70A72A68"/>
    <w:rsid w:val="70B84386"/>
    <w:rsid w:val="70CC520D"/>
    <w:rsid w:val="70CE5DB1"/>
    <w:rsid w:val="70D01CFC"/>
    <w:rsid w:val="70D273FB"/>
    <w:rsid w:val="70D73CD3"/>
    <w:rsid w:val="70DD4EF6"/>
    <w:rsid w:val="70E450B8"/>
    <w:rsid w:val="70F300F3"/>
    <w:rsid w:val="70FA76A6"/>
    <w:rsid w:val="70FC0F37"/>
    <w:rsid w:val="71296141"/>
    <w:rsid w:val="713A515F"/>
    <w:rsid w:val="71417C96"/>
    <w:rsid w:val="714479C8"/>
    <w:rsid w:val="714A6BE2"/>
    <w:rsid w:val="714D10B3"/>
    <w:rsid w:val="71574C81"/>
    <w:rsid w:val="715A570D"/>
    <w:rsid w:val="715D54F9"/>
    <w:rsid w:val="717F6C52"/>
    <w:rsid w:val="718104E0"/>
    <w:rsid w:val="71B132B0"/>
    <w:rsid w:val="71C32C8F"/>
    <w:rsid w:val="71E84951"/>
    <w:rsid w:val="71EA742E"/>
    <w:rsid w:val="71F853B6"/>
    <w:rsid w:val="72080782"/>
    <w:rsid w:val="72094DC3"/>
    <w:rsid w:val="720B11B4"/>
    <w:rsid w:val="720E0B7E"/>
    <w:rsid w:val="72217DC9"/>
    <w:rsid w:val="723F5E90"/>
    <w:rsid w:val="72477438"/>
    <w:rsid w:val="7251665A"/>
    <w:rsid w:val="725513B4"/>
    <w:rsid w:val="72794D1E"/>
    <w:rsid w:val="7281762C"/>
    <w:rsid w:val="728E4760"/>
    <w:rsid w:val="729055BB"/>
    <w:rsid w:val="72985ADF"/>
    <w:rsid w:val="729F2B95"/>
    <w:rsid w:val="72B0169B"/>
    <w:rsid w:val="72BC193D"/>
    <w:rsid w:val="72FF5170"/>
    <w:rsid w:val="73051C17"/>
    <w:rsid w:val="73161646"/>
    <w:rsid w:val="732122C1"/>
    <w:rsid w:val="73400B1E"/>
    <w:rsid w:val="734A576D"/>
    <w:rsid w:val="73526450"/>
    <w:rsid w:val="73583A9B"/>
    <w:rsid w:val="736A1C02"/>
    <w:rsid w:val="736B336C"/>
    <w:rsid w:val="73830465"/>
    <w:rsid w:val="73937D65"/>
    <w:rsid w:val="73B03CDC"/>
    <w:rsid w:val="73B33441"/>
    <w:rsid w:val="73BD5B78"/>
    <w:rsid w:val="73C5155C"/>
    <w:rsid w:val="73DA58C0"/>
    <w:rsid w:val="73DD4FFF"/>
    <w:rsid w:val="73E12A46"/>
    <w:rsid w:val="73F63876"/>
    <w:rsid w:val="740E69C5"/>
    <w:rsid w:val="742E43F3"/>
    <w:rsid w:val="742E450A"/>
    <w:rsid w:val="743F4223"/>
    <w:rsid w:val="74430027"/>
    <w:rsid w:val="74495668"/>
    <w:rsid w:val="74532838"/>
    <w:rsid w:val="7476433D"/>
    <w:rsid w:val="747B2FCD"/>
    <w:rsid w:val="747E0A1E"/>
    <w:rsid w:val="74984CA1"/>
    <w:rsid w:val="749C1F79"/>
    <w:rsid w:val="74AD4638"/>
    <w:rsid w:val="74B202D3"/>
    <w:rsid w:val="74C64118"/>
    <w:rsid w:val="74CA6401"/>
    <w:rsid w:val="74CF3EDA"/>
    <w:rsid w:val="74EC15DC"/>
    <w:rsid w:val="74FD2B4F"/>
    <w:rsid w:val="74FF278E"/>
    <w:rsid w:val="7538283F"/>
    <w:rsid w:val="7544326B"/>
    <w:rsid w:val="756F35A7"/>
    <w:rsid w:val="75890153"/>
    <w:rsid w:val="75995C03"/>
    <w:rsid w:val="759E17FC"/>
    <w:rsid w:val="759F0B0D"/>
    <w:rsid w:val="75AD2F41"/>
    <w:rsid w:val="75AE4026"/>
    <w:rsid w:val="75AE759C"/>
    <w:rsid w:val="75B10E52"/>
    <w:rsid w:val="75B4344A"/>
    <w:rsid w:val="75D30258"/>
    <w:rsid w:val="75D92DD5"/>
    <w:rsid w:val="75E15A0E"/>
    <w:rsid w:val="75EF359B"/>
    <w:rsid w:val="75F204AF"/>
    <w:rsid w:val="760616F0"/>
    <w:rsid w:val="762471E0"/>
    <w:rsid w:val="762C0858"/>
    <w:rsid w:val="763A3C55"/>
    <w:rsid w:val="76603B95"/>
    <w:rsid w:val="76617731"/>
    <w:rsid w:val="766F3032"/>
    <w:rsid w:val="76713781"/>
    <w:rsid w:val="768F6550"/>
    <w:rsid w:val="76903790"/>
    <w:rsid w:val="76920F63"/>
    <w:rsid w:val="76990C82"/>
    <w:rsid w:val="76BF7232"/>
    <w:rsid w:val="76C8276D"/>
    <w:rsid w:val="76D06AEC"/>
    <w:rsid w:val="76D3680D"/>
    <w:rsid w:val="76D62CDB"/>
    <w:rsid w:val="76E37F31"/>
    <w:rsid w:val="76F732A3"/>
    <w:rsid w:val="77074B74"/>
    <w:rsid w:val="7713711B"/>
    <w:rsid w:val="77143B81"/>
    <w:rsid w:val="7718556C"/>
    <w:rsid w:val="77294EED"/>
    <w:rsid w:val="77350554"/>
    <w:rsid w:val="774B5FAF"/>
    <w:rsid w:val="77514D2B"/>
    <w:rsid w:val="77606A22"/>
    <w:rsid w:val="77692AB8"/>
    <w:rsid w:val="77794E56"/>
    <w:rsid w:val="77826B10"/>
    <w:rsid w:val="77927ED6"/>
    <w:rsid w:val="7794180B"/>
    <w:rsid w:val="77A11A44"/>
    <w:rsid w:val="77CF3E8E"/>
    <w:rsid w:val="77D13651"/>
    <w:rsid w:val="77F12535"/>
    <w:rsid w:val="77F57C6E"/>
    <w:rsid w:val="78091106"/>
    <w:rsid w:val="780C4C9A"/>
    <w:rsid w:val="7814082D"/>
    <w:rsid w:val="7814578F"/>
    <w:rsid w:val="781931D0"/>
    <w:rsid w:val="782072C9"/>
    <w:rsid w:val="78212BE0"/>
    <w:rsid w:val="78227F45"/>
    <w:rsid w:val="783634EE"/>
    <w:rsid w:val="78395F16"/>
    <w:rsid w:val="783E0B9A"/>
    <w:rsid w:val="7841339D"/>
    <w:rsid w:val="7842330D"/>
    <w:rsid w:val="784347C4"/>
    <w:rsid w:val="784F4B65"/>
    <w:rsid w:val="785874D9"/>
    <w:rsid w:val="786801A4"/>
    <w:rsid w:val="786B4BDB"/>
    <w:rsid w:val="787107A9"/>
    <w:rsid w:val="787B0E50"/>
    <w:rsid w:val="787F4B16"/>
    <w:rsid w:val="789456D9"/>
    <w:rsid w:val="78A2728C"/>
    <w:rsid w:val="78B55AAC"/>
    <w:rsid w:val="78BA50F7"/>
    <w:rsid w:val="78BB2381"/>
    <w:rsid w:val="78C07EE4"/>
    <w:rsid w:val="78CA3236"/>
    <w:rsid w:val="78CE133A"/>
    <w:rsid w:val="78D10C16"/>
    <w:rsid w:val="78D23783"/>
    <w:rsid w:val="78E334A5"/>
    <w:rsid w:val="78FA4811"/>
    <w:rsid w:val="79072250"/>
    <w:rsid w:val="791606B5"/>
    <w:rsid w:val="791B6DA4"/>
    <w:rsid w:val="79262551"/>
    <w:rsid w:val="794473A8"/>
    <w:rsid w:val="796F0610"/>
    <w:rsid w:val="797515BF"/>
    <w:rsid w:val="797C1E1F"/>
    <w:rsid w:val="797D6E8C"/>
    <w:rsid w:val="79964E85"/>
    <w:rsid w:val="799C1035"/>
    <w:rsid w:val="79A77B0C"/>
    <w:rsid w:val="79BA41BB"/>
    <w:rsid w:val="79C142AC"/>
    <w:rsid w:val="79C61520"/>
    <w:rsid w:val="79E35DAD"/>
    <w:rsid w:val="79E766E9"/>
    <w:rsid w:val="79ED32F3"/>
    <w:rsid w:val="79F273DD"/>
    <w:rsid w:val="79F32CC4"/>
    <w:rsid w:val="79F531AF"/>
    <w:rsid w:val="7A157E3F"/>
    <w:rsid w:val="7A1F656A"/>
    <w:rsid w:val="7A236D15"/>
    <w:rsid w:val="7A3864DC"/>
    <w:rsid w:val="7A3A62E4"/>
    <w:rsid w:val="7A4D0D36"/>
    <w:rsid w:val="7A5102F4"/>
    <w:rsid w:val="7A5D1E51"/>
    <w:rsid w:val="7A68681F"/>
    <w:rsid w:val="7A7C5D56"/>
    <w:rsid w:val="7A8B6668"/>
    <w:rsid w:val="7A9C08D9"/>
    <w:rsid w:val="7AB847F0"/>
    <w:rsid w:val="7AF517DC"/>
    <w:rsid w:val="7AFB4923"/>
    <w:rsid w:val="7AFE3BAC"/>
    <w:rsid w:val="7B073F40"/>
    <w:rsid w:val="7B160B6B"/>
    <w:rsid w:val="7B1D1BF5"/>
    <w:rsid w:val="7B301C64"/>
    <w:rsid w:val="7B3753B1"/>
    <w:rsid w:val="7B3E4ED8"/>
    <w:rsid w:val="7B4B2817"/>
    <w:rsid w:val="7B537186"/>
    <w:rsid w:val="7B5F19EA"/>
    <w:rsid w:val="7B670E83"/>
    <w:rsid w:val="7B815520"/>
    <w:rsid w:val="7B925739"/>
    <w:rsid w:val="7B9D5B7F"/>
    <w:rsid w:val="7B9E709A"/>
    <w:rsid w:val="7B9E743A"/>
    <w:rsid w:val="7BA670DF"/>
    <w:rsid w:val="7BA96FD5"/>
    <w:rsid w:val="7BB22650"/>
    <w:rsid w:val="7BC23C48"/>
    <w:rsid w:val="7BC776AC"/>
    <w:rsid w:val="7BED1804"/>
    <w:rsid w:val="7BF562E5"/>
    <w:rsid w:val="7BFD622B"/>
    <w:rsid w:val="7BFF3F5C"/>
    <w:rsid w:val="7C046413"/>
    <w:rsid w:val="7C055064"/>
    <w:rsid w:val="7C2659A6"/>
    <w:rsid w:val="7C2B0D5B"/>
    <w:rsid w:val="7C354771"/>
    <w:rsid w:val="7C520630"/>
    <w:rsid w:val="7C5928DA"/>
    <w:rsid w:val="7C6724CF"/>
    <w:rsid w:val="7C6F372C"/>
    <w:rsid w:val="7C7B55CC"/>
    <w:rsid w:val="7C9130A5"/>
    <w:rsid w:val="7CC05128"/>
    <w:rsid w:val="7CC11A85"/>
    <w:rsid w:val="7CC56FEF"/>
    <w:rsid w:val="7CD25CF0"/>
    <w:rsid w:val="7CF33763"/>
    <w:rsid w:val="7D1D1F75"/>
    <w:rsid w:val="7D27115C"/>
    <w:rsid w:val="7D2A5DDD"/>
    <w:rsid w:val="7D34167D"/>
    <w:rsid w:val="7D367A56"/>
    <w:rsid w:val="7D67065E"/>
    <w:rsid w:val="7D670C6D"/>
    <w:rsid w:val="7D6E5788"/>
    <w:rsid w:val="7D7A3EE0"/>
    <w:rsid w:val="7D8C4232"/>
    <w:rsid w:val="7DD44BD7"/>
    <w:rsid w:val="7DF34205"/>
    <w:rsid w:val="7E177AE7"/>
    <w:rsid w:val="7E4C2A91"/>
    <w:rsid w:val="7E6E2528"/>
    <w:rsid w:val="7E7B57EE"/>
    <w:rsid w:val="7E8B31DD"/>
    <w:rsid w:val="7E973746"/>
    <w:rsid w:val="7EB84979"/>
    <w:rsid w:val="7EC62364"/>
    <w:rsid w:val="7ED27D86"/>
    <w:rsid w:val="7EEA3D63"/>
    <w:rsid w:val="7EEB29F2"/>
    <w:rsid w:val="7EEC2028"/>
    <w:rsid w:val="7F0C4312"/>
    <w:rsid w:val="7F406314"/>
    <w:rsid w:val="7F48121F"/>
    <w:rsid w:val="7F51183B"/>
    <w:rsid w:val="7F531C21"/>
    <w:rsid w:val="7F6835F2"/>
    <w:rsid w:val="7F793B11"/>
    <w:rsid w:val="7F8A0440"/>
    <w:rsid w:val="7F8D64E8"/>
    <w:rsid w:val="7F9933A0"/>
    <w:rsid w:val="7FAC155A"/>
    <w:rsid w:val="7FAC170B"/>
    <w:rsid w:val="7FC45788"/>
    <w:rsid w:val="7FCA0A9E"/>
    <w:rsid w:val="7FCE3445"/>
    <w:rsid w:val="7FF150A6"/>
    <w:rsid w:val="7FF6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3"/>
    <w:qFormat/>
    <w:uiPriority w:val="0"/>
    <w:pPr>
      <w:keepNext/>
      <w:keepLines/>
      <w:spacing w:after="120" w:line="360" w:lineRule="auto"/>
      <w:jc w:val="left"/>
      <w:outlineLvl w:val="0"/>
    </w:pPr>
    <w:rPr>
      <w:kern w:val="44"/>
      <w:sz w:val="28"/>
      <w:szCs w:val="28"/>
    </w:rPr>
  </w:style>
  <w:style w:type="paragraph" w:styleId="4">
    <w:name w:val="heading 2"/>
    <w:basedOn w:val="1"/>
    <w:next w:val="1"/>
    <w:link w:val="58"/>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5">
    <w:name w:val="heading 3"/>
    <w:basedOn w:val="1"/>
    <w:next w:val="1"/>
    <w:link w:val="60"/>
    <w:qFormat/>
    <w:uiPriority w:val="0"/>
    <w:pPr>
      <w:widowControl/>
      <w:spacing w:before="100" w:beforeAutospacing="1" w:after="100" w:afterAutospacing="1"/>
      <w:jc w:val="left"/>
      <w:outlineLvl w:val="2"/>
    </w:pPr>
    <w:rPr>
      <w:rFonts w:ascii="宋体" w:hAnsi="宋体"/>
      <w:kern w:val="0"/>
      <w:sz w:val="27"/>
      <w:szCs w:val="27"/>
    </w:rPr>
  </w:style>
  <w:style w:type="paragraph" w:styleId="6">
    <w:name w:val="heading 4"/>
    <w:basedOn w:val="1"/>
    <w:next w:val="1"/>
    <w:link w:val="61"/>
    <w:qFormat/>
    <w:uiPriority w:val="0"/>
    <w:pPr>
      <w:keepNext/>
      <w:keepLines/>
      <w:numPr>
        <w:ilvl w:val="3"/>
        <w:numId w:val="1"/>
      </w:numPr>
      <w:spacing w:beforeLines="50" w:afterLines="50" w:line="360" w:lineRule="auto"/>
      <w:outlineLvl w:val="3"/>
    </w:pPr>
    <w:rPr>
      <w:rFonts w:ascii="Arial" w:hAnsi="Arial"/>
      <w:color w:val="000000"/>
      <w:kern w:val="0"/>
      <w:sz w:val="20"/>
      <w:szCs w:val="21"/>
    </w:rPr>
  </w:style>
  <w:style w:type="paragraph" w:styleId="7">
    <w:name w:val="heading 5"/>
    <w:basedOn w:val="6"/>
    <w:next w:val="2"/>
    <w:link w:val="62"/>
    <w:qFormat/>
    <w:uiPriority w:val="0"/>
    <w:pPr>
      <w:numPr>
        <w:ilvl w:val="4"/>
      </w:numPr>
      <w:spacing w:line="240" w:lineRule="exact"/>
      <w:outlineLvl w:val="4"/>
    </w:pPr>
  </w:style>
  <w:style w:type="paragraph" w:styleId="8">
    <w:name w:val="heading 6"/>
    <w:basedOn w:val="1"/>
    <w:next w:val="1"/>
    <w:link w:val="63"/>
    <w:qFormat/>
    <w:uiPriority w:val="0"/>
    <w:pPr>
      <w:keepNext/>
      <w:keepLines/>
      <w:numPr>
        <w:ilvl w:val="5"/>
        <w:numId w:val="2"/>
      </w:numPr>
      <w:spacing w:before="240" w:after="64" w:line="320" w:lineRule="auto"/>
      <w:outlineLvl w:val="5"/>
    </w:pPr>
    <w:rPr>
      <w:rFonts w:ascii="Arial" w:hAnsi="Arial" w:eastAsia="黑体"/>
      <w:b/>
      <w:bCs/>
      <w:kern w:val="0"/>
      <w:sz w:val="24"/>
      <w:szCs w:val="24"/>
    </w:rPr>
  </w:style>
  <w:style w:type="paragraph" w:styleId="9">
    <w:name w:val="heading 7"/>
    <w:basedOn w:val="1"/>
    <w:next w:val="2"/>
    <w:link w:val="64"/>
    <w:qFormat/>
    <w:uiPriority w:val="0"/>
    <w:pPr>
      <w:keepNext/>
      <w:keepLines/>
      <w:numPr>
        <w:ilvl w:val="6"/>
        <w:numId w:val="1"/>
      </w:numPr>
      <w:spacing w:before="240" w:after="64" w:line="320" w:lineRule="auto"/>
      <w:outlineLvl w:val="6"/>
    </w:pPr>
    <w:rPr>
      <w:b/>
      <w:kern w:val="0"/>
      <w:sz w:val="24"/>
      <w:szCs w:val="20"/>
    </w:rPr>
  </w:style>
  <w:style w:type="paragraph" w:styleId="10">
    <w:name w:val="heading 8"/>
    <w:basedOn w:val="1"/>
    <w:next w:val="2"/>
    <w:link w:val="65"/>
    <w:qFormat/>
    <w:uiPriority w:val="0"/>
    <w:pPr>
      <w:keepNext/>
      <w:keepLines/>
      <w:numPr>
        <w:ilvl w:val="7"/>
        <w:numId w:val="1"/>
      </w:numPr>
      <w:spacing w:before="240" w:after="64" w:line="320" w:lineRule="auto"/>
      <w:outlineLvl w:val="7"/>
    </w:pPr>
    <w:rPr>
      <w:rFonts w:ascii="Arial" w:hAnsi="Arial" w:eastAsia="黑体"/>
      <w:kern w:val="0"/>
      <w:sz w:val="24"/>
      <w:szCs w:val="20"/>
    </w:rPr>
  </w:style>
  <w:style w:type="paragraph" w:styleId="11">
    <w:name w:val="heading 9"/>
    <w:basedOn w:val="1"/>
    <w:next w:val="2"/>
    <w:link w:val="66"/>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59"/>
    <w:qFormat/>
    <w:uiPriority w:val="0"/>
    <w:pPr>
      <w:ind w:firstLine="420"/>
    </w:pPr>
    <w:rPr>
      <w:szCs w:val="20"/>
    </w:rPr>
  </w:style>
  <w:style w:type="paragraph" w:styleId="12">
    <w:name w:val="Document Map"/>
    <w:basedOn w:val="1"/>
    <w:link w:val="67"/>
    <w:qFormat/>
    <w:uiPriority w:val="0"/>
    <w:pPr>
      <w:shd w:val="clear" w:color="auto" w:fill="000080"/>
    </w:pPr>
    <w:rPr>
      <w:kern w:val="0"/>
      <w:sz w:val="20"/>
      <w:szCs w:val="20"/>
    </w:rPr>
  </w:style>
  <w:style w:type="paragraph" w:styleId="13">
    <w:name w:val="annotation text"/>
    <w:basedOn w:val="1"/>
    <w:next w:val="1"/>
    <w:link w:val="68"/>
    <w:qFormat/>
    <w:uiPriority w:val="0"/>
    <w:pPr>
      <w:spacing w:line="360" w:lineRule="auto"/>
      <w:ind w:firstLine="523" w:firstLineChars="218"/>
      <w:jc w:val="left"/>
    </w:pPr>
    <w:rPr>
      <w:rFonts w:ascii="宋体" w:hAnsi="宋体"/>
      <w:kern w:val="0"/>
      <w:sz w:val="24"/>
      <w:szCs w:val="24"/>
    </w:rPr>
  </w:style>
  <w:style w:type="paragraph" w:styleId="14">
    <w:name w:val="Body Text 3"/>
    <w:basedOn w:val="1"/>
    <w:link w:val="69"/>
    <w:unhideWhenUsed/>
    <w:qFormat/>
    <w:uiPriority w:val="99"/>
    <w:pPr>
      <w:spacing w:after="120"/>
    </w:pPr>
    <w:rPr>
      <w:rFonts w:ascii="Calibri" w:hAnsi="Calibri"/>
      <w:sz w:val="16"/>
      <w:szCs w:val="16"/>
    </w:rPr>
  </w:style>
  <w:style w:type="paragraph" w:styleId="15">
    <w:name w:val="Body Text"/>
    <w:basedOn w:val="1"/>
    <w:next w:val="1"/>
    <w:link w:val="56"/>
    <w:qFormat/>
    <w:uiPriority w:val="0"/>
    <w:pPr>
      <w:spacing w:after="120"/>
    </w:pPr>
    <w:rPr>
      <w:kern w:val="0"/>
      <w:sz w:val="20"/>
      <w:szCs w:val="20"/>
    </w:rPr>
  </w:style>
  <w:style w:type="paragraph" w:styleId="16">
    <w:name w:val="Body Text Indent"/>
    <w:basedOn w:val="1"/>
    <w:next w:val="17"/>
    <w:link w:val="70"/>
    <w:qFormat/>
    <w:uiPriority w:val="0"/>
    <w:pPr>
      <w:ind w:firstLine="570"/>
    </w:pPr>
    <w:rPr>
      <w:kern w:val="0"/>
      <w:sz w:val="28"/>
      <w:szCs w:val="20"/>
    </w:rPr>
  </w:style>
  <w:style w:type="paragraph" w:styleId="17">
    <w:name w:val="envelope return"/>
    <w:basedOn w:val="1"/>
    <w:qFormat/>
    <w:uiPriority w:val="0"/>
    <w:pPr>
      <w:snapToGrid w:val="0"/>
    </w:pPr>
    <w:rPr>
      <w:rFonts w:ascii="Arial" w:hAnsi="Arial"/>
      <w:szCs w:val="24"/>
    </w:rPr>
  </w:style>
  <w:style w:type="paragraph" w:styleId="18">
    <w:name w:val="toc 3"/>
    <w:basedOn w:val="1"/>
    <w:next w:val="1"/>
    <w:qFormat/>
    <w:uiPriority w:val="39"/>
    <w:pPr>
      <w:snapToGrid w:val="0"/>
      <w:spacing w:line="360" w:lineRule="auto"/>
      <w:ind w:left="400" w:leftChars="400"/>
      <w:jc w:val="left"/>
    </w:pPr>
    <w:rPr>
      <w:sz w:val="24"/>
      <w:szCs w:val="20"/>
    </w:rPr>
  </w:style>
  <w:style w:type="paragraph" w:styleId="19">
    <w:name w:val="Plain Text"/>
    <w:basedOn w:val="1"/>
    <w:next w:val="1"/>
    <w:link w:val="54"/>
    <w:qFormat/>
    <w:uiPriority w:val="0"/>
    <w:rPr>
      <w:rFonts w:ascii="宋体" w:hAnsi="Courier New"/>
      <w:kern w:val="0"/>
      <w:sz w:val="20"/>
      <w:szCs w:val="20"/>
    </w:rPr>
  </w:style>
  <w:style w:type="paragraph" w:styleId="20">
    <w:name w:val="Date"/>
    <w:basedOn w:val="1"/>
    <w:next w:val="1"/>
    <w:link w:val="71"/>
    <w:qFormat/>
    <w:uiPriority w:val="0"/>
    <w:rPr>
      <w:kern w:val="0"/>
      <w:sz w:val="20"/>
      <w:szCs w:val="20"/>
    </w:rPr>
  </w:style>
  <w:style w:type="paragraph" w:styleId="21">
    <w:name w:val="Body Text Indent 2"/>
    <w:basedOn w:val="1"/>
    <w:link w:val="72"/>
    <w:qFormat/>
    <w:uiPriority w:val="0"/>
    <w:pPr>
      <w:spacing w:line="400" w:lineRule="exact"/>
      <w:ind w:left="425"/>
    </w:pPr>
    <w:rPr>
      <w:color w:val="000000"/>
      <w:kern w:val="0"/>
      <w:sz w:val="24"/>
      <w:szCs w:val="20"/>
    </w:rPr>
  </w:style>
  <w:style w:type="paragraph" w:styleId="22">
    <w:name w:val="endnote text"/>
    <w:basedOn w:val="1"/>
    <w:link w:val="73"/>
    <w:qFormat/>
    <w:uiPriority w:val="0"/>
    <w:pPr>
      <w:snapToGrid w:val="0"/>
      <w:jc w:val="left"/>
    </w:pPr>
    <w:rPr>
      <w:kern w:val="0"/>
      <w:sz w:val="20"/>
      <w:szCs w:val="20"/>
    </w:rPr>
  </w:style>
  <w:style w:type="paragraph" w:styleId="23">
    <w:name w:val="Balloon Text"/>
    <w:basedOn w:val="1"/>
    <w:link w:val="74"/>
    <w:qFormat/>
    <w:uiPriority w:val="0"/>
    <w:rPr>
      <w:kern w:val="0"/>
      <w:sz w:val="18"/>
      <w:szCs w:val="18"/>
    </w:rPr>
  </w:style>
  <w:style w:type="paragraph" w:styleId="24">
    <w:name w:val="footer"/>
    <w:basedOn w:val="1"/>
    <w:link w:val="75"/>
    <w:unhideWhenUsed/>
    <w:qFormat/>
    <w:uiPriority w:val="0"/>
    <w:pPr>
      <w:tabs>
        <w:tab w:val="center" w:pos="4153"/>
        <w:tab w:val="right" w:pos="8306"/>
      </w:tabs>
      <w:snapToGrid w:val="0"/>
      <w:jc w:val="left"/>
    </w:pPr>
    <w:rPr>
      <w:rFonts w:ascii="Calibri" w:hAnsi="Calibri"/>
      <w:kern w:val="0"/>
      <w:sz w:val="18"/>
      <w:szCs w:val="18"/>
    </w:rPr>
  </w:style>
  <w:style w:type="paragraph" w:styleId="25">
    <w:name w:val="header"/>
    <w:basedOn w:val="1"/>
    <w:link w:val="76"/>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77"/>
    <w:qFormat/>
    <w:uiPriority w:val="0"/>
    <w:pPr>
      <w:snapToGrid w:val="0"/>
      <w:spacing w:line="360" w:lineRule="auto"/>
      <w:ind w:firstLine="523" w:firstLineChars="218"/>
      <w:jc w:val="left"/>
    </w:pPr>
    <w:rPr>
      <w:rFonts w:ascii="宋体" w:hAnsi="宋体"/>
      <w:kern w:val="0"/>
      <w:sz w:val="18"/>
      <w:szCs w:val="18"/>
    </w:rPr>
  </w:style>
  <w:style w:type="paragraph" w:styleId="28">
    <w:name w:val="Body Text Indent 3"/>
    <w:basedOn w:val="1"/>
    <w:link w:val="78"/>
    <w:qFormat/>
    <w:uiPriority w:val="0"/>
    <w:pPr>
      <w:tabs>
        <w:tab w:val="left" w:pos="0"/>
      </w:tabs>
      <w:spacing w:line="400" w:lineRule="exact"/>
      <w:ind w:left="563" w:leftChars="228" w:hanging="84" w:hangingChars="35"/>
    </w:pPr>
    <w:rPr>
      <w:color w:val="000000"/>
      <w:kern w:val="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30">
    <w:name w:val="Body Text 2"/>
    <w:basedOn w:val="1"/>
    <w:link w:val="79"/>
    <w:qFormat/>
    <w:uiPriority w:val="0"/>
    <w:rPr>
      <w:rFonts w:ascii="宋体" w:hAnsi="宋体"/>
      <w:kern w:val="0"/>
      <w:sz w:val="20"/>
      <w:szCs w:val="24"/>
      <w:u w:val="single"/>
    </w:rPr>
  </w:style>
  <w:style w:type="paragraph" w:styleId="31">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szCs w:val="24"/>
      <w:lang w:val="en-US" w:eastAsia="zh-CN" w:bidi="ar-SA"/>
    </w:rPr>
  </w:style>
  <w:style w:type="paragraph" w:styleId="32">
    <w:name w:val="Normal (Web)"/>
    <w:basedOn w:val="1"/>
    <w:qFormat/>
    <w:uiPriority w:val="0"/>
    <w:pPr>
      <w:spacing w:beforeAutospacing="1" w:afterAutospacing="1"/>
      <w:jc w:val="left"/>
    </w:pPr>
    <w:rPr>
      <w:kern w:val="0"/>
      <w:sz w:val="24"/>
    </w:rPr>
  </w:style>
  <w:style w:type="paragraph" w:styleId="33">
    <w:name w:val="index 1"/>
    <w:basedOn w:val="1"/>
    <w:next w:val="1"/>
    <w:qFormat/>
    <w:uiPriority w:val="0"/>
    <w:rPr>
      <w:rFonts w:eastAsia="仿宋_GB2312"/>
      <w:sz w:val="28"/>
      <w:szCs w:val="20"/>
    </w:rPr>
  </w:style>
  <w:style w:type="paragraph" w:styleId="34">
    <w:name w:val="Title"/>
    <w:basedOn w:val="1"/>
    <w:link w:val="55"/>
    <w:qFormat/>
    <w:uiPriority w:val="0"/>
    <w:pPr>
      <w:spacing w:before="120" w:after="60"/>
      <w:jc w:val="center"/>
    </w:pPr>
    <w:rPr>
      <w:rFonts w:ascii="Arial" w:hAnsi="Arial"/>
      <w:b/>
      <w:kern w:val="0"/>
      <w:sz w:val="44"/>
      <w:szCs w:val="20"/>
    </w:rPr>
  </w:style>
  <w:style w:type="paragraph" w:styleId="35">
    <w:name w:val="annotation subject"/>
    <w:basedOn w:val="13"/>
    <w:next w:val="13"/>
    <w:link w:val="80"/>
    <w:qFormat/>
    <w:uiPriority w:val="0"/>
    <w:rPr>
      <w:b/>
      <w:bCs/>
    </w:rPr>
  </w:style>
  <w:style w:type="paragraph" w:styleId="36">
    <w:name w:val="Body Text First Indent"/>
    <w:basedOn w:val="15"/>
    <w:link w:val="57"/>
    <w:qFormat/>
    <w:uiPriority w:val="0"/>
    <w:pPr>
      <w:ind w:firstLine="420"/>
    </w:pPr>
  </w:style>
  <w:style w:type="paragraph" w:styleId="37">
    <w:name w:val="Body Text First Indent 2"/>
    <w:basedOn w:val="1"/>
    <w:qFormat/>
    <w:uiPriority w:val="0"/>
    <w:pPr>
      <w:spacing w:after="120"/>
      <w:ind w:left="200" w:leftChars="200" w:firstLine="200" w:firstLineChars="200"/>
    </w:pPr>
    <w:rPr>
      <w:rFonts w:ascii="Calibri" w:hAnsi="Calibri"/>
      <w:color w:val="0D0D0D"/>
      <w:szCs w:val="24"/>
      <w:lang w:eastAsia="en-U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rPr>
  </w:style>
  <w:style w:type="character" w:styleId="42">
    <w:name w:val="endnote reference"/>
    <w:qFormat/>
    <w:uiPriority w:val="0"/>
    <w:rPr>
      <w:vertAlign w:val="superscript"/>
    </w:rPr>
  </w:style>
  <w:style w:type="character" w:styleId="43">
    <w:name w:val="page number"/>
    <w:qFormat/>
    <w:uiPriority w:val="0"/>
    <w:rPr>
      <w:rFonts w:cs="Times New Roman"/>
    </w:rPr>
  </w:style>
  <w:style w:type="character" w:styleId="44">
    <w:name w:val="FollowedHyperlink"/>
    <w:unhideWhenUsed/>
    <w:qFormat/>
    <w:uiPriority w:val="99"/>
    <w:rPr>
      <w:color w:val="954F72"/>
      <w:u w:val="single"/>
    </w:rPr>
  </w:style>
  <w:style w:type="character" w:styleId="45">
    <w:name w:val="Emphasis"/>
    <w:basedOn w:val="40"/>
    <w:qFormat/>
    <w:uiPriority w:val="20"/>
  </w:style>
  <w:style w:type="character" w:styleId="46">
    <w:name w:val="HTML Definition"/>
    <w:basedOn w:val="40"/>
    <w:semiHidden/>
    <w:unhideWhenUsed/>
    <w:uiPriority w:val="99"/>
  </w:style>
  <w:style w:type="character" w:styleId="47">
    <w:name w:val="HTML Variable"/>
    <w:basedOn w:val="40"/>
    <w:semiHidden/>
    <w:unhideWhenUsed/>
    <w:uiPriority w:val="99"/>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HTML Cite"/>
    <w:basedOn w:val="40"/>
    <w:semiHidden/>
    <w:unhideWhenUsed/>
    <w:uiPriority w:val="99"/>
  </w:style>
  <w:style w:type="character" w:styleId="51">
    <w:name w:val="footnote reference"/>
    <w:qFormat/>
    <w:uiPriority w:val="0"/>
    <w:rPr>
      <w:vertAlign w:val="superscript"/>
    </w:rPr>
  </w:style>
  <w:style w:type="paragraph" w:customStyle="1" w:styleId="52">
    <w:name w:val="表格文字"/>
    <w:basedOn w:val="1"/>
    <w:qFormat/>
    <w:uiPriority w:val="0"/>
    <w:pPr>
      <w:spacing w:before="25" w:after="25"/>
      <w:jc w:val="left"/>
    </w:pPr>
    <w:rPr>
      <w:bCs/>
      <w:spacing w:val="10"/>
      <w:kern w:val="0"/>
      <w:sz w:val="24"/>
      <w:szCs w:val="20"/>
    </w:rPr>
  </w:style>
  <w:style w:type="character" w:customStyle="1" w:styleId="53">
    <w:name w:val="标题 1 字符1"/>
    <w:link w:val="3"/>
    <w:qFormat/>
    <w:uiPriority w:val="0"/>
    <w:rPr>
      <w:rFonts w:ascii="Arial" w:hAnsi="Arial" w:eastAsia="宋体" w:cs="Times New Roman"/>
      <w:b/>
      <w:kern w:val="44"/>
      <w:sz w:val="28"/>
      <w:szCs w:val="28"/>
    </w:rPr>
  </w:style>
  <w:style w:type="character" w:customStyle="1" w:styleId="54">
    <w:name w:val="纯文本 字符1"/>
    <w:link w:val="19"/>
    <w:qFormat/>
    <w:uiPriority w:val="0"/>
    <w:rPr>
      <w:rFonts w:ascii="宋体" w:hAnsi="Courier New" w:eastAsia="宋体" w:cs="Times New Roman"/>
      <w:szCs w:val="20"/>
    </w:rPr>
  </w:style>
  <w:style w:type="character" w:customStyle="1" w:styleId="55">
    <w:name w:val="标题 字符1"/>
    <w:link w:val="34"/>
    <w:qFormat/>
    <w:uiPriority w:val="0"/>
    <w:rPr>
      <w:rFonts w:ascii="Arial" w:hAnsi="Arial" w:eastAsia="宋体" w:cs="Times New Roman"/>
      <w:b/>
      <w:sz w:val="44"/>
      <w:szCs w:val="20"/>
    </w:rPr>
  </w:style>
  <w:style w:type="character" w:customStyle="1" w:styleId="56">
    <w:name w:val="正文文本 字符1"/>
    <w:link w:val="15"/>
    <w:qFormat/>
    <w:uiPriority w:val="0"/>
    <w:rPr>
      <w:rFonts w:ascii="Times New Roman" w:hAnsi="Times New Roman" w:eastAsia="宋体" w:cs="Times New Roman"/>
      <w:szCs w:val="20"/>
    </w:rPr>
  </w:style>
  <w:style w:type="character" w:customStyle="1" w:styleId="57">
    <w:name w:val="正文文本首行缩进 字符1"/>
    <w:link w:val="36"/>
    <w:qFormat/>
    <w:uiPriority w:val="0"/>
  </w:style>
  <w:style w:type="character" w:customStyle="1" w:styleId="58">
    <w:name w:val="标题 2 字符1"/>
    <w:link w:val="4"/>
    <w:qFormat/>
    <w:uiPriority w:val="0"/>
    <w:rPr>
      <w:rFonts w:ascii="Arial" w:hAnsi="Arial" w:eastAsia="宋体" w:cs="Times New Roman"/>
      <w:b/>
      <w:color w:val="000000"/>
      <w:sz w:val="24"/>
      <w:szCs w:val="24"/>
    </w:rPr>
  </w:style>
  <w:style w:type="character" w:customStyle="1" w:styleId="59">
    <w:name w:val="正文缩进 字符"/>
    <w:link w:val="2"/>
    <w:qFormat/>
    <w:uiPriority w:val="0"/>
    <w:rPr>
      <w:rFonts w:ascii="Times New Roman" w:hAnsi="Times New Roman" w:eastAsia="宋体"/>
      <w:kern w:val="2"/>
      <w:sz w:val="21"/>
    </w:rPr>
  </w:style>
  <w:style w:type="character" w:customStyle="1" w:styleId="60">
    <w:name w:val="标题 3 字符1"/>
    <w:link w:val="5"/>
    <w:qFormat/>
    <w:uiPriority w:val="0"/>
    <w:rPr>
      <w:rFonts w:ascii="宋体" w:hAnsi="宋体" w:eastAsia="宋体" w:cs="宋体"/>
      <w:kern w:val="0"/>
      <w:sz w:val="27"/>
      <w:szCs w:val="27"/>
    </w:rPr>
  </w:style>
  <w:style w:type="character" w:customStyle="1" w:styleId="61">
    <w:name w:val="标题 4 字符1"/>
    <w:link w:val="6"/>
    <w:qFormat/>
    <w:uiPriority w:val="0"/>
    <w:rPr>
      <w:rFonts w:ascii="Arial" w:hAnsi="Arial" w:eastAsia="宋体" w:cs="Times New Roman"/>
      <w:color w:val="000000"/>
      <w:szCs w:val="21"/>
    </w:rPr>
  </w:style>
  <w:style w:type="character" w:customStyle="1" w:styleId="62">
    <w:name w:val="标题 5 字符1"/>
    <w:link w:val="7"/>
    <w:qFormat/>
    <w:uiPriority w:val="0"/>
    <w:rPr>
      <w:rFonts w:ascii="Arial" w:hAnsi="Arial" w:eastAsia="宋体" w:cs="Times New Roman"/>
      <w:color w:val="000000"/>
      <w:szCs w:val="21"/>
    </w:rPr>
  </w:style>
  <w:style w:type="character" w:customStyle="1" w:styleId="63">
    <w:name w:val="标题 6 字符1"/>
    <w:link w:val="8"/>
    <w:qFormat/>
    <w:uiPriority w:val="0"/>
    <w:rPr>
      <w:rFonts w:ascii="Arial" w:hAnsi="Arial" w:eastAsia="黑体" w:cs="Times New Roman"/>
      <w:b/>
      <w:bCs/>
      <w:sz w:val="24"/>
      <w:szCs w:val="24"/>
    </w:rPr>
  </w:style>
  <w:style w:type="character" w:customStyle="1" w:styleId="64">
    <w:name w:val="标题 7 字符1"/>
    <w:link w:val="9"/>
    <w:qFormat/>
    <w:uiPriority w:val="0"/>
    <w:rPr>
      <w:rFonts w:ascii="Times New Roman" w:hAnsi="Times New Roman" w:eastAsia="宋体" w:cs="Times New Roman"/>
      <w:b/>
      <w:sz w:val="24"/>
      <w:szCs w:val="20"/>
    </w:rPr>
  </w:style>
  <w:style w:type="character" w:customStyle="1" w:styleId="65">
    <w:name w:val="标题 8 字符1"/>
    <w:link w:val="10"/>
    <w:qFormat/>
    <w:uiPriority w:val="0"/>
    <w:rPr>
      <w:rFonts w:ascii="Arial" w:hAnsi="Arial" w:eastAsia="黑体" w:cs="Times New Roman"/>
      <w:sz w:val="24"/>
      <w:szCs w:val="20"/>
    </w:rPr>
  </w:style>
  <w:style w:type="character" w:customStyle="1" w:styleId="66">
    <w:name w:val="标题 9 字符1"/>
    <w:link w:val="11"/>
    <w:qFormat/>
    <w:uiPriority w:val="0"/>
    <w:rPr>
      <w:rFonts w:ascii="Arial" w:hAnsi="Arial" w:eastAsia="黑体" w:cs="Times New Roman"/>
      <w:szCs w:val="20"/>
    </w:rPr>
  </w:style>
  <w:style w:type="character" w:customStyle="1" w:styleId="67">
    <w:name w:val="文档结构图 字符1"/>
    <w:link w:val="12"/>
    <w:qFormat/>
    <w:uiPriority w:val="0"/>
    <w:rPr>
      <w:rFonts w:ascii="Times New Roman" w:hAnsi="Times New Roman" w:eastAsia="宋体" w:cs="Times New Roman"/>
      <w:szCs w:val="20"/>
      <w:shd w:val="clear" w:color="auto" w:fill="000080"/>
    </w:rPr>
  </w:style>
  <w:style w:type="character" w:customStyle="1" w:styleId="68">
    <w:name w:val="批注文字 字符1"/>
    <w:link w:val="13"/>
    <w:qFormat/>
    <w:uiPriority w:val="0"/>
    <w:rPr>
      <w:rFonts w:ascii="宋体" w:hAnsi="宋体" w:eastAsia="宋体" w:cs="Times New Roman"/>
      <w:sz w:val="24"/>
      <w:szCs w:val="24"/>
    </w:rPr>
  </w:style>
  <w:style w:type="character" w:customStyle="1" w:styleId="69">
    <w:name w:val="正文文本 3 字符"/>
    <w:link w:val="14"/>
    <w:semiHidden/>
    <w:qFormat/>
    <w:uiPriority w:val="99"/>
    <w:rPr>
      <w:rFonts w:ascii="Calibri" w:hAnsi="Calibri" w:eastAsia="宋体"/>
      <w:kern w:val="2"/>
      <w:sz w:val="16"/>
      <w:szCs w:val="16"/>
    </w:rPr>
  </w:style>
  <w:style w:type="character" w:customStyle="1" w:styleId="70">
    <w:name w:val="正文文本缩进 字符1"/>
    <w:link w:val="16"/>
    <w:qFormat/>
    <w:uiPriority w:val="0"/>
    <w:rPr>
      <w:rFonts w:ascii="Times New Roman" w:hAnsi="Times New Roman" w:eastAsia="宋体" w:cs="Times New Roman"/>
      <w:sz w:val="28"/>
      <w:szCs w:val="20"/>
    </w:rPr>
  </w:style>
  <w:style w:type="character" w:customStyle="1" w:styleId="71">
    <w:name w:val="日期 字符1"/>
    <w:link w:val="20"/>
    <w:qFormat/>
    <w:uiPriority w:val="0"/>
    <w:rPr>
      <w:rFonts w:ascii="Times New Roman" w:hAnsi="Times New Roman" w:eastAsia="宋体" w:cs="Times New Roman"/>
      <w:szCs w:val="20"/>
    </w:rPr>
  </w:style>
  <w:style w:type="character" w:customStyle="1" w:styleId="72">
    <w:name w:val="正文文本缩进 2 字符1"/>
    <w:link w:val="21"/>
    <w:qFormat/>
    <w:uiPriority w:val="0"/>
    <w:rPr>
      <w:rFonts w:ascii="Times New Roman" w:hAnsi="Times New Roman" w:eastAsia="宋体" w:cs="Times New Roman"/>
      <w:color w:val="000000"/>
      <w:sz w:val="24"/>
      <w:szCs w:val="20"/>
    </w:rPr>
  </w:style>
  <w:style w:type="character" w:customStyle="1" w:styleId="73">
    <w:name w:val="尾注文本 字符1"/>
    <w:link w:val="22"/>
    <w:qFormat/>
    <w:uiPriority w:val="0"/>
    <w:rPr>
      <w:rFonts w:ascii="Times New Roman" w:hAnsi="Times New Roman" w:eastAsia="宋体" w:cs="Times New Roman"/>
      <w:szCs w:val="20"/>
    </w:rPr>
  </w:style>
  <w:style w:type="character" w:customStyle="1" w:styleId="74">
    <w:name w:val="批注框文本 字符1"/>
    <w:link w:val="23"/>
    <w:qFormat/>
    <w:uiPriority w:val="0"/>
    <w:rPr>
      <w:rFonts w:ascii="Times New Roman" w:hAnsi="Times New Roman" w:eastAsia="宋体" w:cs="Times New Roman"/>
      <w:sz w:val="18"/>
      <w:szCs w:val="18"/>
    </w:rPr>
  </w:style>
  <w:style w:type="character" w:customStyle="1" w:styleId="75">
    <w:name w:val="页脚 字符1"/>
    <w:link w:val="24"/>
    <w:qFormat/>
    <w:uiPriority w:val="0"/>
    <w:rPr>
      <w:rFonts w:ascii="Calibri" w:hAnsi="Calibri" w:eastAsia="宋体" w:cs="Times New Roman"/>
      <w:sz w:val="18"/>
      <w:szCs w:val="18"/>
    </w:rPr>
  </w:style>
  <w:style w:type="character" w:customStyle="1" w:styleId="76">
    <w:name w:val="页眉 字符1"/>
    <w:link w:val="25"/>
    <w:qFormat/>
    <w:uiPriority w:val="0"/>
    <w:rPr>
      <w:rFonts w:ascii="Calibri" w:hAnsi="Calibri" w:eastAsia="宋体" w:cs="Times New Roman"/>
      <w:sz w:val="18"/>
      <w:szCs w:val="18"/>
    </w:rPr>
  </w:style>
  <w:style w:type="character" w:customStyle="1" w:styleId="77">
    <w:name w:val="脚注文本 字符1"/>
    <w:link w:val="27"/>
    <w:qFormat/>
    <w:uiPriority w:val="0"/>
    <w:rPr>
      <w:rFonts w:ascii="宋体" w:hAnsi="宋体" w:eastAsia="宋体" w:cs="Times New Roman"/>
      <w:sz w:val="18"/>
      <w:szCs w:val="18"/>
    </w:rPr>
  </w:style>
  <w:style w:type="character" w:customStyle="1" w:styleId="78">
    <w:name w:val="正文文本缩进 3 字符1"/>
    <w:link w:val="28"/>
    <w:qFormat/>
    <w:uiPriority w:val="0"/>
    <w:rPr>
      <w:rFonts w:ascii="Times New Roman" w:hAnsi="Times New Roman" w:eastAsia="宋体" w:cs="Times New Roman"/>
      <w:color w:val="000000"/>
      <w:sz w:val="24"/>
      <w:szCs w:val="20"/>
    </w:rPr>
  </w:style>
  <w:style w:type="character" w:customStyle="1" w:styleId="79">
    <w:name w:val="正文文本 2 字符1"/>
    <w:link w:val="30"/>
    <w:qFormat/>
    <w:uiPriority w:val="0"/>
    <w:rPr>
      <w:rFonts w:ascii="宋体" w:hAnsi="宋体" w:eastAsia="宋体" w:cs="Times New Roman"/>
      <w:szCs w:val="24"/>
      <w:u w:val="single"/>
    </w:rPr>
  </w:style>
  <w:style w:type="character" w:customStyle="1" w:styleId="80">
    <w:name w:val="批注主题 字符1"/>
    <w:link w:val="35"/>
    <w:qFormat/>
    <w:uiPriority w:val="0"/>
    <w:rPr>
      <w:rFonts w:ascii="宋体" w:hAnsi="宋体" w:eastAsia="宋体" w:cs="Times New Roman"/>
      <w:b/>
      <w:bCs/>
      <w:sz w:val="24"/>
      <w:szCs w:val="24"/>
    </w:rPr>
  </w:style>
  <w:style w:type="character" w:customStyle="1" w:styleId="81">
    <w:name w:val="文一 Char"/>
    <w:link w:val="82"/>
    <w:qFormat/>
    <w:uiPriority w:val="0"/>
    <w:rPr>
      <w:snapToGrid/>
      <w:spacing w:val="4"/>
      <w:sz w:val="24"/>
      <w:szCs w:val="24"/>
    </w:rPr>
  </w:style>
  <w:style w:type="paragraph" w:customStyle="1" w:styleId="82">
    <w:name w:val="文一"/>
    <w:basedOn w:val="1"/>
    <w:next w:val="1"/>
    <w:link w:val="81"/>
    <w:qFormat/>
    <w:uiPriority w:val="0"/>
    <w:pPr>
      <w:topLinePunct/>
      <w:adjustRightInd w:val="0"/>
      <w:snapToGrid w:val="0"/>
      <w:spacing w:line="360" w:lineRule="auto"/>
      <w:ind w:firstLine="200" w:firstLineChars="200"/>
    </w:pPr>
    <w:rPr>
      <w:spacing w:val="4"/>
      <w:kern w:val="0"/>
      <w:sz w:val="24"/>
      <w:szCs w:val="24"/>
    </w:rPr>
  </w:style>
  <w:style w:type="character" w:customStyle="1" w:styleId="83">
    <w:name w:val="正文文本缩进 3 字符"/>
    <w:semiHidden/>
    <w:qFormat/>
    <w:uiPriority w:val="99"/>
    <w:rPr>
      <w:rFonts w:ascii="Calibri" w:hAnsi="Calibri" w:eastAsia="宋体" w:cs="Times New Roman"/>
      <w:sz w:val="16"/>
      <w:szCs w:val="16"/>
    </w:rPr>
  </w:style>
  <w:style w:type="character" w:customStyle="1" w:styleId="84">
    <w:name w:val="标题 9 字符"/>
    <w:semiHidden/>
    <w:qFormat/>
    <w:uiPriority w:val="9"/>
    <w:rPr>
      <w:rFonts w:ascii="等线 Light" w:hAnsi="等线 Light" w:eastAsia="等线 Light" w:cs="Times New Roman"/>
      <w:szCs w:val="21"/>
    </w:rPr>
  </w:style>
  <w:style w:type="character" w:customStyle="1" w:styleId="85">
    <w:name w:val="标题 6 字符"/>
    <w:semiHidden/>
    <w:qFormat/>
    <w:uiPriority w:val="9"/>
    <w:rPr>
      <w:rFonts w:ascii="等线 Light" w:hAnsi="等线 Light" w:eastAsia="等线 Light" w:cs="Times New Roman"/>
      <w:b/>
      <w:bCs/>
      <w:sz w:val="24"/>
      <w:szCs w:val="24"/>
    </w:rPr>
  </w:style>
  <w:style w:type="character" w:customStyle="1" w:styleId="86">
    <w:name w:val="标题 3 字符"/>
    <w:semiHidden/>
    <w:qFormat/>
    <w:uiPriority w:val="9"/>
    <w:rPr>
      <w:rFonts w:ascii="Calibri" w:hAnsi="Calibri" w:eastAsia="宋体" w:cs="Times New Roman"/>
      <w:b/>
      <w:bCs/>
      <w:sz w:val="32"/>
      <w:szCs w:val="32"/>
    </w:rPr>
  </w:style>
  <w:style w:type="character" w:customStyle="1" w:styleId="87">
    <w:name w:val="正文文本首行缩进 字符"/>
    <w:link w:val="88"/>
    <w:qFormat/>
    <w:uiPriority w:val="0"/>
    <w:rPr>
      <w:rFonts w:ascii="Times New Roman" w:hAnsi="Times New Roman" w:eastAsia="宋体" w:cs="Times New Roman"/>
      <w:szCs w:val="20"/>
    </w:rPr>
  </w:style>
  <w:style w:type="paragraph" w:customStyle="1" w:styleId="88">
    <w:name w:val="_Style 48"/>
    <w:basedOn w:val="15"/>
    <w:next w:val="36"/>
    <w:link w:val="87"/>
    <w:qFormat/>
    <w:uiPriority w:val="0"/>
    <w:pPr>
      <w:ind w:firstLine="420"/>
    </w:pPr>
  </w:style>
  <w:style w:type="character" w:customStyle="1" w:styleId="89">
    <w:name w:val="尾注文本 字符"/>
    <w:semiHidden/>
    <w:qFormat/>
    <w:uiPriority w:val="99"/>
    <w:rPr>
      <w:rFonts w:ascii="Calibri" w:hAnsi="Calibri" w:eastAsia="宋体" w:cs="Times New Roman"/>
    </w:rPr>
  </w:style>
  <w:style w:type="character" w:customStyle="1" w:styleId="90">
    <w:name w:val="脚注文本 字符"/>
    <w:semiHidden/>
    <w:qFormat/>
    <w:uiPriority w:val="99"/>
    <w:rPr>
      <w:rFonts w:ascii="Calibri" w:hAnsi="Calibri" w:eastAsia="宋体" w:cs="Times New Roman"/>
      <w:sz w:val="18"/>
      <w:szCs w:val="18"/>
    </w:rPr>
  </w:style>
  <w:style w:type="character" w:customStyle="1" w:styleId="91">
    <w:name w:val="标题 字符"/>
    <w:qFormat/>
    <w:uiPriority w:val="10"/>
    <w:rPr>
      <w:rFonts w:ascii="等线 Light" w:hAnsi="等线 Light" w:eastAsia="等线 Light" w:cs="Times New Roman"/>
      <w:b/>
      <w:bCs/>
      <w:sz w:val="32"/>
      <w:szCs w:val="32"/>
    </w:rPr>
  </w:style>
  <w:style w:type="character" w:customStyle="1" w:styleId="92">
    <w:name w:val="正文文本缩进 字符"/>
    <w:semiHidden/>
    <w:qFormat/>
    <w:uiPriority w:val="99"/>
    <w:rPr>
      <w:rFonts w:ascii="Calibri" w:hAnsi="Calibri" w:eastAsia="宋体" w:cs="Times New Roman"/>
    </w:rPr>
  </w:style>
  <w:style w:type="character" w:customStyle="1" w:styleId="93">
    <w:name w:val="批注主题 字符"/>
    <w:semiHidden/>
    <w:qFormat/>
    <w:uiPriority w:val="99"/>
    <w:rPr>
      <w:rFonts w:ascii="Calibri" w:hAnsi="Calibri" w:eastAsia="宋体" w:cs="Times New Roman"/>
      <w:b/>
      <w:bCs/>
    </w:rPr>
  </w:style>
  <w:style w:type="character" w:customStyle="1" w:styleId="94">
    <w:name w:val="标题 1 字符"/>
    <w:qFormat/>
    <w:uiPriority w:val="9"/>
    <w:rPr>
      <w:rFonts w:ascii="Calibri" w:hAnsi="Calibri" w:eastAsia="宋体" w:cs="Times New Roman"/>
      <w:b/>
      <w:bCs/>
      <w:kern w:val="44"/>
      <w:sz w:val="44"/>
      <w:szCs w:val="44"/>
    </w:rPr>
  </w:style>
  <w:style w:type="character" w:customStyle="1" w:styleId="95">
    <w:name w:val="标题 8 字符"/>
    <w:semiHidden/>
    <w:qFormat/>
    <w:uiPriority w:val="9"/>
    <w:rPr>
      <w:rFonts w:ascii="等线 Light" w:hAnsi="等线 Light" w:eastAsia="等线 Light" w:cs="Times New Roman"/>
      <w:sz w:val="24"/>
      <w:szCs w:val="24"/>
    </w:rPr>
  </w:style>
  <w:style w:type="character" w:customStyle="1" w:styleId="96">
    <w:name w:val="日期 字符"/>
    <w:qFormat/>
    <w:uiPriority w:val="0"/>
    <w:rPr>
      <w:rFonts w:ascii="Calibri" w:hAnsi="Calibri" w:eastAsia="宋体" w:cs="Times New Roman"/>
    </w:rPr>
  </w:style>
  <w:style w:type="character" w:customStyle="1" w:styleId="97">
    <w:name w:val="正文文本 2 字符"/>
    <w:qFormat/>
    <w:uiPriority w:val="0"/>
    <w:rPr>
      <w:rFonts w:ascii="Calibri" w:hAnsi="Calibri" w:eastAsia="宋体" w:cs="Times New Roman"/>
    </w:rPr>
  </w:style>
  <w:style w:type="character" w:customStyle="1" w:styleId="98">
    <w:name w:val="页眉 字符"/>
    <w:semiHidden/>
    <w:qFormat/>
    <w:uiPriority w:val="99"/>
    <w:rPr>
      <w:rFonts w:ascii="Calibri" w:hAnsi="Calibri" w:eastAsia="宋体" w:cs="Times New Roman"/>
      <w:sz w:val="18"/>
      <w:szCs w:val="18"/>
    </w:rPr>
  </w:style>
  <w:style w:type="character" w:customStyle="1" w:styleId="99">
    <w:name w:val="标题 5 字符"/>
    <w:semiHidden/>
    <w:qFormat/>
    <w:uiPriority w:val="9"/>
    <w:rPr>
      <w:rFonts w:ascii="Calibri" w:hAnsi="Calibri" w:eastAsia="宋体" w:cs="Times New Roman"/>
      <w:b/>
      <w:bCs/>
      <w:sz w:val="28"/>
      <w:szCs w:val="28"/>
    </w:rPr>
  </w:style>
  <w:style w:type="character" w:customStyle="1" w:styleId="100">
    <w:name w:val="正文文本缩进 2 字符"/>
    <w:semiHidden/>
    <w:qFormat/>
    <w:uiPriority w:val="99"/>
    <w:rPr>
      <w:rFonts w:ascii="Calibri" w:hAnsi="Calibri" w:eastAsia="宋体" w:cs="Times New Roman"/>
    </w:rPr>
  </w:style>
  <w:style w:type="character" w:customStyle="1" w:styleId="101">
    <w:name w:val="页脚 字符"/>
    <w:semiHidden/>
    <w:qFormat/>
    <w:uiPriority w:val="99"/>
    <w:rPr>
      <w:rFonts w:ascii="Calibri" w:hAnsi="Calibri" w:eastAsia="宋体" w:cs="Times New Roman"/>
      <w:sz w:val="18"/>
      <w:szCs w:val="18"/>
    </w:rPr>
  </w:style>
  <w:style w:type="character" w:customStyle="1" w:styleId="102">
    <w:name w:val="批注文字 字符"/>
    <w:semiHidden/>
    <w:qFormat/>
    <w:uiPriority w:val="99"/>
    <w:rPr>
      <w:rFonts w:ascii="Calibri" w:hAnsi="Calibri" w:eastAsia="宋体" w:cs="Times New Roman"/>
    </w:rPr>
  </w:style>
  <w:style w:type="character" w:customStyle="1" w:styleId="103">
    <w:name w:val="正文首行缩进 字符"/>
    <w:semiHidden/>
    <w:qFormat/>
    <w:uiPriority w:val="99"/>
  </w:style>
  <w:style w:type="character" w:customStyle="1" w:styleId="104">
    <w:name w:val="正文文本 字符"/>
    <w:semiHidden/>
    <w:qFormat/>
    <w:uiPriority w:val="99"/>
    <w:rPr>
      <w:rFonts w:ascii="Calibri" w:hAnsi="Calibri" w:eastAsia="宋体" w:cs="Times New Roman"/>
    </w:rPr>
  </w:style>
  <w:style w:type="character" w:customStyle="1" w:styleId="105">
    <w:name w:val="批注框文本 字符"/>
    <w:semiHidden/>
    <w:qFormat/>
    <w:uiPriority w:val="99"/>
    <w:rPr>
      <w:rFonts w:ascii="Calibri" w:hAnsi="Calibri" w:eastAsia="宋体" w:cs="Times New Roman"/>
      <w:sz w:val="18"/>
      <w:szCs w:val="18"/>
    </w:rPr>
  </w:style>
  <w:style w:type="character" w:customStyle="1" w:styleId="106">
    <w:name w:val="文档结构图 字符"/>
    <w:semiHidden/>
    <w:qFormat/>
    <w:uiPriority w:val="99"/>
    <w:rPr>
      <w:rFonts w:ascii="Microsoft YaHei UI" w:hAnsi="Calibri" w:eastAsia="Microsoft YaHei UI" w:cs="Times New Roman"/>
      <w:sz w:val="18"/>
      <w:szCs w:val="18"/>
    </w:rPr>
  </w:style>
  <w:style w:type="character" w:customStyle="1" w:styleId="107">
    <w:name w:val="标题 2 字符"/>
    <w:semiHidden/>
    <w:qFormat/>
    <w:uiPriority w:val="9"/>
    <w:rPr>
      <w:rFonts w:ascii="等线 Light" w:hAnsi="等线 Light" w:eastAsia="等线 Light" w:cs="Times New Roman"/>
      <w:b/>
      <w:bCs/>
      <w:sz w:val="32"/>
      <w:szCs w:val="32"/>
    </w:rPr>
  </w:style>
  <w:style w:type="character" w:customStyle="1" w:styleId="108">
    <w:name w:val="标题 4 字符"/>
    <w:semiHidden/>
    <w:qFormat/>
    <w:uiPriority w:val="9"/>
    <w:rPr>
      <w:rFonts w:ascii="等线 Light" w:hAnsi="等线 Light" w:eastAsia="等线 Light" w:cs="Times New Roman"/>
      <w:b/>
      <w:bCs/>
      <w:sz w:val="28"/>
      <w:szCs w:val="28"/>
    </w:rPr>
  </w:style>
  <w:style w:type="character" w:customStyle="1" w:styleId="109">
    <w:name w:val="标题 7 字符"/>
    <w:semiHidden/>
    <w:qFormat/>
    <w:uiPriority w:val="9"/>
    <w:rPr>
      <w:rFonts w:ascii="Calibri" w:hAnsi="Calibri" w:eastAsia="宋体" w:cs="Times New Roman"/>
      <w:b/>
      <w:bCs/>
      <w:sz w:val="24"/>
      <w:szCs w:val="24"/>
    </w:rPr>
  </w:style>
  <w:style w:type="character" w:customStyle="1" w:styleId="110">
    <w:name w:val="纯文本 字符"/>
    <w:semiHidden/>
    <w:qFormat/>
    <w:uiPriority w:val="99"/>
    <w:rPr>
      <w:rFonts w:ascii="等线" w:hAnsi="Courier New" w:cs="Courier New"/>
    </w:rPr>
  </w:style>
  <w:style w:type="paragraph" w:customStyle="1" w:styleId="111">
    <w:name w:val="Char"/>
    <w:basedOn w:val="1"/>
    <w:qFormat/>
    <w:uiPriority w:val="0"/>
    <w:rPr>
      <w:rFonts w:ascii="Tahoma" w:hAnsi="Tahoma"/>
      <w:sz w:val="24"/>
      <w:szCs w:val="20"/>
    </w:rPr>
  </w:style>
  <w:style w:type="paragraph" w:customStyle="1" w:styleId="112">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13">
    <w:name w:val="列表段落1"/>
    <w:basedOn w:val="1"/>
    <w:qFormat/>
    <w:uiPriority w:val="34"/>
    <w:pPr>
      <w:ind w:firstLine="420" w:firstLineChars="200"/>
    </w:pPr>
    <w:rPr>
      <w:szCs w:val="20"/>
    </w:rPr>
  </w:style>
  <w:style w:type="paragraph" w:customStyle="1" w:styleId="114">
    <w:name w:val="Char Char Char Char"/>
    <w:basedOn w:val="1"/>
    <w:qFormat/>
    <w:uiPriority w:val="0"/>
    <w:rPr>
      <w:sz w:val="30"/>
      <w:szCs w:val="24"/>
    </w:rPr>
  </w:style>
  <w:style w:type="paragraph" w:customStyle="1" w:styleId="115">
    <w:name w:val="1"/>
    <w:basedOn w:val="1"/>
    <w:next w:val="1"/>
    <w:qFormat/>
    <w:uiPriority w:val="0"/>
  </w:style>
  <w:style w:type="paragraph" w:customStyle="1" w:styleId="116">
    <w:name w:val="公文抬头"/>
    <w:basedOn w:val="2"/>
    <w:qFormat/>
    <w:uiPriority w:val="0"/>
    <w:pPr>
      <w:ind w:firstLine="0"/>
    </w:pPr>
    <w:rPr>
      <w:rFonts w:ascii="仿宋_GB2312" w:eastAsia="仿宋_GB2312"/>
      <w:sz w:val="30"/>
      <w:szCs w:val="24"/>
    </w:rPr>
  </w:style>
  <w:style w:type="paragraph" w:customStyle="1" w:styleId="117">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18">
    <w:name w:val="Char1"/>
    <w:basedOn w:val="1"/>
    <w:qFormat/>
    <w:uiPriority w:val="0"/>
    <w:pPr>
      <w:numPr>
        <w:ilvl w:val="0"/>
        <w:numId w:val="1"/>
      </w:numPr>
    </w:pPr>
    <w:rPr>
      <w:sz w:val="24"/>
      <w:szCs w:val="24"/>
    </w:rPr>
  </w:style>
  <w:style w:type="paragraph" w:customStyle="1" w:styleId="119">
    <w:name w:val="_Style 49"/>
    <w:basedOn w:val="15"/>
    <w:next w:val="36"/>
    <w:qFormat/>
    <w:uiPriority w:val="0"/>
    <w:pPr>
      <w:ind w:firstLine="420"/>
    </w:pPr>
  </w:style>
  <w:style w:type="paragraph" w:customStyle="1" w:styleId="120">
    <w:name w:val="文二"/>
    <w:basedOn w:val="1"/>
    <w:qFormat/>
    <w:uiPriority w:val="0"/>
    <w:pPr>
      <w:jc w:val="left"/>
    </w:pPr>
    <w:rPr>
      <w:rFonts w:ascii="宋体" w:hAnsi="宋体"/>
      <w:szCs w:val="21"/>
    </w:rPr>
  </w:style>
  <w:style w:type="paragraph" w:customStyle="1" w:styleId="121">
    <w:name w:val="列出段落1"/>
    <w:basedOn w:val="1"/>
    <w:qFormat/>
    <w:uiPriority w:val="34"/>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122">
    <w:name w:val="章节二"/>
    <w:basedOn w:val="1"/>
    <w:next w:val="1"/>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12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5">
    <w:name w:val="正题"/>
    <w:basedOn w:val="82"/>
    <w:next w:val="82"/>
    <w:qFormat/>
    <w:uiPriority w:val="0"/>
    <w:pPr>
      <w:ind w:firstLine="0" w:firstLineChars="0"/>
      <w:jc w:val="center"/>
    </w:pPr>
    <w:rPr>
      <w:rFonts w:eastAsia="黑体"/>
      <w:b/>
      <w:sz w:val="36"/>
      <w:szCs w:val="36"/>
    </w:rPr>
  </w:style>
  <w:style w:type="paragraph" w:customStyle="1" w:styleId="126">
    <w:name w:val="修订1"/>
    <w:semiHidden/>
    <w:qFormat/>
    <w:uiPriority w:val="99"/>
    <w:rPr>
      <w:rFonts w:ascii="Times New Roman" w:hAnsi="Times New Roman" w:eastAsia="宋体" w:cs="Times New Roman"/>
      <w:kern w:val="2"/>
      <w:sz w:val="21"/>
      <w:lang w:val="en-US" w:eastAsia="zh-CN" w:bidi="ar-SA"/>
    </w:rPr>
  </w:style>
  <w:style w:type="paragraph" w:customStyle="1" w:styleId="127">
    <w:name w:val="Char Char Char1 Char"/>
    <w:basedOn w:val="12"/>
    <w:qFormat/>
    <w:uiPriority w:val="0"/>
    <w:rPr>
      <w:rFonts w:ascii="Tahoma" w:hAnsi="Tahoma"/>
      <w:sz w:val="24"/>
      <w:szCs w:val="24"/>
    </w:rPr>
  </w:style>
  <w:style w:type="paragraph" w:customStyle="1" w:styleId="128">
    <w:name w:val="章节三"/>
    <w:basedOn w:val="82"/>
    <w:next w:val="1"/>
    <w:qFormat/>
    <w:uiPriority w:val="0"/>
    <w:pPr>
      <w:spacing w:beforeLines="50" w:afterLines="50" w:line="240" w:lineRule="auto"/>
      <w:ind w:firstLine="0" w:firstLineChars="0"/>
      <w:jc w:val="left"/>
      <w:outlineLvl w:val="2"/>
    </w:pPr>
    <w:rPr>
      <w:rFonts w:ascii="黑体" w:hAnsi="宋体" w:eastAsia="黑体"/>
      <w:b/>
    </w:rPr>
  </w:style>
  <w:style w:type="paragraph" w:customStyle="1" w:styleId="129">
    <w:name w:val="Table Paragraph"/>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宋体" w:hAnsi="宋体" w:eastAsia="宋体" w:cs="宋体"/>
      <w:kern w:val="1"/>
      <w:sz w:val="21"/>
      <w:szCs w:val="22"/>
      <w:lang w:val="en-US" w:eastAsia="zh-CN" w:bidi="ar-SA"/>
    </w:rPr>
  </w:style>
  <w:style w:type="paragraph" w:customStyle="1" w:styleId="130">
    <w:name w:val="公文标题"/>
    <w:basedOn w:val="5"/>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31">
    <w:name w:val="发文落款"/>
    <w:basedOn w:val="124"/>
    <w:qFormat/>
    <w:uiPriority w:val="0"/>
    <w:pPr>
      <w:ind w:left="4094" w:right="607" w:firstLine="0"/>
      <w:jc w:val="center"/>
    </w:pPr>
  </w:style>
  <w:style w:type="paragraph" w:customStyle="1" w:styleId="132">
    <w:name w:val="表头"/>
    <w:basedOn w:val="1"/>
    <w:qFormat/>
    <w:uiPriority w:val="0"/>
    <w:pPr>
      <w:spacing w:line="360" w:lineRule="auto"/>
      <w:jc w:val="center"/>
    </w:pPr>
    <w:rPr>
      <w:rFonts w:ascii="黑体" w:eastAsia="黑体"/>
      <w:kern w:val="0"/>
      <w:sz w:val="24"/>
      <w:szCs w:val="20"/>
    </w:rPr>
  </w:style>
  <w:style w:type="paragraph" w:customStyle="1" w:styleId="133">
    <w:name w:val="纯文本1"/>
    <w:qFormat/>
    <w:uiPriority w:val="0"/>
    <w:pPr>
      <w:widowControl w:val="0"/>
      <w:jc w:val="both"/>
    </w:pPr>
    <w:rPr>
      <w:rFonts w:ascii="宋体" w:hAnsi="Courier New" w:eastAsia="宋体" w:cs="Courier New"/>
      <w:kern w:val="2"/>
      <w:sz w:val="21"/>
      <w:szCs w:val="21"/>
      <w:lang w:val="en-US" w:eastAsia="zh-CN" w:bidi="ar-SA"/>
    </w:rPr>
  </w:style>
  <w:style w:type="paragraph" w:customStyle="1" w:styleId="134">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135">
    <w:name w:val="leo 样式"/>
    <w:qFormat/>
    <w:uiPriority w:val="0"/>
    <w:pPr>
      <w:widowControl w:val="0"/>
      <w:snapToGrid w:val="0"/>
      <w:spacing w:line="360" w:lineRule="auto"/>
      <w:jc w:val="both"/>
    </w:pPr>
    <w:rPr>
      <w:rFonts w:ascii="仿宋_GB2312" w:hAnsi="Calibri" w:eastAsia="仿宋_GB2312" w:cs="Times New Roman"/>
      <w:bCs/>
      <w:sz w:val="28"/>
      <w:szCs w:val="28"/>
      <w:lang w:val="en-US" w:eastAsia="zh-CN" w:bidi="ar-SA"/>
    </w:rPr>
  </w:style>
  <w:style w:type="paragraph" w:customStyle="1" w:styleId="136">
    <w:name w:val="列出段落3"/>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37">
    <w:name w:val="_Style 4"/>
    <w:basedOn w:val="1"/>
    <w:qFormat/>
    <w:uiPriority w:val="34"/>
    <w:pPr>
      <w:ind w:firstLine="420" w:firstLineChars="200"/>
    </w:pPr>
    <w:rPr>
      <w:szCs w:val="20"/>
    </w:rPr>
  </w:style>
  <w:style w:type="paragraph" w:customStyle="1" w:styleId="138">
    <w:name w:val="Normal_3"/>
    <w:qFormat/>
    <w:uiPriority w:val="0"/>
    <w:rPr>
      <w:rFonts w:ascii="等线" w:hAnsi="等线" w:eastAsia="Times New Roman" w:cs="Times New Roman"/>
      <w:sz w:val="24"/>
      <w:szCs w:val="24"/>
      <w:lang w:val="en-US" w:eastAsia="zh-CN" w:bidi="ar-SA"/>
    </w:rPr>
  </w:style>
  <w:style w:type="character" w:customStyle="1" w:styleId="139">
    <w:name w:val="font31"/>
    <w:basedOn w:val="40"/>
    <w:qFormat/>
    <w:uiPriority w:val="0"/>
    <w:rPr>
      <w:rFonts w:hint="eastAsia" w:ascii="仿宋" w:hAnsi="仿宋" w:eastAsia="仿宋" w:cs="仿宋"/>
      <w:color w:val="000000"/>
      <w:sz w:val="21"/>
      <w:szCs w:val="21"/>
      <w:u w:val="none"/>
    </w:rPr>
  </w:style>
  <w:style w:type="character" w:customStyle="1" w:styleId="140">
    <w:name w:val="NormalCharacter"/>
    <w:qFormat/>
    <w:uiPriority w:val="0"/>
    <w:rPr>
      <w:rFonts w:ascii="Calibri" w:hAnsi="Calibri" w:eastAsia="宋体" w:cs="Times New Roman"/>
      <w:kern w:val="2"/>
      <w:sz w:val="21"/>
      <w:szCs w:val="22"/>
      <w:lang w:val="en-US" w:eastAsia="zh-CN" w:bidi="ar-SA"/>
    </w:rPr>
  </w:style>
  <w:style w:type="paragraph" w:customStyle="1" w:styleId="141">
    <w:name w:val="_Style 21"/>
    <w:next w:val="37"/>
    <w:qFormat/>
    <w:uiPriority w:val="0"/>
    <w:pPr>
      <w:widowControl w:val="0"/>
      <w:ind w:left="200" w:firstLine="200" w:firstLineChars="200"/>
      <w:jc w:val="both"/>
    </w:pPr>
    <w:rPr>
      <w:rFonts w:ascii="Calibri" w:hAnsi="Calibri" w:eastAsia="宋体" w:cs="Times New Roman"/>
      <w:color w:val="0D0D0D"/>
      <w:sz w:val="28"/>
      <w:szCs w:val="24"/>
      <w:lang w:val="en-US" w:eastAsia="en-US" w:bidi="ar-SA"/>
    </w:rPr>
  </w:style>
  <w:style w:type="paragraph" w:customStyle="1" w:styleId="142">
    <w:name w:val="纯文本2"/>
    <w:basedOn w:val="1"/>
    <w:qFormat/>
    <w:uiPriority w:val="0"/>
    <w:rPr>
      <w:rFonts w:ascii="宋体" w:hAnsi="Courier New"/>
      <w:szCs w:val="21"/>
    </w:rPr>
  </w:style>
  <w:style w:type="paragraph" w:customStyle="1" w:styleId="143">
    <w:name w:val="Other|1"/>
    <w:basedOn w:val="1"/>
    <w:qFormat/>
    <w:uiPriority w:val="0"/>
    <w:pPr>
      <w:jc w:val="center"/>
    </w:pPr>
    <w:rPr>
      <w:rFonts w:ascii="宋体" w:hAnsi="宋体" w:cs="宋体"/>
      <w:sz w:val="20"/>
      <w:szCs w:val="20"/>
      <w:lang w:val="zh-TW" w:eastAsia="zh-TW" w:bidi="zh-TW"/>
    </w:rPr>
  </w:style>
  <w:style w:type="character" w:customStyle="1" w:styleId="144">
    <w:name w:val="页码1"/>
    <w:qFormat/>
    <w:uiPriority w:val="0"/>
  </w:style>
  <w:style w:type="paragraph" w:customStyle="1" w:styleId="145">
    <w:name w:val="PlainText"/>
    <w:basedOn w:val="1"/>
    <w:qFormat/>
    <w:uiPriority w:val="0"/>
    <w:rPr>
      <w:rFonts w:ascii="宋体" w:hAnsi="Courier New"/>
      <w:kern w:val="0"/>
      <w:sz w:val="20"/>
      <w:szCs w:val="20"/>
    </w:rPr>
  </w:style>
  <w:style w:type="paragraph" w:customStyle="1" w:styleId="146">
    <w:name w:val="正文文本缩进 New New"/>
    <w:basedOn w:val="1"/>
    <w:qFormat/>
    <w:uiPriority w:val="0"/>
    <w:pPr>
      <w:spacing w:after="120"/>
      <w:ind w:left="420" w:leftChars="200"/>
    </w:pPr>
    <w:rPr>
      <w:rFonts w:eastAsia="楷体_GB2312"/>
      <w:szCs w:val="20"/>
    </w:rPr>
  </w:style>
  <w:style w:type="paragraph" w:customStyle="1" w:styleId="147">
    <w:name w:val="正文 New New New New New New New New New New New New New"/>
    <w:qFormat/>
    <w:uiPriority w:val="0"/>
    <w:pPr>
      <w:widowControl w:val="0"/>
      <w:snapToGrid w:val="0"/>
      <w:jc w:val="both"/>
    </w:pPr>
    <w:rPr>
      <w:rFonts w:ascii="仿宋_GB2312" w:hAnsi="仿宋_GB2312" w:eastAsia="宋体" w:cs="宋体"/>
      <w:sz w:val="21"/>
      <w:szCs w:val="32"/>
      <w:lang w:val="en-US" w:eastAsia="zh-CN" w:bidi="ar-SA"/>
    </w:rPr>
  </w:style>
  <w:style w:type="character" w:customStyle="1" w:styleId="148">
    <w:name w:val="not([class*=suffix])"/>
    <w:basedOn w:val="40"/>
    <w:uiPriority w:val="0"/>
    <w:rPr>
      <w:sz w:val="19"/>
      <w:szCs w:val="19"/>
    </w:rPr>
  </w:style>
  <w:style w:type="character" w:customStyle="1" w:styleId="149">
    <w:name w:val="not([class*=suffix])1"/>
    <w:basedOn w:val="40"/>
    <w:uiPriority w:val="0"/>
  </w:style>
  <w:style w:type="character" w:customStyle="1" w:styleId="150">
    <w:name w:val="nth-child(2)"/>
    <w:basedOn w:val="40"/>
    <w:uiPriority w:val="0"/>
    <w:rPr>
      <w:color w:val="999999"/>
      <w:sz w:val="18"/>
      <w:szCs w:val="18"/>
    </w:rPr>
  </w:style>
  <w:style w:type="character" w:customStyle="1" w:styleId="151">
    <w:name w:val="nth-child(2)1"/>
    <w:basedOn w:val="40"/>
    <w:uiPriority w:val="0"/>
    <w:rPr>
      <w:color w:val="999999"/>
      <w:sz w:val="18"/>
      <w:szCs w:val="18"/>
    </w:rPr>
  </w:style>
  <w:style w:type="character" w:customStyle="1" w:styleId="152">
    <w:name w:val="before"/>
    <w:basedOn w:val="40"/>
    <w:uiPriority w:val="0"/>
    <w:rPr>
      <w:shd w:val="clear" w:fill="FFFFFF"/>
    </w:rPr>
  </w:style>
  <w:style w:type="character" w:customStyle="1" w:styleId="153">
    <w:name w:val="first-child"/>
    <w:basedOn w:val="40"/>
    <w:uiPriority w:val="0"/>
  </w:style>
  <w:style w:type="character" w:customStyle="1" w:styleId="154">
    <w:name w:val="first-child1"/>
    <w:basedOn w:val="40"/>
    <w:uiPriority w:val="0"/>
  </w:style>
  <w:style w:type="character" w:customStyle="1" w:styleId="155">
    <w:name w:val="checkbox[data-v-5a6e0c4c]"/>
    <w:basedOn w:val="40"/>
    <w:uiPriority w:val="0"/>
    <w:rPr>
      <w:bdr w:val="single" w:color="DDDDDD" w:sz="6" w:space="0"/>
    </w:rPr>
  </w:style>
  <w:style w:type="character" w:customStyle="1" w:styleId="156">
    <w:name w:val="checkbox[data-v-741471b8]"/>
    <w:basedOn w:val="40"/>
    <w:uiPriority w:val="0"/>
    <w:rPr>
      <w:bdr w:val="single" w:color="DDDDDD" w:sz="6" w:space="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91</Pages>
  <Words>8611</Words>
  <Characters>49083</Characters>
  <Lines>409</Lines>
  <Paragraphs>115</Paragraphs>
  <TotalTime>24</TotalTime>
  <ScaleCrop>false</ScaleCrop>
  <LinksUpToDate>false</LinksUpToDate>
  <CharactersWithSpaces>57579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2022-06-02T02:55:00Z</dcterms:created>
  <dc:creator>管理员</dc:creator>
  <cp:lastModifiedBy>戴晟</cp:lastModifiedBy>
  <cp:lastPrinted>2024-01-10T02:41:00Z</cp:lastPrinted>
  <dcterms:modified xsi:type="dcterms:W3CDTF">2024-04-29T07:57:30Z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F2114E5234F8422FB52E99E2D016DC76_13</vt:lpwstr>
  </property>
</Properties>
</file>