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宋体" w:hAnsi="宋体" w:eastAsia="宋体" w:cs="宋体"/>
          <w:color w:val="auto"/>
          <w:sz w:val="21"/>
          <w:szCs w:val="21"/>
          <w:highlight w:val="none"/>
        </w:rPr>
      </w:pPr>
    </w:p>
    <w:p>
      <w:pPr>
        <w:autoSpaceDE w:val="0"/>
        <w:autoSpaceDN w:val="0"/>
        <w:adjustRightInd w:val="0"/>
        <w:snapToGrid w:val="0"/>
        <w:spacing w:line="300" w:lineRule="auto"/>
        <w:ind w:right="32"/>
        <w:jc w:val="right"/>
        <w:rPr>
          <w:rFonts w:hint="eastAsia" w:ascii="宋体" w:hAnsi="宋体" w:eastAsia="宋体" w:cs="宋体"/>
          <w:color w:val="auto"/>
          <w:sz w:val="21"/>
          <w:szCs w:val="21"/>
          <w:highlight w:val="none"/>
        </w:rPr>
      </w:pPr>
    </w:p>
    <w:p>
      <w:pPr>
        <w:jc w:val="right"/>
        <w:rPr>
          <w:rFonts w:hint="eastAsia" w:hAnsi="宋体"/>
          <w:bCs/>
          <w:color w:val="auto"/>
          <w:sz w:val="24"/>
          <w:highlight w:val="none"/>
        </w:rPr>
      </w:pPr>
    </w:p>
    <w:p>
      <w:pPr>
        <w:ind w:firstLine="5520" w:firstLineChars="2300"/>
        <w:rPr>
          <w:rFonts w:hint="eastAsia" w:hAnsi="宋体"/>
          <w:bCs/>
          <w:color w:val="auto"/>
          <w:sz w:val="24"/>
          <w:highlight w:val="none"/>
        </w:rPr>
      </w:pPr>
    </w:p>
    <w:p>
      <w:pPr>
        <w:ind w:firstLine="5520" w:firstLineChars="2300"/>
        <w:rPr>
          <w:rFonts w:hint="eastAsia" w:hAnsi="宋体"/>
          <w:bCs/>
          <w:color w:val="auto"/>
          <w:sz w:val="24"/>
          <w:highlight w:val="none"/>
        </w:rPr>
      </w:pPr>
    </w:p>
    <w:p>
      <w:pPr>
        <w:jc w:val="center"/>
        <w:rPr>
          <w:rFonts w:hint="eastAsia" w:ascii="宋体" w:hAnsi="宋体" w:eastAsia="宋体" w:cs="宋体"/>
          <w:b/>
          <w:bCs/>
          <w:color w:val="auto"/>
          <w:sz w:val="48"/>
          <w:szCs w:val="48"/>
          <w:highlight w:val="none"/>
          <w:lang w:val="en-GB"/>
        </w:rPr>
      </w:pPr>
      <w:r>
        <w:rPr>
          <w:rFonts w:hint="eastAsia" w:ascii="宋体" w:hAnsi="宋体" w:eastAsia="宋体" w:cs="宋体"/>
          <w:b/>
          <w:bCs/>
          <w:color w:val="auto"/>
          <w:sz w:val="48"/>
          <w:szCs w:val="48"/>
          <w:highlight w:val="none"/>
          <w:lang w:val="en-GB"/>
        </w:rPr>
        <w:t>广州市净水有限公司</w:t>
      </w:r>
    </w:p>
    <w:p>
      <w:pPr>
        <w:jc w:val="center"/>
        <w:rPr>
          <w:b/>
          <w:bCs/>
          <w:color w:val="auto"/>
          <w:sz w:val="48"/>
          <w:szCs w:val="48"/>
          <w:highlight w:val="none"/>
          <w:lang w:val="en-GB"/>
        </w:rPr>
      </w:pPr>
      <w:r>
        <w:rPr>
          <w:rFonts w:hint="eastAsia" w:ascii="宋体" w:hAnsi="宋体" w:eastAsia="宋体" w:cs="宋体"/>
          <w:b/>
          <w:bCs/>
          <w:color w:val="auto"/>
          <w:sz w:val="48"/>
          <w:szCs w:val="48"/>
          <w:highlight w:val="none"/>
          <w:lang w:val="en-GB"/>
        </w:rPr>
        <w:t>小型建设工程</w:t>
      </w:r>
      <w:r>
        <w:rPr>
          <w:rFonts w:hint="eastAsia" w:ascii="宋体" w:hAnsi="宋体" w:eastAsia="宋体" w:cs="宋体"/>
          <w:b/>
          <w:bCs/>
          <w:color w:val="auto"/>
          <w:sz w:val="48"/>
          <w:szCs w:val="48"/>
          <w:highlight w:val="none"/>
          <w:u w:val="single"/>
          <w:lang w:val="en-GB"/>
        </w:rPr>
        <w:t>施工/修缮</w:t>
      </w:r>
      <w:r>
        <w:rPr>
          <w:rFonts w:hint="eastAsia" w:ascii="宋体" w:hAnsi="宋体" w:eastAsia="宋体" w:cs="宋体"/>
          <w:b/>
          <w:bCs/>
          <w:color w:val="auto"/>
          <w:sz w:val="48"/>
          <w:szCs w:val="48"/>
          <w:highlight w:val="none"/>
          <w:lang w:val="en-GB"/>
        </w:rPr>
        <w:t>合同</w:t>
      </w:r>
    </w:p>
    <w:p>
      <w:pPr>
        <w:ind w:left="2208" w:leftChars="690" w:firstLine="4785" w:firstLineChars="1994"/>
        <w:rPr>
          <w:rFonts w:hint="eastAsia"/>
          <w:color w:val="auto"/>
          <w:sz w:val="24"/>
          <w:highlight w:val="none"/>
        </w:rPr>
      </w:pPr>
    </w:p>
    <w:p>
      <w:pPr>
        <w:ind w:left="2208" w:leftChars="690" w:firstLine="4785" w:firstLineChars="1994"/>
        <w:rPr>
          <w:rFonts w:hint="eastAsia"/>
          <w:color w:val="auto"/>
          <w:sz w:val="24"/>
          <w:highlight w:val="none"/>
        </w:rPr>
      </w:pPr>
    </w:p>
    <w:p>
      <w:pPr>
        <w:ind w:left="2208" w:leftChars="690" w:firstLine="4785" w:firstLineChars="1994"/>
        <w:rPr>
          <w:rFonts w:hint="eastAsia"/>
          <w:color w:val="auto"/>
          <w:sz w:val="24"/>
          <w:highlight w:val="none"/>
        </w:rPr>
      </w:pPr>
    </w:p>
    <w:p>
      <w:pPr>
        <w:pStyle w:val="11"/>
        <w:snapToGrid w:val="0"/>
        <w:spacing w:line="400" w:lineRule="exact"/>
        <w:ind w:right="128" w:rightChars="40" w:firstLine="193" w:firstLineChars="80"/>
        <w:rPr>
          <w:rFonts w:hint="eastAsia" w:hAnsi="宋体" w:eastAsia="宋体"/>
          <w:b/>
          <w:color w:val="auto"/>
          <w:sz w:val="24"/>
          <w:highlight w:val="none"/>
        </w:rPr>
      </w:pPr>
    </w:p>
    <w:p>
      <w:pPr>
        <w:pStyle w:val="11"/>
        <w:snapToGrid w:val="0"/>
        <w:spacing w:line="400" w:lineRule="exact"/>
        <w:ind w:right="128" w:rightChars="40" w:firstLine="192" w:firstLineChars="80"/>
        <w:rPr>
          <w:rFonts w:hint="eastAsia" w:hAnsi="宋体" w:eastAsia="宋体"/>
          <w:bCs/>
          <w:color w:val="auto"/>
          <w:sz w:val="24"/>
          <w:highlight w:val="none"/>
        </w:rPr>
      </w:pPr>
    </w:p>
    <w:p>
      <w:pPr>
        <w:pStyle w:val="11"/>
        <w:snapToGrid w:val="0"/>
        <w:spacing w:line="400" w:lineRule="exact"/>
        <w:ind w:left="3000" w:leftChars="467" w:right="128" w:rightChars="40" w:hanging="1506" w:hangingChars="500"/>
        <w:rPr>
          <w:rFonts w:hint="eastAsia" w:hAnsi="宋体" w:eastAsia="宋体" w:cs="宋体"/>
          <w:b/>
          <w:color w:val="auto"/>
          <w:sz w:val="30"/>
          <w:szCs w:val="30"/>
          <w:highlight w:val="none"/>
          <w:lang w:eastAsia="zh-CN"/>
        </w:rPr>
      </w:pPr>
      <w:r>
        <w:rPr>
          <w:rFonts w:hint="eastAsia" w:hAnsi="宋体" w:eastAsia="宋体" w:cs="宋体"/>
          <w:b/>
          <w:color w:val="auto"/>
          <w:sz w:val="30"/>
          <w:szCs w:val="30"/>
          <w:highlight w:val="none"/>
        </w:rPr>
        <w:t>项目名称：广州市净水有限公司202</w:t>
      </w:r>
      <w:r>
        <w:rPr>
          <w:rFonts w:hint="eastAsia" w:hAnsi="宋体" w:eastAsia="宋体" w:cs="宋体"/>
          <w:b/>
          <w:color w:val="auto"/>
          <w:sz w:val="30"/>
          <w:szCs w:val="30"/>
          <w:highlight w:val="none"/>
          <w:lang w:val="en-US" w:eastAsia="zh-CN"/>
        </w:rPr>
        <w:t>4-2025</w:t>
      </w:r>
      <w:r>
        <w:rPr>
          <w:rFonts w:hint="eastAsia" w:hAnsi="宋体" w:eastAsia="宋体" w:cs="宋体"/>
          <w:b/>
          <w:color w:val="auto"/>
          <w:sz w:val="30"/>
          <w:szCs w:val="30"/>
          <w:highlight w:val="none"/>
        </w:rPr>
        <w:t>年</w:t>
      </w:r>
      <w:r>
        <w:rPr>
          <w:rFonts w:hint="eastAsia" w:hAnsi="宋体" w:eastAsia="宋体" w:cs="宋体"/>
          <w:b/>
          <w:color w:val="auto"/>
          <w:sz w:val="30"/>
          <w:szCs w:val="30"/>
          <w:highlight w:val="none"/>
          <w:lang w:val="en-US" w:eastAsia="zh-CN"/>
        </w:rPr>
        <w:t>市政工程类</w:t>
      </w:r>
      <w:r>
        <w:rPr>
          <w:rFonts w:hint="eastAsia" w:hAnsi="宋体" w:eastAsia="宋体" w:cs="宋体"/>
          <w:b/>
          <w:color w:val="auto"/>
          <w:sz w:val="30"/>
          <w:szCs w:val="30"/>
          <w:highlight w:val="none"/>
        </w:rPr>
        <w:t>日常维护维修项目</w:t>
      </w:r>
    </w:p>
    <w:p>
      <w:pPr>
        <w:pStyle w:val="11"/>
        <w:snapToGrid w:val="0"/>
        <w:ind w:right="128" w:rightChars="40"/>
        <w:rPr>
          <w:rFonts w:hint="eastAsia" w:hAnsi="宋体" w:eastAsia="宋体" w:cs="宋体"/>
          <w:b/>
          <w:color w:val="auto"/>
          <w:sz w:val="30"/>
          <w:szCs w:val="30"/>
          <w:highlight w:val="none"/>
        </w:rPr>
      </w:pPr>
    </w:p>
    <w:p>
      <w:pPr>
        <w:pStyle w:val="11"/>
        <w:snapToGrid w:val="0"/>
        <w:ind w:right="128" w:rightChars="40"/>
        <w:rPr>
          <w:rFonts w:hint="eastAsia" w:hAnsi="宋体" w:eastAsia="宋体" w:cs="宋体"/>
          <w:b/>
          <w:color w:val="auto"/>
          <w:sz w:val="30"/>
          <w:szCs w:val="30"/>
          <w:highlight w:val="none"/>
        </w:rPr>
      </w:pPr>
    </w:p>
    <w:p>
      <w:pPr>
        <w:pStyle w:val="11"/>
        <w:snapToGrid w:val="0"/>
        <w:ind w:right="128" w:rightChars="40"/>
        <w:rPr>
          <w:rFonts w:hint="eastAsia" w:hAnsi="宋体" w:eastAsia="宋体" w:cs="宋体"/>
          <w:b/>
          <w:color w:val="auto"/>
          <w:sz w:val="30"/>
          <w:szCs w:val="30"/>
          <w:highlight w:val="none"/>
        </w:rPr>
      </w:pPr>
    </w:p>
    <w:p>
      <w:pPr>
        <w:pStyle w:val="11"/>
        <w:snapToGrid w:val="0"/>
        <w:ind w:right="128" w:rightChars="40"/>
        <w:rPr>
          <w:rFonts w:hint="eastAsia" w:hAnsi="宋体" w:eastAsia="宋体" w:cs="宋体"/>
          <w:b/>
          <w:color w:val="auto"/>
          <w:sz w:val="30"/>
          <w:szCs w:val="30"/>
          <w:highlight w:val="none"/>
        </w:rPr>
      </w:pPr>
    </w:p>
    <w:p>
      <w:pPr>
        <w:pStyle w:val="11"/>
        <w:snapToGrid w:val="0"/>
        <w:ind w:right="128" w:rightChars="40" w:firstLine="1506" w:firstLineChars="500"/>
        <w:rPr>
          <w:rFonts w:hAnsi="宋体" w:eastAsia="宋体" w:cs="宋体"/>
          <w:b/>
          <w:color w:val="auto"/>
          <w:sz w:val="30"/>
          <w:szCs w:val="30"/>
          <w:highlight w:val="none"/>
        </w:rPr>
      </w:pPr>
      <w:r>
        <w:rPr>
          <w:rFonts w:hint="eastAsia" w:hAnsi="宋体" w:eastAsia="宋体" w:cs="宋体"/>
          <w:b/>
          <w:color w:val="auto"/>
          <w:sz w:val="30"/>
          <w:szCs w:val="30"/>
          <w:highlight w:val="none"/>
        </w:rPr>
        <w:t>合同编号：穗净水合[    ]    号</w:t>
      </w:r>
      <w:bookmarkStart w:id="2" w:name="_GoBack"/>
      <w:bookmarkEnd w:id="2"/>
    </w:p>
    <w:p>
      <w:pPr>
        <w:pStyle w:val="11"/>
        <w:snapToGrid w:val="0"/>
        <w:spacing w:line="400" w:lineRule="exact"/>
        <w:ind w:right="128" w:rightChars="40" w:firstLine="1569" w:firstLineChars="521"/>
        <w:rPr>
          <w:rFonts w:hint="eastAsia" w:hAnsi="宋体" w:eastAsia="宋体" w:cs="宋体"/>
          <w:b/>
          <w:color w:val="auto"/>
          <w:sz w:val="30"/>
          <w:szCs w:val="30"/>
          <w:highlight w:val="none"/>
        </w:rPr>
      </w:pPr>
      <w:r>
        <w:rPr>
          <w:rFonts w:hint="eastAsia" w:hAnsi="宋体" w:eastAsia="宋体" w:cs="宋体"/>
          <w:b/>
          <w:color w:val="auto"/>
          <w:sz w:val="30"/>
          <w:szCs w:val="30"/>
          <w:highlight w:val="none"/>
        </w:rPr>
        <w:t>项目编号：</w:t>
      </w:r>
    </w:p>
    <w:p>
      <w:pPr>
        <w:pStyle w:val="11"/>
        <w:snapToGrid w:val="0"/>
        <w:ind w:right="128" w:rightChars="40" w:firstLine="1569"/>
        <w:rPr>
          <w:rFonts w:hint="eastAsia" w:hAnsi="宋体" w:eastAsia="宋体" w:cs="宋体"/>
          <w:b/>
          <w:color w:val="auto"/>
          <w:sz w:val="30"/>
          <w:szCs w:val="30"/>
          <w:highlight w:val="none"/>
        </w:rPr>
      </w:pPr>
    </w:p>
    <w:p>
      <w:pPr>
        <w:pStyle w:val="11"/>
        <w:snapToGrid w:val="0"/>
        <w:ind w:right="128" w:rightChars="40" w:firstLine="1569"/>
        <w:rPr>
          <w:rFonts w:hint="eastAsia" w:hAnsi="宋体" w:eastAsia="宋体" w:cs="宋体"/>
          <w:b/>
          <w:color w:val="auto"/>
          <w:sz w:val="30"/>
          <w:szCs w:val="30"/>
          <w:highlight w:val="none"/>
        </w:rPr>
      </w:pPr>
    </w:p>
    <w:p>
      <w:pPr>
        <w:pStyle w:val="11"/>
        <w:snapToGrid w:val="0"/>
        <w:ind w:right="128" w:rightChars="40" w:firstLine="1569"/>
        <w:rPr>
          <w:rFonts w:hint="eastAsia" w:hAnsi="宋体" w:eastAsia="宋体" w:cs="宋体"/>
          <w:b/>
          <w:color w:val="auto"/>
          <w:sz w:val="30"/>
          <w:szCs w:val="30"/>
          <w:highlight w:val="none"/>
        </w:rPr>
      </w:pPr>
    </w:p>
    <w:p>
      <w:pPr>
        <w:pStyle w:val="11"/>
        <w:snapToGrid w:val="0"/>
        <w:ind w:right="128" w:rightChars="40" w:firstLine="1569"/>
        <w:rPr>
          <w:rFonts w:hint="eastAsia" w:hAnsi="宋体" w:eastAsia="宋体" w:cs="宋体"/>
          <w:b/>
          <w:color w:val="auto"/>
          <w:sz w:val="30"/>
          <w:szCs w:val="30"/>
          <w:highlight w:val="none"/>
        </w:rPr>
      </w:pPr>
    </w:p>
    <w:p>
      <w:pPr>
        <w:pStyle w:val="11"/>
        <w:snapToGrid w:val="0"/>
        <w:ind w:right="128" w:rightChars="40" w:firstLine="1569"/>
        <w:rPr>
          <w:rFonts w:hint="eastAsia" w:hAnsi="宋体" w:eastAsia="宋体" w:cs="宋体"/>
          <w:b/>
          <w:color w:val="auto"/>
          <w:sz w:val="30"/>
          <w:szCs w:val="30"/>
          <w:highlight w:val="none"/>
        </w:rPr>
      </w:pPr>
      <w:r>
        <w:rPr>
          <w:rFonts w:hint="eastAsia" w:hAnsi="宋体" w:eastAsia="宋体" w:cs="宋体"/>
          <w:b/>
          <w:color w:val="auto"/>
          <w:sz w:val="30"/>
          <w:szCs w:val="30"/>
          <w:highlight w:val="none"/>
        </w:rPr>
        <w:t>甲方：广州市净水有限公司</w:t>
      </w:r>
    </w:p>
    <w:p>
      <w:pPr>
        <w:pStyle w:val="11"/>
        <w:snapToGrid w:val="0"/>
        <w:ind w:right="128" w:rightChars="40" w:firstLine="1569" w:firstLineChars="521"/>
        <w:rPr>
          <w:rFonts w:hint="eastAsia" w:hAnsi="宋体" w:eastAsia="宋体" w:cs="宋体"/>
          <w:b/>
          <w:color w:val="auto"/>
          <w:sz w:val="30"/>
          <w:szCs w:val="30"/>
          <w:highlight w:val="none"/>
        </w:rPr>
      </w:pPr>
    </w:p>
    <w:p>
      <w:pPr>
        <w:pStyle w:val="11"/>
        <w:snapToGrid w:val="0"/>
        <w:ind w:right="128" w:rightChars="40" w:firstLine="1569"/>
        <w:rPr>
          <w:rFonts w:hint="eastAsia" w:hAnsi="宋体" w:eastAsia="宋体" w:cs="宋体"/>
          <w:b/>
          <w:color w:val="auto"/>
          <w:sz w:val="30"/>
          <w:szCs w:val="30"/>
          <w:highlight w:val="none"/>
        </w:rPr>
      </w:pPr>
    </w:p>
    <w:p>
      <w:pPr>
        <w:pStyle w:val="11"/>
        <w:snapToGrid w:val="0"/>
        <w:ind w:right="128" w:rightChars="40" w:firstLine="1569"/>
        <w:rPr>
          <w:rFonts w:hint="eastAsia" w:hAnsi="宋体" w:eastAsia="宋体" w:cs="宋体"/>
          <w:b/>
          <w:color w:val="auto"/>
          <w:sz w:val="30"/>
          <w:szCs w:val="30"/>
          <w:highlight w:val="none"/>
        </w:rPr>
      </w:pPr>
      <w:r>
        <w:rPr>
          <w:rFonts w:hint="eastAsia" w:hAnsi="宋体" w:eastAsia="宋体" w:cs="宋体"/>
          <w:b/>
          <w:color w:val="auto"/>
          <w:sz w:val="30"/>
          <w:szCs w:val="30"/>
          <w:highlight w:val="none"/>
        </w:rPr>
        <w:t>乙方：</w:t>
      </w:r>
    </w:p>
    <w:p>
      <w:pPr>
        <w:pStyle w:val="11"/>
        <w:snapToGrid w:val="0"/>
        <w:ind w:right="128" w:rightChars="40" w:firstLine="1569" w:firstLineChars="521"/>
        <w:rPr>
          <w:rFonts w:hint="eastAsia" w:hAnsi="宋体" w:eastAsia="宋体" w:cs="宋体"/>
          <w:b/>
          <w:color w:val="auto"/>
          <w:sz w:val="30"/>
          <w:szCs w:val="30"/>
          <w:highlight w:val="none"/>
        </w:rPr>
      </w:pPr>
      <w:r>
        <w:rPr>
          <w:rFonts w:hint="eastAsia" w:hAnsi="宋体" w:eastAsia="宋体" w:cs="宋体"/>
          <w:b/>
          <w:color w:val="auto"/>
          <w:sz w:val="30"/>
          <w:szCs w:val="30"/>
          <w:highlight w:val="none"/>
        </w:rPr>
        <w:t xml:space="preserve"> </w:t>
      </w:r>
    </w:p>
    <w:p>
      <w:pPr>
        <w:pStyle w:val="11"/>
        <w:snapToGrid w:val="0"/>
        <w:spacing w:line="400" w:lineRule="exact"/>
        <w:ind w:right="128" w:rightChars="40" w:firstLine="1569" w:firstLineChars="521"/>
        <w:rPr>
          <w:rFonts w:hint="eastAsia" w:hAnsi="宋体" w:eastAsia="宋体" w:cs="宋体"/>
          <w:b/>
          <w:color w:val="auto"/>
          <w:sz w:val="30"/>
          <w:szCs w:val="30"/>
          <w:highlight w:val="none"/>
        </w:rPr>
      </w:pPr>
    </w:p>
    <w:p>
      <w:pPr>
        <w:ind w:firstLine="1656"/>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签订日期：       年   月   日</w:t>
      </w:r>
    </w:p>
    <w:p>
      <w:pPr>
        <w:ind w:firstLine="1656" w:firstLineChars="550"/>
        <w:rPr>
          <w:rFonts w:hint="eastAsia" w:ascii="宋体" w:hAnsi="宋体" w:eastAsia="宋体" w:cs="宋体"/>
          <w:b/>
          <w:color w:val="auto"/>
          <w:sz w:val="30"/>
          <w:szCs w:val="30"/>
          <w:highlight w:val="none"/>
          <w:lang w:val="zh-CN"/>
        </w:rPr>
      </w:pPr>
      <w:r>
        <w:rPr>
          <w:rFonts w:hint="eastAsia" w:ascii="宋体" w:hAnsi="宋体" w:eastAsia="宋体" w:cs="宋体"/>
          <w:b/>
          <w:color w:val="auto"/>
          <w:sz w:val="30"/>
          <w:szCs w:val="30"/>
          <w:highlight w:val="none"/>
        </w:rPr>
        <w:t>签订地点：广州市</w:t>
      </w:r>
    </w:p>
    <w:p>
      <w:pPr>
        <w:rPr>
          <w:rFonts w:hint="eastAsia" w:ascii="宋体" w:hAnsi="宋体" w:eastAsia="宋体"/>
          <w:b/>
          <w:color w:val="auto"/>
          <w:sz w:val="44"/>
          <w:szCs w:val="44"/>
          <w:highlight w:val="none"/>
        </w:rPr>
        <w:sectPr>
          <w:headerReference r:id="rId3" w:type="default"/>
          <w:footerReference r:id="rId4" w:type="default"/>
          <w:pgSz w:w="11906" w:h="16838"/>
          <w:pgMar w:top="1644" w:right="1701" w:bottom="1644" w:left="1701" w:header="851" w:footer="992" w:gutter="0"/>
          <w:pgNumType w:fmt="numberInDash"/>
          <w:cols w:space="708" w:num="1"/>
          <w:docGrid w:type="lines" w:linePitch="312" w:charSpace="0"/>
        </w:sectPr>
      </w:pPr>
    </w:p>
    <w:p>
      <w:pPr>
        <w:pStyle w:val="9"/>
        <w:keepNext w:val="0"/>
        <w:keepLines w:val="0"/>
        <w:pageBreakBefore w:val="0"/>
        <w:widowControl w:val="0"/>
        <w:kinsoku/>
        <w:wordWrap/>
        <w:overflowPunct/>
        <w:bidi w:val="0"/>
        <w:adjustRightInd w:val="0"/>
        <w:snapToGrid w:val="0"/>
        <w:spacing w:after="0" w:line="500" w:lineRule="exact"/>
        <w:ind w:left="0" w:lef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广州市净水有限公司</w:t>
      </w:r>
      <w:r>
        <w:rPr>
          <w:rFonts w:hint="eastAsia" w:ascii="宋体" w:hAnsi="宋体" w:eastAsia="宋体" w:cs="宋体"/>
          <w:color w:val="auto"/>
          <w:sz w:val="24"/>
          <w:highlight w:val="none"/>
        </w:rPr>
        <w:t>（以下简称“甲方”）与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（以下简称“乙方”）依照《中华人民共和国建筑法》及其它有关法律、行政法规，就</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施工/修缮项目遵循平等、自愿、公平和诚实信用的原则，经双方协商一致，特订立本合同。</w:t>
      </w:r>
    </w:p>
    <w:p>
      <w:pPr>
        <w:pStyle w:val="7"/>
        <w:keepNext w:val="0"/>
        <w:keepLines w:val="0"/>
        <w:pageBreakBefore w:val="0"/>
        <w:widowControl w:val="0"/>
        <w:kinsoku/>
        <w:wordWrap/>
        <w:overflowPunct/>
        <w:bidi w:val="0"/>
        <w:spacing w:line="50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第一条</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组成合同的文件及优先顺序</w:t>
      </w:r>
    </w:p>
    <w:p>
      <w:pPr>
        <w:keepNext w:val="0"/>
        <w:keepLines w:val="0"/>
        <w:pageBreakBefore w:val="0"/>
        <w:widowControl w:val="0"/>
        <w:kinsoku/>
        <w:wordWrap/>
        <w:overflowPunct/>
        <w:bidi w:val="0"/>
        <w:spacing w:line="50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下列文件（如有）均为本合同的组成部分，可视为能相互说明和补充的，如果合同文件存在歧义或相矛盾的地方，则根据以下次序判断：</w:t>
      </w:r>
    </w:p>
    <w:p>
      <w:pPr>
        <w:keepNext w:val="0"/>
        <w:keepLines w:val="0"/>
        <w:pageBreakBefore w:val="0"/>
        <w:widowControl w:val="0"/>
        <w:kinsoku/>
        <w:wordWrap/>
        <w:overflowPunct/>
        <w:bidi w:val="0"/>
        <w:spacing w:line="50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⑴ </w:t>
      </w:r>
      <w:r>
        <w:rPr>
          <w:rFonts w:hint="eastAsia" w:ascii="宋体" w:hAnsi="宋体" w:eastAsia="宋体" w:cs="宋体"/>
          <w:color w:val="auto"/>
          <w:sz w:val="24"/>
          <w:szCs w:val="24"/>
          <w:highlight w:val="none"/>
        </w:rPr>
        <w:t>在本合同实施过程双方签署的补充与修正文件</w:t>
      </w:r>
      <w:r>
        <w:rPr>
          <w:rFonts w:hint="eastAsia" w:ascii="宋体" w:hAnsi="宋体" w:eastAsia="宋体" w:cs="宋体"/>
          <w:bCs/>
          <w:color w:val="auto"/>
          <w:sz w:val="24"/>
          <w:szCs w:val="24"/>
          <w:highlight w:val="none"/>
        </w:rPr>
        <w:t>；</w:t>
      </w:r>
    </w:p>
    <w:p>
      <w:pPr>
        <w:keepNext w:val="0"/>
        <w:keepLines w:val="0"/>
        <w:pageBreakBefore w:val="0"/>
        <w:widowControl w:val="0"/>
        <w:kinsoku/>
        <w:wordWrap/>
        <w:overflowPunct/>
        <w:bidi w:val="0"/>
        <w:spacing w:line="50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⑵ 本合同书；</w:t>
      </w:r>
    </w:p>
    <w:p>
      <w:pPr>
        <w:keepNext w:val="0"/>
        <w:keepLines w:val="0"/>
        <w:pageBreakBefore w:val="0"/>
        <w:widowControl w:val="0"/>
        <w:kinsoku/>
        <w:wordWrap/>
        <w:overflowPunct/>
        <w:bidi w:val="0"/>
        <w:spacing w:line="50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⑶ 中标通知书；</w:t>
      </w:r>
    </w:p>
    <w:p>
      <w:pPr>
        <w:keepNext w:val="0"/>
        <w:keepLines w:val="0"/>
        <w:pageBreakBefore w:val="0"/>
        <w:widowControl w:val="0"/>
        <w:kinsoku/>
        <w:wordWrap/>
        <w:overflowPunct/>
        <w:bidi w:val="0"/>
        <w:spacing w:line="50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⑷ 招标文件；</w:t>
      </w:r>
    </w:p>
    <w:p>
      <w:pPr>
        <w:keepNext w:val="0"/>
        <w:keepLines w:val="0"/>
        <w:pageBreakBefore w:val="0"/>
        <w:widowControl w:val="0"/>
        <w:kinsoku/>
        <w:wordWrap/>
        <w:overflowPunct/>
        <w:bidi w:val="0"/>
        <w:spacing w:line="50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⑸ 投标文件；</w:t>
      </w:r>
    </w:p>
    <w:p>
      <w:pPr>
        <w:keepNext w:val="0"/>
        <w:keepLines w:val="0"/>
        <w:pageBreakBefore w:val="0"/>
        <w:widowControl w:val="0"/>
        <w:kinsoku/>
        <w:wordWrap/>
        <w:overflowPunct/>
        <w:bidi w:val="0"/>
        <w:spacing w:line="50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⑹ 标准、规范及有关技术性文件；</w:t>
      </w:r>
    </w:p>
    <w:p>
      <w:pPr>
        <w:keepNext w:val="0"/>
        <w:keepLines w:val="0"/>
        <w:pageBreakBefore w:val="0"/>
        <w:widowControl w:val="0"/>
        <w:kinsoku/>
        <w:wordWrap/>
        <w:overflowPunct/>
        <w:bidi w:val="0"/>
        <w:spacing w:line="50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⑺ 图纸；</w:t>
      </w:r>
    </w:p>
    <w:p>
      <w:pPr>
        <w:keepNext w:val="0"/>
        <w:keepLines w:val="0"/>
        <w:pageBreakBefore w:val="0"/>
        <w:widowControl w:val="0"/>
        <w:kinsoku/>
        <w:wordWrap/>
        <w:overflowPunct/>
        <w:bidi w:val="0"/>
        <w:spacing w:line="50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⑻ 工程量清单</w:t>
      </w:r>
      <w:r>
        <w:rPr>
          <w:rFonts w:hint="eastAsia" w:ascii="宋体" w:hAnsi="宋体" w:eastAsia="宋体" w:cs="宋体"/>
          <w:color w:val="auto"/>
          <w:sz w:val="24"/>
          <w:szCs w:val="24"/>
          <w:highlight w:val="none"/>
        </w:rPr>
        <w:t>报价单或预算书；</w:t>
      </w:r>
    </w:p>
    <w:p>
      <w:pPr>
        <w:keepNext w:val="0"/>
        <w:keepLines w:val="0"/>
        <w:pageBreakBefore w:val="0"/>
        <w:widowControl w:val="0"/>
        <w:kinsoku/>
        <w:wordWrap/>
        <w:overflowPunct/>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⑼ 本合同其他附件；</w:t>
      </w:r>
    </w:p>
    <w:p>
      <w:pPr>
        <w:keepNext w:val="0"/>
        <w:keepLines w:val="0"/>
        <w:pageBreakBefore w:val="0"/>
        <w:widowControl w:val="0"/>
        <w:tabs>
          <w:tab w:val="left" w:pos="851"/>
        </w:tabs>
        <w:kinsoku/>
        <w:wordWrap/>
        <w:overflowPunct/>
        <w:bidi w:val="0"/>
        <w:adjustRightInd w:val="0"/>
        <w:snapToGrid w:val="0"/>
        <w:spacing w:line="50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第二条  工程概况</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2.1工程名称：</w:t>
      </w:r>
      <w:r>
        <w:rPr>
          <w:rFonts w:hint="eastAsia" w:ascii="宋体" w:hAnsi="宋体" w:eastAsia="宋体" w:cs="宋体"/>
          <w:color w:val="auto"/>
          <w:sz w:val="24"/>
          <w:szCs w:val="24"/>
          <w:highlight w:val="none"/>
          <w:u w:val="single"/>
        </w:rPr>
        <w:t xml:space="preserve">     广州市净水有限公司</w:t>
      </w:r>
      <w:r>
        <w:rPr>
          <w:rFonts w:hint="eastAsia" w:ascii="宋体" w:hAnsi="宋体" w:eastAsia="宋体" w:cs="宋体"/>
          <w:color w:val="auto"/>
          <w:sz w:val="24"/>
          <w:szCs w:val="24"/>
          <w:highlight w:val="none"/>
          <w:u w:val="single"/>
          <w:lang w:eastAsia="zh-CN"/>
        </w:rPr>
        <w:t>2024-2025年</w:t>
      </w:r>
      <w:r>
        <w:rPr>
          <w:rFonts w:hint="eastAsia" w:ascii="宋体" w:hAnsi="宋体" w:eastAsia="宋体" w:cs="宋体"/>
          <w:color w:val="auto"/>
          <w:sz w:val="24"/>
          <w:szCs w:val="24"/>
          <w:highlight w:val="none"/>
          <w:u w:val="single"/>
          <w:lang w:val="en-US" w:eastAsia="zh-CN"/>
        </w:rPr>
        <w:t>市政工程类</w:t>
      </w:r>
      <w:r>
        <w:rPr>
          <w:rFonts w:hint="eastAsia" w:ascii="宋体" w:hAnsi="宋体" w:eastAsia="宋体" w:cs="宋体"/>
          <w:color w:val="auto"/>
          <w:sz w:val="24"/>
          <w:szCs w:val="24"/>
          <w:highlight w:val="none"/>
          <w:u w:val="single"/>
        </w:rPr>
        <w:t xml:space="preserve">日常维护维修项目            </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2.2工程地点：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以甲方通知为准</w:t>
      </w:r>
      <w:r>
        <w:rPr>
          <w:rFonts w:hint="eastAsia" w:ascii="宋体" w:hAnsi="宋体" w:eastAsia="宋体" w:cs="宋体"/>
          <w:color w:val="auto"/>
          <w:sz w:val="24"/>
          <w:szCs w:val="24"/>
          <w:highlight w:val="none"/>
          <w:u w:val="single"/>
        </w:rPr>
        <w:t xml:space="preserve">              </w:t>
      </w:r>
    </w:p>
    <w:tbl>
      <w:tblPr>
        <w:tblStyle w:val="20"/>
        <w:tblW w:w="50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13"/>
        <w:gridCol w:w="2783"/>
        <w:gridCol w:w="5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000" w:type="pct"/>
            <w:gridSpan w:val="3"/>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中心城区各污水处理厂地址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17"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序号</w:t>
            </w:r>
          </w:p>
        </w:tc>
        <w:tc>
          <w:tcPr>
            <w:tcW w:w="1543"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单位名称</w:t>
            </w:r>
          </w:p>
        </w:tc>
        <w:tc>
          <w:tcPr>
            <w:tcW w:w="2839"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4" w:hRule="atLeast"/>
        </w:trPr>
        <w:tc>
          <w:tcPr>
            <w:tcW w:w="617"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1543"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猎德分公司</w:t>
            </w:r>
          </w:p>
        </w:tc>
        <w:tc>
          <w:tcPr>
            <w:tcW w:w="2839"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广州市天河区临江大道501号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17"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1543"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沥滘分公司</w:t>
            </w:r>
          </w:p>
        </w:tc>
        <w:tc>
          <w:tcPr>
            <w:tcW w:w="2839"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广州市海珠区南洲路1375号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17"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1543"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大坦沙分公司</w:t>
            </w:r>
          </w:p>
        </w:tc>
        <w:tc>
          <w:tcPr>
            <w:tcW w:w="2839"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广州市荔湾区桥中南路路7号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17"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1543"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西朗公司</w:t>
            </w:r>
          </w:p>
        </w:tc>
        <w:tc>
          <w:tcPr>
            <w:tcW w:w="2839"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广州市荔湾区西朗东西路99号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17"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1543"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大沙地分公司</w:t>
            </w:r>
          </w:p>
        </w:tc>
        <w:tc>
          <w:tcPr>
            <w:tcW w:w="2839"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广州市黄埔区港前路1661号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17"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1543"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石井分公司</w:t>
            </w:r>
          </w:p>
        </w:tc>
        <w:tc>
          <w:tcPr>
            <w:tcW w:w="2839"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广州市白云区夏花一路551号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17"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1543"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石井净水分公司</w:t>
            </w:r>
          </w:p>
        </w:tc>
        <w:tc>
          <w:tcPr>
            <w:tcW w:w="2839"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广州市白云区石槎路695号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17"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1543"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龙归分公司</w:t>
            </w:r>
          </w:p>
        </w:tc>
        <w:tc>
          <w:tcPr>
            <w:tcW w:w="283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广州市白云区太和镇南岭龙岗北路20号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17"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w:t>
            </w:r>
          </w:p>
        </w:tc>
        <w:tc>
          <w:tcPr>
            <w:tcW w:w="1543"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大观分公司</w:t>
            </w:r>
          </w:p>
        </w:tc>
        <w:tc>
          <w:tcPr>
            <w:tcW w:w="283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广州市天河区长兴街道科韵北路101号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9" w:hRule="atLeast"/>
        </w:trPr>
        <w:tc>
          <w:tcPr>
            <w:tcW w:w="617"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1543"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江高分公司</w:t>
            </w:r>
          </w:p>
        </w:tc>
        <w:tc>
          <w:tcPr>
            <w:tcW w:w="283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广州市白云区江高镇南岗村南贤路1号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17"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w:t>
            </w:r>
          </w:p>
        </w:tc>
        <w:tc>
          <w:tcPr>
            <w:tcW w:w="1543"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健康城分公司</w:t>
            </w:r>
          </w:p>
        </w:tc>
        <w:tc>
          <w:tcPr>
            <w:tcW w:w="283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广州市白云区钟落潭广陈路568号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17"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1543"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京溪分公司</w:t>
            </w:r>
          </w:p>
        </w:tc>
        <w:tc>
          <w:tcPr>
            <w:tcW w:w="283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广州市白云区沙太北路犀牛二马路1号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17"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w:t>
            </w:r>
          </w:p>
        </w:tc>
        <w:tc>
          <w:tcPr>
            <w:tcW w:w="1543"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竹料分公司</w:t>
            </w:r>
          </w:p>
        </w:tc>
        <w:tc>
          <w:tcPr>
            <w:tcW w:w="283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广州市白云区钟落潭镇竹二兰桂街100号</w:t>
            </w:r>
          </w:p>
        </w:tc>
      </w:tr>
    </w:tbl>
    <w:p>
      <w:pPr>
        <w:pStyle w:val="2"/>
        <w:ind w:firstLine="480" w:firstLineChars="200"/>
        <w:rPr>
          <w:rFonts w:hint="eastAsia"/>
          <w:color w:val="auto"/>
          <w:highlight w:val="none"/>
        </w:rPr>
      </w:pPr>
      <w:r>
        <w:rPr>
          <w:rFonts w:hint="eastAsia" w:ascii="宋体" w:hAnsi="宋体" w:eastAsia="宋体" w:cs="宋体"/>
          <w:color w:val="auto"/>
          <w:sz w:val="24"/>
          <w:szCs w:val="24"/>
          <w:highlight w:val="none"/>
        </w:rPr>
        <w:t>2.3承包内容：</w:t>
      </w:r>
      <w:r>
        <w:rPr>
          <w:rFonts w:hint="eastAsia" w:ascii="宋体" w:hAnsi="宋体" w:eastAsia="宋体" w:cs="宋体"/>
          <w:color w:val="auto"/>
          <w:sz w:val="24"/>
          <w:szCs w:val="24"/>
          <w:highlight w:val="none"/>
          <w:u w:val="single"/>
        </w:rPr>
        <w:t>负责所属片区各分公司生产区域内</w:t>
      </w:r>
      <w:r>
        <w:rPr>
          <w:rFonts w:hint="eastAsia" w:ascii="宋体" w:hAnsi="宋体" w:cs="宋体"/>
          <w:color w:val="auto"/>
          <w:sz w:val="24"/>
          <w:szCs w:val="24"/>
          <w:highlight w:val="none"/>
          <w:u w:val="single"/>
          <w:lang w:val="en-US" w:eastAsia="zh-CN"/>
        </w:rPr>
        <w:t>市政工程</w:t>
      </w:r>
      <w:r>
        <w:rPr>
          <w:rFonts w:hint="eastAsia" w:ascii="宋体" w:hAnsi="宋体" w:eastAsia="宋体" w:cs="宋体"/>
          <w:color w:val="auto"/>
          <w:sz w:val="24"/>
          <w:szCs w:val="24"/>
          <w:highlight w:val="none"/>
          <w:u w:val="single"/>
          <w:lang w:val="en-US" w:eastAsia="zh-CN"/>
        </w:rPr>
        <w:t>类项目（包含：</w:t>
      </w:r>
      <w:r>
        <w:rPr>
          <w:rFonts w:hint="eastAsia" w:ascii="宋体" w:hAnsi="宋体" w:cs="宋体"/>
          <w:color w:val="auto"/>
          <w:sz w:val="24"/>
          <w:szCs w:val="24"/>
          <w:highlight w:val="none"/>
          <w:u w:val="single"/>
          <w:lang w:val="en-US" w:eastAsia="zh-CN"/>
        </w:rPr>
        <w:t>风管工程、管网工程、洗眼器、防腐、阀门安装、土石方工程及支护工程、排水工程（污、雨水井修复，封堵）、道路工程、混凝土渠道、拆除工程、交通工程、废料外运、新种绿植、绿化迁移及保养</w:t>
      </w:r>
      <w:r>
        <w:rPr>
          <w:rFonts w:hint="eastAsia" w:ascii="宋体" w:hAnsi="宋体" w:eastAsia="宋体" w:cs="宋体"/>
          <w:color w:val="auto"/>
          <w:sz w:val="24"/>
          <w:szCs w:val="24"/>
          <w:highlight w:val="none"/>
          <w:u w:val="single"/>
          <w:lang w:val="en-US" w:eastAsia="zh-CN"/>
        </w:rPr>
        <w:t>等）</w:t>
      </w:r>
      <w:r>
        <w:rPr>
          <w:rFonts w:hint="eastAsia" w:ascii="宋体" w:hAnsi="宋体" w:eastAsia="宋体" w:cs="宋体"/>
          <w:color w:val="auto"/>
          <w:sz w:val="24"/>
          <w:szCs w:val="24"/>
          <w:highlight w:val="none"/>
          <w:u w:val="single"/>
        </w:rPr>
        <w:t>，并负责所属片区各分公司涉及的</w:t>
      </w:r>
      <w:r>
        <w:rPr>
          <w:rFonts w:hint="eastAsia" w:ascii="宋体" w:hAnsi="宋体" w:cs="宋体"/>
          <w:color w:val="auto"/>
          <w:sz w:val="24"/>
          <w:szCs w:val="24"/>
          <w:highlight w:val="none"/>
          <w:u w:val="single"/>
          <w:lang w:val="en-US" w:eastAsia="zh-CN"/>
        </w:rPr>
        <w:t>市政工程类</w:t>
      </w:r>
      <w:r>
        <w:rPr>
          <w:rFonts w:hint="eastAsia" w:ascii="宋体" w:hAnsi="宋体" w:eastAsia="宋体" w:cs="宋体"/>
          <w:color w:val="auto"/>
          <w:sz w:val="24"/>
          <w:szCs w:val="24"/>
          <w:highlight w:val="none"/>
          <w:u w:val="single"/>
        </w:rPr>
        <w:t xml:space="preserve">应急突发服务项目。包括提供所有需要的材料、机械、人工、设施、完成合同约定的工作和服务。按照甲方审核同意的方案、图纸所包括的实施范围和内容进行施工并在质量保修期内承担项目质量保修责任。  </w:t>
      </w:r>
      <w:r>
        <w:rPr>
          <w:rFonts w:hint="eastAsia" w:ascii="宋体" w:hAnsi="宋体" w:eastAsia="宋体" w:cs="宋体"/>
          <w:color w:val="auto"/>
          <w:sz w:val="24"/>
          <w:szCs w:val="24"/>
          <w:highlight w:val="none"/>
          <w:u w:val="single"/>
          <w:lang w:val="en-US" w:eastAsia="zh-CN"/>
        </w:rPr>
        <w:t>如甲方属下其他分公司有</w:t>
      </w:r>
      <w:r>
        <w:rPr>
          <w:rFonts w:hint="eastAsia" w:ascii="宋体" w:hAnsi="宋体" w:cs="宋体"/>
          <w:color w:val="auto"/>
          <w:sz w:val="24"/>
          <w:szCs w:val="24"/>
          <w:highlight w:val="none"/>
          <w:u w:val="single"/>
          <w:lang w:val="en-US" w:eastAsia="zh-CN"/>
        </w:rPr>
        <w:t>市政工程</w:t>
      </w:r>
      <w:r>
        <w:rPr>
          <w:rFonts w:hint="eastAsia" w:ascii="宋体" w:hAnsi="宋体" w:eastAsia="宋体" w:cs="宋体"/>
          <w:color w:val="auto"/>
          <w:sz w:val="24"/>
          <w:szCs w:val="24"/>
          <w:highlight w:val="none"/>
          <w:u w:val="single"/>
        </w:rPr>
        <w:t>类日常维护维修项目</w:t>
      </w:r>
      <w:r>
        <w:rPr>
          <w:rFonts w:hint="eastAsia" w:ascii="宋体" w:hAnsi="宋体" w:eastAsia="宋体" w:cs="宋体"/>
          <w:color w:val="auto"/>
          <w:sz w:val="24"/>
          <w:szCs w:val="24"/>
          <w:highlight w:val="none"/>
          <w:u w:val="single"/>
          <w:lang w:val="en-US" w:eastAsia="zh-CN"/>
        </w:rPr>
        <w:t>/应急突发服务项目需要，可使用本合同服务单位，具体委托的子项目以甲方通知为准。</w:t>
      </w:r>
    </w:p>
    <w:p>
      <w:pPr>
        <w:pStyle w:val="8"/>
        <w:keepNext w:val="0"/>
        <w:keepLines w:val="0"/>
        <w:pageBreakBefore w:val="0"/>
        <w:kinsoku/>
        <w:wordWrap/>
        <w:topLinePunct w:val="0"/>
        <w:autoSpaceDE/>
        <w:autoSpaceDN/>
        <w:bidi w:val="0"/>
        <w:adjustRightInd/>
        <w:snapToGrid/>
        <w:spacing w:line="24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2.3.1</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lang w:eastAsia="zh-CN"/>
        </w:rPr>
        <w:t>要求</w:t>
      </w:r>
    </w:p>
    <w:p>
      <w:pPr>
        <w:pStyle w:val="8"/>
        <w:keepNext w:val="0"/>
        <w:keepLines w:val="0"/>
        <w:pageBreakBefore w:val="0"/>
        <w:kinsoku/>
        <w:wordWrap/>
        <w:topLinePunct w:val="0"/>
        <w:autoSpaceDE/>
        <w:autoSpaceDN/>
        <w:bidi w:val="0"/>
        <w:adjustRightInd/>
        <w:snapToGrid/>
        <w:spacing w:after="0" w:line="24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1.日常维护维修项目必须包括提供所有需要的材料、机械、人工、设施、完成项目约定的工作和服务。按照甲方审核同意的方案、图纸，</w:t>
      </w:r>
      <w:r>
        <w:rPr>
          <w:rFonts w:hint="eastAsia" w:ascii="宋体" w:hAnsi="宋体" w:eastAsia="宋体" w:cs="宋体"/>
          <w:color w:val="auto"/>
          <w:sz w:val="24"/>
          <w:szCs w:val="24"/>
          <w:highlight w:val="none"/>
          <w:lang w:val="en-US" w:eastAsia="zh-CN"/>
        </w:rPr>
        <w:t>编制工程量清单及预算书，对</w:t>
      </w:r>
      <w:r>
        <w:rPr>
          <w:rFonts w:hint="eastAsia" w:ascii="宋体" w:hAnsi="宋体" w:eastAsia="宋体" w:cs="宋体"/>
          <w:color w:val="auto"/>
          <w:sz w:val="24"/>
          <w:szCs w:val="24"/>
          <w:highlight w:val="none"/>
          <w:lang w:eastAsia="zh-CN"/>
        </w:rPr>
        <w:t>所包括的实施范围和内容进行施工并在质量保修期内承担项目质量保修责任。</w:t>
      </w:r>
    </w:p>
    <w:p>
      <w:pPr>
        <w:pStyle w:val="8"/>
        <w:keepNext w:val="0"/>
        <w:keepLines w:val="0"/>
        <w:pageBreakBefore w:val="0"/>
        <w:kinsoku/>
        <w:wordWrap/>
        <w:topLinePunct w:val="0"/>
        <w:autoSpaceDE/>
        <w:autoSpaceDN/>
        <w:bidi w:val="0"/>
        <w:adjustRightInd/>
        <w:snapToGrid/>
        <w:spacing w:after="0"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、成立</w:t>
      </w:r>
      <w:r>
        <w:rPr>
          <w:rFonts w:hint="eastAsia" w:ascii="宋体" w:hAnsi="宋体" w:eastAsia="宋体" w:cs="宋体"/>
          <w:color w:val="auto"/>
          <w:sz w:val="24"/>
          <w:szCs w:val="24"/>
          <w:highlight w:val="none"/>
          <w:lang w:val="en-US" w:eastAsia="zh-CN"/>
        </w:rPr>
        <w:t>维修</w:t>
      </w:r>
      <w:r>
        <w:rPr>
          <w:rFonts w:hint="eastAsia" w:ascii="宋体" w:hAnsi="宋体" w:eastAsia="宋体" w:cs="宋体"/>
          <w:color w:val="auto"/>
          <w:sz w:val="24"/>
          <w:szCs w:val="24"/>
          <w:highlight w:val="none"/>
        </w:rPr>
        <w:t>队伍</w:t>
      </w:r>
    </w:p>
    <w:p>
      <w:pPr>
        <w:keepNext w:val="0"/>
        <w:keepLines w:val="0"/>
        <w:pageBreakBefore w:val="0"/>
        <w:kinsoku/>
        <w:wordWrap/>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b w:val="0"/>
          <w:bCs w:val="0"/>
          <w:color w:val="auto"/>
          <w:sz w:val="24"/>
          <w:szCs w:val="24"/>
          <w:highlight w:val="none"/>
          <w:lang w:val="en-US" w:eastAsia="zh-CN"/>
        </w:rPr>
        <w:t>除项目负责人（总负责人）、各厂项目负责人、安全员、技术负责人之外，乙方应至少配备**人的维修队伍（标段一至标段五至少各配备12个人，标段六至少配备15个人），维修队伍应包含现场负责人、电工、焊工、特种车辆驾驶员、普工等人员。</w:t>
      </w:r>
    </w:p>
    <w:p>
      <w:pPr>
        <w:keepNext w:val="0"/>
        <w:keepLines w:val="0"/>
        <w:pageBreakBefore w:val="0"/>
        <w:kinsoku/>
        <w:wordWrap/>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相关作业人员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特种车辆驾驶员、电工、焊工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分别持有</w:t>
      </w:r>
      <w:r>
        <w:rPr>
          <w:rFonts w:hint="eastAsia" w:ascii="宋体" w:hAnsi="宋体" w:eastAsia="宋体" w:cs="宋体"/>
          <w:color w:val="auto"/>
          <w:sz w:val="24"/>
          <w:szCs w:val="24"/>
          <w:highlight w:val="none"/>
          <w:lang w:val="en-US" w:eastAsia="zh-CN"/>
        </w:rPr>
        <w:t>有效期内的</w:t>
      </w:r>
      <w:r>
        <w:rPr>
          <w:rFonts w:hint="eastAsia" w:ascii="宋体" w:hAnsi="宋体" w:eastAsia="宋体" w:cs="宋体"/>
          <w:color w:val="auto"/>
          <w:sz w:val="24"/>
          <w:szCs w:val="24"/>
          <w:highlight w:val="none"/>
        </w:rPr>
        <w:t>以下</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种特种作业证书：</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2588"/>
        <w:gridCol w:w="5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88" w:type="pct"/>
          </w:tcPr>
          <w:p>
            <w:pPr>
              <w:keepNext w:val="0"/>
              <w:keepLines w:val="0"/>
              <w:pageBreakBefore w:val="0"/>
              <w:kinsoku/>
              <w:wordWrap/>
              <w:overflowPunct w:val="0"/>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序号</w:t>
            </w:r>
          </w:p>
        </w:tc>
        <w:tc>
          <w:tcPr>
            <w:tcW w:w="1447" w:type="pct"/>
          </w:tcPr>
          <w:p>
            <w:pPr>
              <w:keepNext w:val="0"/>
              <w:keepLines w:val="0"/>
              <w:pageBreakBefore w:val="0"/>
              <w:kinsoku/>
              <w:wordWrap/>
              <w:overflowPunct w:val="0"/>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特种作业证书</w:t>
            </w:r>
          </w:p>
        </w:tc>
        <w:tc>
          <w:tcPr>
            <w:tcW w:w="2964" w:type="pct"/>
          </w:tcPr>
          <w:p>
            <w:pPr>
              <w:keepNext w:val="0"/>
              <w:keepLines w:val="0"/>
              <w:pageBreakBefore w:val="0"/>
              <w:kinsoku/>
              <w:wordWrap/>
              <w:overflowPunct w:val="0"/>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88" w:type="pct"/>
          </w:tcPr>
          <w:p>
            <w:pPr>
              <w:keepNext w:val="0"/>
              <w:keepLines w:val="0"/>
              <w:pageBreakBefore w:val="0"/>
              <w:kinsoku/>
              <w:wordWrap/>
              <w:overflowPunct w:val="0"/>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1447" w:type="pct"/>
          </w:tcPr>
          <w:p>
            <w:pPr>
              <w:keepNext w:val="0"/>
              <w:keepLines w:val="0"/>
              <w:pageBreakBefore w:val="0"/>
              <w:kinsoku/>
              <w:wordWrap/>
              <w:overflowPunct w:val="0"/>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特种车辆驾驶证</w:t>
            </w:r>
          </w:p>
        </w:tc>
        <w:tc>
          <w:tcPr>
            <w:tcW w:w="2964" w:type="pct"/>
          </w:tcPr>
          <w:p>
            <w:pPr>
              <w:keepNext w:val="0"/>
              <w:keepLines w:val="0"/>
              <w:pageBreakBefore w:val="0"/>
              <w:kinsoku/>
              <w:wordWrap/>
              <w:overflowPunct w:val="0"/>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负责驾驶运输车和吊车的施工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pct"/>
          </w:tcPr>
          <w:p>
            <w:pPr>
              <w:keepNext w:val="0"/>
              <w:keepLines w:val="0"/>
              <w:pageBreakBefore w:val="0"/>
              <w:kinsoku/>
              <w:wordWrap/>
              <w:overflowPunct w:val="0"/>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1447" w:type="pct"/>
          </w:tcPr>
          <w:p>
            <w:pPr>
              <w:keepNext w:val="0"/>
              <w:keepLines w:val="0"/>
              <w:pageBreakBefore w:val="0"/>
              <w:kinsoku/>
              <w:wordWrap/>
              <w:overflowPunct w:val="0"/>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电工作业证</w:t>
            </w:r>
          </w:p>
        </w:tc>
        <w:tc>
          <w:tcPr>
            <w:tcW w:w="2964" w:type="pct"/>
          </w:tcPr>
          <w:p>
            <w:pPr>
              <w:keepNext w:val="0"/>
              <w:keepLines w:val="0"/>
              <w:pageBreakBefore w:val="0"/>
              <w:kinsoku/>
              <w:wordWrap/>
              <w:overflowPunct w:val="0"/>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负责用电设备的抢修和操作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pct"/>
          </w:tcPr>
          <w:p>
            <w:pPr>
              <w:keepNext w:val="0"/>
              <w:keepLines w:val="0"/>
              <w:pageBreakBefore w:val="0"/>
              <w:kinsoku/>
              <w:wordWrap/>
              <w:overflowPunct w:val="0"/>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1447" w:type="pct"/>
          </w:tcPr>
          <w:p>
            <w:pPr>
              <w:keepNext w:val="0"/>
              <w:keepLines w:val="0"/>
              <w:pageBreakBefore w:val="0"/>
              <w:kinsoku/>
              <w:wordWrap/>
              <w:overflowPunct w:val="0"/>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焊工作业证</w:t>
            </w:r>
          </w:p>
        </w:tc>
        <w:tc>
          <w:tcPr>
            <w:tcW w:w="2964" w:type="pct"/>
          </w:tcPr>
          <w:p>
            <w:pPr>
              <w:keepNext w:val="0"/>
              <w:keepLines w:val="0"/>
              <w:pageBreakBefore w:val="0"/>
              <w:kinsoku/>
              <w:wordWrap/>
              <w:overflowPunct w:val="0"/>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负责机械类的维修与焊接</w:t>
            </w:r>
          </w:p>
        </w:tc>
      </w:tr>
    </w:tbl>
    <w:p>
      <w:pPr>
        <w:keepNext w:val="0"/>
        <w:keepLines w:val="0"/>
        <w:pageBreakBefore w:val="0"/>
        <w:kinsoku/>
        <w:wordWrap/>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法定节假日期间应至少配备6 名应急抢修小组成员作为应急备勤人员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人员清单详见附件</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，其中电工 1人、焊工 1人、普工 4人。</w:t>
      </w:r>
    </w:p>
    <w:p>
      <w:pPr>
        <w:pStyle w:val="8"/>
        <w:keepNext w:val="0"/>
        <w:keepLines w:val="0"/>
        <w:pageBreakBefore w:val="0"/>
        <w:kinsoku/>
        <w:wordWrap/>
        <w:topLinePunct w:val="0"/>
        <w:autoSpaceDE/>
        <w:autoSpaceDN/>
        <w:bidi w:val="0"/>
        <w:adjustRightInd/>
        <w:snapToGrid/>
        <w:spacing w:after="0"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、应急抢险响应</w:t>
      </w:r>
    </w:p>
    <w:p>
      <w:pPr>
        <w:pStyle w:val="8"/>
        <w:keepNext w:val="0"/>
        <w:keepLines w:val="0"/>
        <w:pageBreakBefore w:val="0"/>
        <w:kinsoku/>
        <w:wordWrap/>
        <w:topLinePunct w:val="0"/>
        <w:autoSpaceDE/>
        <w:autoSpaceDN/>
        <w:bidi w:val="0"/>
        <w:adjustRightInd/>
        <w:snapToGrid/>
        <w:spacing w:after="0"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急抢修小组人员，确保24小时手机通讯通畅，收到甲方的应急抢修通知，机具2小时内到达抢修现场，抢修人员1小时内到达现场，按照甲方最终确认的维修方案，与甲方签订现场方案确认单，立即实施维修工作。</w:t>
      </w:r>
    </w:p>
    <w:p>
      <w:pPr>
        <w:pStyle w:val="8"/>
        <w:keepNext w:val="0"/>
        <w:keepLines w:val="0"/>
        <w:pageBreakBefore w:val="0"/>
        <w:kinsoku/>
        <w:wordWrap/>
        <w:topLinePunct w:val="0"/>
        <w:autoSpaceDE/>
        <w:autoSpaceDN/>
        <w:bidi w:val="0"/>
        <w:adjustRightInd/>
        <w:snapToGrid/>
        <w:spacing w:after="0"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、配备抢修设备及材料</w:t>
      </w:r>
    </w:p>
    <w:p>
      <w:pPr>
        <w:pStyle w:val="8"/>
        <w:keepNext w:val="0"/>
        <w:keepLines w:val="0"/>
        <w:pageBreakBefore w:val="0"/>
        <w:kinsoku/>
        <w:wordWrap/>
        <w:topLinePunct w:val="0"/>
        <w:autoSpaceDE/>
        <w:autoSpaceDN/>
        <w:bidi w:val="0"/>
        <w:adjustRightInd/>
        <w:snapToGrid/>
        <w:spacing w:after="0" w:line="240" w:lineRule="auto"/>
        <w:ind w:firstLine="480" w:firstLineChars="200"/>
        <w:rPr>
          <w:rFonts w:hint="eastAsia"/>
          <w:color w:val="auto"/>
          <w:highlight w:val="none"/>
        </w:rPr>
      </w:pPr>
      <w:r>
        <w:rPr>
          <w:rFonts w:hint="eastAsia" w:ascii="宋体" w:hAnsi="宋体" w:eastAsia="宋体" w:cs="宋体"/>
          <w:color w:val="auto"/>
          <w:sz w:val="24"/>
          <w:szCs w:val="24"/>
          <w:highlight w:val="none"/>
        </w:rPr>
        <w:t>应急保障单位应配备抢修设备及材料，确保发生突发项目时，能根据现场情况及时开展抢修工作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材料清单详见附件6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2.4承包方式：  </w:t>
      </w:r>
    </w:p>
    <w:p>
      <w:pPr>
        <w:keepNext w:val="0"/>
        <w:keepLines w:val="0"/>
        <w:pageBreakBefore w:val="0"/>
        <w:widowControl w:val="0"/>
        <w:kinsoku/>
        <w:wordWrap/>
        <w:overflowPunct/>
        <w:bidi w:val="0"/>
        <w:spacing w:line="500" w:lineRule="exact"/>
        <w:ind w:firstLine="480" w:firstLineChars="200"/>
        <w:rPr>
          <w:rFonts w:ascii="宋体" w:hAnsi="宋体" w:eastAsia="宋体" w:cs="宋体"/>
          <w:color w:val="auto"/>
          <w:sz w:val="24"/>
          <w:szCs w:val="24"/>
          <w:highlight w:val="none"/>
        </w:rPr>
      </w:pPr>
      <w:r>
        <w:rPr>
          <w:rFonts w:ascii="Wingdings 2" w:hAnsi="Wingdings 2" w:eastAsia="宋体" w:cs="宋体"/>
          <w:color w:val="auto"/>
          <w:sz w:val="24"/>
          <w:szCs w:val="24"/>
          <w:highlight w:val="none"/>
        </w:rPr>
        <w:sym w:font="Wingdings 2" w:char="F052"/>
      </w:r>
      <w:r>
        <w:rPr>
          <w:rFonts w:hint="eastAsia" w:ascii="宋体" w:hAnsi="宋体" w:eastAsia="宋体" w:cs="宋体"/>
          <w:color w:val="auto"/>
          <w:sz w:val="24"/>
          <w:szCs w:val="24"/>
          <w:highlight w:val="none"/>
        </w:rPr>
        <w:t>按施工图、施工方案内容，以综合单价包干形式，包人工、包材料、包安装、包质量、包工期、包安全、包文明施工，</w:t>
      </w:r>
      <w:r>
        <w:rPr>
          <w:rFonts w:hint="eastAsia" w:ascii="宋体" w:hAnsi="宋体" w:eastAsia="宋体" w:cs="宋体"/>
          <w:color w:val="auto"/>
          <w:sz w:val="24"/>
          <w:szCs w:val="24"/>
          <w:highlight w:val="none"/>
          <w:u w:val="single"/>
        </w:rPr>
        <w:t>项目措施费按实计量</w:t>
      </w:r>
      <w:r>
        <w:rPr>
          <w:rFonts w:hint="eastAsia" w:ascii="宋体" w:hAnsi="宋体" w:eastAsia="宋体" w:cs="宋体"/>
          <w:color w:val="auto"/>
          <w:sz w:val="24"/>
          <w:szCs w:val="24"/>
          <w:highlight w:val="none"/>
        </w:rPr>
        <w:t>。（单价包干要求附工程量报价/工程预算书）</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2.5质量标准：</w:t>
      </w:r>
      <w:r>
        <w:rPr>
          <w:rFonts w:hint="eastAsia" w:ascii="宋体" w:hAnsi="宋体" w:eastAsia="宋体" w:cs="宋体"/>
          <w:color w:val="auto"/>
          <w:sz w:val="24"/>
          <w:szCs w:val="24"/>
          <w:highlight w:val="none"/>
          <w:u w:val="single"/>
        </w:rPr>
        <w:t>合格</w:t>
      </w:r>
      <w:r>
        <w:rPr>
          <w:rFonts w:hint="eastAsia" w:ascii="宋体" w:hAnsi="宋体" w:eastAsia="宋体" w:cs="宋体"/>
          <w:color w:val="auto"/>
          <w:sz w:val="24"/>
          <w:szCs w:val="24"/>
          <w:highlight w:val="none"/>
        </w:rPr>
        <w:t>。</w:t>
      </w:r>
    </w:p>
    <w:p>
      <w:pPr>
        <w:keepNext w:val="0"/>
        <w:keepLines w:val="0"/>
        <w:pageBreakBefore w:val="0"/>
        <w:widowControl w:val="0"/>
        <w:tabs>
          <w:tab w:val="left" w:pos="851"/>
        </w:tabs>
        <w:kinsoku/>
        <w:wordWrap/>
        <w:overflowPunct/>
        <w:bidi w:val="0"/>
        <w:adjustRightInd w:val="0"/>
        <w:snapToGrid w:val="0"/>
        <w:spacing w:line="500" w:lineRule="exact"/>
        <w:ind w:firstLine="472" w:firstLineChars="196"/>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第三条  工期</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期为：自合同签订之日起</w:t>
      </w:r>
      <w:r>
        <w:rPr>
          <w:rFonts w:hint="eastAsia" w:ascii="宋体" w:hAnsi="宋体" w:eastAsia="宋体" w:cs="宋体"/>
          <w:color w:val="auto"/>
          <w:sz w:val="24"/>
          <w:szCs w:val="24"/>
          <w:highlight w:val="none"/>
          <w:u w:val="single"/>
          <w:lang w:val="en-US" w:eastAsia="zh-CN"/>
        </w:rPr>
        <w:t xml:space="preserve"> 一 </w:t>
      </w:r>
      <w:r>
        <w:rPr>
          <w:rFonts w:hint="eastAsia" w:ascii="宋体" w:hAnsi="宋体" w:eastAsia="宋体" w:cs="宋体"/>
          <w:color w:val="auto"/>
          <w:sz w:val="24"/>
          <w:szCs w:val="24"/>
          <w:highlight w:val="none"/>
          <w:u w:val="none"/>
          <w:lang w:eastAsia="zh-CN"/>
        </w:rPr>
        <w:t>年</w:t>
      </w:r>
      <w:r>
        <w:rPr>
          <w:rFonts w:hint="eastAsia" w:ascii="宋体" w:hAnsi="宋体" w:eastAsia="宋体" w:cs="宋体"/>
          <w:color w:val="auto"/>
          <w:sz w:val="24"/>
          <w:szCs w:val="24"/>
          <w:highlight w:val="none"/>
        </w:rPr>
        <w:t>，如合同服务期内维修项目结算金额累计总额达到合同暂定总价时，合同提前终止。甲方有权提前终止合同，但需提前一个月以书面形式通知乙方</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期内，甲方发包的子项目的工期、开工日期以甲方发出的开工报告通知为准。</w:t>
      </w:r>
    </w:p>
    <w:p>
      <w:pPr>
        <w:keepNext w:val="0"/>
        <w:keepLines w:val="0"/>
        <w:pageBreakBefore w:val="0"/>
        <w:widowControl w:val="0"/>
        <w:tabs>
          <w:tab w:val="left" w:pos="851"/>
        </w:tabs>
        <w:kinsoku/>
        <w:wordWrap/>
        <w:overflowPunct/>
        <w:bidi w:val="0"/>
        <w:adjustRightInd w:val="0"/>
        <w:snapToGrid w:val="0"/>
        <w:spacing w:line="500" w:lineRule="exact"/>
        <w:ind w:firstLine="472" w:firstLineChars="196"/>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第四条  工期延误与工期奖罚</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4.1延期开工</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乙方不能按时开工，应在约定的开工日期提前</w:t>
      </w:r>
      <w:r>
        <w:rPr>
          <w:rFonts w:hint="eastAsia" w:ascii="宋体" w:hAnsi="宋体" w:eastAsia="宋体" w:cs="宋体"/>
          <w:color w:val="auto"/>
          <w:sz w:val="24"/>
          <w:szCs w:val="24"/>
          <w:highlight w:val="none"/>
          <w:u w:val="single"/>
        </w:rPr>
        <w:t xml:space="preserve"> 5</w:t>
      </w:r>
      <w:r>
        <w:rPr>
          <w:rFonts w:hint="eastAsia" w:ascii="宋体" w:hAnsi="宋体" w:eastAsia="宋体" w:cs="宋体"/>
          <w:color w:val="auto"/>
          <w:sz w:val="24"/>
          <w:szCs w:val="24"/>
          <w:highlight w:val="none"/>
        </w:rPr>
        <w:t>日，向甲方书面申请延期开工并说明延期理由。甲方代表应在收到后</w:t>
      </w:r>
      <w:r>
        <w:rPr>
          <w:rFonts w:hint="eastAsia" w:ascii="宋体" w:hAnsi="宋体" w:eastAsia="宋体" w:cs="宋体"/>
          <w:color w:val="auto"/>
          <w:sz w:val="24"/>
          <w:szCs w:val="24"/>
          <w:highlight w:val="none"/>
          <w:u w:val="single"/>
        </w:rPr>
        <w:t xml:space="preserve"> 3</w:t>
      </w:r>
      <w:r>
        <w:rPr>
          <w:rFonts w:hint="eastAsia" w:ascii="宋体" w:hAnsi="宋体" w:eastAsia="宋体" w:cs="宋体"/>
          <w:color w:val="auto"/>
          <w:sz w:val="24"/>
          <w:szCs w:val="24"/>
          <w:highlight w:val="none"/>
        </w:rPr>
        <w:t>日内书面答复乙方。甲方同意延期要求或</w:t>
      </w:r>
      <w:r>
        <w:rPr>
          <w:rFonts w:hint="eastAsia" w:ascii="宋体" w:hAnsi="宋体" w:eastAsia="宋体" w:cs="宋体"/>
          <w:color w:val="auto"/>
          <w:sz w:val="24"/>
          <w:szCs w:val="24"/>
          <w:highlight w:val="none"/>
          <w:u w:val="single"/>
        </w:rPr>
        <w:t xml:space="preserve"> 3</w:t>
      </w:r>
      <w:r>
        <w:rPr>
          <w:rFonts w:hint="eastAsia" w:ascii="宋体" w:hAnsi="宋体" w:eastAsia="宋体" w:cs="宋体"/>
          <w:color w:val="auto"/>
          <w:sz w:val="24"/>
          <w:szCs w:val="24"/>
          <w:highlight w:val="none"/>
        </w:rPr>
        <w:t>日内不予答复，工期相应顺延。甲方不同意延期或乙方未在规定时间内提出延期开工要求，工期不予顺延。</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4.2工期顺延</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下列情况造成竣工日期推迟的，经甲方代表书面确认，工期相应顺延。</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 工程量变化和设计变更增加超过原工程量的</w:t>
      </w:r>
      <w:r>
        <w:rPr>
          <w:rFonts w:hint="eastAsia" w:ascii="宋体" w:hAnsi="宋体" w:eastAsia="宋体" w:cs="宋体"/>
          <w:color w:val="auto"/>
          <w:sz w:val="24"/>
          <w:szCs w:val="24"/>
          <w:highlight w:val="none"/>
          <w:u w:val="single"/>
        </w:rPr>
        <w:t>10％</w:t>
      </w:r>
      <w:r>
        <w:rPr>
          <w:rFonts w:hint="eastAsia" w:ascii="宋体" w:hAnsi="宋体" w:eastAsia="宋体" w:cs="宋体"/>
          <w:color w:val="auto"/>
          <w:sz w:val="24"/>
          <w:szCs w:val="24"/>
          <w:highlight w:val="none"/>
        </w:rPr>
        <w:t>以上。</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 甲方未能按第七条的约定提供图纸。</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 甲方未能按约定日期支付工程预付款、进度款，致使施工不能正常进行。</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 施工中遇到不可预见障碍物或古墓、文物、流沙等需处理时。</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4.2.5 乙方应在不可抗力发生后</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日内向甲方申请顺延工期并提交有关证明，逾期未申请，视为不影响工期；甲方在收到申请后</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日内予以书面回复，逾期不回复，视为同意延期要求。</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暂停施工</w:t>
      </w:r>
    </w:p>
    <w:p>
      <w:pPr>
        <w:keepNext w:val="0"/>
        <w:keepLines w:val="0"/>
        <w:pageBreakBefore w:val="0"/>
        <w:widowControl w:val="0"/>
        <w:tabs>
          <w:tab w:val="left" w:pos="851"/>
        </w:tabs>
        <w:kinsoku/>
        <w:wordWrap/>
        <w:overflowPunct/>
        <w:bidi w:val="0"/>
        <w:adjustRightInd w:val="0"/>
        <w:snapToGrid w:val="0"/>
        <w:spacing w:line="50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甲方代表认为必要时，有权要求暂停施工并在停工后</w:t>
      </w:r>
      <w:r>
        <w:rPr>
          <w:rFonts w:hint="eastAsia" w:ascii="宋体" w:hAnsi="宋体" w:eastAsia="宋体" w:cs="宋体"/>
          <w:color w:val="auto"/>
          <w:sz w:val="24"/>
          <w:szCs w:val="24"/>
          <w:highlight w:val="none"/>
          <w:u w:val="single"/>
        </w:rPr>
        <w:t xml:space="preserve"> 48</w:t>
      </w:r>
      <w:r>
        <w:rPr>
          <w:rFonts w:hint="eastAsia" w:ascii="宋体" w:hAnsi="宋体" w:eastAsia="宋体" w:cs="宋体"/>
          <w:color w:val="auto"/>
          <w:sz w:val="24"/>
          <w:szCs w:val="24"/>
          <w:highlight w:val="none"/>
        </w:rPr>
        <w:t>小时内提出处理意见。乙方在实施甲方代表处理意见后，应在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24</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小时内提出复工要求，甲方代表在 </w:t>
      </w:r>
      <w:r>
        <w:rPr>
          <w:rFonts w:hint="eastAsia" w:ascii="宋体" w:hAnsi="宋体" w:eastAsia="宋体" w:cs="宋体"/>
          <w:color w:val="auto"/>
          <w:sz w:val="24"/>
          <w:szCs w:val="24"/>
          <w:highlight w:val="none"/>
          <w:u w:val="single"/>
        </w:rPr>
        <w:t>24</w:t>
      </w:r>
      <w:r>
        <w:rPr>
          <w:rFonts w:hint="eastAsia" w:ascii="宋体" w:hAnsi="宋体" w:eastAsia="宋体" w:cs="宋体"/>
          <w:color w:val="auto"/>
          <w:sz w:val="24"/>
          <w:szCs w:val="24"/>
          <w:highlight w:val="none"/>
        </w:rPr>
        <w:t>小时内予以答复。甲方未能在规定时间提出处理意见，或收到乙方复工要求未在规定时限内予答复，乙方可自行复工。</w:t>
      </w:r>
    </w:p>
    <w:p>
      <w:pPr>
        <w:keepNext w:val="0"/>
        <w:keepLines w:val="0"/>
        <w:pageBreakBefore w:val="0"/>
        <w:widowControl w:val="0"/>
        <w:tabs>
          <w:tab w:val="left" w:pos="851"/>
        </w:tabs>
        <w:kinsoku/>
        <w:wordWrap/>
        <w:overflowPunct/>
        <w:bidi w:val="0"/>
        <w:adjustRightInd w:val="0"/>
        <w:snapToGrid w:val="0"/>
        <w:spacing w:line="50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工期奖罚</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4.4.1 因甲方原因延误工期，造成经济损失，由甲方承担，工期相应顺延。</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4.4.2 因乙方原因延误工期，造成经济损失，由乙方承担，工期不予顺延。      </w:t>
      </w:r>
    </w:p>
    <w:p>
      <w:pPr>
        <w:keepNext w:val="0"/>
        <w:keepLines w:val="0"/>
        <w:pageBreakBefore w:val="0"/>
        <w:widowControl w:val="0"/>
        <w:tabs>
          <w:tab w:val="left" w:pos="851"/>
        </w:tabs>
        <w:kinsoku/>
        <w:wordWrap/>
        <w:overflowPunct/>
        <w:bidi w:val="0"/>
        <w:adjustRightInd w:val="0"/>
        <w:snapToGrid w:val="0"/>
        <w:spacing w:line="500" w:lineRule="exact"/>
        <w:ind w:firstLine="472" w:firstLineChars="196"/>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第五条  合同价款及支付</w:t>
      </w:r>
    </w:p>
    <w:p>
      <w:pPr>
        <w:keepNext w:val="0"/>
        <w:keepLines w:val="0"/>
        <w:pageBreakBefore w:val="0"/>
        <w:widowControl w:val="0"/>
        <w:kinsoku/>
        <w:wordWrap/>
        <w:overflowPunct/>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5.1合同暂定总价为：</w:t>
      </w:r>
      <w:r>
        <w:rPr>
          <w:rFonts w:hint="eastAsia" w:ascii="宋体" w:hAnsi="宋体" w:eastAsia="宋体" w:cs="宋体"/>
          <w:b/>
          <w:color w:val="auto"/>
          <w:sz w:val="24"/>
          <w:szCs w:val="24"/>
          <w:highlight w:val="none"/>
          <w:u w:val="single"/>
        </w:rPr>
        <w:t xml:space="preserve">人民币 </w:t>
      </w:r>
      <w:r>
        <w:rPr>
          <w:rFonts w:hint="eastAsia" w:ascii="宋体" w:hAnsi="宋体" w:eastAsia="宋体" w:cs="宋体"/>
          <w:color w:val="auto"/>
          <w:sz w:val="24"/>
          <w:szCs w:val="24"/>
          <w:highlight w:val="none"/>
          <w:u w:val="single"/>
        </w:rPr>
        <w:t>…</w:t>
      </w:r>
      <w:r>
        <w:rPr>
          <w:rFonts w:hint="eastAsia" w:ascii="宋体" w:hAnsi="宋体" w:eastAsia="宋体" w:cs="宋体"/>
          <w:b/>
          <w:color w:val="auto"/>
          <w:sz w:val="24"/>
          <w:szCs w:val="24"/>
          <w:highlight w:val="none"/>
          <w:u w:val="single"/>
        </w:rPr>
        <w:t xml:space="preserve">  元</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中标下浮率为   %</w:t>
      </w:r>
      <w:r>
        <w:rPr>
          <w:rFonts w:hint="eastAsia" w:ascii="宋体" w:hAnsi="宋体" w:eastAsia="宋体" w:cs="宋体"/>
          <w:color w:val="auto"/>
          <w:sz w:val="24"/>
          <w:szCs w:val="24"/>
          <w:highlight w:val="none"/>
        </w:rPr>
        <w:t>。经甲方或甲方委托有资质第三方机构审核后，结算审核价作为合同结算价。</w:t>
      </w:r>
    </w:p>
    <w:p>
      <w:pPr>
        <w:keepNext w:val="0"/>
        <w:keepLines w:val="0"/>
        <w:pageBreakBefore w:val="0"/>
        <w:widowControl w:val="0"/>
        <w:kinsoku/>
        <w:wordWrap/>
        <w:overflowPunct/>
        <w:autoSpaceDE w:val="0"/>
        <w:autoSpaceDN w:val="0"/>
        <w:bidi w:val="0"/>
        <w:adjustRightIn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综合单价：详见经甲方确认的工程量报价单或施工图预算书。</w:t>
      </w:r>
    </w:p>
    <w:p>
      <w:pPr>
        <w:keepNext w:val="0"/>
        <w:keepLines w:val="0"/>
        <w:pageBreakBefore w:val="0"/>
        <w:widowControl w:val="0"/>
        <w:kinsoku/>
        <w:wordWrap/>
        <w:overflowPunct/>
        <w:autoSpaceDE w:val="0"/>
        <w:autoSpaceDN w:val="0"/>
        <w:bidi w:val="0"/>
        <w:adjustRightIn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合同单价在合同有效期内为不变价。乙方已经充分考虑本合同履行期间的市场风险和国家政策性调整风险系数并已计入报价，因此合同单价在合同有效期内不因任何因素而作调整。</w:t>
      </w:r>
    </w:p>
    <w:p>
      <w:pPr>
        <w:keepNext w:val="0"/>
        <w:keepLines w:val="0"/>
        <w:pageBreakBefore w:val="0"/>
        <w:tabs>
          <w:tab w:val="left" w:pos="851"/>
        </w:tabs>
        <w:kinsoku/>
        <w:wordWrap/>
        <w:overflowPunct/>
        <w:autoSpaceDE/>
        <w:autoSpaceDN/>
        <w:bidi w:val="0"/>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5.2</w:t>
      </w:r>
      <w:r>
        <w:rPr>
          <w:rFonts w:hint="eastAsia" w:ascii="宋体" w:hAnsi="宋体" w:eastAsia="宋体" w:cs="宋体"/>
          <w:color w:val="auto"/>
          <w:kern w:val="0"/>
          <w:sz w:val="24"/>
          <w:szCs w:val="24"/>
          <w:highlight w:val="none"/>
        </w:rPr>
        <w:t>本合同约定的价格为含税价价格</w:t>
      </w:r>
      <w:r>
        <w:rPr>
          <w:rFonts w:hint="eastAsia" w:ascii="宋体" w:hAnsi="宋体" w:eastAsia="宋体" w:cs="宋体"/>
          <w:color w:val="auto"/>
          <w:sz w:val="24"/>
          <w:szCs w:val="24"/>
          <w:highlight w:val="none"/>
        </w:rPr>
        <w:t>（税率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），合同履行期间国家税率调整或乙方开票的实际税率与前述税率不一致的，不含税价不变，价税合计按实际税率相应调整，以开具发票时间为准。</w:t>
      </w:r>
    </w:p>
    <w:p>
      <w:pPr>
        <w:keepNext w:val="0"/>
        <w:keepLines w:val="0"/>
        <w:pageBreakBefore w:val="0"/>
        <w:widowControl w:val="0"/>
        <w:kinsoku/>
        <w:wordWrap/>
        <w:overflowPunct/>
        <w:bidi w:val="0"/>
        <w:spacing w:line="500" w:lineRule="exac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bookmarkStart w:id="0" w:name="OLE_LINK5"/>
      <w:bookmarkStart w:id="1" w:name="OLE_LINK4"/>
      <w:r>
        <w:rPr>
          <w:rFonts w:hint="eastAsia" w:ascii="宋体" w:hAnsi="宋体" w:eastAsia="宋体" w:cs="宋体"/>
          <w:bCs/>
          <w:color w:val="auto"/>
          <w:sz w:val="24"/>
          <w:szCs w:val="24"/>
          <w:highlight w:val="none"/>
        </w:rPr>
        <w:t>5.3 预付款：</w:t>
      </w:r>
      <w:r>
        <w:rPr>
          <w:rFonts w:ascii="Wingdings" w:hAnsi="Wingdings" w:eastAsia="宋体" w:cs="宋体"/>
          <w:bCs/>
          <w:color w:val="auto"/>
          <w:sz w:val="24"/>
          <w:szCs w:val="24"/>
          <w:highlight w:val="none"/>
        </w:rPr>
        <w:sym w:font="Wingdings" w:char="F0FE"/>
      </w:r>
      <w:r>
        <w:rPr>
          <w:rFonts w:hint="eastAsia" w:ascii="宋体" w:hAnsi="宋体" w:eastAsia="宋体" w:cs="宋体"/>
          <w:bCs/>
          <w:color w:val="auto"/>
          <w:sz w:val="24"/>
          <w:szCs w:val="24"/>
          <w:highlight w:val="none"/>
        </w:rPr>
        <w:t xml:space="preserve">无     </w:t>
      </w:r>
      <w:r>
        <w:rPr>
          <w:rFonts w:ascii="Wingdings" w:hAnsi="Wingdings" w:eastAsia="宋体" w:cs="宋体"/>
          <w:color w:val="auto"/>
          <w:sz w:val="24"/>
          <w:szCs w:val="24"/>
          <w:highlight w:val="none"/>
        </w:rPr>
        <w:sym w:font="Wingdings" w:char="F0A8"/>
      </w:r>
      <w:r>
        <w:rPr>
          <w:rFonts w:hint="eastAsia" w:ascii="宋体" w:hAnsi="宋体" w:eastAsia="宋体" w:cs="宋体"/>
          <w:bCs/>
          <w:color w:val="auto"/>
          <w:sz w:val="24"/>
          <w:szCs w:val="24"/>
          <w:highlight w:val="none"/>
        </w:rPr>
        <w:t>有，合同签订后，乙方开具等额的</w:t>
      </w:r>
      <w:r>
        <w:rPr>
          <w:rFonts w:hint="eastAsia" w:ascii="宋体" w:hAnsi="宋体" w:eastAsia="宋体" w:cs="宋体"/>
          <w:bCs/>
          <w:color w:val="auto"/>
          <w:sz w:val="24"/>
          <w:szCs w:val="24"/>
          <w:highlight w:val="none"/>
          <w:u w:val="single"/>
        </w:rPr>
        <w:t>增值税专用发票</w:t>
      </w:r>
      <w:r>
        <w:rPr>
          <w:rFonts w:hint="eastAsia" w:ascii="宋体" w:hAnsi="宋体" w:eastAsia="宋体" w:cs="宋体"/>
          <w:bCs/>
          <w:color w:val="auto"/>
          <w:sz w:val="24"/>
          <w:szCs w:val="24"/>
          <w:highlight w:val="none"/>
        </w:rPr>
        <w:t>及提交履约担保（如有）后10个工作日内，甲方支付合同暂定总价的</w:t>
      </w:r>
      <w:r>
        <w:rPr>
          <w:rFonts w:hint="eastAsia" w:ascii="宋体" w:hAnsi="宋体" w:eastAsia="宋体" w:cs="宋体"/>
          <w:bCs/>
          <w:color w:val="auto"/>
          <w:sz w:val="24"/>
          <w:szCs w:val="24"/>
          <w:highlight w:val="none"/>
          <w:u w:val="single"/>
        </w:rPr>
        <w:t>（不得超过</w:t>
      </w:r>
      <w:r>
        <w:rPr>
          <w:rFonts w:hint="eastAsia" w:ascii="宋体" w:hAnsi="宋体" w:eastAsia="宋体" w:cs="宋体"/>
          <w:color w:val="auto"/>
          <w:sz w:val="24"/>
          <w:szCs w:val="24"/>
          <w:highlight w:val="none"/>
          <w:u w:val="single"/>
        </w:rPr>
        <w:t>30%）</w:t>
      </w:r>
      <w:r>
        <w:rPr>
          <w:rFonts w:hint="eastAsia" w:ascii="宋体" w:hAnsi="宋体" w:eastAsia="宋体" w:cs="宋体"/>
          <w:color w:val="auto"/>
          <w:sz w:val="24"/>
          <w:szCs w:val="24"/>
          <w:highlight w:val="none"/>
        </w:rPr>
        <w:t>作为预付款。若合同解除或终止，乙方在</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个工作日内返还预付款（无息）。</w:t>
      </w:r>
      <w:r>
        <w:rPr>
          <w:rFonts w:hint="eastAsia" w:ascii="宋体" w:hAnsi="宋体" w:eastAsia="宋体" w:cs="宋体"/>
          <w:bCs/>
          <w:color w:val="auto"/>
          <w:kern w:val="0"/>
          <w:sz w:val="24"/>
          <w:szCs w:val="24"/>
          <w:highlight w:val="none"/>
        </w:rPr>
        <w:t>逾期未返还，每逾期一日，乙方应按合同暂定总价的</w:t>
      </w:r>
      <w:r>
        <w:rPr>
          <w:rFonts w:hint="eastAsia" w:ascii="宋体" w:hAnsi="宋体" w:eastAsia="宋体" w:cs="宋体"/>
          <w:bCs/>
          <w:color w:val="auto"/>
          <w:kern w:val="0"/>
          <w:sz w:val="24"/>
          <w:szCs w:val="24"/>
          <w:highlight w:val="none"/>
          <w:u w:val="single"/>
        </w:rPr>
        <w:t>万分之五/日</w:t>
      </w:r>
      <w:r>
        <w:rPr>
          <w:rFonts w:hint="eastAsia" w:ascii="宋体" w:hAnsi="宋体" w:eastAsia="宋体" w:cs="宋体"/>
          <w:bCs/>
          <w:color w:val="auto"/>
          <w:kern w:val="0"/>
          <w:sz w:val="24"/>
          <w:szCs w:val="24"/>
          <w:highlight w:val="none"/>
        </w:rPr>
        <w:t>支付违约金</w:t>
      </w:r>
      <w:r>
        <w:rPr>
          <w:rFonts w:hint="eastAsia" w:ascii="宋体" w:hAnsi="宋体" w:eastAsia="宋体" w:cs="宋体"/>
          <w:color w:val="auto"/>
          <w:sz w:val="24"/>
          <w:szCs w:val="24"/>
          <w:highlight w:val="none"/>
        </w:rPr>
        <w:t>。</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5.4</w:t>
      </w:r>
      <w:r>
        <w:rPr>
          <w:rFonts w:hint="eastAsia" w:ascii="宋体" w:hAnsi="宋体" w:eastAsia="宋体" w:cs="宋体"/>
          <w:bCs/>
          <w:color w:val="auto"/>
          <w:sz w:val="24"/>
          <w:szCs w:val="24"/>
          <w:highlight w:val="none"/>
          <w:lang w:val="en-US" w:eastAsia="zh-CN"/>
        </w:rPr>
        <w:t>项目子项</w:t>
      </w:r>
      <w:r>
        <w:rPr>
          <w:rFonts w:hint="eastAsia" w:ascii="宋体" w:hAnsi="宋体" w:eastAsia="宋体" w:cs="宋体"/>
          <w:bCs/>
          <w:color w:val="auto"/>
          <w:sz w:val="24"/>
          <w:szCs w:val="24"/>
          <w:highlight w:val="none"/>
        </w:rPr>
        <w:t>完工验收合格</w:t>
      </w:r>
      <w:r>
        <w:rPr>
          <w:rFonts w:hint="eastAsia" w:ascii="宋体" w:hAnsi="宋体" w:eastAsia="宋体" w:cs="宋体"/>
          <w:bCs/>
          <w:color w:val="auto"/>
          <w:sz w:val="24"/>
          <w:szCs w:val="24"/>
          <w:highlight w:val="none"/>
          <w:lang w:val="en-US" w:eastAsia="zh-CN"/>
        </w:rPr>
        <w:t>后</w:t>
      </w:r>
      <w:r>
        <w:rPr>
          <w:rFonts w:hint="eastAsia" w:ascii="宋体" w:hAnsi="宋体" w:eastAsia="宋体" w:cs="宋体"/>
          <w:bCs/>
          <w:color w:val="auto"/>
          <w:sz w:val="24"/>
          <w:szCs w:val="24"/>
          <w:highlight w:val="none"/>
        </w:rPr>
        <w:t>，乙方在每月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25</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日前提交请款资料及等额</w:t>
      </w:r>
      <w:r>
        <w:rPr>
          <w:rFonts w:hint="eastAsia" w:ascii="宋体" w:hAnsi="宋体" w:eastAsia="宋体" w:cs="宋体"/>
          <w:bCs/>
          <w:color w:val="auto"/>
          <w:sz w:val="24"/>
          <w:szCs w:val="24"/>
          <w:highlight w:val="none"/>
          <w:u w:val="single"/>
        </w:rPr>
        <w:t>增值税专用发票</w:t>
      </w:r>
      <w:r>
        <w:rPr>
          <w:rFonts w:hint="eastAsia" w:ascii="宋体" w:hAnsi="宋体" w:eastAsia="宋体" w:cs="宋体"/>
          <w:bCs/>
          <w:color w:val="auto"/>
          <w:sz w:val="24"/>
          <w:szCs w:val="24"/>
          <w:highlight w:val="none"/>
        </w:rPr>
        <w:t>后，甲方</w:t>
      </w:r>
      <w:r>
        <w:rPr>
          <w:rFonts w:hint="eastAsia" w:ascii="宋体" w:hAnsi="宋体" w:eastAsia="宋体" w:cs="宋体"/>
          <w:bCs/>
          <w:color w:val="auto"/>
          <w:sz w:val="24"/>
          <w:szCs w:val="24"/>
          <w:highlight w:val="none"/>
          <w:lang w:val="en-US" w:eastAsia="zh-CN"/>
        </w:rPr>
        <w:t>下属各分公司</w:t>
      </w:r>
      <w:r>
        <w:rPr>
          <w:rFonts w:hint="eastAsia" w:ascii="宋体" w:hAnsi="宋体" w:eastAsia="宋体" w:cs="宋体"/>
          <w:bCs/>
          <w:color w:val="auto"/>
          <w:sz w:val="24"/>
          <w:szCs w:val="24"/>
          <w:highlight w:val="none"/>
        </w:rPr>
        <w:t>支付至</w:t>
      </w:r>
      <w:r>
        <w:rPr>
          <w:rFonts w:hint="eastAsia" w:ascii="宋体" w:hAnsi="宋体" w:eastAsia="宋体" w:cs="宋体"/>
          <w:bCs/>
          <w:color w:val="auto"/>
          <w:sz w:val="24"/>
          <w:szCs w:val="24"/>
          <w:highlight w:val="none"/>
          <w:lang w:val="en-US" w:eastAsia="zh-CN"/>
        </w:rPr>
        <w:t>各子项目预算价</w:t>
      </w:r>
      <w:r>
        <w:rPr>
          <w:rFonts w:hint="eastAsia" w:ascii="宋体" w:hAnsi="宋体" w:eastAsia="宋体" w:cs="宋体"/>
          <w:bCs/>
          <w:color w:val="auto"/>
          <w:sz w:val="24"/>
          <w:szCs w:val="24"/>
          <w:highlight w:val="none"/>
        </w:rPr>
        <w:t>的</w:t>
      </w:r>
      <w:r>
        <w:rPr>
          <w:rFonts w:hint="eastAsia" w:ascii="宋体" w:hAnsi="宋体" w:eastAsia="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0%</w:t>
      </w:r>
      <w:r>
        <w:rPr>
          <w:rFonts w:hint="eastAsia" w:ascii="宋体" w:hAnsi="宋体" w:eastAsia="宋体" w:cs="宋体"/>
          <w:bCs/>
          <w:color w:val="auto"/>
          <w:sz w:val="24"/>
          <w:szCs w:val="24"/>
          <w:highlight w:val="none"/>
        </w:rPr>
        <w:t>；</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5.5</w:t>
      </w:r>
      <w:r>
        <w:rPr>
          <w:rFonts w:hint="eastAsia" w:ascii="宋体" w:hAnsi="宋体" w:eastAsia="宋体" w:cs="宋体"/>
          <w:bCs/>
          <w:color w:val="auto"/>
          <w:sz w:val="24"/>
          <w:szCs w:val="24"/>
          <w:highlight w:val="none"/>
          <w:lang w:val="en-US" w:eastAsia="zh-CN"/>
        </w:rPr>
        <w:t>项目子项</w:t>
      </w:r>
      <w:r>
        <w:rPr>
          <w:rFonts w:hint="eastAsia" w:ascii="宋体" w:hAnsi="宋体" w:eastAsia="宋体" w:cs="宋体"/>
          <w:bCs/>
          <w:color w:val="auto"/>
          <w:sz w:val="24"/>
          <w:szCs w:val="24"/>
          <w:highlight w:val="none"/>
        </w:rPr>
        <w:t>完工验收合格</w:t>
      </w:r>
      <w:r>
        <w:rPr>
          <w:rFonts w:hint="eastAsia" w:ascii="宋体" w:hAnsi="宋体" w:eastAsia="宋体" w:cs="宋体"/>
          <w:bCs/>
          <w:color w:val="auto"/>
          <w:sz w:val="24"/>
          <w:szCs w:val="24"/>
          <w:highlight w:val="none"/>
          <w:lang w:val="en-US" w:eastAsia="zh-CN"/>
        </w:rPr>
        <w:t>后</w:t>
      </w:r>
      <w:r>
        <w:rPr>
          <w:rFonts w:hint="eastAsia" w:ascii="宋体" w:hAnsi="宋体" w:eastAsia="宋体" w:cs="宋体"/>
          <w:bCs/>
          <w:color w:val="auto"/>
          <w:sz w:val="24"/>
          <w:szCs w:val="24"/>
          <w:highlight w:val="none"/>
        </w:rPr>
        <w:t>，经甲方或甲方委托的第三方造价咨询单位结算审核且乙方提交请款资料及</w:t>
      </w:r>
      <w:r>
        <w:rPr>
          <w:rFonts w:hint="eastAsia" w:ascii="宋体" w:hAnsi="宋体" w:eastAsia="宋体" w:cs="宋体"/>
          <w:bCs/>
          <w:color w:val="auto"/>
          <w:sz w:val="24"/>
          <w:szCs w:val="24"/>
          <w:highlight w:val="none"/>
          <w:lang w:val="en-US" w:eastAsia="zh-CN"/>
        </w:rPr>
        <w:t>剩余金额的</w:t>
      </w:r>
      <w:r>
        <w:rPr>
          <w:rFonts w:hint="eastAsia" w:ascii="宋体" w:hAnsi="宋体" w:eastAsia="宋体" w:cs="宋体"/>
          <w:bCs/>
          <w:color w:val="auto"/>
          <w:sz w:val="24"/>
          <w:szCs w:val="24"/>
          <w:highlight w:val="none"/>
          <w:u w:val="single"/>
        </w:rPr>
        <w:t>增值税专用发票</w:t>
      </w:r>
      <w:r>
        <w:rPr>
          <w:rFonts w:hint="eastAsia" w:ascii="宋体" w:hAnsi="宋体" w:eastAsia="宋体" w:cs="宋体"/>
          <w:bCs/>
          <w:color w:val="auto"/>
          <w:sz w:val="24"/>
          <w:szCs w:val="24"/>
          <w:highlight w:val="none"/>
        </w:rPr>
        <w:t>后，甲方</w:t>
      </w:r>
      <w:r>
        <w:rPr>
          <w:rFonts w:hint="eastAsia" w:ascii="宋体" w:hAnsi="宋体" w:eastAsia="宋体" w:cs="宋体"/>
          <w:bCs/>
          <w:color w:val="auto"/>
          <w:sz w:val="24"/>
          <w:szCs w:val="24"/>
          <w:highlight w:val="none"/>
          <w:lang w:val="en-US" w:eastAsia="zh-CN"/>
        </w:rPr>
        <w:t>下属各分公司</w:t>
      </w:r>
      <w:r>
        <w:rPr>
          <w:rFonts w:hint="eastAsia" w:ascii="宋体" w:hAnsi="宋体" w:eastAsia="宋体" w:cs="宋体"/>
          <w:bCs/>
          <w:color w:val="auto"/>
          <w:sz w:val="24"/>
          <w:szCs w:val="24"/>
          <w:highlight w:val="none"/>
        </w:rPr>
        <w:t>支付至</w:t>
      </w:r>
      <w:r>
        <w:rPr>
          <w:rFonts w:hint="eastAsia" w:ascii="宋体" w:hAnsi="宋体" w:eastAsia="宋体" w:cs="宋体"/>
          <w:bCs/>
          <w:color w:val="auto"/>
          <w:sz w:val="24"/>
          <w:szCs w:val="24"/>
          <w:highlight w:val="none"/>
          <w:lang w:val="en-US" w:eastAsia="zh-CN"/>
        </w:rPr>
        <w:t>各子项目</w:t>
      </w:r>
      <w:r>
        <w:rPr>
          <w:rFonts w:hint="eastAsia" w:ascii="宋体" w:hAnsi="宋体" w:eastAsia="宋体" w:cs="宋体"/>
          <w:bCs/>
          <w:color w:val="auto"/>
          <w:sz w:val="24"/>
          <w:szCs w:val="24"/>
          <w:highlight w:val="none"/>
        </w:rPr>
        <w:t>合同结算价的</w:t>
      </w:r>
      <w:r>
        <w:rPr>
          <w:rFonts w:hint="eastAsia" w:ascii="宋体" w:hAnsi="宋体" w:eastAsia="宋体" w:cs="宋体"/>
          <w:bCs/>
          <w:color w:val="auto"/>
          <w:sz w:val="24"/>
          <w:szCs w:val="24"/>
          <w:highlight w:val="none"/>
          <w:u w:val="single"/>
        </w:rPr>
        <w:t>97</w:t>
      </w:r>
      <w:r>
        <w:rPr>
          <w:rFonts w:hint="eastAsia" w:ascii="宋体" w:hAnsi="宋体" w:eastAsia="宋体" w:cs="宋体"/>
          <w:b w:val="0"/>
          <w:bCs/>
          <w:color w:val="auto"/>
          <w:sz w:val="24"/>
          <w:szCs w:val="24"/>
          <w:highlight w:val="none"/>
          <w:u w:val="single"/>
        </w:rPr>
        <w:t>%</w:t>
      </w:r>
      <w:r>
        <w:rPr>
          <w:rFonts w:hint="eastAsia" w:ascii="宋体" w:hAnsi="宋体" w:eastAsia="宋体" w:cs="宋体"/>
          <w:color w:val="auto"/>
          <w:sz w:val="24"/>
          <w:szCs w:val="24"/>
          <w:highlight w:val="none"/>
        </w:rPr>
        <w:t>(含因乙方未按规定履行合同约定而产生的各种违约金、扣罚金、赔偿金以及应由乙方交纳的各种费用等)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各子项目合同结算价的3%作为质保金留存</w:t>
      </w:r>
      <w:r>
        <w:rPr>
          <w:rFonts w:hint="eastAsia" w:ascii="宋体" w:hAnsi="宋体" w:eastAsia="宋体" w:cs="宋体"/>
          <w:color w:val="auto"/>
          <w:sz w:val="24"/>
          <w:szCs w:val="24"/>
          <w:highlight w:val="none"/>
        </w:rPr>
        <w:t>。</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5.6质保期按合同第十四条约定执行，质保期满后且乙方不存在违约情形，由乙方提交申请质保金退还资料</w:t>
      </w:r>
      <w:r>
        <w:rPr>
          <w:rFonts w:hint="eastAsia" w:ascii="宋体" w:hAnsi="宋体" w:eastAsia="宋体" w:cs="宋体"/>
          <w:color w:val="auto"/>
          <w:sz w:val="24"/>
          <w:szCs w:val="24"/>
          <w:highlight w:val="none"/>
          <w:u w:val="single"/>
        </w:rPr>
        <w:t>15</w:t>
      </w:r>
      <w:r>
        <w:rPr>
          <w:rFonts w:hint="eastAsia" w:ascii="宋体" w:hAnsi="宋体" w:eastAsia="宋体" w:cs="宋体"/>
          <w:color w:val="auto"/>
          <w:sz w:val="24"/>
          <w:szCs w:val="24"/>
          <w:highlight w:val="none"/>
        </w:rPr>
        <w:t>个工作日内，甲方</w:t>
      </w:r>
      <w:r>
        <w:rPr>
          <w:rFonts w:hint="eastAsia" w:ascii="宋体" w:hAnsi="宋体" w:eastAsia="宋体" w:cs="宋体"/>
          <w:color w:val="auto"/>
          <w:sz w:val="24"/>
          <w:szCs w:val="24"/>
          <w:highlight w:val="none"/>
          <w:lang w:val="en-US" w:eastAsia="zh-CN"/>
        </w:rPr>
        <w:t>下属各分公司</w:t>
      </w:r>
      <w:r>
        <w:rPr>
          <w:rFonts w:hint="eastAsia" w:ascii="宋体" w:hAnsi="宋体" w:eastAsia="宋体" w:cs="宋体"/>
          <w:color w:val="auto"/>
          <w:sz w:val="24"/>
          <w:szCs w:val="24"/>
          <w:highlight w:val="none"/>
        </w:rPr>
        <w:t>支付</w:t>
      </w:r>
      <w:r>
        <w:rPr>
          <w:rFonts w:hint="eastAsia" w:ascii="宋体" w:hAnsi="宋体" w:eastAsia="宋体" w:cs="宋体"/>
          <w:color w:val="auto"/>
          <w:sz w:val="24"/>
          <w:szCs w:val="24"/>
          <w:highlight w:val="none"/>
          <w:lang w:val="en-US" w:eastAsia="zh-CN"/>
        </w:rPr>
        <w:t>各子项目</w:t>
      </w:r>
      <w:r>
        <w:rPr>
          <w:rFonts w:hint="eastAsia" w:ascii="宋体" w:hAnsi="宋体" w:eastAsia="宋体" w:cs="宋体"/>
          <w:color w:val="auto"/>
          <w:sz w:val="24"/>
          <w:szCs w:val="24"/>
          <w:highlight w:val="none"/>
        </w:rPr>
        <w:t>合同结算价的3%（质保金）给乙方（无息）。</w:t>
      </w:r>
    </w:p>
    <w:p>
      <w:pPr>
        <w:pStyle w:val="11"/>
        <w:keepNext w:val="0"/>
        <w:keepLines w:val="0"/>
        <w:pageBreakBefore w:val="0"/>
        <w:widowControl w:val="0"/>
        <w:kinsoku/>
        <w:wordWrap/>
        <w:overflowPunct/>
        <w:bidi w:val="0"/>
        <w:spacing w:line="500" w:lineRule="exact"/>
        <w:ind w:firstLine="480" w:firstLineChars="200"/>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5.7 乙方收款账户：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keepNext w:val="0"/>
        <w:keepLines w:val="0"/>
        <w:pageBreakBefore w:val="0"/>
        <w:widowControl w:val="0"/>
        <w:kinsoku/>
        <w:wordWrap/>
        <w:overflowPunct/>
        <w:bidi w:val="0"/>
        <w:spacing w:line="500" w:lineRule="exact"/>
        <w:ind w:firstLine="1080" w:firstLineChars="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收款账号：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bidi w:val="0"/>
        <w:spacing w:line="500" w:lineRule="exact"/>
        <w:ind w:firstLine="1080" w:firstLineChars="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乙方在收款前需提交相应金额</w:t>
      </w:r>
      <w:r>
        <w:rPr>
          <w:rFonts w:hint="eastAsia" w:ascii="宋体" w:hAnsi="宋体" w:eastAsia="宋体" w:cs="宋体"/>
          <w:color w:val="auto"/>
          <w:sz w:val="24"/>
          <w:szCs w:val="24"/>
          <w:highlight w:val="none"/>
          <w:u w:val="single"/>
        </w:rPr>
        <w:t>增值税专用发票</w:t>
      </w:r>
      <w:r>
        <w:rPr>
          <w:rFonts w:hint="eastAsia" w:ascii="宋体" w:hAnsi="宋体" w:eastAsia="宋体" w:cs="宋体"/>
          <w:color w:val="auto"/>
          <w:sz w:val="24"/>
          <w:szCs w:val="24"/>
          <w:highlight w:val="none"/>
        </w:rPr>
        <w:t>给甲方。（具体按甲方财务要求提供）</w:t>
      </w:r>
    </w:p>
    <w:p>
      <w:pPr>
        <w:keepNext w:val="0"/>
        <w:keepLines w:val="0"/>
        <w:pageBreakBefore w:val="0"/>
        <w:widowControl w:val="0"/>
        <w:kinsoku/>
        <w:wordWrap/>
        <w:overflowPunct/>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发票信息：</w:t>
      </w:r>
    </w:p>
    <w:p>
      <w:pPr>
        <w:spacing w:line="50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名称：广州市净水有限公司</w:t>
      </w:r>
    </w:p>
    <w:p>
      <w:pPr>
        <w:spacing w:line="50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税号：</w:t>
      </w:r>
      <w:r>
        <w:rPr>
          <w:rFonts w:hint="eastAsia" w:ascii="宋体" w:hAnsi="宋体" w:eastAsia="宋体" w:cs="宋体"/>
          <w:color w:val="auto"/>
          <w:sz w:val="24"/>
          <w:highlight w:val="none"/>
          <w:u w:val="single"/>
        </w:rPr>
        <w:t>91440101755584729Q</w:t>
      </w:r>
    </w:p>
    <w:p>
      <w:pPr>
        <w:spacing w:line="50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地址及电话：</w:t>
      </w:r>
      <w:r>
        <w:rPr>
          <w:rFonts w:hint="eastAsia" w:ascii="宋体" w:hAnsi="宋体" w:eastAsia="宋体" w:cs="宋体"/>
          <w:color w:val="auto"/>
          <w:sz w:val="24"/>
          <w:highlight w:val="none"/>
          <w:u w:val="single"/>
        </w:rPr>
        <w:t>广州市天河区临江大道501号 020-38890283</w:t>
      </w:r>
      <w:r>
        <w:rPr>
          <w:rFonts w:hint="eastAsia" w:ascii="宋体" w:hAnsi="宋体" w:eastAsia="宋体" w:cs="宋体"/>
          <w:color w:val="auto"/>
          <w:sz w:val="24"/>
          <w:highlight w:val="none"/>
        </w:rPr>
        <w:t>；</w:t>
      </w:r>
    </w:p>
    <w:p>
      <w:pPr>
        <w:pStyle w:val="19"/>
        <w:ind w:firstLine="1032" w:firstLineChars="430"/>
        <w:rPr>
          <w:rFonts w:hint="eastAsia"/>
          <w:color w:val="auto"/>
          <w:highlight w:val="none"/>
          <w:lang w:val="en-US" w:eastAsia="zh-CN"/>
        </w:rPr>
      </w:pPr>
      <w:r>
        <w:rPr>
          <w:rFonts w:hint="eastAsia" w:ascii="宋体" w:hAnsi="宋体" w:eastAsia="宋体" w:cs="宋体"/>
          <w:color w:val="auto"/>
          <w:sz w:val="24"/>
          <w:highlight w:val="none"/>
        </w:rPr>
        <w:t>开户行/账号：</w:t>
      </w:r>
      <w:r>
        <w:rPr>
          <w:rFonts w:hint="eastAsia" w:ascii="宋体" w:hAnsi="宋体" w:eastAsia="宋体" w:cs="宋体"/>
          <w:color w:val="auto"/>
          <w:sz w:val="24"/>
          <w:highlight w:val="none"/>
          <w:u w:val="single"/>
        </w:rPr>
        <w:t>民生银行广州分行0301014140006932</w:t>
      </w:r>
      <w:r>
        <w:rPr>
          <w:rFonts w:hint="eastAsia" w:ascii="宋体" w:hAnsi="宋体" w:eastAsia="宋体" w:cs="宋体"/>
          <w:color w:val="auto"/>
          <w:sz w:val="24"/>
          <w:highlight w:val="none"/>
        </w:rPr>
        <w:t xml:space="preserve">。 </w:t>
      </w:r>
      <w:r>
        <w:rPr>
          <w:rFonts w:ascii="宋体" w:hAnsi="宋体" w:cs="宋体"/>
          <w:color w:val="auto"/>
          <w:sz w:val="24"/>
          <w:highlight w:val="none"/>
        </w:rPr>
        <w:t xml:space="preserve">  </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outlineLvl w:val="1"/>
        <w:rPr>
          <w:rFonts w:hint="eastAsia" w:ascii="宋体" w:hAnsi="宋体" w:eastAsia="宋体" w:cs="宋体"/>
          <w:bCs/>
          <w:color w:val="auto"/>
          <w:sz w:val="24"/>
          <w:szCs w:val="24"/>
          <w:highlight w:val="none"/>
          <w:bdr w:val="single" w:color="auto" w:sz="4" w:space="0"/>
        </w:rPr>
      </w:pPr>
      <w:r>
        <w:rPr>
          <w:rFonts w:hint="eastAsia" w:ascii="宋体" w:hAnsi="宋体" w:eastAsia="宋体" w:cs="宋体"/>
          <w:color w:val="auto"/>
          <w:sz w:val="24"/>
          <w:szCs w:val="24"/>
          <w:highlight w:val="none"/>
        </w:rPr>
        <w:t xml:space="preserve">5.8付款方式： </w:t>
      </w:r>
      <w:r>
        <w:rPr>
          <w:rFonts w:ascii="Wingdings" w:hAnsi="Wingdings" w:eastAsia="宋体" w:cs="宋体"/>
          <w:color w:val="auto"/>
          <w:sz w:val="24"/>
          <w:szCs w:val="24"/>
          <w:highlight w:val="none"/>
        </w:rPr>
        <w:sym w:font="Wingdings" w:char="F0FE"/>
      </w:r>
      <w:r>
        <w:rPr>
          <w:rFonts w:hint="eastAsia" w:ascii="宋体" w:hAnsi="宋体" w:eastAsia="宋体" w:cs="宋体"/>
          <w:color w:val="auto"/>
          <w:sz w:val="24"/>
          <w:szCs w:val="24"/>
          <w:highlight w:val="none"/>
        </w:rPr>
        <w:t xml:space="preserve">网银支付；  </w:t>
      </w:r>
      <w:r>
        <w:rPr>
          <w:rFonts w:ascii="Wingdings" w:hAnsi="Wingdings" w:eastAsia="宋体" w:cs="宋体"/>
          <w:color w:val="auto"/>
          <w:sz w:val="24"/>
          <w:szCs w:val="24"/>
          <w:highlight w:val="none"/>
        </w:rPr>
        <w:sym w:font="Wingdings" w:char="F0A8"/>
      </w:r>
      <w:r>
        <w:rPr>
          <w:rFonts w:hint="eastAsia" w:ascii="宋体" w:hAnsi="宋体" w:eastAsia="宋体" w:cs="宋体"/>
          <w:color w:val="auto"/>
          <w:sz w:val="24"/>
          <w:szCs w:val="24"/>
          <w:highlight w:val="none"/>
        </w:rPr>
        <w:t xml:space="preserve">支票；   </w:t>
      </w:r>
      <w:r>
        <w:rPr>
          <w:rFonts w:ascii="Wingdings" w:hAnsi="Wingdings" w:eastAsia="宋体" w:cs="宋体"/>
          <w:color w:val="auto"/>
          <w:sz w:val="24"/>
          <w:szCs w:val="24"/>
          <w:highlight w:val="none"/>
        </w:rPr>
        <w:sym w:font="Wingdings" w:char="F0A8"/>
      </w: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bidi w:val="0"/>
        <w:spacing w:line="500" w:lineRule="exact"/>
        <w:ind w:firstLine="468"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5.9如出现合同费用超付，乙方应在获知超付之日起7个工作日内返还超付款项（无息）。</w:t>
      </w:r>
      <w:r>
        <w:rPr>
          <w:rFonts w:hint="eastAsia" w:ascii="宋体" w:hAnsi="宋体" w:eastAsia="宋体" w:cs="宋体"/>
          <w:color w:val="auto"/>
          <w:sz w:val="24"/>
          <w:szCs w:val="24"/>
          <w:highlight w:val="none"/>
        </w:rPr>
        <w:t>每逾期一周乙方承担超付款项的</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rPr>
        <w:t>的逾期违约金，且支付超付款项相应存款利息。</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5.10结算审定价超过合同暂定总价时，暂停合同的工程款支付程序，签订补充协议后支付。</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5.11本项目工程款的支付单位为：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所属片区各分公司  。</w:t>
      </w:r>
    </w:p>
    <w:bookmarkEnd w:id="0"/>
    <w:bookmarkEnd w:id="1"/>
    <w:p>
      <w:pPr>
        <w:keepNext w:val="0"/>
        <w:keepLines w:val="0"/>
        <w:pageBreakBefore w:val="0"/>
        <w:widowControl w:val="0"/>
        <w:tabs>
          <w:tab w:val="left" w:pos="851"/>
        </w:tabs>
        <w:kinsoku/>
        <w:wordWrap/>
        <w:overflowPunct/>
        <w:bidi w:val="0"/>
        <w:adjustRightInd w:val="0"/>
        <w:snapToGrid w:val="0"/>
        <w:spacing w:line="50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第六条  履约担保</w:t>
      </w:r>
    </w:p>
    <w:p>
      <w:pPr>
        <w:keepNext w:val="0"/>
        <w:keepLines w:val="0"/>
        <w:pageBreakBefore w:val="0"/>
        <w:widowControl w:val="0"/>
        <w:kinsoku/>
        <w:wordWrap/>
        <w:overflowPunct/>
        <w:bidi w:val="0"/>
        <w:spacing w:line="500" w:lineRule="exact"/>
        <w:ind w:firstLine="480" w:firstLineChars="200"/>
        <w:outlineLvl w:val="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履约担保：</w:t>
      </w:r>
      <w:r>
        <w:rPr>
          <w:rFonts w:ascii="Wingdings" w:hAnsi="Wingdings" w:eastAsia="宋体" w:cs="宋体"/>
          <w:color w:val="auto"/>
          <w:sz w:val="24"/>
          <w:szCs w:val="24"/>
          <w:highlight w:val="none"/>
        </w:rPr>
        <w:sym w:font="Wingdings" w:char="F0A8"/>
      </w:r>
      <w:r>
        <w:rPr>
          <w:rFonts w:hint="eastAsia" w:ascii="宋体" w:hAnsi="宋体" w:eastAsia="宋体" w:cs="宋体"/>
          <w:bCs/>
          <w:color w:val="auto"/>
          <w:sz w:val="24"/>
          <w:szCs w:val="24"/>
          <w:highlight w:val="none"/>
        </w:rPr>
        <w:t xml:space="preserve">无；    </w:t>
      </w:r>
      <w:r>
        <w:rPr>
          <w:rFonts w:ascii="Wingdings" w:hAnsi="Wingdings" w:eastAsia="宋体" w:cs="宋体"/>
          <w:bCs/>
          <w:color w:val="auto"/>
          <w:sz w:val="24"/>
          <w:szCs w:val="24"/>
          <w:highlight w:val="none"/>
        </w:rPr>
        <w:sym w:font="Wingdings" w:char="F0FE"/>
      </w:r>
      <w:r>
        <w:rPr>
          <w:rFonts w:hint="eastAsia" w:ascii="宋体" w:hAnsi="宋体" w:eastAsia="宋体" w:cs="宋体"/>
          <w:bCs/>
          <w:color w:val="auto"/>
          <w:sz w:val="24"/>
          <w:szCs w:val="24"/>
          <w:highlight w:val="none"/>
        </w:rPr>
        <w:t>有，</w:t>
      </w:r>
      <w:r>
        <w:rPr>
          <w:rFonts w:hint="eastAsia" w:ascii="宋体" w:hAnsi="宋体" w:eastAsia="宋体" w:cs="宋体"/>
          <w:bCs/>
          <w:color w:val="auto"/>
          <w:sz w:val="24"/>
          <w:szCs w:val="24"/>
          <w:highlight w:val="none"/>
          <w:lang w:val="en-US" w:eastAsia="zh-CN"/>
        </w:rPr>
        <w:t>乙方于</w:t>
      </w:r>
      <w:r>
        <w:rPr>
          <w:rFonts w:hint="eastAsia" w:ascii="宋体" w:hAnsi="宋体" w:eastAsia="宋体" w:cs="宋体"/>
          <w:color w:val="auto"/>
          <w:sz w:val="24"/>
          <w:szCs w:val="24"/>
          <w:highlight w:val="none"/>
        </w:rPr>
        <w:t>本合同签订后</w:t>
      </w:r>
      <w:r>
        <w:rPr>
          <w:rFonts w:hint="eastAsia" w:ascii="宋体" w:hAnsi="宋体" w:eastAsia="宋体" w:cs="宋体"/>
          <w:color w:val="auto"/>
          <w:sz w:val="24"/>
          <w:szCs w:val="24"/>
          <w:highlight w:val="none"/>
          <w:u w:val="single"/>
        </w:rPr>
        <w:t>10</w:t>
      </w:r>
      <w:r>
        <w:rPr>
          <w:rFonts w:hint="eastAsia" w:ascii="宋体" w:hAnsi="宋体" w:eastAsia="宋体" w:cs="宋体"/>
          <w:color w:val="auto"/>
          <w:sz w:val="24"/>
          <w:szCs w:val="24"/>
          <w:highlight w:val="none"/>
        </w:rPr>
        <w:t>日内</w:t>
      </w:r>
      <w:r>
        <w:rPr>
          <w:rFonts w:hint="eastAsia" w:ascii="宋体" w:hAnsi="宋体" w:eastAsia="宋体" w:cs="宋体"/>
          <w:color w:val="auto"/>
          <w:sz w:val="24"/>
          <w:szCs w:val="24"/>
          <w:highlight w:val="none"/>
          <w:u w:val="single"/>
          <w:lang w:val="en-US" w:eastAsia="zh-CN"/>
        </w:rPr>
        <w:t>按照</w:t>
      </w:r>
      <w:r>
        <w:rPr>
          <w:rFonts w:hint="eastAsia" w:ascii="宋体" w:hAnsi="宋体" w:eastAsia="宋体" w:cs="宋体"/>
          <w:color w:val="auto"/>
          <w:sz w:val="24"/>
          <w:szCs w:val="24"/>
          <w:highlight w:val="none"/>
          <w:u w:val="single"/>
        </w:rPr>
        <w:t>合同暂定</w:t>
      </w:r>
      <w:r>
        <w:rPr>
          <w:rFonts w:hint="eastAsia" w:ascii="宋体" w:hAnsi="宋体" w:eastAsia="宋体" w:cs="宋体"/>
          <w:color w:val="auto"/>
          <w:sz w:val="24"/>
          <w:szCs w:val="24"/>
          <w:highlight w:val="none"/>
          <w:u w:val="single"/>
          <w:lang w:val="en-US" w:eastAsia="zh-CN"/>
        </w:rPr>
        <w:t>总</w:t>
      </w:r>
      <w:r>
        <w:rPr>
          <w:rFonts w:hint="eastAsia" w:ascii="宋体" w:hAnsi="宋体" w:eastAsia="宋体" w:cs="宋体"/>
          <w:color w:val="auto"/>
          <w:sz w:val="24"/>
          <w:szCs w:val="24"/>
          <w:highlight w:val="none"/>
          <w:u w:val="single"/>
        </w:rPr>
        <w:t>价的</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0%</w:t>
      </w:r>
      <w:r>
        <w:rPr>
          <w:rFonts w:hint="eastAsia" w:ascii="宋体" w:hAnsi="宋体" w:eastAsia="宋体" w:cs="宋体"/>
          <w:color w:val="auto"/>
          <w:sz w:val="24"/>
          <w:szCs w:val="24"/>
          <w:highlight w:val="none"/>
          <w:u w:val="single"/>
          <w:lang w:val="en-US" w:eastAsia="zh-CN"/>
        </w:rPr>
        <w:t>提交</w:t>
      </w:r>
      <w:r>
        <w:rPr>
          <w:rFonts w:hint="eastAsia" w:ascii="宋体" w:hAnsi="宋体" w:eastAsia="宋体" w:cs="宋体"/>
          <w:color w:val="auto"/>
          <w:sz w:val="24"/>
          <w:szCs w:val="24"/>
          <w:highlight w:val="none"/>
          <w:u w:val="single"/>
        </w:rPr>
        <w:t>履约</w:t>
      </w:r>
      <w:r>
        <w:rPr>
          <w:rFonts w:hint="eastAsia" w:ascii="宋体" w:hAnsi="宋体" w:eastAsia="宋体" w:cs="宋体"/>
          <w:color w:val="auto"/>
          <w:sz w:val="24"/>
          <w:szCs w:val="24"/>
          <w:highlight w:val="none"/>
          <w:u w:val="single"/>
          <w:lang w:val="en-US" w:eastAsia="zh-CN"/>
        </w:rPr>
        <w:t>担保</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金额为：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（大写人民币：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未按时提供履约担保的，甲方有权解除合同并要求乙方支付</w:t>
      </w:r>
      <w:r>
        <w:rPr>
          <w:rFonts w:hint="eastAsia" w:ascii="宋体" w:hAnsi="宋体" w:eastAsia="宋体" w:cs="宋体"/>
          <w:color w:val="auto"/>
          <w:sz w:val="24"/>
          <w:szCs w:val="24"/>
          <w:highlight w:val="none"/>
          <w:u w:val="single"/>
        </w:rPr>
        <w:t>合同暂定总价20%</w:t>
      </w:r>
      <w:r>
        <w:rPr>
          <w:rFonts w:hint="eastAsia" w:ascii="宋体" w:hAnsi="宋体" w:eastAsia="宋体" w:cs="宋体"/>
          <w:color w:val="auto"/>
          <w:sz w:val="24"/>
          <w:szCs w:val="24"/>
          <w:highlight w:val="none"/>
        </w:rPr>
        <w:t>作为违约金。</w:t>
      </w:r>
    </w:p>
    <w:p>
      <w:pPr>
        <w:pStyle w:val="17"/>
        <w:keepNext w:val="0"/>
        <w:keepLines w:val="0"/>
        <w:pageBreakBefore w:val="0"/>
        <w:widowControl w:val="0"/>
        <w:kinsoku/>
        <w:wordWrap/>
        <w:overflowPunct/>
        <w:bidi w:val="0"/>
        <w:spacing w:before="0" w:beforeAutospacing="0" w:after="0" w:afterAutospacing="0"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6.1履约担保按以下任一种形式提供：</w:t>
      </w:r>
    </w:p>
    <w:p>
      <w:pPr>
        <w:pStyle w:val="17"/>
        <w:keepNext w:val="0"/>
        <w:keepLines w:val="0"/>
        <w:pageBreakBefore w:val="0"/>
        <w:widowControl w:val="0"/>
        <w:kinsoku/>
        <w:wordWrap/>
        <w:overflowPunct/>
        <w:bidi w:val="0"/>
        <w:spacing w:before="0" w:beforeAutospacing="0" w:after="0" w:afterAutospacing="0" w:line="50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（1）符合甲方要求（详见附件</w:t>
      </w:r>
      <w:r>
        <w:rPr>
          <w:rFonts w:hint="eastAsia" w:eastAsia="宋体" w:cs="宋体"/>
          <w:color w:val="auto"/>
          <w:szCs w:val="24"/>
          <w:highlight w:val="none"/>
          <w:lang w:val="en-US" w:eastAsia="zh-CN"/>
        </w:rPr>
        <w:t>9</w:t>
      </w:r>
      <w:r>
        <w:rPr>
          <w:rFonts w:hint="eastAsia" w:ascii="宋体" w:hAnsi="宋体" w:eastAsia="宋体" w:cs="宋体"/>
          <w:color w:val="auto"/>
          <w:szCs w:val="24"/>
          <w:highlight w:val="none"/>
        </w:rPr>
        <w:t>保函格式）的银行独立保函，</w:t>
      </w:r>
    </w:p>
    <w:p>
      <w:pPr>
        <w:pStyle w:val="17"/>
        <w:numPr>
          <w:ilvl w:val="12"/>
          <w:numId w:val="0"/>
        </w:numPr>
        <w:spacing w:before="0" w:beforeAutospacing="0" w:after="0" w:afterAutospacing="0" w:line="520" w:lineRule="exact"/>
        <w:ind w:firstLine="480" w:firstLineChars="200"/>
        <w:rPr>
          <w:rFonts w:hint="eastAsia"/>
          <w:color w:val="auto"/>
          <w:highlight w:val="none"/>
        </w:rPr>
      </w:pPr>
      <w:r>
        <w:rPr>
          <w:rFonts w:hint="eastAsia" w:ascii="宋体" w:hAnsi="宋体" w:eastAsia="宋体" w:cs="宋体"/>
          <w:color w:val="auto"/>
          <w:szCs w:val="24"/>
          <w:highlight w:val="none"/>
        </w:rPr>
        <w:t>（2）</w:t>
      </w:r>
      <w:r>
        <w:rPr>
          <w:rFonts w:ascii="宋体" w:hAnsi="宋体" w:eastAsia="宋体" w:cs="宋体"/>
          <w:color w:val="auto"/>
          <w:sz w:val="24"/>
          <w:szCs w:val="24"/>
          <w:highlight w:val="none"/>
        </w:rPr>
        <w:t>担保公司担保：</w:t>
      </w:r>
      <w:r>
        <w:rPr>
          <w:rFonts w:hint="eastAsia" w:ascii="宋体" w:hAnsi="宋体" w:eastAsia="宋体" w:cs="宋体"/>
          <w:color w:val="auto"/>
          <w:sz w:val="24"/>
          <w:szCs w:val="24"/>
          <w:highlight w:val="none"/>
          <w:lang w:val="en-US" w:eastAsia="zh-CN"/>
        </w:rPr>
        <w:t>项目</w:t>
      </w:r>
      <w:r>
        <w:rPr>
          <w:rFonts w:ascii="宋体" w:hAnsi="宋体" w:eastAsia="宋体" w:cs="宋体"/>
          <w:color w:val="auto"/>
          <w:sz w:val="24"/>
          <w:szCs w:val="24"/>
          <w:highlight w:val="none"/>
        </w:rPr>
        <w:t>所在地担保公司出具并经</w:t>
      </w:r>
      <w:r>
        <w:rPr>
          <w:rFonts w:hint="eastAsia" w:ascii="宋体" w:hAnsi="宋体" w:eastAsia="宋体" w:cs="宋体"/>
          <w:color w:val="auto"/>
          <w:sz w:val="24"/>
          <w:szCs w:val="24"/>
          <w:highlight w:val="none"/>
          <w:lang w:val="en-US" w:eastAsia="zh-CN"/>
        </w:rPr>
        <w:t>甲方</w:t>
      </w:r>
      <w:r>
        <w:rPr>
          <w:rFonts w:ascii="宋体" w:hAnsi="宋体" w:eastAsia="宋体" w:cs="宋体"/>
          <w:color w:val="auto"/>
          <w:sz w:val="24"/>
          <w:szCs w:val="24"/>
          <w:highlight w:val="none"/>
        </w:rPr>
        <w:t>认可的无条件、不可撤销的连带担保</w:t>
      </w:r>
      <w:r>
        <w:rPr>
          <w:rFonts w:hint="eastAsia" w:ascii="宋体" w:hAnsi="宋体" w:eastAsia="宋体" w:cs="宋体"/>
          <w:color w:val="auto"/>
          <w:sz w:val="24"/>
          <w:szCs w:val="24"/>
          <w:highlight w:val="none"/>
          <w:lang w:eastAsia="zh-CN"/>
        </w:rPr>
        <w:t>；</w:t>
      </w:r>
    </w:p>
    <w:p>
      <w:pPr>
        <w:pStyle w:val="17"/>
        <w:numPr>
          <w:ilvl w:val="12"/>
          <w:numId w:val="0"/>
        </w:numPr>
        <w:spacing w:before="0" w:beforeAutospacing="0" w:after="0" w:afterAutospacing="0" w:line="520" w:lineRule="exact"/>
        <w:ind w:firstLine="480" w:firstLineChars="200"/>
        <w:rPr>
          <w:rFonts w:hint="eastAsia"/>
          <w:color w:val="auto"/>
          <w:highlight w:val="none"/>
        </w:rPr>
      </w:pPr>
      <w:r>
        <w:rPr>
          <w:rFonts w:hint="eastAsia" w:eastAsia="宋体" w:cs="宋体"/>
          <w:color w:val="auto"/>
          <w:sz w:val="24"/>
          <w:szCs w:val="24"/>
          <w:highlight w:val="none"/>
          <w:lang w:eastAsia="zh-CN"/>
        </w:rPr>
        <w:t>（</w:t>
      </w:r>
      <w:r>
        <w:rPr>
          <w:rFonts w:hint="eastAsia" w:eastAsia="宋体" w:cs="宋体"/>
          <w:color w:val="auto"/>
          <w:sz w:val="24"/>
          <w:szCs w:val="24"/>
          <w:highlight w:val="none"/>
          <w:lang w:val="en-US" w:eastAsia="zh-CN"/>
        </w:rPr>
        <w:t>3</w:t>
      </w:r>
      <w:r>
        <w:rPr>
          <w:rFonts w:hint="eastAsia" w:eastAsia="宋体" w:cs="宋体"/>
          <w:color w:val="auto"/>
          <w:sz w:val="24"/>
          <w:szCs w:val="24"/>
          <w:highlight w:val="none"/>
          <w:lang w:eastAsia="zh-CN"/>
        </w:rPr>
        <w:t>）</w:t>
      </w:r>
      <w:r>
        <w:rPr>
          <w:rFonts w:ascii="宋体" w:hAnsi="宋体" w:eastAsia="宋体" w:cs="宋体"/>
          <w:color w:val="auto"/>
          <w:sz w:val="24"/>
          <w:szCs w:val="24"/>
          <w:highlight w:val="none"/>
        </w:rPr>
        <w:t>保证保险：</w:t>
      </w:r>
      <w:r>
        <w:rPr>
          <w:rFonts w:hint="eastAsia" w:ascii="宋体" w:hAnsi="宋体" w:eastAsia="宋体" w:cs="宋体"/>
          <w:color w:val="auto"/>
          <w:sz w:val="24"/>
          <w:szCs w:val="24"/>
          <w:highlight w:val="none"/>
          <w:lang w:val="en-US" w:eastAsia="zh-CN"/>
        </w:rPr>
        <w:t>项目</w:t>
      </w:r>
      <w:r>
        <w:rPr>
          <w:rFonts w:ascii="宋体" w:hAnsi="宋体" w:eastAsia="宋体" w:cs="宋体"/>
          <w:color w:val="auto"/>
          <w:sz w:val="24"/>
          <w:szCs w:val="24"/>
          <w:highlight w:val="none"/>
        </w:rPr>
        <w:t>所在地保险公司出具并经</w:t>
      </w:r>
      <w:r>
        <w:rPr>
          <w:rFonts w:hint="eastAsia" w:ascii="宋体" w:hAnsi="宋体" w:eastAsia="宋体" w:cs="宋体"/>
          <w:color w:val="auto"/>
          <w:sz w:val="24"/>
          <w:szCs w:val="24"/>
          <w:highlight w:val="none"/>
          <w:lang w:val="en-US" w:eastAsia="zh-CN"/>
        </w:rPr>
        <w:t>甲方</w:t>
      </w:r>
      <w:r>
        <w:rPr>
          <w:rFonts w:ascii="宋体" w:hAnsi="宋体" w:eastAsia="宋体" w:cs="宋体"/>
          <w:color w:val="auto"/>
          <w:sz w:val="24"/>
          <w:szCs w:val="24"/>
          <w:highlight w:val="none"/>
        </w:rPr>
        <w:t>认可的无条件、不可撤销的保证保险</w:t>
      </w:r>
      <w:r>
        <w:rPr>
          <w:rFonts w:hint="eastAsia" w:ascii="宋体" w:hAnsi="宋体" w:eastAsia="宋体" w:cs="宋体"/>
          <w:color w:val="auto"/>
          <w:sz w:val="24"/>
          <w:szCs w:val="24"/>
          <w:highlight w:val="none"/>
          <w:lang w:eastAsia="zh-CN"/>
        </w:rPr>
        <w:t>；</w:t>
      </w:r>
    </w:p>
    <w:p>
      <w:pPr>
        <w:pStyle w:val="17"/>
        <w:keepNext w:val="0"/>
        <w:keepLines w:val="0"/>
        <w:pageBreakBefore w:val="0"/>
        <w:widowControl w:val="0"/>
        <w:kinsoku/>
        <w:wordWrap/>
        <w:overflowPunct/>
        <w:bidi w:val="0"/>
        <w:spacing w:before="0" w:beforeAutospacing="0" w:after="0" w:afterAutospacing="0" w:line="500" w:lineRule="exact"/>
        <w:ind w:firstLine="480"/>
        <w:rPr>
          <w:rFonts w:hint="eastAsia" w:ascii="宋体" w:hAnsi="宋体" w:eastAsia="宋体" w:cs="宋体"/>
          <w:color w:val="auto"/>
          <w:szCs w:val="24"/>
          <w:highlight w:val="none"/>
        </w:rPr>
      </w:pPr>
      <w:r>
        <w:rPr>
          <w:rFonts w:hint="eastAsia" w:eastAsia="宋体" w:cs="宋体"/>
          <w:color w:val="auto"/>
          <w:szCs w:val="24"/>
          <w:highlight w:val="none"/>
          <w:lang w:eastAsia="zh-CN"/>
        </w:rPr>
        <w:t>（</w:t>
      </w:r>
      <w:r>
        <w:rPr>
          <w:rFonts w:hint="eastAsia" w:eastAsia="宋体" w:cs="宋体"/>
          <w:color w:val="auto"/>
          <w:szCs w:val="24"/>
          <w:highlight w:val="none"/>
          <w:lang w:val="en-US" w:eastAsia="zh-CN"/>
        </w:rPr>
        <w:t>4</w:t>
      </w:r>
      <w:r>
        <w:rPr>
          <w:rFonts w:hint="eastAsia" w:eastAsia="宋体" w:cs="宋体"/>
          <w:color w:val="auto"/>
          <w:szCs w:val="24"/>
          <w:highlight w:val="none"/>
          <w:lang w:eastAsia="zh-CN"/>
        </w:rPr>
        <w:t>）</w:t>
      </w:r>
      <w:r>
        <w:rPr>
          <w:rFonts w:hint="eastAsia" w:ascii="宋体" w:hAnsi="宋体" w:eastAsia="宋体" w:cs="宋体"/>
          <w:color w:val="auto"/>
          <w:szCs w:val="24"/>
          <w:highlight w:val="none"/>
        </w:rPr>
        <w:t>现金转账至甲方以下指定账户：</w:t>
      </w:r>
    </w:p>
    <w:p>
      <w:pPr>
        <w:keepNext w:val="0"/>
        <w:keepLines w:val="0"/>
        <w:pageBreakBefore w:val="0"/>
        <w:widowControl w:val="0"/>
        <w:tabs>
          <w:tab w:val="left" w:pos="1995"/>
        </w:tabs>
        <w:kinsoku/>
        <w:wordWrap/>
        <w:overflowPunct/>
        <w:bidi w:val="0"/>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户名：广州市净水有限公司</w:t>
      </w:r>
    </w:p>
    <w:p>
      <w:pPr>
        <w:keepNext w:val="0"/>
        <w:keepLines w:val="0"/>
        <w:pageBreakBefore w:val="0"/>
        <w:widowControl w:val="0"/>
        <w:tabs>
          <w:tab w:val="left" w:pos="1995"/>
        </w:tabs>
        <w:kinsoku/>
        <w:wordWrap/>
        <w:overflowPunct/>
        <w:bidi w:val="0"/>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账号：82010154900000342</w:t>
      </w:r>
    </w:p>
    <w:p>
      <w:pPr>
        <w:keepNext w:val="0"/>
        <w:keepLines w:val="0"/>
        <w:pageBreakBefore w:val="0"/>
        <w:widowControl w:val="0"/>
        <w:tabs>
          <w:tab w:val="left" w:pos="1995"/>
        </w:tabs>
        <w:kinsoku/>
        <w:wordWrap/>
        <w:overflowPunct/>
        <w:bidi w:val="0"/>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开户行：浦发银行广州分行</w:t>
      </w:r>
    </w:p>
    <w:p>
      <w:pPr>
        <w:keepNext w:val="0"/>
        <w:keepLines w:val="0"/>
        <w:pageBreakBefore w:val="0"/>
        <w:widowControl w:val="0"/>
        <w:kinsoku/>
        <w:wordWrap/>
        <w:overflowPunct/>
        <w:bidi w:val="0"/>
        <w:spacing w:line="50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6.2履约担保的担保期限和返还</w:t>
      </w:r>
    </w:p>
    <w:p>
      <w:pPr>
        <w:keepNext w:val="0"/>
        <w:keepLines w:val="0"/>
        <w:pageBreakBefore w:val="0"/>
        <w:widowControl w:val="0"/>
        <w:kinsoku/>
        <w:wordWrap/>
        <w:overflowPunct/>
        <w:bidi w:val="0"/>
        <w:spacing w:line="500" w:lineRule="exact"/>
        <w:ind w:firstLine="48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⑴履约银行保函（</w:t>
      </w:r>
      <w:r>
        <w:rPr>
          <w:rFonts w:hint="eastAsia" w:ascii="宋体" w:hAnsi="宋体" w:eastAsia="宋体" w:cs="宋体"/>
          <w:color w:val="auto"/>
          <w:sz w:val="24"/>
          <w:szCs w:val="24"/>
          <w:highlight w:val="none"/>
          <w:lang w:val="en-US" w:eastAsia="zh-CN"/>
        </w:rPr>
        <w:t>担保公司担保、保证保险、</w:t>
      </w:r>
      <w:r>
        <w:rPr>
          <w:rFonts w:hint="eastAsia" w:ascii="宋体" w:hAnsi="宋体" w:eastAsia="宋体" w:cs="宋体"/>
          <w:color w:val="auto"/>
          <w:sz w:val="24"/>
          <w:szCs w:val="24"/>
          <w:highlight w:val="none"/>
        </w:rPr>
        <w:t>现金履约保证金）的担保期限：从提供履约担保（或转账成功）之日起至合同履行完成。</w:t>
      </w:r>
    </w:p>
    <w:p>
      <w:pPr>
        <w:keepNext w:val="0"/>
        <w:keepLines w:val="0"/>
        <w:pageBreakBefore w:val="0"/>
        <w:widowControl w:val="0"/>
        <w:kinsoku/>
        <w:wordWrap/>
        <w:overflowPunct/>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⑵履约银行保函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担保公司担保、保证保险</w:t>
      </w:r>
      <w:r>
        <w:rPr>
          <w:rFonts w:hint="eastAsia" w:ascii="宋体" w:hAnsi="宋体" w:eastAsia="宋体" w:cs="宋体"/>
          <w:color w:val="auto"/>
          <w:sz w:val="24"/>
          <w:szCs w:val="24"/>
          <w:highlight w:val="none"/>
        </w:rPr>
        <w:t>在合同履行完成后，由乙方提出申请，甲方在28日内返还，不支付利息：</w:t>
      </w:r>
    </w:p>
    <w:p>
      <w:pPr>
        <w:keepNext w:val="0"/>
        <w:keepLines w:val="0"/>
        <w:pageBreakBefore w:val="0"/>
        <w:widowControl w:val="0"/>
        <w:kinsoku/>
        <w:wordWrap/>
        <w:overflowPunct/>
        <w:bidi w:val="0"/>
        <w:spacing w:line="50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⑶延长担保期限。乙方</w:t>
      </w:r>
      <w:r>
        <w:rPr>
          <w:rFonts w:ascii="宋体" w:hAnsi="宋体" w:eastAsia="宋体" w:cs="宋体"/>
          <w:color w:val="auto"/>
          <w:sz w:val="24"/>
          <w:szCs w:val="24"/>
          <w:highlight w:val="none"/>
        </w:rPr>
        <w:t>应在履约担保有效期届满之日的7天前，向</w:t>
      </w:r>
      <w:r>
        <w:rPr>
          <w:rFonts w:hint="eastAsia" w:ascii="宋体" w:hAnsi="宋体" w:eastAsia="宋体" w:cs="宋体"/>
          <w:color w:val="auto"/>
          <w:sz w:val="24"/>
          <w:szCs w:val="24"/>
          <w:highlight w:val="none"/>
          <w:lang w:val="en-US" w:eastAsia="zh-CN"/>
        </w:rPr>
        <w:t>甲方</w:t>
      </w:r>
      <w:r>
        <w:rPr>
          <w:rFonts w:ascii="宋体" w:hAnsi="宋体" w:eastAsia="宋体" w:cs="宋体"/>
          <w:color w:val="auto"/>
          <w:sz w:val="24"/>
          <w:szCs w:val="24"/>
          <w:highlight w:val="none"/>
        </w:rPr>
        <w:t>提交同样格式且更新日期后的有效担保替代原担保，否则，每逾期一天，</w:t>
      </w:r>
      <w:r>
        <w:rPr>
          <w:rFonts w:hint="eastAsia" w:ascii="宋体" w:hAnsi="宋体" w:eastAsia="宋体" w:cs="宋体"/>
          <w:color w:val="auto"/>
          <w:sz w:val="24"/>
          <w:szCs w:val="24"/>
          <w:highlight w:val="none"/>
          <w:lang w:val="en-US" w:eastAsia="zh-CN"/>
        </w:rPr>
        <w:t>乙方</w:t>
      </w:r>
      <w:r>
        <w:rPr>
          <w:rFonts w:ascii="宋体" w:hAnsi="宋体" w:eastAsia="宋体" w:cs="宋体"/>
          <w:color w:val="auto"/>
          <w:sz w:val="24"/>
          <w:szCs w:val="24"/>
          <w:highlight w:val="none"/>
        </w:rPr>
        <w:t>应向</w:t>
      </w:r>
      <w:r>
        <w:rPr>
          <w:rFonts w:hint="eastAsia" w:ascii="宋体" w:hAnsi="宋体" w:eastAsia="宋体" w:cs="宋体"/>
          <w:color w:val="auto"/>
          <w:sz w:val="24"/>
          <w:szCs w:val="24"/>
          <w:highlight w:val="none"/>
          <w:lang w:val="en-US" w:eastAsia="zh-CN"/>
        </w:rPr>
        <w:t>甲方</w:t>
      </w:r>
      <w:r>
        <w:rPr>
          <w:rFonts w:ascii="宋体" w:hAnsi="宋体" w:eastAsia="宋体" w:cs="宋体"/>
          <w:color w:val="auto"/>
          <w:sz w:val="24"/>
          <w:szCs w:val="24"/>
          <w:highlight w:val="none"/>
        </w:rPr>
        <w:t>支付违约金</w:t>
      </w:r>
      <w:r>
        <w:rPr>
          <w:rFonts w:hint="eastAsia" w:ascii="宋体" w:hAnsi="宋体" w:eastAsia="宋体" w:cs="宋体"/>
          <w:color w:val="auto"/>
          <w:sz w:val="24"/>
          <w:szCs w:val="24"/>
          <w:highlight w:val="none"/>
          <w:u w:val="none"/>
        </w:rPr>
        <w:t>2</w:t>
      </w:r>
      <w:r>
        <w:rPr>
          <w:rFonts w:ascii="宋体" w:hAnsi="宋体" w:eastAsia="宋体" w:cs="宋体"/>
          <w:color w:val="auto"/>
          <w:sz w:val="24"/>
          <w:szCs w:val="24"/>
          <w:highlight w:val="none"/>
        </w:rPr>
        <w:t>万元/天</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且</w:t>
      </w:r>
      <w:r>
        <w:rPr>
          <w:rFonts w:hint="eastAsia" w:ascii="宋体" w:hAnsi="宋体" w:eastAsia="宋体" w:cs="宋体"/>
          <w:color w:val="auto"/>
          <w:sz w:val="24"/>
          <w:szCs w:val="24"/>
          <w:highlight w:val="none"/>
        </w:rPr>
        <w:t>甲方</w:t>
      </w:r>
      <w:r>
        <w:rPr>
          <w:rFonts w:ascii="宋体" w:hAnsi="宋体" w:eastAsia="宋体" w:cs="宋体"/>
          <w:color w:val="auto"/>
          <w:sz w:val="24"/>
          <w:szCs w:val="24"/>
          <w:highlight w:val="none"/>
        </w:rPr>
        <w:t>有权提取全部履约担保金额</w:t>
      </w:r>
      <w:r>
        <w:rPr>
          <w:rFonts w:hint="eastAsia" w:ascii="宋体" w:hAnsi="宋体" w:eastAsia="宋体" w:cs="宋体"/>
          <w:color w:val="auto"/>
          <w:sz w:val="24"/>
          <w:szCs w:val="24"/>
          <w:highlight w:val="none"/>
        </w:rPr>
        <w:t>并解除合同。</w:t>
      </w:r>
    </w:p>
    <w:p>
      <w:pPr>
        <w:pStyle w:val="17"/>
        <w:keepNext w:val="0"/>
        <w:keepLines w:val="0"/>
        <w:pageBreakBefore w:val="0"/>
        <w:widowControl w:val="0"/>
        <w:kinsoku/>
        <w:wordWrap/>
        <w:overflowPunct/>
        <w:bidi w:val="0"/>
        <w:spacing w:before="0" w:beforeAutospacing="0" w:after="0" w:afterAutospacing="0" w:line="500" w:lineRule="exact"/>
        <w:ind w:firstLine="480" w:firstLineChars="200"/>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⑷现金履约保证金的退还：合同履行完成后，由乙方提出申请，甲方在</w:t>
      </w:r>
      <w:r>
        <w:rPr>
          <w:rFonts w:hint="eastAsia" w:ascii="宋体" w:hAnsi="宋体" w:eastAsia="宋体" w:cs="宋体"/>
          <w:color w:val="auto"/>
          <w:szCs w:val="24"/>
          <w:highlight w:val="none"/>
          <w:u w:val="single"/>
        </w:rPr>
        <w:t>28日</w:t>
      </w:r>
      <w:r>
        <w:rPr>
          <w:rFonts w:hint="eastAsia" w:ascii="宋体" w:hAnsi="宋体" w:eastAsia="宋体" w:cs="宋体"/>
          <w:color w:val="auto"/>
          <w:szCs w:val="24"/>
          <w:highlight w:val="none"/>
        </w:rPr>
        <w:t>内将剩余保证金（无息）返还。</w:t>
      </w:r>
    </w:p>
    <w:p>
      <w:pPr>
        <w:keepNext w:val="0"/>
        <w:keepLines w:val="0"/>
        <w:pageBreakBefore w:val="0"/>
        <w:widowControl w:val="0"/>
        <w:kinsoku/>
        <w:wordWrap/>
        <w:overflowPunct/>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6.3甲方按本合同规定提取履约担保金额后，乙方应在收到甲方通知后</w:t>
      </w:r>
    </w:p>
    <w:p>
      <w:pPr>
        <w:keepNext w:val="0"/>
        <w:keepLines w:val="0"/>
        <w:pageBreakBefore w:val="0"/>
        <w:widowControl w:val="0"/>
        <w:kinsoku/>
        <w:wordWrap/>
        <w:overflowPunct/>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7  </w:t>
      </w:r>
      <w:r>
        <w:rPr>
          <w:rFonts w:hint="eastAsia" w:ascii="宋体" w:hAnsi="宋体" w:eastAsia="宋体" w:cs="宋体"/>
          <w:color w:val="auto"/>
          <w:sz w:val="24"/>
          <w:szCs w:val="24"/>
          <w:highlight w:val="none"/>
        </w:rPr>
        <w:t>日内补足数额，逾期未补足的，则甲方有权提取履约担保的全部余额并解除合同。</w:t>
      </w:r>
    </w:p>
    <w:p>
      <w:pPr>
        <w:pStyle w:val="17"/>
        <w:keepNext w:val="0"/>
        <w:keepLines w:val="0"/>
        <w:pageBreakBefore w:val="0"/>
        <w:widowControl w:val="0"/>
        <w:kinsoku/>
        <w:wordWrap/>
        <w:overflowPunct/>
        <w:bidi w:val="0"/>
        <w:spacing w:before="0" w:beforeAutospacing="0" w:after="0" w:afterAutospacing="0" w:line="500" w:lineRule="exact"/>
        <w:ind w:firstLine="482"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第七条  图纸</w:t>
      </w:r>
    </w:p>
    <w:p>
      <w:pPr>
        <w:keepNext w:val="0"/>
        <w:keepLines w:val="0"/>
        <w:pageBreakBefore w:val="0"/>
        <w:widowControl w:val="0"/>
        <w:tabs>
          <w:tab w:val="left" w:pos="1276"/>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7.1甲方于开工前向乙方提供技术要求或施工图纸及相关资料。（不包括竣工图纸）</w:t>
      </w:r>
    </w:p>
    <w:p>
      <w:pPr>
        <w:keepNext w:val="0"/>
        <w:keepLines w:val="0"/>
        <w:pageBreakBefore w:val="0"/>
        <w:widowControl w:val="0"/>
        <w:tabs>
          <w:tab w:val="left" w:pos="0"/>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7.2乙方未经甲方书面同意，不得将本工程图纸</w:t>
      </w:r>
      <w:r>
        <w:rPr>
          <w:rStyle w:val="25"/>
          <w:rFonts w:hint="eastAsia" w:ascii="宋体" w:hAnsi="宋体" w:eastAsia="宋体" w:cs="宋体"/>
          <w:color w:val="auto"/>
          <w:sz w:val="24"/>
          <w:szCs w:val="24"/>
          <w:highlight w:val="none"/>
        </w:rPr>
        <w:t>出示、</w:t>
      </w:r>
      <w:r>
        <w:rPr>
          <w:rFonts w:hint="eastAsia" w:ascii="宋体" w:hAnsi="宋体" w:eastAsia="宋体" w:cs="宋体"/>
          <w:color w:val="auto"/>
          <w:sz w:val="24"/>
          <w:szCs w:val="24"/>
          <w:highlight w:val="none"/>
        </w:rPr>
        <w:t>泄露或以任何其他方式提供给第三人或使第三人知悉。除乙方存档需要的图纸外，乙方应在工程质量保修期满后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日内将全部图纸退还给甲方。</w:t>
      </w:r>
    </w:p>
    <w:p>
      <w:pPr>
        <w:keepNext w:val="0"/>
        <w:keepLines w:val="0"/>
        <w:pageBreakBefore w:val="0"/>
        <w:widowControl w:val="0"/>
        <w:tabs>
          <w:tab w:val="left" w:pos="360"/>
        </w:tabs>
        <w:kinsoku/>
        <w:wordWrap/>
        <w:overflowPunct/>
        <w:bidi w:val="0"/>
        <w:adjustRightInd w:val="0"/>
        <w:snapToGrid w:val="0"/>
        <w:spacing w:line="50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第八条  甲方代表、乙方驻场代表</w:t>
      </w:r>
    </w:p>
    <w:p>
      <w:pPr>
        <w:keepNext w:val="0"/>
        <w:keepLines w:val="0"/>
        <w:pageBreakBefore w:val="0"/>
        <w:widowControl w:val="0"/>
        <w:tabs>
          <w:tab w:val="left" w:pos="1276"/>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31"/>
        <w:keepNext w:val="0"/>
        <w:keepLines w:val="0"/>
        <w:pageBreakBefore w:val="0"/>
        <w:widowControl w:val="0"/>
        <w:tabs>
          <w:tab w:val="left" w:pos="1276"/>
        </w:tabs>
        <w:kinsoku/>
        <w:wordWrap/>
        <w:overflowPunct/>
        <w:bidi w:val="0"/>
        <w:snapToGrid w:val="0"/>
        <w:spacing w:before="0" w:after="0" w:line="500" w:lineRule="exact"/>
        <w:ind w:left="0" w:right="0" w:firstLine="48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乙方驻场代表（项目经理）：_______________ 。</w:t>
      </w:r>
    </w:p>
    <w:p>
      <w:pPr>
        <w:keepNext w:val="0"/>
        <w:keepLines w:val="0"/>
        <w:pageBreakBefore w:val="0"/>
        <w:widowControl w:val="0"/>
        <w:tabs>
          <w:tab w:val="left" w:pos="1276"/>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项目经理任职条件须符合《广东省住房和城乡建设厅关于加强我省小型工程项目施工管理及明确小型工程项目负责人任职条件的通知》（粤建市[2010]26号）中的相关规定(如有新文件从其新规定）。</w:t>
      </w:r>
    </w:p>
    <w:p>
      <w:pPr>
        <w:keepNext w:val="0"/>
        <w:keepLines w:val="0"/>
        <w:pageBreakBefore w:val="0"/>
        <w:widowControl w:val="0"/>
        <w:tabs>
          <w:tab w:val="left" w:pos="851"/>
        </w:tabs>
        <w:kinsoku/>
        <w:wordWrap/>
        <w:overflowPunct/>
        <w:bidi w:val="0"/>
        <w:adjustRightInd w:val="0"/>
        <w:snapToGrid w:val="0"/>
        <w:spacing w:line="50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第九条  甲方责任</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9.1 开工前办理土地征用，青苗、树木赔偿，坟地迁移，房屋、构筑物拆迁（如有），地上及架空、地下障碍物清除，保证施工期间的用地需要。</w:t>
      </w:r>
    </w:p>
    <w:p>
      <w:pPr>
        <w:keepNext w:val="0"/>
        <w:keepLines w:val="0"/>
        <w:pageBreakBefore w:val="0"/>
        <w:widowControl w:val="0"/>
        <w:tabs>
          <w:tab w:val="left" w:pos="-180"/>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办理施工许可证和临时用地、停水、停电、中断道路交通、爆破作业等的申请批准手续（证明乙方自身资质的证件及应由乙方办理的手续除外）。</w:t>
      </w:r>
    </w:p>
    <w:p>
      <w:pPr>
        <w:keepNext w:val="0"/>
        <w:keepLines w:val="0"/>
        <w:pageBreakBefore w:val="0"/>
        <w:widowControl w:val="0"/>
        <w:tabs>
          <w:tab w:val="left" w:pos="0"/>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 协调、处理施工现场周围建筑物、构筑物(含文物保护建筑)、古树名木和地下管线的保护，并承担有关费用。</w:t>
      </w:r>
    </w:p>
    <w:p>
      <w:pPr>
        <w:keepNext w:val="0"/>
        <w:keepLines w:val="0"/>
        <w:pageBreakBefore w:val="0"/>
        <w:widowControl w:val="0"/>
        <w:tabs>
          <w:tab w:val="left" w:pos="0"/>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 按照合同条款第七条约定及时将施工图纸及有关技术资料提供给乙方，并组织设计单位、乙方会审图纸和设计交底，在收到乙方提供的施工组织设计(或施工方案)和进度计划后</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日内予以确认。</w:t>
      </w:r>
    </w:p>
    <w:p>
      <w:pPr>
        <w:keepNext w:val="0"/>
        <w:keepLines w:val="0"/>
        <w:pageBreakBefore w:val="0"/>
        <w:widowControl w:val="0"/>
        <w:tabs>
          <w:tab w:val="left" w:pos="851"/>
        </w:tabs>
        <w:kinsoku/>
        <w:wordWrap/>
        <w:overflowPunct/>
        <w:bidi w:val="0"/>
        <w:adjustRightInd w:val="0"/>
        <w:snapToGrid w:val="0"/>
        <w:spacing w:line="50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第十条  乙方责任</w:t>
      </w:r>
    </w:p>
    <w:p>
      <w:pPr>
        <w:keepNext w:val="0"/>
        <w:keepLines w:val="0"/>
        <w:pageBreakBefore w:val="0"/>
        <w:widowControl w:val="0"/>
        <w:kinsoku/>
        <w:wordWrap/>
        <w:overflowPunct/>
        <w:bidi w:val="0"/>
        <w:spacing w:line="5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10.1施工用水用电采用以下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方式执行。</w:t>
      </w:r>
    </w:p>
    <w:p>
      <w:pPr>
        <w:keepNext w:val="0"/>
        <w:keepLines w:val="0"/>
        <w:pageBreakBefore w:val="0"/>
        <w:widowControl w:val="0"/>
        <w:kinsoku/>
        <w:wordWrap/>
        <w:overflowPunct/>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（1）由甲方提供施工用水用电接口，水电费按合同综合单价水电含量计算，从甲方支付的工程款中直接扣回。</w:t>
      </w:r>
    </w:p>
    <w:p>
      <w:pPr>
        <w:keepNext w:val="0"/>
        <w:keepLines w:val="0"/>
        <w:pageBreakBefore w:val="0"/>
        <w:widowControl w:val="0"/>
        <w:kinsoku/>
        <w:wordWrap/>
        <w:overflowPunct/>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（2）由甲方提供施工用水用电接口，费用按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月/项目）结算，由乙方向</w:t>
      </w:r>
      <w:r>
        <w:rPr>
          <w:rFonts w:hint="eastAsia" w:ascii="宋体" w:hAnsi="宋体" w:eastAsia="宋体" w:cs="宋体"/>
          <w:color w:val="auto"/>
          <w:sz w:val="24"/>
          <w:szCs w:val="24"/>
          <w:highlight w:val="none"/>
          <w:u w:val="single"/>
        </w:rPr>
        <w:t>甲方或甲方XX分公司</w:t>
      </w:r>
      <w:r>
        <w:rPr>
          <w:rFonts w:hint="eastAsia" w:ascii="宋体" w:hAnsi="宋体" w:eastAsia="宋体" w:cs="宋体"/>
          <w:color w:val="auto"/>
          <w:sz w:val="24"/>
          <w:szCs w:val="24"/>
          <w:highlight w:val="none"/>
        </w:rPr>
        <w:t>支付。水电费用按所属供电局、自来水公司收费标准，按实计算。</w:t>
      </w:r>
    </w:p>
    <w:p>
      <w:pPr>
        <w:keepNext w:val="0"/>
        <w:keepLines w:val="0"/>
        <w:pageBreakBefore w:val="0"/>
        <w:widowControl w:val="0"/>
        <w:kinsoku/>
        <w:wordWrap/>
        <w:overflowPunct/>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（3）由乙方自行负责。</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 根据甲方要求提交施工计划、已完工进度统计报表和工程事故报告。</w:t>
      </w:r>
    </w:p>
    <w:p>
      <w:pPr>
        <w:keepNext w:val="0"/>
        <w:keepLines w:val="0"/>
        <w:pageBreakBefore w:val="0"/>
        <w:widowControl w:val="0"/>
        <w:kinsoku/>
        <w:wordWrap/>
        <w:overflowPunct/>
        <w:bidi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 遵守国家及本市有关部门对施工现场环境保护，做好施工噪声、废气、废水、安全、防火、保卫、并按照国家及广州市相关规定做好建筑垃圾的处理等各项工作。</w:t>
      </w:r>
    </w:p>
    <w:p>
      <w:pPr>
        <w:keepNext w:val="0"/>
        <w:keepLines w:val="0"/>
        <w:pageBreakBefore w:val="0"/>
        <w:widowControl w:val="0"/>
        <w:tabs>
          <w:tab w:val="left" w:pos="851"/>
        </w:tabs>
        <w:kinsoku/>
        <w:wordWrap/>
        <w:overflowPunct/>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 建立健全安全防护措施和文明施工的制度，完善安全防护和文明施工条件，严格按照安全防护和文明施工的规定组织施工，采取必要的安全防护措施，消除事故隐患，自觉接受和配合行政主管部门依法实施的监督检查。乙方在施工过程中必须按照相关规定进行围蔽。</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10.5 做好施工现场周围建筑物、构筑物(含文物保护建筑)、古树名木和地下管线的保护。发现地下障碍和文物时，及时报告甲方及有关部门并采取有效保护措施，按有关具体规定处置，甲方承担由此发生的费用，延误的工期相应顺延。                                                          </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需在施工组织设计(或施工方案)中列明管线保护的详细措施，经甲方确认后才能进行施工，在施工过程中严格按照管线保护措施保护好管线，相关费用按实计量。由于措施不当或没有做好保护措施便开工导致挖断管线的，乙方承担所有责任及相应费用。当现场施工发生管线损坏事故时，乙方必须立即报告甲方、管线产权单位及建设行政主管部门。</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10.6 在图纸会审和设计交底后</w:t>
      </w:r>
      <w:r>
        <w:rPr>
          <w:rFonts w:hint="eastAsia" w:ascii="宋体" w:hAnsi="宋体" w:eastAsia="宋体" w:cs="宋体"/>
          <w:color w:val="auto"/>
          <w:sz w:val="24"/>
          <w:szCs w:val="24"/>
          <w:highlight w:val="none"/>
          <w:u w:val="single"/>
        </w:rPr>
        <w:t xml:space="preserve"> 7 </w:t>
      </w:r>
      <w:r>
        <w:rPr>
          <w:rFonts w:hint="eastAsia" w:ascii="宋体" w:hAnsi="宋体" w:eastAsia="宋体" w:cs="宋体"/>
          <w:color w:val="auto"/>
          <w:sz w:val="24"/>
          <w:szCs w:val="24"/>
          <w:highlight w:val="none"/>
        </w:rPr>
        <w:t>日内向甲方提交施工组织设计(或施工方案)和进度计划，经甲方批准后依照计划组织施工，接受甲方对进度的检查监督。</w:t>
      </w:r>
    </w:p>
    <w:p>
      <w:pPr>
        <w:pStyle w:val="31"/>
        <w:keepNext w:val="0"/>
        <w:keepLines w:val="0"/>
        <w:pageBreakBefore w:val="0"/>
        <w:widowControl w:val="0"/>
        <w:tabs>
          <w:tab w:val="left" w:pos="851"/>
        </w:tabs>
        <w:kinsoku/>
        <w:wordWrap/>
        <w:overflowPunct/>
        <w:bidi w:val="0"/>
        <w:snapToGrid w:val="0"/>
        <w:spacing w:before="0" w:after="0" w:line="500" w:lineRule="exact"/>
        <w:ind w:left="0" w:right="0" w:firstLine="48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10.7 乙方严格遵守建设工程余泥渣土运输与排放管理制度，选择合法的余泥渣土运输单位及排放点，确保余泥渣土合法处置。</w:t>
      </w:r>
    </w:p>
    <w:p>
      <w:pPr>
        <w:pStyle w:val="31"/>
        <w:keepNext w:val="0"/>
        <w:keepLines w:val="0"/>
        <w:pageBreakBefore w:val="0"/>
        <w:widowControl w:val="0"/>
        <w:tabs>
          <w:tab w:val="left" w:pos="851"/>
        </w:tabs>
        <w:kinsoku/>
        <w:wordWrap/>
        <w:overflowPunct/>
        <w:bidi w:val="0"/>
        <w:snapToGrid w:val="0"/>
        <w:spacing w:before="0" w:after="0" w:line="500" w:lineRule="exact"/>
        <w:ind w:left="600" w:leftChars="150" w:right="0" w:hanging="120" w:hangingChars="5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10.8 乙方应按时参加甲方召开的施工调度会议，严格执行会议纪要的决定每缺</w:t>
      </w:r>
    </w:p>
    <w:p>
      <w:pPr>
        <w:pStyle w:val="31"/>
        <w:keepNext w:val="0"/>
        <w:keepLines w:val="0"/>
        <w:pageBreakBefore w:val="0"/>
        <w:widowControl w:val="0"/>
        <w:tabs>
          <w:tab w:val="left" w:pos="851"/>
        </w:tabs>
        <w:kinsoku/>
        <w:wordWrap/>
        <w:overflowPunct/>
        <w:bidi w:val="0"/>
        <w:snapToGrid w:val="0"/>
        <w:spacing w:before="0" w:after="0" w:line="500" w:lineRule="exact"/>
        <w:ind w:left="0" w:leftChars="0" w:right="0" w:firstLine="0" w:firstLineChars="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席一次，甲方有权要求乙方支付</w:t>
      </w:r>
      <w:r>
        <w:rPr>
          <w:rFonts w:hint="eastAsia" w:ascii="宋体" w:hAnsi="宋体" w:eastAsia="宋体" w:cs="宋体"/>
          <w:color w:val="auto"/>
          <w:kern w:val="2"/>
          <w:szCs w:val="24"/>
          <w:highlight w:val="none"/>
          <w:u w:val="single"/>
        </w:rPr>
        <w:t xml:space="preserve"> </w:t>
      </w:r>
      <w:r>
        <w:rPr>
          <w:rFonts w:hint="eastAsia" w:ascii="宋体" w:hAnsi="宋体" w:cs="宋体"/>
          <w:color w:val="auto"/>
          <w:szCs w:val="24"/>
          <w:highlight w:val="none"/>
          <w:u w:val="single"/>
          <w:lang w:val="en-US" w:eastAsia="zh-CN"/>
        </w:rPr>
        <w:t>2000</w:t>
      </w:r>
      <w:r>
        <w:rPr>
          <w:rFonts w:hint="eastAsia" w:ascii="宋体" w:hAnsi="宋体" w:eastAsia="宋体" w:cs="宋体"/>
          <w:color w:val="auto"/>
          <w:kern w:val="2"/>
          <w:szCs w:val="24"/>
          <w:highlight w:val="none"/>
          <w:u w:val="single"/>
        </w:rPr>
        <w:t xml:space="preserve"> 元</w:t>
      </w:r>
      <w:r>
        <w:rPr>
          <w:rFonts w:hint="eastAsia" w:ascii="宋体" w:hAnsi="宋体" w:eastAsia="宋体" w:cs="宋体"/>
          <w:color w:val="auto"/>
          <w:kern w:val="2"/>
          <w:szCs w:val="24"/>
          <w:highlight w:val="none"/>
        </w:rPr>
        <w:t>作为违约金。</w:t>
      </w:r>
    </w:p>
    <w:p>
      <w:pPr>
        <w:pStyle w:val="31"/>
        <w:keepNext w:val="0"/>
        <w:keepLines w:val="0"/>
        <w:pageBreakBefore w:val="0"/>
        <w:widowControl w:val="0"/>
        <w:tabs>
          <w:tab w:val="left" w:pos="851"/>
        </w:tabs>
        <w:kinsoku/>
        <w:wordWrap/>
        <w:overflowPunct/>
        <w:bidi w:val="0"/>
        <w:snapToGrid w:val="0"/>
        <w:spacing w:before="0" w:after="0" w:line="500" w:lineRule="exact"/>
        <w:ind w:left="0" w:right="0" w:firstLine="480" w:firstLineChars="200"/>
        <w:rPr>
          <w:rFonts w:hint="eastAsia" w:ascii="宋体" w:hAnsi="宋体" w:eastAsia="宋体" w:cs="宋体"/>
          <w:color w:val="auto"/>
          <w:kern w:val="2"/>
          <w:szCs w:val="24"/>
          <w:highlight w:val="none"/>
        </w:rPr>
      </w:pPr>
      <w:r>
        <w:rPr>
          <w:rFonts w:hint="eastAsia" w:ascii="宋体" w:hAnsi="宋体" w:eastAsia="宋体" w:cs="宋体"/>
          <w:color w:val="auto"/>
          <w:szCs w:val="24"/>
          <w:highlight w:val="none"/>
        </w:rPr>
        <w:t>10.9 乙方应在施工现场保留施工相关资料（如施工图、技术需求书等）、安全审批过程材料，供甲方进行工程检查时使用。</w:t>
      </w:r>
    </w:p>
    <w:p>
      <w:pPr>
        <w:pStyle w:val="31"/>
        <w:keepNext w:val="0"/>
        <w:keepLines w:val="0"/>
        <w:pageBreakBefore w:val="0"/>
        <w:widowControl w:val="0"/>
        <w:tabs>
          <w:tab w:val="left" w:pos="851"/>
        </w:tabs>
        <w:kinsoku/>
        <w:wordWrap/>
        <w:overflowPunct/>
        <w:bidi w:val="0"/>
        <w:snapToGrid w:val="0"/>
        <w:spacing w:before="0" w:after="0" w:line="500" w:lineRule="exact"/>
        <w:ind w:left="0" w:right="0"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10.10 乙方应严格按《广州市建设工程文明施工管理规定》、</w:t>
      </w:r>
      <w:r>
        <w:rPr>
          <w:rFonts w:hint="eastAsia" w:hAnsi="宋体" w:eastAsia="宋体"/>
          <w:color w:val="auto"/>
          <w:sz w:val="24"/>
          <w:highlight w:val="none"/>
          <w:lang w:eastAsia="zh-CN"/>
        </w:rPr>
        <w:t>《</w:t>
      </w:r>
      <w:r>
        <w:rPr>
          <w:rFonts w:hint="eastAsia" w:hAnsi="宋体" w:eastAsia="宋体"/>
          <w:color w:val="auto"/>
          <w:sz w:val="24"/>
          <w:highlight w:val="none"/>
          <w:lang w:val="en-US" w:eastAsia="zh-CN"/>
        </w:rPr>
        <w:t>广州市建设工程扬尘防治“6个100%”管理标准图集（V2.0版）</w:t>
      </w:r>
      <w:r>
        <w:rPr>
          <w:rFonts w:hint="eastAsia" w:hAnsi="宋体" w:eastAsia="宋体"/>
          <w:color w:val="auto"/>
          <w:sz w:val="24"/>
          <w:highlight w:val="none"/>
          <w:lang w:eastAsia="zh-CN"/>
        </w:rPr>
        <w:t>》</w:t>
      </w:r>
      <w:r>
        <w:rPr>
          <w:rFonts w:hint="eastAsia" w:ascii="宋体" w:hAnsi="宋体" w:eastAsia="宋体" w:cs="宋体"/>
          <w:color w:val="auto"/>
          <w:szCs w:val="24"/>
          <w:highlight w:val="none"/>
        </w:rPr>
        <w:t>要求实施。（如有出台新文件，按新文件执行）</w:t>
      </w:r>
    </w:p>
    <w:p>
      <w:pPr>
        <w:pStyle w:val="31"/>
        <w:keepNext w:val="0"/>
        <w:keepLines w:val="0"/>
        <w:pageBreakBefore w:val="0"/>
        <w:widowControl w:val="0"/>
        <w:tabs>
          <w:tab w:val="left" w:pos="851"/>
        </w:tabs>
        <w:kinsoku/>
        <w:wordWrap/>
        <w:overflowPunct/>
        <w:bidi w:val="0"/>
        <w:snapToGrid w:val="0"/>
        <w:spacing w:before="0" w:after="0" w:line="500" w:lineRule="exact"/>
        <w:ind w:left="0" w:right="0"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10.11 乙方应做好施工现场100%围蔽、工地砂土100%覆盖、工地路面100%硬地化、拆除工程100%洒水压尘、出工地车辆100%冲净车轮车身、暂不开发的场地100%绿化等工作。</w:t>
      </w:r>
    </w:p>
    <w:p>
      <w:pPr>
        <w:keepNext w:val="0"/>
        <w:keepLines w:val="0"/>
        <w:pageBreakBefore w:val="0"/>
        <w:widowControl w:val="0"/>
        <w:kinsoku/>
        <w:wordWrap/>
        <w:overflowPunct/>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10.12 如厂区内施工，施工人员必须严格遵守</w:t>
      </w:r>
      <w:r>
        <w:rPr>
          <w:rFonts w:hint="eastAsia" w:ascii="宋体" w:hAnsi="宋体" w:eastAsia="宋体" w:cs="宋体"/>
          <w:color w:val="auto"/>
          <w:kern w:val="10"/>
          <w:sz w:val="24"/>
          <w:szCs w:val="24"/>
          <w:highlight w:val="none"/>
        </w:rPr>
        <w:t>污水处理厂</w:t>
      </w:r>
      <w:r>
        <w:rPr>
          <w:rFonts w:hint="eastAsia" w:ascii="宋体" w:hAnsi="宋体" w:eastAsia="宋体" w:cs="宋体"/>
          <w:color w:val="auto"/>
          <w:sz w:val="24"/>
          <w:szCs w:val="24"/>
          <w:highlight w:val="none"/>
        </w:rPr>
        <w:t>一切规章制度。进入施工现场人员必须佩戴出入证，并自觉接受门岗检查。</w:t>
      </w:r>
    </w:p>
    <w:p>
      <w:pPr>
        <w:keepNext w:val="0"/>
        <w:keepLines w:val="0"/>
        <w:pageBreakBefore w:val="0"/>
        <w:widowControl w:val="0"/>
        <w:kinsoku/>
        <w:wordWrap/>
        <w:overflowPunct/>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10.13 乙方做好施工人员的安全防护措施，施工人员安全责任由乙方承担。</w:t>
      </w:r>
    </w:p>
    <w:p>
      <w:pPr>
        <w:keepNext w:val="0"/>
        <w:keepLines w:val="0"/>
        <w:pageBreakBefore w:val="0"/>
        <w:widowControl w:val="0"/>
        <w:kinsoku/>
        <w:wordWrap/>
        <w:overflowPunct/>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10.14 乙方特种作业人员必须持证上岗。</w:t>
      </w:r>
    </w:p>
    <w:p>
      <w:pPr>
        <w:keepNext w:val="0"/>
        <w:keepLines w:val="0"/>
        <w:pageBreakBefore w:val="0"/>
        <w:widowControl w:val="0"/>
        <w:kinsoku/>
        <w:wordWrap/>
        <w:overflowPunct/>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10.15 乙方应注意安全施工，在施工过程中出现的伤亡事故及工作过程以外出现的一切事故由乙方承担责任，并负责处理善后工作，负责伤亡者一切费用。  </w:t>
      </w:r>
    </w:p>
    <w:p>
      <w:pPr>
        <w:keepNext w:val="0"/>
        <w:keepLines w:val="0"/>
        <w:pageBreakBefore w:val="0"/>
        <w:widowControl w:val="0"/>
        <w:kinsoku/>
        <w:wordWrap/>
        <w:overflowPunct/>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10.16施工过程中，乙方应负责配备现场的应急物资。具体应急物资配备详见附件。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US" w:eastAsia="zh-CN"/>
        </w:rPr>
        <w:t>（如需）</w:t>
      </w:r>
    </w:p>
    <w:p>
      <w:pPr>
        <w:keepNext w:val="0"/>
        <w:keepLines w:val="0"/>
        <w:pageBreakBefore w:val="0"/>
        <w:widowControl w:val="0"/>
        <w:tabs>
          <w:tab w:val="left" w:pos="851"/>
        </w:tabs>
        <w:kinsoku/>
        <w:wordWrap/>
        <w:overflowPunct/>
        <w:bidi w:val="0"/>
        <w:adjustRightInd w:val="0"/>
        <w:snapToGrid w:val="0"/>
        <w:spacing w:line="500" w:lineRule="exact"/>
        <w:ind w:firstLine="482" w:firstLineChars="200"/>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第十一条 工程质量检查及验收</w:t>
      </w:r>
      <w:r>
        <w:rPr>
          <w:rFonts w:hint="eastAsia" w:ascii="宋体" w:hAnsi="宋体" w:eastAsia="宋体" w:cs="宋体"/>
          <w:b/>
          <w:bCs/>
          <w:color w:val="auto"/>
          <w:sz w:val="24"/>
          <w:szCs w:val="24"/>
          <w:highlight w:val="none"/>
          <w:lang w:eastAsia="zh-CN"/>
        </w:rPr>
        <w:t>（按子项工程开展）</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11.1乙方应认真按照国家颁布的施工验收规范及工程设计图纸要求进行施工，且接受甲方监督，质量验收必须达到合格。</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隐蔽工程验收</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当工程具备覆盖、掩盖条件或达到中间验收部位后，乙方自检，并提前</w:t>
      </w:r>
      <w:r>
        <w:rPr>
          <w:rFonts w:hint="eastAsia" w:ascii="宋体" w:hAnsi="宋体" w:eastAsia="宋体" w:cs="宋体"/>
          <w:color w:val="auto"/>
          <w:sz w:val="24"/>
          <w:szCs w:val="24"/>
          <w:highlight w:val="none"/>
          <w:u w:val="single"/>
        </w:rPr>
        <w:t>48</w:t>
      </w:r>
      <w:r>
        <w:rPr>
          <w:rFonts w:hint="eastAsia" w:ascii="宋体" w:hAnsi="宋体" w:eastAsia="宋体" w:cs="宋体"/>
          <w:color w:val="auto"/>
          <w:sz w:val="24"/>
          <w:szCs w:val="24"/>
          <w:highlight w:val="none"/>
        </w:rPr>
        <w:t xml:space="preserve">小时以书面形式通知甲方参加验收，经甲方验收合格并在验收记录上签字后，方可进行隐蔽和继续施工。    </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乙方应在工程完工后</w:t>
      </w:r>
      <w:r>
        <w:rPr>
          <w:rFonts w:hint="eastAsia" w:ascii="宋体" w:hAnsi="宋体" w:eastAsia="宋体" w:cs="宋体"/>
          <w:color w:val="auto"/>
          <w:sz w:val="24"/>
          <w:szCs w:val="24"/>
          <w:highlight w:val="none"/>
          <w:u w:val="single"/>
          <w:lang w:val="en-US" w:eastAsia="zh-CN"/>
        </w:rPr>
        <w:t>28</w:t>
      </w:r>
      <w:r>
        <w:rPr>
          <w:rFonts w:hint="eastAsia" w:ascii="宋体" w:hAnsi="宋体" w:eastAsia="宋体" w:cs="宋体"/>
          <w:color w:val="auto"/>
          <w:sz w:val="24"/>
          <w:szCs w:val="24"/>
          <w:highlight w:val="none"/>
        </w:rPr>
        <w:t>日内，按甲方要求将竣工资料和竣工验收报告各一式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四</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份提交甲方进行资料预验收,每逾期一日，乙方需支付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2000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元作为违约金。</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甲方在收到上述资料后</w:t>
      </w:r>
      <w:r>
        <w:rPr>
          <w:rFonts w:hint="eastAsia" w:ascii="宋体" w:hAnsi="宋体" w:eastAsia="宋体" w:cs="宋体"/>
          <w:color w:val="auto"/>
          <w:sz w:val="24"/>
          <w:szCs w:val="24"/>
          <w:highlight w:val="none"/>
          <w:u w:val="single"/>
        </w:rPr>
        <w:t>28</w:t>
      </w:r>
      <w:r>
        <w:rPr>
          <w:rFonts w:hint="eastAsia" w:ascii="宋体" w:hAnsi="宋体" w:eastAsia="宋体" w:cs="宋体"/>
          <w:color w:val="auto"/>
          <w:sz w:val="24"/>
          <w:szCs w:val="24"/>
          <w:highlight w:val="none"/>
        </w:rPr>
        <w:t>日内组织有关单位进行验收，并在验收后10日内给予认可或提出修改意见。乙方按要求修改，并承担修改的费用。</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11.4工程竣工验收通过，乙方送交竣工资料和竣工验收报告的日期为实际竣工日期。工程按甲方要求修改后通过竣工验收的，实际竣工日期为乙方修改后提请甲方验收的日期。</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 竣工资料</w:t>
      </w:r>
    </w:p>
    <w:p>
      <w:pPr>
        <w:keepNext w:val="0"/>
        <w:keepLines w:val="0"/>
        <w:pageBreakBefore w:val="0"/>
        <w:widowControl w:val="0"/>
        <w:kinsoku/>
        <w:wordWrap/>
        <w:overflowPunct/>
        <w:bidi w:val="0"/>
        <w:spacing w:line="50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乙方应按甲方的要求，在工程施工期间及时收集、汇总、整理、编制竣工档案，并于工程竣工验收后按下款约定向甲方完整移交如下竣工资料（包括且不限于）：</w:t>
      </w:r>
    </w:p>
    <w:p>
      <w:pPr>
        <w:keepNext w:val="0"/>
        <w:keepLines w:val="0"/>
        <w:pageBreakBefore w:val="0"/>
        <w:widowControl w:val="0"/>
        <w:kinsoku/>
        <w:wordWrap/>
        <w:overflowPunct/>
        <w:bidi w:val="0"/>
        <w:spacing w:line="5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（a）竣工文件资料、竣工图资料（原件）各一式</w:t>
      </w:r>
      <w:r>
        <w:rPr>
          <w:rFonts w:hint="eastAsia" w:ascii="宋体" w:hAnsi="宋体" w:eastAsia="宋体" w:cs="宋体"/>
          <w:color w:val="auto"/>
          <w:sz w:val="24"/>
          <w:szCs w:val="24"/>
          <w:highlight w:val="none"/>
          <w:u w:val="single"/>
        </w:rPr>
        <w:t>四</w:t>
      </w:r>
      <w:r>
        <w:rPr>
          <w:rFonts w:hint="eastAsia" w:ascii="宋体" w:hAnsi="宋体" w:eastAsia="宋体" w:cs="宋体"/>
          <w:color w:val="auto"/>
          <w:sz w:val="24"/>
          <w:szCs w:val="24"/>
          <w:highlight w:val="none"/>
        </w:rPr>
        <w:t>份；</w:t>
      </w:r>
    </w:p>
    <w:p>
      <w:pPr>
        <w:keepNext w:val="0"/>
        <w:keepLines w:val="0"/>
        <w:pageBreakBefore w:val="0"/>
        <w:widowControl w:val="0"/>
        <w:kinsoku/>
        <w:wordWrap/>
        <w:overflowPunct/>
        <w:bidi w:val="0"/>
        <w:spacing w:line="5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（b）与本款（a）项内容相同的电子版资料一式</w:t>
      </w:r>
      <w:r>
        <w:rPr>
          <w:rFonts w:hint="eastAsia" w:ascii="宋体" w:hAnsi="宋体" w:eastAsia="宋体" w:cs="宋体"/>
          <w:color w:val="auto"/>
          <w:sz w:val="24"/>
          <w:szCs w:val="24"/>
          <w:highlight w:val="none"/>
          <w:u w:val="single"/>
        </w:rPr>
        <w:t>二</w:t>
      </w:r>
      <w:r>
        <w:rPr>
          <w:rFonts w:hint="eastAsia" w:ascii="宋体" w:hAnsi="宋体" w:eastAsia="宋体" w:cs="宋体"/>
          <w:color w:val="auto"/>
          <w:sz w:val="24"/>
          <w:szCs w:val="24"/>
          <w:highlight w:val="none"/>
        </w:rPr>
        <w:t>份；</w:t>
      </w:r>
    </w:p>
    <w:p>
      <w:pPr>
        <w:keepNext w:val="0"/>
        <w:keepLines w:val="0"/>
        <w:pageBreakBefore w:val="0"/>
        <w:widowControl w:val="0"/>
        <w:kinsoku/>
        <w:wordWrap/>
        <w:overflowPunct/>
        <w:bidi w:val="0"/>
        <w:spacing w:line="5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（2）乙方移交竣工资料的时限：乙方应于工程竣工验收后</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日内将竣工资料提交甲方签认。乙方应于甲方签认后</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0</w:t>
      </w:r>
      <w:r>
        <w:rPr>
          <w:rFonts w:hint="eastAsia" w:ascii="宋体" w:hAnsi="宋体" w:eastAsia="宋体" w:cs="宋体"/>
          <w:color w:val="auto"/>
          <w:sz w:val="24"/>
          <w:szCs w:val="24"/>
          <w:highlight w:val="none"/>
        </w:rPr>
        <w:t>日内将竣工资料移交给甲方归档并同时移交有关的证明文件。甲方经审查合格的，应在收到竣工资料后</w:t>
      </w:r>
      <w:r>
        <w:rPr>
          <w:rFonts w:hint="eastAsia" w:ascii="宋体" w:hAnsi="宋体" w:eastAsia="宋体" w:cs="宋体"/>
          <w:color w:val="auto"/>
          <w:sz w:val="24"/>
          <w:szCs w:val="24"/>
          <w:highlight w:val="none"/>
          <w:u w:val="single"/>
        </w:rPr>
        <w:t>10</w:t>
      </w:r>
      <w:r>
        <w:rPr>
          <w:rFonts w:hint="eastAsia" w:ascii="宋体" w:hAnsi="宋体" w:eastAsia="宋体" w:cs="宋体"/>
          <w:color w:val="auto"/>
          <w:sz w:val="24"/>
          <w:szCs w:val="24"/>
          <w:highlight w:val="none"/>
        </w:rPr>
        <w:t>日内签署资料验收意见；不合格的，乙方应按甲方要求限期补正，直至合格为止。乙方超过本条规定的时限，每逾期一日，支付</w:t>
      </w:r>
      <w:r>
        <w:rPr>
          <w:rFonts w:hint="eastAsia" w:ascii="宋体" w:hAnsi="宋体" w:eastAsia="宋体" w:cs="宋体"/>
          <w:color w:val="auto"/>
          <w:sz w:val="24"/>
          <w:szCs w:val="24"/>
          <w:highlight w:val="none"/>
          <w:u w:val="single"/>
          <w:lang w:val="en-US" w:eastAsia="zh-CN"/>
        </w:rPr>
        <w:t>子项目预算价万分之五/日</w:t>
      </w:r>
      <w:r>
        <w:rPr>
          <w:rFonts w:hint="eastAsia" w:ascii="宋体" w:hAnsi="宋体" w:eastAsia="宋体" w:cs="宋体"/>
          <w:color w:val="auto"/>
          <w:sz w:val="24"/>
          <w:szCs w:val="24"/>
          <w:highlight w:val="none"/>
        </w:rPr>
        <w:t>违约金。</w:t>
      </w:r>
    </w:p>
    <w:p>
      <w:pPr>
        <w:keepNext w:val="0"/>
        <w:keepLines w:val="0"/>
        <w:pageBreakBefore w:val="0"/>
        <w:widowControl w:val="0"/>
        <w:kinsoku/>
        <w:wordWrap/>
        <w:overflowPunct/>
        <w:bidi w:val="0"/>
        <w:spacing w:line="5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（3）电子版竣工图的编制，以甲方提供的电子版施工图为基础。乙方在移交竣工资料时，应一并移交甲方提供的电子版施工图。</w:t>
      </w:r>
    </w:p>
    <w:p>
      <w:pPr>
        <w:keepNext w:val="0"/>
        <w:keepLines w:val="0"/>
        <w:pageBreakBefore w:val="0"/>
        <w:widowControl w:val="0"/>
        <w:kinsoku/>
        <w:wordWrap/>
        <w:overflowPunct/>
        <w:bidi w:val="0"/>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电子版施工图和电子版竣工图的知识产权归属甲方所有，非经甲方许可，乙方不得以任何方式复制、备份、转让和利用。否则，由此引起的任何纠纷和责任由乙方承担。</w:t>
      </w:r>
    </w:p>
    <w:p>
      <w:pPr>
        <w:keepNext w:val="0"/>
        <w:keepLines w:val="0"/>
        <w:pageBreakBefore w:val="0"/>
        <w:widowControl w:val="0"/>
        <w:kinsoku/>
        <w:wordWrap/>
        <w:overflowPunct/>
        <w:bidi w:val="0"/>
        <w:spacing w:line="500" w:lineRule="exact"/>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11.6本合同竣工</w:t>
      </w:r>
      <w:r>
        <w:rPr>
          <w:rFonts w:hint="eastAsia" w:ascii="宋体" w:hAnsi="宋体" w:eastAsia="宋体" w:cs="宋体"/>
          <w:color w:val="auto"/>
          <w:sz w:val="24"/>
          <w:szCs w:val="24"/>
          <w:highlight w:val="none"/>
          <w:u w:val="single"/>
          <w:lang w:val="en-US" w:eastAsia="zh-CN"/>
        </w:rPr>
        <w:t>验收结算</w:t>
      </w:r>
      <w:r>
        <w:rPr>
          <w:rFonts w:hint="eastAsia" w:ascii="宋体" w:hAnsi="宋体" w:eastAsia="宋体" w:cs="宋体"/>
          <w:color w:val="auto"/>
          <w:sz w:val="24"/>
          <w:szCs w:val="24"/>
          <w:highlight w:val="none"/>
          <w:lang w:val="en-US" w:eastAsia="zh-CN"/>
        </w:rPr>
        <w:t>单位为：</w:t>
      </w:r>
      <w:r>
        <w:rPr>
          <w:rFonts w:hint="eastAsia" w:ascii="宋体" w:hAnsi="宋体" w:eastAsia="宋体" w:cs="宋体"/>
          <w:color w:val="auto"/>
          <w:sz w:val="24"/>
          <w:szCs w:val="24"/>
          <w:highlight w:val="none"/>
          <w:u w:val="single"/>
          <w:lang w:val="en-US" w:eastAsia="zh-CN"/>
        </w:rPr>
        <w:t xml:space="preserve">   所属片区各分公司     。</w:t>
      </w:r>
    </w:p>
    <w:p>
      <w:pPr>
        <w:keepNext w:val="0"/>
        <w:keepLines w:val="0"/>
        <w:pageBreakBefore w:val="0"/>
        <w:widowControl w:val="0"/>
        <w:tabs>
          <w:tab w:val="left" w:pos="851"/>
        </w:tabs>
        <w:kinsoku/>
        <w:wordWrap/>
        <w:overflowPunct/>
        <w:bidi w:val="0"/>
        <w:adjustRightInd w:val="0"/>
        <w:snapToGrid w:val="0"/>
        <w:spacing w:line="500" w:lineRule="exact"/>
        <w:ind w:firstLine="482" w:firstLineChars="200"/>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第十二条 工程结算</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按子项工程开展</w:t>
      </w:r>
      <w:r>
        <w:rPr>
          <w:rFonts w:hint="eastAsia" w:ascii="宋体" w:hAnsi="宋体" w:eastAsia="宋体" w:cs="宋体"/>
          <w:b/>
          <w:bCs/>
          <w:color w:val="auto"/>
          <w:sz w:val="24"/>
          <w:szCs w:val="24"/>
          <w:highlight w:val="none"/>
          <w:lang w:eastAsia="zh-CN"/>
        </w:rPr>
        <w:t>）</w:t>
      </w:r>
    </w:p>
    <w:p>
      <w:pPr>
        <w:keepNext w:val="0"/>
        <w:keepLines w:val="0"/>
        <w:pageBreakBefore w:val="0"/>
        <w:widowControl w:val="0"/>
        <w:tabs>
          <w:tab w:val="left" w:pos="0"/>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乙方在</w:t>
      </w:r>
      <w:r>
        <w:rPr>
          <w:rFonts w:hint="eastAsia" w:ascii="宋体" w:hAnsi="宋体" w:eastAsia="宋体" w:cs="宋体"/>
          <w:color w:val="auto"/>
          <w:sz w:val="24"/>
          <w:szCs w:val="24"/>
          <w:highlight w:val="none"/>
          <w:lang w:val="en-US" w:eastAsia="zh-CN"/>
        </w:rPr>
        <w:t>子项</w:t>
      </w:r>
      <w:r>
        <w:rPr>
          <w:rFonts w:hint="eastAsia" w:ascii="宋体" w:hAnsi="宋体" w:eastAsia="宋体" w:cs="宋体"/>
          <w:color w:val="auto"/>
          <w:sz w:val="24"/>
          <w:szCs w:val="24"/>
          <w:highlight w:val="none"/>
        </w:rPr>
        <w:t>工程竣工验收合格后</w:t>
      </w:r>
      <w:r>
        <w:rPr>
          <w:rFonts w:hint="eastAsia" w:ascii="宋体" w:hAnsi="宋体" w:eastAsia="宋体" w:cs="宋体"/>
          <w:color w:val="auto"/>
          <w:sz w:val="24"/>
          <w:szCs w:val="24"/>
          <w:highlight w:val="none"/>
          <w:u w:val="single"/>
        </w:rPr>
        <w:t xml:space="preserve"> 28 </w:t>
      </w:r>
      <w:r>
        <w:rPr>
          <w:rFonts w:hint="eastAsia" w:ascii="宋体" w:hAnsi="宋体" w:eastAsia="宋体" w:cs="宋体"/>
          <w:color w:val="auto"/>
          <w:sz w:val="24"/>
          <w:szCs w:val="24"/>
          <w:highlight w:val="none"/>
        </w:rPr>
        <w:t>日内，按甲方要求将完整的竣工结算资料（一式两套原件）报送甲方，如乙方未在规定时间内提供完整的工程竣工结算资料，每逾期一日，应支付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子项目预算价1%</w:t>
      </w:r>
      <w:r>
        <w:rPr>
          <w:rFonts w:hint="eastAsia" w:ascii="宋体" w:hAnsi="宋体" w:eastAsia="宋体" w:cs="宋体"/>
          <w:color w:val="auto"/>
          <w:sz w:val="24"/>
          <w:szCs w:val="24"/>
          <w:highlight w:val="none"/>
        </w:rPr>
        <w:t>/日违约金，并且经甲方书面催促后</w:t>
      </w:r>
      <w:r>
        <w:rPr>
          <w:rFonts w:hint="eastAsia" w:ascii="宋体" w:hAnsi="宋体" w:eastAsia="宋体" w:cs="宋体"/>
          <w:color w:val="auto"/>
          <w:sz w:val="24"/>
          <w:szCs w:val="24"/>
          <w:highlight w:val="none"/>
          <w:u w:val="single"/>
        </w:rPr>
        <w:t xml:space="preserve"> 14 </w:t>
      </w:r>
      <w:r>
        <w:rPr>
          <w:rFonts w:hint="eastAsia" w:ascii="宋体" w:hAnsi="宋体" w:eastAsia="宋体" w:cs="宋体"/>
          <w:color w:val="auto"/>
          <w:sz w:val="24"/>
          <w:szCs w:val="24"/>
          <w:highlight w:val="none"/>
        </w:rPr>
        <w:t>日内仍未提供或没有书面答复，甲方有权根据已有资料单方办理结算，合同结算价以甲方或甲方委托的第三方造价咨询单位出具的审核结果为准。</w:t>
      </w:r>
    </w:p>
    <w:p>
      <w:pPr>
        <w:pStyle w:val="2"/>
        <w:ind w:firstLine="48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12.1.1 乙方送审的预算书及结算书，需经乙方一级造价师审核确认并加盖签章后才能送甲方，如未加盖一级造价师签章，结算时扣罚对应子项目1000元。</w:t>
      </w:r>
    </w:p>
    <w:p>
      <w:pPr>
        <w:pStyle w:val="2"/>
        <w:ind w:firstLine="48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12.1.2 乙方送审时，应提供子项工程合同与送审的工程审核、分部分项清单、措施项目审核、其他项目审核等对比表（含纸质版盖章及软件版）。</w:t>
      </w:r>
    </w:p>
    <w:p>
      <w:pPr>
        <w:pStyle w:val="2"/>
        <w:ind w:firstLine="48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12.1.3 如乙方送审的结算资料中，属于合同内的清单综合单价，但不按合同清单综合单价送审的，每发现一例扣罚200元，扣罚金额以子项目预算价的20%为限。</w:t>
      </w:r>
    </w:p>
    <w:p>
      <w:pPr>
        <w:keepNext w:val="0"/>
        <w:keepLines w:val="0"/>
        <w:pageBreakBefore w:val="0"/>
        <w:widowControl w:val="0"/>
        <w:tabs>
          <w:tab w:val="left" w:pos="0"/>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12.2结算原则</w:t>
      </w:r>
    </w:p>
    <w:p>
      <w:pPr>
        <w:keepNext w:val="0"/>
        <w:keepLines w:val="0"/>
        <w:pageBreakBefore w:val="0"/>
        <w:widowControl w:val="0"/>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12.2.1 综合单价包干</w:t>
      </w:r>
    </w:p>
    <w:p>
      <w:pPr>
        <w:keepNext w:val="0"/>
        <w:keepLines w:val="0"/>
        <w:pageBreakBefore w:val="0"/>
        <w:widowControl w:val="0"/>
        <w:tabs>
          <w:tab w:val="left" w:pos="0"/>
        </w:tabs>
        <w:kinsoku/>
        <w:wordWrap/>
        <w:overflowPunct/>
        <w:bidi w:val="0"/>
        <w:adjustRightInd w:val="0"/>
        <w:snapToGrid w:val="0"/>
        <w:spacing w:line="5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工程采用分部分项清单项目综合单价包干，项目措施费按实计量。结算时依据经甲方审查的结算资料计算实际工程量，并按综合单价（按合同清单综合单价、综合合价以及按合同约定的变更计价依据计算并将组价按乙方报价的下浮率（%）下浮）进行结算。</w:t>
      </w:r>
      <w:r>
        <w:rPr>
          <w:rFonts w:hint="eastAsia" w:ascii="宋体" w:hAnsi="宋体" w:eastAsia="宋体" w:cs="宋体"/>
          <w:bCs/>
          <w:color w:val="auto"/>
          <w:sz w:val="24"/>
          <w:szCs w:val="24"/>
          <w:highlight w:val="none"/>
        </w:rPr>
        <w:t>最终以甲方或者甲方委托的第三方造价咨询单位审核后的终审价作为结算价。</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变更计价依据</w:t>
      </w:r>
    </w:p>
    <w:p>
      <w:pPr>
        <w:keepNext w:val="0"/>
        <w:keepLines w:val="0"/>
        <w:pageBreakBefore w:val="0"/>
        <w:widowControl w:val="0"/>
        <w:tabs>
          <w:tab w:val="left" w:pos="0"/>
        </w:tabs>
        <w:kinsoku/>
        <w:wordWrap/>
        <w:overflowPunct/>
        <w:bidi w:val="0"/>
        <w:adjustRightInd w:val="0"/>
        <w:snapToGrid w:val="0"/>
        <w:spacing w:line="500" w:lineRule="exact"/>
        <w:ind w:firstLine="480" w:firstLineChars="20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rPr>
        <w:t>工程变更按下列规定调整：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合同中有类似单价的按类似单价执行，无类似单价的，按新增单价执行；</w:t>
      </w:r>
      <w:r>
        <w:rPr>
          <w:rFonts w:hint="eastAsia" w:ascii="宋体" w:hAnsi="宋体" w:eastAsia="宋体" w:cs="宋体"/>
          <w:color w:val="auto"/>
          <w:sz w:val="24"/>
          <w:szCs w:val="24"/>
          <w:highlight w:val="none"/>
        </w:rPr>
        <w:t>合同中没有适用于变更工程项目的单价的，</w:t>
      </w:r>
      <w:r>
        <w:rPr>
          <w:rFonts w:hint="eastAsia" w:ascii="宋体" w:hAnsi="宋体" w:eastAsia="宋体" w:cs="宋体"/>
          <w:color w:val="auto"/>
          <w:sz w:val="24"/>
          <w:szCs w:val="24"/>
          <w:highlight w:val="none"/>
          <w:lang w:val="en-US" w:eastAsia="zh-CN"/>
        </w:rPr>
        <w:t>按新增单价执行。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12.4新增单价计价原则：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合同中没有适用于工程项目单价的，按新增单价执行。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执行《建设工程工程量清单计价规范》（GB50500-2013）及相应的各清单专业的国标工程量计算规范，套用《广东省建设工程计价依据（2018）》、《广东省房屋建筑和市政修缮工程综合定额（2012）》或其他由建设、造价主管部门发布的工程承包合同签订时广州地区适用的定额进行组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项目计价材料、设备价格的控制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按以下顺序作为降序优先级依次采用工程开工报告中开工日期当月的下列价格</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（1）《广州地区建设工程常用材料税前综合价格》（下称综合价格）。</w:t>
      </w:r>
    </w:p>
    <w:p>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（2）《广州地区建设工程材料（设备）厂商价格信息》（下称厂商价格）下浮10-20%。</w:t>
      </w:r>
    </w:p>
    <w:p>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（3）综合价格、厂商价格中缺项的，采用由北京瑞恒达建筑咨询有限公司提供服务的“慧讯网”中查到的相应材料、设备价格的工程价。</w:t>
      </w:r>
    </w:p>
    <w:p>
      <w:pPr>
        <w:pStyle w:val="33"/>
        <w:rPr>
          <w:rFonts w:hint="default" w:eastAsia="宋体"/>
          <w:color w:val="auto"/>
          <w:highlight w:val="none"/>
          <w:lang w:val="en-US" w:eastAsia="zh-CN"/>
        </w:rPr>
      </w:pPr>
      <w:r>
        <w:rPr>
          <w:rFonts w:hint="eastAsia" w:hAnsi="宋体" w:eastAsia="宋体" w:cs="宋体"/>
          <w:color w:val="auto"/>
          <w:sz w:val="24"/>
          <w:szCs w:val="24"/>
          <w:highlight w:val="none"/>
          <w:lang w:val="en-US" w:eastAsia="zh-CN"/>
        </w:rPr>
        <w:t xml:space="preserve">  </w:t>
      </w:r>
      <w:r>
        <w:rPr>
          <w:rFonts w:ascii="宋体" w:hAnsi="宋体" w:eastAsia="宋体" w:cs="宋体"/>
          <w:color w:val="auto"/>
          <w:sz w:val="24"/>
          <w:szCs w:val="24"/>
          <w:highlight w:val="none"/>
        </w:rPr>
        <w:t>（4）通过市场询价双方协商确定。</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3.按1、2组价后按投标下浮率下浮计取。</w:t>
      </w:r>
    </w:p>
    <w:p>
      <w:pPr>
        <w:keepNext w:val="0"/>
        <w:keepLines w:val="0"/>
        <w:pageBreakBefore w:val="0"/>
        <w:widowControl w:val="0"/>
        <w:tabs>
          <w:tab w:val="left" w:pos="851"/>
        </w:tabs>
        <w:kinsoku/>
        <w:wordWrap/>
        <w:overflowPunct/>
        <w:bidi w:val="0"/>
        <w:adjustRightInd w:val="0"/>
        <w:snapToGrid w:val="0"/>
        <w:spacing w:line="500" w:lineRule="exact"/>
        <w:ind w:firstLine="48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第十三条 材料设备要求</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13.1乙方应对负责供应的材料设备，提供产品合格证明，保证其质量符合国家、地方及行业有关规范及设计要求，否则，乙方应在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日内重新供应符合要求的产品，由于乙方提供的伪劣、假冒等所有不合格材料而导致的损失、事故及一切后果，均由乙方负责并赔偿甲方所有损失。</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甲方发现乙方使用与设计和规范要求不符的材料设备时，有权要求乙方停止使用，并在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日内拆除、修复或重新采购，如果乙方拒不履行，则甲方可自行或指派第三方实施，由此发生的费用由乙方承担。</w:t>
      </w:r>
    </w:p>
    <w:p>
      <w:pPr>
        <w:pStyle w:val="19"/>
        <w:ind w:firstLine="0"/>
        <w:rPr>
          <w:rFonts w:hint="eastAsia" w:eastAsia="宋体"/>
          <w:color w:val="auto"/>
          <w:highlight w:val="none"/>
          <w:lang w:val="en-US" w:eastAsia="zh-CN"/>
        </w:rPr>
      </w:pPr>
      <w:r>
        <w:rPr>
          <w:rFonts w:hint="eastAsia" w:ascii="宋体" w:hAnsi="宋体" w:eastAsia="宋体" w:cs="宋体"/>
          <w:color w:val="auto"/>
          <w:sz w:val="24"/>
          <w:szCs w:val="24"/>
          <w:highlight w:val="none"/>
          <w:lang w:val="en-US" w:eastAsia="zh-CN"/>
        </w:rPr>
        <w:t>13.3</w:t>
      </w:r>
      <w:r>
        <w:rPr>
          <w:rFonts w:hint="eastAsia" w:ascii="宋体" w:hAnsi="宋体" w:eastAsia="宋体" w:cs="宋体"/>
          <w:color w:val="auto"/>
          <w:sz w:val="24"/>
          <w:szCs w:val="24"/>
          <w:highlight w:val="none"/>
        </w:rPr>
        <w:t>甲方有权</w:t>
      </w:r>
      <w:r>
        <w:rPr>
          <w:rFonts w:hint="eastAsia" w:ascii="宋体" w:hAnsi="宋体" w:eastAsia="宋体" w:cs="宋体"/>
          <w:color w:val="auto"/>
          <w:sz w:val="24"/>
          <w:szCs w:val="24"/>
          <w:highlight w:val="none"/>
          <w:lang w:val="en-US" w:eastAsia="zh-CN"/>
        </w:rPr>
        <w:t>对施工材料进行抽样送检，送检不合格的，</w:t>
      </w:r>
      <w:r>
        <w:rPr>
          <w:rFonts w:hint="eastAsia" w:ascii="宋体" w:hAnsi="宋体" w:eastAsia="宋体" w:cs="宋体"/>
          <w:color w:val="auto"/>
          <w:sz w:val="24"/>
          <w:szCs w:val="24"/>
          <w:highlight w:val="none"/>
        </w:rPr>
        <w:t>对乙方处以</w:t>
      </w:r>
      <w:r>
        <w:rPr>
          <w:rFonts w:hint="eastAsia" w:ascii="宋体" w:hAnsi="宋体" w:eastAsia="宋体" w:cs="宋体"/>
          <w:color w:val="auto"/>
          <w:sz w:val="24"/>
          <w:szCs w:val="24"/>
          <w:highlight w:val="none"/>
          <w:lang w:val="en-US" w:eastAsia="zh-CN"/>
        </w:rPr>
        <w:t>该子项目</w:t>
      </w:r>
      <w:r>
        <w:rPr>
          <w:rFonts w:hint="eastAsia" w:ascii="宋体" w:hAnsi="宋体" w:eastAsia="宋体" w:cs="宋体"/>
          <w:color w:val="auto"/>
          <w:sz w:val="24"/>
          <w:szCs w:val="24"/>
          <w:highlight w:val="none"/>
          <w:u w:val="single"/>
          <w:lang w:eastAsia="zh-CN"/>
        </w:rPr>
        <w:t>预算价</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0%</w:t>
      </w:r>
      <w:r>
        <w:rPr>
          <w:rFonts w:hint="eastAsia" w:ascii="宋体" w:hAnsi="宋体" w:eastAsia="宋体" w:cs="宋体"/>
          <w:color w:val="auto"/>
          <w:sz w:val="24"/>
          <w:szCs w:val="24"/>
          <w:highlight w:val="none"/>
        </w:rPr>
        <w:t>的处罚</w:t>
      </w:r>
      <w:r>
        <w:rPr>
          <w:rFonts w:hint="eastAsia" w:ascii="宋体" w:hAnsi="宋体" w:eastAsia="宋体" w:cs="宋体"/>
          <w:color w:val="auto"/>
          <w:sz w:val="24"/>
          <w:szCs w:val="24"/>
          <w:highlight w:val="none"/>
          <w:lang w:eastAsia="zh-CN"/>
        </w:rPr>
        <w:t>。检测费用先由乙方支付，如果检验结果为不合格，则该费用由乙方承担，如果检验结果为合格，则该费用由甲方承担。</w:t>
      </w:r>
    </w:p>
    <w:p>
      <w:pPr>
        <w:keepNext w:val="0"/>
        <w:keepLines w:val="0"/>
        <w:pageBreakBefore w:val="0"/>
        <w:widowControl w:val="0"/>
        <w:tabs>
          <w:tab w:val="left" w:pos="840"/>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本项目所承包范围内所需的设备材料、成品、未成品、运输、保管、质量等责任均由乙方承担。</w:t>
      </w:r>
    </w:p>
    <w:p>
      <w:pPr>
        <w:keepNext w:val="0"/>
        <w:keepLines w:val="0"/>
        <w:pageBreakBefore w:val="0"/>
        <w:widowControl w:val="0"/>
        <w:tabs>
          <w:tab w:val="left" w:pos="851"/>
        </w:tabs>
        <w:kinsoku/>
        <w:wordWrap/>
        <w:overflowPunct/>
        <w:bidi w:val="0"/>
        <w:adjustRightInd w:val="0"/>
        <w:snapToGrid w:val="0"/>
        <w:spacing w:line="50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第十四条 工程保修</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质量保证金</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按工程结算审定价的</w:t>
      </w:r>
      <w:r>
        <w:rPr>
          <w:rFonts w:hint="eastAsia" w:ascii="宋体" w:hAnsi="宋体" w:eastAsia="宋体" w:cs="宋体"/>
          <w:color w:val="auto"/>
          <w:sz w:val="24"/>
          <w:szCs w:val="24"/>
          <w:highlight w:val="none"/>
          <w:u w:val="single"/>
        </w:rPr>
        <w:t>3 %</w:t>
      </w:r>
      <w:r>
        <w:rPr>
          <w:rFonts w:hint="eastAsia" w:ascii="宋体" w:hAnsi="宋体" w:eastAsia="宋体" w:cs="宋体"/>
          <w:color w:val="auto"/>
          <w:sz w:val="24"/>
          <w:szCs w:val="24"/>
          <w:highlight w:val="none"/>
        </w:rPr>
        <w:t>预留工程保修费用。乙方未按照法律法规有关规定和合同约定履行质量保修义务的，甲方有权从质量保证金中扣留用于质量保修的各项支出。</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14.2保修期自工程竣工验收合格之日起算，且不得低于法定保修年限。</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具体保修项目及保修期限：</w:t>
      </w:r>
      <w:r>
        <w:rPr>
          <w:rFonts w:hint="eastAsia" w:ascii="宋体" w:hAnsi="宋体" w:eastAsia="宋体" w:cs="宋体"/>
          <w:color w:val="auto"/>
          <w:sz w:val="24"/>
          <w:szCs w:val="24"/>
          <w:highlight w:val="none"/>
          <w:u w:val="single"/>
        </w:rPr>
        <w:t xml:space="preserve"> 详见工程质量保修书（附件）。</w:t>
      </w:r>
    </w:p>
    <w:p>
      <w:pPr>
        <w:keepNext w:val="0"/>
        <w:keepLines w:val="0"/>
        <w:pageBreakBefore w:val="0"/>
        <w:widowControl w:val="0"/>
        <w:kinsoku/>
        <w:wordWrap/>
        <w:overflowPunct/>
        <w:bidi w:val="0"/>
        <w:spacing w:line="500" w:lineRule="exact"/>
        <w:ind w:firstLine="420" w:firstLineChars="175"/>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14.3</w:t>
      </w:r>
      <w:r>
        <w:rPr>
          <w:rFonts w:hint="eastAsia" w:ascii="宋体" w:hAnsi="宋体" w:eastAsia="宋体" w:cs="宋体"/>
          <w:bCs/>
          <w:color w:val="auto"/>
          <w:sz w:val="24"/>
          <w:szCs w:val="24"/>
          <w:highlight w:val="none"/>
        </w:rPr>
        <w:t>质量保修期期间，本项目的质量问题由乙方免费提供保修服务，乙方应在收到甲方通知后</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日内派人员到场负责解决及维修，如果乙方不按时到场维修或到场后不能修复的，甲方有权委托他人予以维修，乙方承担由此发生的费用并支付</w:t>
      </w:r>
      <w:r>
        <w:rPr>
          <w:rFonts w:hint="eastAsia" w:ascii="宋体" w:hAnsi="宋体" w:eastAsia="宋体" w:cs="宋体"/>
          <w:color w:val="auto"/>
          <w:sz w:val="24"/>
          <w:szCs w:val="24"/>
          <w:highlight w:val="none"/>
          <w:u w:val="single"/>
          <w:lang w:val="en-US" w:eastAsia="zh-CN"/>
        </w:rPr>
        <w:t>该子项目</w:t>
      </w:r>
      <w:r>
        <w:rPr>
          <w:rFonts w:hint="eastAsia" w:ascii="宋体" w:hAnsi="宋体" w:eastAsia="宋体" w:cs="宋体"/>
          <w:bCs/>
          <w:color w:val="auto"/>
          <w:sz w:val="24"/>
          <w:szCs w:val="24"/>
          <w:highlight w:val="none"/>
          <w:u w:val="single"/>
          <w:lang w:eastAsia="zh-CN"/>
        </w:rPr>
        <w:t>预算价</w:t>
      </w:r>
      <w:r>
        <w:rPr>
          <w:rFonts w:hint="eastAsia" w:ascii="宋体" w:hAnsi="宋体" w:eastAsia="宋体" w:cs="宋体"/>
          <w:bCs/>
          <w:color w:val="auto"/>
          <w:sz w:val="24"/>
          <w:szCs w:val="24"/>
          <w:highlight w:val="none"/>
          <w:u w:val="single"/>
        </w:rPr>
        <w:t>的10%/次</w:t>
      </w:r>
      <w:r>
        <w:rPr>
          <w:rFonts w:hint="eastAsia" w:ascii="宋体" w:hAnsi="宋体" w:eastAsia="宋体" w:cs="宋体"/>
          <w:bCs/>
          <w:color w:val="auto"/>
          <w:sz w:val="24"/>
          <w:szCs w:val="24"/>
          <w:highlight w:val="none"/>
        </w:rPr>
        <w:t>作为违约金。</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14.4约定的保修期限终止后，由乙方提出支付申请，甲方审核后</w:t>
      </w:r>
      <w:r>
        <w:rPr>
          <w:rFonts w:hint="eastAsia" w:ascii="宋体" w:hAnsi="宋体" w:eastAsia="宋体" w:cs="宋体"/>
          <w:color w:val="auto"/>
          <w:sz w:val="24"/>
          <w:szCs w:val="24"/>
          <w:highlight w:val="none"/>
          <w:u w:val="single"/>
        </w:rPr>
        <w:t>28日</w:t>
      </w:r>
      <w:r>
        <w:rPr>
          <w:rFonts w:hint="eastAsia" w:ascii="宋体" w:hAnsi="宋体" w:eastAsia="宋体" w:cs="宋体"/>
          <w:color w:val="auto"/>
          <w:sz w:val="24"/>
          <w:szCs w:val="24"/>
          <w:highlight w:val="none"/>
        </w:rPr>
        <w:t>内将剩余的质量保证金（无息）返还。</w:t>
      </w:r>
    </w:p>
    <w:p>
      <w:pPr>
        <w:keepNext w:val="0"/>
        <w:keepLines w:val="0"/>
        <w:pageBreakBefore w:val="0"/>
        <w:widowControl w:val="0"/>
        <w:tabs>
          <w:tab w:val="left" w:pos="851"/>
        </w:tabs>
        <w:kinsoku/>
        <w:wordWrap/>
        <w:overflowPunct/>
        <w:bidi w:val="0"/>
        <w:adjustRightInd w:val="0"/>
        <w:snapToGrid w:val="0"/>
        <w:spacing w:line="50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第十五条 违约处理</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甲方或乙方不能按合同条款约定内容履行自己的各项义务及发生使合同无法履行的行为，应承担相应的违约责任，包括支付违约金，赔偿因其违约给对方造成的全部经济损失。</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15.1 </w:t>
      </w:r>
      <w:r>
        <w:rPr>
          <w:rFonts w:hint="eastAsia" w:ascii="宋体" w:hAnsi="宋体" w:eastAsia="宋体" w:cs="宋体"/>
          <w:bCs/>
          <w:color w:val="auto"/>
          <w:sz w:val="24"/>
          <w:szCs w:val="24"/>
          <w:highlight w:val="none"/>
        </w:rPr>
        <w:t>工期延误</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15.1.1 </w:t>
      </w:r>
      <w:r>
        <w:rPr>
          <w:rFonts w:hint="eastAsia" w:ascii="宋体" w:hAnsi="宋体" w:eastAsia="宋体" w:cs="宋体"/>
          <w:color w:val="auto"/>
          <w:sz w:val="24"/>
          <w:szCs w:val="24"/>
          <w:highlight w:val="none"/>
        </w:rPr>
        <w:t>因乙方原因</w:t>
      </w:r>
      <w:r>
        <w:rPr>
          <w:rFonts w:hint="eastAsia" w:ascii="宋体" w:hAnsi="宋体" w:eastAsia="宋体" w:cs="宋体"/>
          <w:color w:val="auto"/>
          <w:sz w:val="24"/>
          <w:szCs w:val="24"/>
          <w:highlight w:val="none"/>
          <w:lang w:val="en-US" w:eastAsia="zh-CN"/>
        </w:rPr>
        <w:t>未按甲方开工通知时间进场施工的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每逾期一日，应按</w:t>
      </w:r>
      <w:r>
        <w:rPr>
          <w:rFonts w:hint="eastAsia" w:ascii="宋体" w:hAnsi="宋体" w:eastAsia="宋体" w:cs="宋体"/>
          <w:color w:val="auto"/>
          <w:sz w:val="24"/>
          <w:szCs w:val="24"/>
          <w:highlight w:val="none"/>
          <w:u w:val="single"/>
          <w:lang w:val="en-US" w:eastAsia="zh-CN"/>
        </w:rPr>
        <w:t>2000元</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支付逾期违约金，逾期达到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7</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日及以上的，甲方有权解除合同。</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default" w:ascii="Times New Roman" w:hAnsi="Times New Roman" w:eastAsia="等线" w:cs="Times New Roman"/>
          <w:color w:val="auto"/>
          <w:sz w:val="21"/>
          <w:szCs w:val="24"/>
          <w:highlight w:val="none"/>
          <w:lang w:eastAsia="zh-CN"/>
        </w:rPr>
      </w:pPr>
      <w:r>
        <w:rPr>
          <w:rFonts w:hint="eastAsia" w:ascii="宋体" w:hAnsi="宋体" w:eastAsia="宋体" w:cs="宋体"/>
          <w:color w:val="auto"/>
          <w:sz w:val="24"/>
          <w:szCs w:val="24"/>
          <w:highlight w:val="none"/>
          <w:lang w:val="en-US" w:eastAsia="zh-CN"/>
        </w:rPr>
        <w:t>15.1.2</w:t>
      </w:r>
      <w:r>
        <w:rPr>
          <w:rFonts w:hint="eastAsia" w:ascii="宋体" w:hAnsi="宋体" w:eastAsia="宋体" w:cs="宋体"/>
          <w:color w:val="auto"/>
          <w:sz w:val="24"/>
          <w:szCs w:val="24"/>
          <w:highlight w:val="none"/>
        </w:rPr>
        <w:t>因乙方原因</w:t>
      </w:r>
      <w:r>
        <w:rPr>
          <w:rFonts w:hint="eastAsia" w:ascii="宋体" w:hAnsi="宋体" w:eastAsia="宋体" w:cs="宋体"/>
          <w:color w:val="auto"/>
          <w:sz w:val="24"/>
          <w:szCs w:val="24"/>
          <w:highlight w:val="none"/>
          <w:lang w:val="en-US" w:eastAsia="zh-CN"/>
        </w:rPr>
        <w:t>未按甲方通知时间提交工程量清单、预算书等资料的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每逾期一日，应按</w:t>
      </w:r>
      <w:r>
        <w:rPr>
          <w:rFonts w:hint="eastAsia" w:ascii="宋体" w:hAnsi="宋体" w:eastAsia="宋体" w:cs="宋体"/>
          <w:color w:val="auto"/>
          <w:sz w:val="24"/>
          <w:szCs w:val="24"/>
          <w:highlight w:val="none"/>
          <w:u w:val="single"/>
          <w:lang w:val="en-US" w:eastAsia="zh-CN"/>
        </w:rPr>
        <w:t>2000元</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支付逾期违约金，逾期达到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7</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日及以上的，甲方有权解除合同。</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15.1.3 </w:t>
      </w:r>
      <w:r>
        <w:rPr>
          <w:rFonts w:hint="eastAsia" w:ascii="宋体" w:hAnsi="宋体" w:eastAsia="宋体" w:cs="宋体"/>
          <w:color w:val="auto"/>
          <w:sz w:val="24"/>
          <w:szCs w:val="24"/>
          <w:highlight w:val="none"/>
        </w:rPr>
        <w:t>因乙方原因造成工期延误，每逾期一日，应按</w:t>
      </w:r>
      <w:r>
        <w:rPr>
          <w:rFonts w:hint="eastAsia" w:ascii="宋体" w:hAnsi="宋体" w:eastAsia="宋体" w:cs="宋体"/>
          <w:color w:val="auto"/>
          <w:sz w:val="24"/>
          <w:szCs w:val="24"/>
          <w:highlight w:val="none"/>
          <w:u w:val="single"/>
          <w:lang w:val="en-US" w:eastAsia="zh-CN"/>
        </w:rPr>
        <w:t>2000元</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支付逾期违约金，逾期达到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7</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日及以上的，甲方有权解除合同。乙方支付逾期违约金后，不免除乙方继续完成工程及修补缺陷的义务以及赔偿因此给甲方造成损失的责任。             </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  工程质量不合格</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15.2.1工程存在质量问题的，乙方应在甲方规定期限内整改直至达到合同要求的质量标准，如果逾期不整改或者整改不符合合同约定，甲方有权委托第三方整改，所产生的费用由甲方从应付或将付给乙方的款项中扣除，且甲方有权要求乙方支付</w:t>
      </w:r>
      <w:r>
        <w:rPr>
          <w:rFonts w:hint="eastAsia" w:ascii="宋体" w:hAnsi="宋体" w:eastAsia="宋体" w:cs="宋体"/>
          <w:color w:val="auto"/>
          <w:sz w:val="24"/>
          <w:szCs w:val="24"/>
          <w:highlight w:val="none"/>
          <w:lang w:val="en-US" w:eastAsia="zh-CN"/>
        </w:rPr>
        <w:t>该子项目</w:t>
      </w:r>
      <w:r>
        <w:rPr>
          <w:rFonts w:hint="eastAsia" w:ascii="宋体" w:hAnsi="宋体" w:eastAsia="宋体" w:cs="宋体"/>
          <w:color w:val="auto"/>
          <w:sz w:val="24"/>
          <w:szCs w:val="24"/>
          <w:highlight w:val="none"/>
          <w:u w:val="single"/>
          <w:lang w:eastAsia="zh-CN"/>
        </w:rPr>
        <w:t>预算价</w:t>
      </w:r>
      <w:r>
        <w:rPr>
          <w:rFonts w:hint="eastAsia" w:ascii="宋体" w:hAnsi="宋体" w:eastAsia="宋体" w:cs="宋体"/>
          <w:color w:val="auto"/>
          <w:sz w:val="24"/>
          <w:szCs w:val="24"/>
          <w:highlight w:val="none"/>
          <w:u w:val="single"/>
        </w:rPr>
        <w:t xml:space="preserve">的 </w:t>
      </w:r>
      <w:r>
        <w:rPr>
          <w:rFonts w:hint="eastAsia" w:ascii="宋体" w:hAnsi="宋体" w:eastAsia="宋体" w:cs="宋体"/>
          <w:color w:val="auto"/>
          <w:sz w:val="24"/>
          <w:szCs w:val="24"/>
          <w:highlight w:val="none"/>
          <w:u w:val="single"/>
          <w:lang w:val="en-US" w:eastAsia="zh-CN"/>
        </w:rPr>
        <w:t>20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/次的违约金。由此造成的经济和法律责任，均由乙方负责。</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出现上述情形超过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次（含</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次）的，甲方有权解除合同。</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15.2.2  工程经竣工验收不合格的，乙方完成整改后应重新申请验收，经重新组织验收仍不合格且无法采取措施补救的，则甲方有权解除合同，并要求乙方</w:t>
      </w:r>
      <w:r>
        <w:rPr>
          <w:rFonts w:hint="eastAsia" w:ascii="宋体" w:hAnsi="宋体" w:eastAsia="宋体" w:cs="宋体"/>
          <w:color w:val="auto"/>
          <w:sz w:val="24"/>
          <w:szCs w:val="24"/>
          <w:highlight w:val="none"/>
          <w:u w:val="single"/>
        </w:rPr>
        <w:t>按</w:t>
      </w:r>
      <w:r>
        <w:rPr>
          <w:rFonts w:hint="eastAsia" w:ascii="宋体" w:hAnsi="宋体" w:eastAsia="宋体" w:cs="宋体"/>
          <w:color w:val="auto"/>
          <w:sz w:val="24"/>
          <w:szCs w:val="24"/>
          <w:highlight w:val="none"/>
          <w:u w:val="single"/>
          <w:lang w:val="en-US" w:eastAsia="zh-CN"/>
        </w:rPr>
        <w:t>该子项目</w:t>
      </w:r>
      <w:r>
        <w:rPr>
          <w:rFonts w:hint="eastAsia" w:ascii="宋体" w:hAnsi="宋体" w:eastAsia="宋体" w:cs="宋体"/>
          <w:color w:val="auto"/>
          <w:sz w:val="24"/>
          <w:szCs w:val="24"/>
          <w:highlight w:val="none"/>
          <w:u w:val="single"/>
          <w:lang w:eastAsia="zh-CN"/>
        </w:rPr>
        <w:t>预算价</w:t>
      </w:r>
      <w:r>
        <w:rPr>
          <w:rFonts w:hint="eastAsia" w:ascii="宋体" w:hAnsi="宋体" w:eastAsia="宋体" w:cs="宋体"/>
          <w:color w:val="auto"/>
          <w:sz w:val="24"/>
          <w:szCs w:val="24"/>
          <w:highlight w:val="none"/>
          <w:u w:val="single"/>
        </w:rPr>
        <w:t>的20%</w:t>
      </w:r>
      <w:r>
        <w:rPr>
          <w:rFonts w:hint="eastAsia" w:ascii="宋体" w:hAnsi="宋体" w:eastAsia="宋体" w:cs="宋体"/>
          <w:color w:val="auto"/>
          <w:sz w:val="24"/>
          <w:szCs w:val="24"/>
          <w:highlight w:val="none"/>
        </w:rPr>
        <w:t>支付违约金，乙方承担由此造成的全部损失。</w:t>
      </w:r>
    </w:p>
    <w:p>
      <w:pPr>
        <w:keepNext w:val="0"/>
        <w:keepLines w:val="0"/>
        <w:pageBreakBefore w:val="0"/>
        <w:widowControl w:val="0"/>
        <w:kinsoku/>
        <w:wordWrap/>
        <w:overflowPunct/>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15.2.3质量事故：因乙方原因发生质量事故，甲方有权根据质量事故的严重程度对乙方处以不低于</w:t>
      </w:r>
      <w:r>
        <w:rPr>
          <w:rFonts w:hint="eastAsia" w:ascii="宋体" w:hAnsi="宋体" w:eastAsia="宋体" w:cs="宋体"/>
          <w:color w:val="auto"/>
          <w:sz w:val="24"/>
          <w:szCs w:val="24"/>
          <w:highlight w:val="none"/>
          <w:u w:val="single"/>
          <w:lang w:val="en-US" w:eastAsia="zh-CN"/>
        </w:rPr>
        <w:t>该子项目</w:t>
      </w:r>
      <w:r>
        <w:rPr>
          <w:rFonts w:hint="eastAsia" w:ascii="宋体" w:hAnsi="宋体" w:eastAsia="宋体" w:cs="宋体"/>
          <w:color w:val="auto"/>
          <w:sz w:val="24"/>
          <w:szCs w:val="24"/>
          <w:highlight w:val="none"/>
          <w:u w:val="single"/>
          <w:lang w:eastAsia="zh-CN"/>
        </w:rPr>
        <w:t>预算价</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0%</w:t>
      </w:r>
      <w:r>
        <w:rPr>
          <w:rFonts w:hint="eastAsia" w:ascii="宋体" w:hAnsi="宋体" w:eastAsia="宋体" w:cs="宋体"/>
          <w:color w:val="auto"/>
          <w:sz w:val="24"/>
          <w:szCs w:val="24"/>
          <w:highlight w:val="none"/>
        </w:rPr>
        <w:t>的处罚，该处罚不免除乙方自费返工或修复的责任。</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安全隐患</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发现乙方未遵守安全生产和文明施工规定或施工现场存在安全事故隐患的，以书面形式通知乙方整改；情况严重的，可要求乙方暂停施工。乙方在收到书面通知后的48小时内仍未整改的，甲方有权委托第三方整改，所产生的费用由甲方从应付或将付给乙方的款项中扣除，且乙方支付</w:t>
      </w:r>
      <w:r>
        <w:rPr>
          <w:rFonts w:hint="eastAsia" w:ascii="宋体" w:hAnsi="宋体" w:eastAsia="宋体" w:cs="宋体"/>
          <w:color w:val="auto"/>
          <w:sz w:val="24"/>
          <w:szCs w:val="24"/>
          <w:highlight w:val="none"/>
          <w:u w:val="single"/>
          <w:lang w:val="en-US" w:eastAsia="zh-CN"/>
        </w:rPr>
        <w:t xml:space="preserve">子项目预算价20% </w:t>
      </w:r>
      <w:r>
        <w:rPr>
          <w:rFonts w:hint="eastAsia" w:ascii="宋体" w:hAnsi="宋体" w:eastAsia="宋体" w:cs="宋体"/>
          <w:color w:val="auto"/>
          <w:sz w:val="24"/>
          <w:szCs w:val="24"/>
          <w:highlight w:val="none"/>
        </w:rPr>
        <w:t>/次的违约金。</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出现上述情形超过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次（含</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次）的，甲方有权解除合同。</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15.4安全事故</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对合同工程的安全施工负责，应及时、如实报告生产安全事故。乙方违反本合同规定或由于乙方原因造成的安全事故的，由乙方承担相应责任和费用，工期不予顺延。甲方根据法定部门认定的事故等级，追究乙方相应的违约赔偿责任。</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w:t>
      </w:r>
      <w:r>
        <w:rPr>
          <w:rFonts w:hint="eastAsia" w:ascii="宋体" w:hAnsi="宋体" w:eastAsia="宋体" w:cs="宋体"/>
          <w:color w:val="auto"/>
          <w:sz w:val="24"/>
          <w:szCs w:val="24"/>
          <w:highlight w:val="none"/>
          <w:lang w:val="en-US" w:eastAsia="zh-CN"/>
        </w:rPr>
        <w:t>人员</w:t>
      </w:r>
      <w:r>
        <w:rPr>
          <w:rFonts w:hint="eastAsia" w:ascii="宋体" w:hAnsi="宋体" w:eastAsia="宋体" w:cs="宋体"/>
          <w:color w:val="auto"/>
          <w:sz w:val="24"/>
          <w:szCs w:val="24"/>
          <w:highlight w:val="none"/>
        </w:rPr>
        <w:t>不符合合同要求</w:t>
      </w:r>
    </w:p>
    <w:p>
      <w:pPr>
        <w:pStyle w:val="11"/>
        <w:keepNext w:val="0"/>
        <w:keepLines w:val="0"/>
        <w:pageBreakBefore w:val="0"/>
        <w:widowControl w:val="0"/>
        <w:kinsoku/>
        <w:wordWrap/>
        <w:overflowPunct/>
        <w:bidi w:val="0"/>
        <w:spacing w:line="500" w:lineRule="exact"/>
        <w:ind w:firstLine="448" w:firstLineChars="200"/>
        <w:outlineLvl w:val="1"/>
        <w:rPr>
          <w:rFonts w:hint="eastAsia" w:ascii="宋体" w:hAnsi="宋体" w:eastAsia="宋体" w:cs="宋体"/>
          <w:color w:val="auto"/>
          <w:spacing w:val="-8"/>
          <w:sz w:val="24"/>
          <w:highlight w:val="none"/>
        </w:rPr>
      </w:pPr>
      <w:r>
        <w:rPr>
          <w:rFonts w:hint="eastAsia" w:hAnsi="宋体" w:eastAsia="宋体" w:cs="宋体"/>
          <w:color w:val="auto"/>
          <w:spacing w:val="-8"/>
          <w:sz w:val="24"/>
          <w:highlight w:val="none"/>
          <w:lang w:eastAsia="zh-CN"/>
        </w:rPr>
        <w:t>乙方</w:t>
      </w:r>
      <w:r>
        <w:rPr>
          <w:rFonts w:hint="eastAsia" w:ascii="宋体" w:hAnsi="宋体" w:eastAsia="宋体" w:cs="宋体"/>
          <w:color w:val="auto"/>
          <w:spacing w:val="-8"/>
          <w:sz w:val="24"/>
          <w:highlight w:val="none"/>
        </w:rPr>
        <w:t>在工程竣工验收前不得更换其在投标文件中承诺的项目管理机构人员，如确须更换，应事先征得甲方</w:t>
      </w:r>
      <w:r>
        <w:rPr>
          <w:rFonts w:hint="eastAsia" w:hAnsi="宋体" w:eastAsia="宋体" w:cs="宋体"/>
          <w:color w:val="auto"/>
          <w:spacing w:val="-8"/>
          <w:sz w:val="24"/>
          <w:highlight w:val="none"/>
          <w:lang w:val="en-US" w:eastAsia="zh-CN"/>
        </w:rPr>
        <w:t>或甲方项目对应分公司</w:t>
      </w:r>
      <w:r>
        <w:rPr>
          <w:rFonts w:hint="eastAsia" w:ascii="宋体" w:hAnsi="宋体" w:eastAsia="宋体" w:cs="宋体"/>
          <w:color w:val="auto"/>
          <w:spacing w:val="-8"/>
          <w:sz w:val="24"/>
          <w:highlight w:val="none"/>
        </w:rPr>
        <w:t>同意。但因重病（需持有县、区以上医院出具的两个月以上不能履行职责的证明）、身故更换的除外。</w:t>
      </w:r>
    </w:p>
    <w:p>
      <w:pPr>
        <w:pStyle w:val="11"/>
        <w:keepNext w:val="0"/>
        <w:keepLines w:val="0"/>
        <w:pageBreakBefore w:val="0"/>
        <w:widowControl w:val="0"/>
        <w:kinsoku/>
        <w:wordWrap/>
        <w:overflowPunct/>
        <w:bidi w:val="0"/>
        <w:spacing w:line="500" w:lineRule="exact"/>
        <w:ind w:firstLine="448" w:firstLineChars="200"/>
        <w:outlineLvl w:val="1"/>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rPr>
        <w:t>无论是否经</w:t>
      </w:r>
      <w:r>
        <w:rPr>
          <w:rFonts w:hint="eastAsia" w:hAnsi="宋体" w:eastAsia="宋体" w:cs="宋体"/>
          <w:color w:val="auto"/>
          <w:spacing w:val="-8"/>
          <w:sz w:val="24"/>
          <w:highlight w:val="none"/>
          <w:lang w:val="en-US" w:eastAsia="zh-CN"/>
        </w:rPr>
        <w:t>甲方</w:t>
      </w:r>
      <w:r>
        <w:rPr>
          <w:rFonts w:hint="eastAsia" w:ascii="宋体" w:hAnsi="宋体" w:eastAsia="宋体" w:cs="宋体"/>
          <w:color w:val="auto"/>
          <w:spacing w:val="-8"/>
          <w:sz w:val="24"/>
          <w:highlight w:val="none"/>
          <w:lang w:val="en-US" w:eastAsia="zh-CN"/>
        </w:rPr>
        <w:t>或甲方项目对应分公司</w:t>
      </w:r>
      <w:r>
        <w:rPr>
          <w:rFonts w:hint="eastAsia" w:ascii="宋体" w:hAnsi="宋体" w:eastAsia="宋体" w:cs="宋体"/>
          <w:color w:val="auto"/>
          <w:spacing w:val="-8"/>
          <w:sz w:val="24"/>
          <w:highlight w:val="none"/>
        </w:rPr>
        <w:t>同意，</w:t>
      </w:r>
      <w:r>
        <w:rPr>
          <w:rFonts w:hint="eastAsia" w:hAnsi="宋体" w:eastAsia="宋体" w:cs="宋体"/>
          <w:color w:val="auto"/>
          <w:spacing w:val="-8"/>
          <w:sz w:val="24"/>
          <w:highlight w:val="none"/>
          <w:lang w:eastAsia="zh-CN"/>
        </w:rPr>
        <w:t>乙方</w:t>
      </w:r>
      <w:r>
        <w:rPr>
          <w:rFonts w:hint="eastAsia" w:ascii="宋体" w:hAnsi="宋体" w:eastAsia="宋体" w:cs="宋体"/>
          <w:color w:val="auto"/>
          <w:spacing w:val="-8"/>
          <w:sz w:val="24"/>
          <w:highlight w:val="none"/>
        </w:rPr>
        <w:t>更换人员应承担下列违约责任：因人员辞职（需提供辞职流程文件及社保停保证明）更换</w:t>
      </w:r>
      <w:r>
        <w:rPr>
          <w:rFonts w:hint="eastAsia" w:hAnsi="宋体" w:eastAsia="宋体" w:cs="宋体"/>
          <w:color w:val="auto"/>
          <w:spacing w:val="-8"/>
          <w:sz w:val="24"/>
          <w:highlight w:val="none"/>
          <w:lang w:eastAsia="zh-CN"/>
        </w:rPr>
        <w:t>项目</w:t>
      </w:r>
      <w:r>
        <w:rPr>
          <w:rFonts w:hint="eastAsia" w:hAnsi="宋体" w:eastAsia="宋体" w:cs="宋体"/>
          <w:color w:val="auto"/>
          <w:spacing w:val="-8"/>
          <w:sz w:val="24"/>
          <w:highlight w:val="none"/>
          <w:lang w:val="en-US" w:eastAsia="zh-CN"/>
        </w:rPr>
        <w:t>负责人（总负责人）</w:t>
      </w:r>
      <w:r>
        <w:rPr>
          <w:rFonts w:hint="eastAsia" w:ascii="宋体" w:hAnsi="宋体" w:eastAsia="宋体" w:cs="宋体"/>
          <w:color w:val="auto"/>
          <w:spacing w:val="-8"/>
          <w:sz w:val="24"/>
          <w:highlight w:val="none"/>
        </w:rPr>
        <w:t>的，应支付违约金</w:t>
      </w:r>
      <w:r>
        <w:rPr>
          <w:rFonts w:hint="eastAsia" w:hAnsi="宋体" w:eastAsia="宋体" w:cs="宋体"/>
          <w:color w:val="auto"/>
          <w:spacing w:val="-8"/>
          <w:sz w:val="24"/>
          <w:highlight w:val="none"/>
          <w:lang w:eastAsia="zh-CN"/>
        </w:rPr>
        <w:t>5</w:t>
      </w:r>
      <w:r>
        <w:rPr>
          <w:rFonts w:hint="eastAsia" w:ascii="宋体" w:hAnsi="宋体" w:eastAsia="宋体" w:cs="宋体"/>
          <w:color w:val="auto"/>
          <w:spacing w:val="-8"/>
          <w:sz w:val="24"/>
          <w:highlight w:val="none"/>
        </w:rPr>
        <w:t>万元/人次</w:t>
      </w:r>
      <w:r>
        <w:rPr>
          <w:rFonts w:hint="eastAsia" w:hAnsi="宋体" w:eastAsia="宋体" w:cs="宋体"/>
          <w:color w:val="auto"/>
          <w:spacing w:val="-8"/>
          <w:sz w:val="24"/>
          <w:highlight w:val="none"/>
          <w:lang w:eastAsia="zh-CN"/>
        </w:rPr>
        <w:t>，</w:t>
      </w:r>
      <w:r>
        <w:rPr>
          <w:rFonts w:hint="eastAsia" w:hAnsi="宋体" w:eastAsia="宋体" w:cs="宋体"/>
          <w:color w:val="auto"/>
          <w:spacing w:val="-8"/>
          <w:sz w:val="24"/>
          <w:highlight w:val="none"/>
          <w:lang w:val="en-US" w:eastAsia="zh-CN"/>
        </w:rPr>
        <w:t>更换项目其他人员的，应支付违约金1万元/人次</w:t>
      </w:r>
      <w:r>
        <w:rPr>
          <w:rFonts w:hint="eastAsia" w:ascii="宋体" w:hAnsi="宋体" w:eastAsia="宋体" w:cs="宋体"/>
          <w:color w:val="auto"/>
          <w:spacing w:val="-8"/>
          <w:sz w:val="24"/>
          <w:highlight w:val="none"/>
        </w:rPr>
        <w:t>；因其他原因更换</w:t>
      </w:r>
      <w:r>
        <w:rPr>
          <w:rFonts w:hint="eastAsia" w:hAnsi="宋体" w:eastAsia="宋体" w:cs="宋体"/>
          <w:color w:val="auto"/>
          <w:spacing w:val="-8"/>
          <w:sz w:val="24"/>
          <w:highlight w:val="none"/>
          <w:lang w:eastAsia="zh-CN"/>
        </w:rPr>
        <w:t>项目</w:t>
      </w:r>
      <w:r>
        <w:rPr>
          <w:rFonts w:hint="eastAsia" w:hAnsi="宋体" w:eastAsia="宋体" w:cs="宋体"/>
          <w:color w:val="auto"/>
          <w:spacing w:val="-8"/>
          <w:sz w:val="24"/>
          <w:highlight w:val="none"/>
          <w:lang w:val="en-US" w:eastAsia="zh-CN"/>
        </w:rPr>
        <w:t>负责人</w:t>
      </w:r>
      <w:r>
        <w:rPr>
          <w:rFonts w:hint="eastAsia" w:hAnsi="宋体" w:eastAsia="宋体" w:cs="宋体"/>
          <w:color w:val="auto"/>
          <w:spacing w:val="-8"/>
          <w:sz w:val="24"/>
          <w:highlight w:val="none"/>
          <w:lang w:eastAsia="zh-CN"/>
        </w:rPr>
        <w:t>（</w:t>
      </w:r>
      <w:r>
        <w:rPr>
          <w:rFonts w:hint="eastAsia" w:hAnsi="宋体" w:eastAsia="宋体" w:cs="宋体"/>
          <w:color w:val="auto"/>
          <w:spacing w:val="-8"/>
          <w:sz w:val="24"/>
          <w:highlight w:val="none"/>
          <w:lang w:val="en-US" w:eastAsia="zh-CN"/>
        </w:rPr>
        <w:t>总负责人）</w:t>
      </w:r>
      <w:r>
        <w:rPr>
          <w:rFonts w:hint="eastAsia" w:ascii="宋体" w:hAnsi="宋体" w:eastAsia="宋体" w:cs="宋体"/>
          <w:color w:val="auto"/>
          <w:spacing w:val="-8"/>
          <w:sz w:val="24"/>
          <w:highlight w:val="none"/>
        </w:rPr>
        <w:t>的，应支付违约金</w:t>
      </w:r>
      <w:r>
        <w:rPr>
          <w:rFonts w:hint="eastAsia" w:hAnsi="宋体" w:eastAsia="宋体" w:cs="宋体"/>
          <w:color w:val="auto"/>
          <w:spacing w:val="-8"/>
          <w:sz w:val="24"/>
          <w:highlight w:val="none"/>
          <w:lang w:eastAsia="zh-CN"/>
        </w:rPr>
        <w:t>1</w:t>
      </w:r>
      <w:r>
        <w:rPr>
          <w:rFonts w:hint="eastAsia" w:hAnsi="宋体" w:eastAsia="宋体" w:cs="宋体"/>
          <w:color w:val="auto"/>
          <w:spacing w:val="-8"/>
          <w:sz w:val="24"/>
          <w:highlight w:val="none"/>
          <w:lang w:val="en-US" w:eastAsia="zh-CN"/>
        </w:rPr>
        <w:t>0</w:t>
      </w:r>
      <w:r>
        <w:rPr>
          <w:rFonts w:hint="eastAsia" w:ascii="宋体" w:hAnsi="宋体" w:eastAsia="宋体" w:cs="宋体"/>
          <w:color w:val="auto"/>
          <w:spacing w:val="-8"/>
          <w:sz w:val="24"/>
          <w:highlight w:val="none"/>
        </w:rPr>
        <w:t>万元/人次</w:t>
      </w:r>
      <w:r>
        <w:rPr>
          <w:rFonts w:hint="eastAsia" w:hAnsi="宋体" w:eastAsia="宋体" w:cs="宋体"/>
          <w:color w:val="auto"/>
          <w:spacing w:val="-8"/>
          <w:sz w:val="24"/>
          <w:highlight w:val="none"/>
          <w:lang w:eastAsia="zh-CN"/>
        </w:rPr>
        <w:t>，</w:t>
      </w:r>
      <w:r>
        <w:rPr>
          <w:rFonts w:hint="eastAsia" w:hAnsi="宋体" w:eastAsia="宋体" w:cs="宋体"/>
          <w:color w:val="auto"/>
          <w:spacing w:val="-8"/>
          <w:sz w:val="24"/>
          <w:highlight w:val="none"/>
          <w:lang w:val="en-US" w:eastAsia="zh-CN"/>
        </w:rPr>
        <w:t>更换项目其他人员的，应支付违约金2万元/人次</w:t>
      </w:r>
      <w:r>
        <w:rPr>
          <w:rFonts w:hint="eastAsia" w:ascii="宋体" w:hAnsi="宋体" w:eastAsia="宋体" w:cs="宋体"/>
          <w:color w:val="auto"/>
          <w:spacing w:val="-8"/>
          <w:sz w:val="24"/>
          <w:highlight w:val="none"/>
        </w:rPr>
        <w:t>。</w:t>
      </w:r>
    </w:p>
    <w:p>
      <w:pPr>
        <w:pStyle w:val="11"/>
        <w:keepNext w:val="0"/>
        <w:keepLines w:val="0"/>
        <w:pageBreakBefore w:val="0"/>
        <w:widowControl w:val="0"/>
        <w:kinsoku/>
        <w:wordWrap/>
        <w:overflowPunct/>
        <w:bidi w:val="0"/>
        <w:spacing w:line="500" w:lineRule="exact"/>
        <w:ind w:firstLine="448" w:firstLineChars="200"/>
        <w:outlineLvl w:val="1"/>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rPr>
        <w:t>在施工过程中，项目</w:t>
      </w:r>
      <w:r>
        <w:rPr>
          <w:rFonts w:hint="eastAsia" w:hAnsi="宋体" w:eastAsia="宋体" w:cs="宋体"/>
          <w:color w:val="auto"/>
          <w:spacing w:val="-8"/>
          <w:sz w:val="24"/>
          <w:highlight w:val="none"/>
          <w:lang w:val="en-US" w:eastAsia="zh-CN"/>
        </w:rPr>
        <w:t>现场</w:t>
      </w:r>
      <w:r>
        <w:rPr>
          <w:rFonts w:hint="eastAsia" w:ascii="宋体" w:hAnsi="宋体" w:eastAsia="宋体" w:cs="宋体"/>
          <w:color w:val="auto"/>
          <w:spacing w:val="-8"/>
          <w:sz w:val="24"/>
          <w:highlight w:val="none"/>
        </w:rPr>
        <w:t>负责人</w:t>
      </w:r>
      <w:r>
        <w:rPr>
          <w:rFonts w:hint="eastAsia" w:hAnsi="宋体" w:eastAsia="宋体" w:cs="宋体"/>
          <w:color w:val="auto"/>
          <w:spacing w:val="-8"/>
          <w:sz w:val="24"/>
          <w:highlight w:val="none"/>
          <w:lang w:val="en-US" w:eastAsia="zh-CN"/>
        </w:rPr>
        <w:t>及安全员需</w:t>
      </w:r>
      <w:r>
        <w:rPr>
          <w:rFonts w:hint="eastAsia" w:ascii="宋体" w:hAnsi="宋体" w:eastAsia="宋体" w:cs="宋体"/>
          <w:color w:val="auto"/>
          <w:spacing w:val="-8"/>
          <w:sz w:val="24"/>
          <w:highlight w:val="none"/>
          <w:u w:val="single"/>
        </w:rPr>
        <w:t>驻现场管理，</w:t>
      </w:r>
      <w:r>
        <w:rPr>
          <w:rFonts w:hint="eastAsia" w:ascii="宋体" w:hAnsi="宋体" w:eastAsia="宋体" w:cs="宋体"/>
          <w:color w:val="auto"/>
          <w:spacing w:val="-8"/>
          <w:sz w:val="24"/>
          <w:highlight w:val="none"/>
        </w:rPr>
        <w:t>否则甲方有权要求支付违约金</w:t>
      </w:r>
      <w:r>
        <w:rPr>
          <w:rFonts w:hint="eastAsia" w:ascii="宋体" w:hAnsi="宋体" w:eastAsia="宋体" w:cs="宋体"/>
          <w:color w:val="auto"/>
          <w:spacing w:val="-8"/>
          <w:sz w:val="24"/>
          <w:highlight w:val="none"/>
          <w:u w:val="single"/>
        </w:rPr>
        <w:t xml:space="preserve"> </w:t>
      </w:r>
      <w:r>
        <w:rPr>
          <w:rFonts w:hint="eastAsia" w:hAnsi="宋体" w:eastAsia="宋体" w:cs="宋体"/>
          <w:color w:val="auto"/>
          <w:spacing w:val="-8"/>
          <w:sz w:val="24"/>
          <w:highlight w:val="none"/>
          <w:u w:val="single"/>
          <w:lang w:val="en-US" w:eastAsia="zh-CN"/>
        </w:rPr>
        <w:t>2000</w:t>
      </w:r>
      <w:r>
        <w:rPr>
          <w:rFonts w:hint="eastAsia" w:ascii="宋体" w:hAnsi="宋体" w:eastAsia="宋体" w:cs="宋体"/>
          <w:color w:val="auto"/>
          <w:spacing w:val="-8"/>
          <w:sz w:val="24"/>
          <w:highlight w:val="none"/>
          <w:u w:val="single"/>
        </w:rPr>
        <w:t xml:space="preserve"> 元</w:t>
      </w:r>
      <w:r>
        <w:rPr>
          <w:rFonts w:hint="eastAsia" w:ascii="宋体" w:hAnsi="宋体" w:eastAsia="宋体" w:cs="宋体"/>
          <w:color w:val="auto"/>
          <w:spacing w:val="-8"/>
          <w:sz w:val="24"/>
          <w:highlight w:val="none"/>
        </w:rPr>
        <w:t>/次。因此造成损失的，按实际发生额赔偿。</w:t>
      </w:r>
    </w:p>
    <w:p>
      <w:pPr>
        <w:pStyle w:val="11"/>
        <w:keepNext w:val="0"/>
        <w:keepLines w:val="0"/>
        <w:pageBreakBefore w:val="0"/>
        <w:widowControl w:val="0"/>
        <w:kinsoku/>
        <w:wordWrap/>
        <w:overflowPunct/>
        <w:bidi w:val="0"/>
        <w:spacing w:line="500" w:lineRule="exact"/>
        <w:ind w:firstLine="448" w:firstLineChars="200"/>
        <w:outlineLvl w:val="1"/>
        <w:rPr>
          <w:rFonts w:hint="default" w:ascii="宋体" w:hAnsi="宋体" w:eastAsia="宋体" w:cs="宋体"/>
          <w:color w:val="auto"/>
          <w:spacing w:val="-8"/>
          <w:sz w:val="24"/>
          <w:highlight w:val="none"/>
          <w:lang w:val="en-US" w:eastAsia="zh-CN"/>
        </w:rPr>
      </w:pPr>
      <w:r>
        <w:rPr>
          <w:rFonts w:hint="eastAsia" w:hAnsi="宋体" w:eastAsia="宋体" w:cs="宋体"/>
          <w:color w:val="auto"/>
          <w:spacing w:val="-8"/>
          <w:sz w:val="24"/>
          <w:highlight w:val="none"/>
          <w:lang w:val="en-US" w:eastAsia="zh-CN"/>
        </w:rPr>
        <w:t>15.6合同签订后，在收到甲方或甲方项目对应分公司开工通知后7天内，施工单位需提交完整的盖章版施工备案资料，</w:t>
      </w:r>
      <w:r>
        <w:rPr>
          <w:rFonts w:hint="eastAsia" w:ascii="宋体" w:hAnsi="宋体" w:eastAsia="宋体" w:cs="宋体"/>
          <w:color w:val="auto"/>
          <w:sz w:val="24"/>
          <w:szCs w:val="24"/>
          <w:highlight w:val="none"/>
        </w:rPr>
        <w:t>每逾期一日，应按</w:t>
      </w:r>
      <w:r>
        <w:rPr>
          <w:rFonts w:hint="eastAsia" w:ascii="宋体" w:hAnsi="宋体" w:eastAsia="宋体" w:cs="宋体"/>
          <w:color w:val="auto"/>
          <w:sz w:val="24"/>
          <w:szCs w:val="24"/>
          <w:highlight w:val="none"/>
          <w:u w:val="single"/>
          <w:lang w:val="en-US" w:eastAsia="zh-CN"/>
        </w:rPr>
        <w:t>该子项目</w:t>
      </w:r>
      <w:r>
        <w:rPr>
          <w:rFonts w:hint="eastAsia" w:hAnsi="宋体" w:eastAsia="宋体" w:cs="宋体"/>
          <w:color w:val="auto"/>
          <w:sz w:val="24"/>
          <w:szCs w:val="24"/>
          <w:highlight w:val="none"/>
          <w:u w:val="single"/>
          <w:lang w:eastAsia="zh-CN"/>
        </w:rPr>
        <w:t>预算价</w:t>
      </w:r>
      <w:r>
        <w:rPr>
          <w:rFonts w:hint="eastAsia" w:ascii="宋体" w:hAnsi="宋体" w:eastAsia="宋体" w:cs="宋体"/>
          <w:color w:val="auto"/>
          <w:sz w:val="24"/>
          <w:szCs w:val="24"/>
          <w:highlight w:val="none"/>
          <w:u w:val="single"/>
        </w:rPr>
        <w:t>的1%/日</w:t>
      </w:r>
      <w:r>
        <w:rPr>
          <w:rFonts w:hint="eastAsia" w:ascii="宋体" w:hAnsi="宋体" w:eastAsia="宋体" w:cs="宋体"/>
          <w:color w:val="auto"/>
          <w:sz w:val="24"/>
          <w:szCs w:val="24"/>
          <w:highlight w:val="none"/>
        </w:rPr>
        <w:t>支付逾期违约金，逾期达到</w:t>
      </w:r>
      <w:r>
        <w:rPr>
          <w:rFonts w:hint="eastAsia" w:ascii="宋体" w:hAnsi="宋体" w:eastAsia="宋体" w:cs="宋体"/>
          <w:color w:val="auto"/>
          <w:sz w:val="24"/>
          <w:szCs w:val="24"/>
          <w:highlight w:val="none"/>
          <w:u w:val="single"/>
        </w:rPr>
        <w:t xml:space="preserve"> </w:t>
      </w:r>
      <w:r>
        <w:rPr>
          <w:rFonts w:hint="eastAsia"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日及以上的，甲方有权解除合同。</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乙方保证其具有符合法律法规要求的完成本工程项目应具有的相应资质，禁止转包和分包，如违反上述约定，甲方有权解除合同，要求乙方支付</w:t>
      </w:r>
      <w:r>
        <w:rPr>
          <w:rFonts w:hint="eastAsia" w:ascii="宋体" w:hAnsi="宋体" w:eastAsia="宋体" w:cs="宋体"/>
          <w:color w:val="auto"/>
          <w:sz w:val="24"/>
          <w:szCs w:val="24"/>
          <w:highlight w:val="none"/>
          <w:u w:val="single"/>
          <w:lang w:val="en-US" w:eastAsia="zh-CN"/>
        </w:rPr>
        <w:t>该子项目</w:t>
      </w:r>
      <w:r>
        <w:rPr>
          <w:rFonts w:hint="eastAsia" w:ascii="宋体" w:hAnsi="宋体" w:eastAsia="宋体" w:cs="宋体"/>
          <w:color w:val="auto"/>
          <w:sz w:val="24"/>
          <w:szCs w:val="24"/>
          <w:highlight w:val="none"/>
          <w:u w:val="single"/>
          <w:lang w:eastAsia="zh-CN"/>
        </w:rPr>
        <w:t>预算价</w:t>
      </w:r>
      <w:r>
        <w:rPr>
          <w:rFonts w:hint="eastAsia" w:ascii="宋体" w:hAnsi="宋体" w:eastAsia="宋体" w:cs="宋体"/>
          <w:color w:val="auto"/>
          <w:sz w:val="24"/>
          <w:szCs w:val="24"/>
          <w:highlight w:val="none"/>
          <w:u w:val="single"/>
        </w:rPr>
        <w:t>的</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0%</w:t>
      </w:r>
      <w:r>
        <w:rPr>
          <w:rFonts w:hint="eastAsia" w:ascii="宋体" w:hAnsi="宋体" w:eastAsia="宋体" w:cs="宋体"/>
          <w:color w:val="auto"/>
          <w:sz w:val="24"/>
          <w:szCs w:val="24"/>
          <w:highlight w:val="none"/>
        </w:rPr>
        <w:t>作为违约金。</w:t>
      </w:r>
    </w:p>
    <w:p>
      <w:pPr>
        <w:keepNext w:val="0"/>
        <w:keepLines w:val="0"/>
        <w:pageBreakBefore w:val="0"/>
        <w:widowControl w:val="0"/>
        <w:kinsoku/>
        <w:wordWrap/>
        <w:overflowPunct/>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乙方与甲方按合同履约，任何违反本合同约定的行为均构成违约，违约方应向守约方支付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万元/次的违约金（合同另有约定按其条款执行）。</w:t>
      </w:r>
    </w:p>
    <w:p>
      <w:pPr>
        <w:pStyle w:val="19"/>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15.9应急服务</w:t>
      </w:r>
    </w:p>
    <w:p>
      <w:pPr>
        <w:pStyle w:val="19"/>
        <w:spacing w:line="240" w:lineRule="auto"/>
        <w:ind w:firstLine="480" w:firstLineChars="200"/>
        <w:rPr>
          <w:rFonts w:hint="eastAsia" w:hAnsi="宋体" w:eastAsia="宋体" w:cs="宋体"/>
          <w:color w:val="auto"/>
          <w:spacing w:val="-8"/>
          <w:sz w:val="24"/>
          <w:highlight w:val="none"/>
          <w:lang w:val="en-US" w:eastAsia="zh-CN"/>
        </w:rPr>
      </w:pPr>
      <w:r>
        <w:rPr>
          <w:rFonts w:hint="eastAsia" w:ascii="宋体" w:hAnsi="宋体" w:eastAsia="宋体" w:cs="宋体"/>
          <w:color w:val="auto"/>
          <w:sz w:val="24"/>
          <w:szCs w:val="24"/>
          <w:highlight w:val="none"/>
          <w:lang w:val="en-US" w:eastAsia="zh-CN"/>
        </w:rPr>
        <w:t>15.9.1在合同有效期内，乙方未按照投标文件及合同要求配备相应的应急备勤人员及机具材料设备的，甲方有权要求乙方支付违约金</w:t>
      </w:r>
      <w:r>
        <w:rPr>
          <w:rFonts w:hint="eastAsia" w:ascii="宋体" w:hAnsi="宋体" w:eastAsia="宋体" w:cs="宋体"/>
          <w:color w:val="auto"/>
          <w:sz w:val="24"/>
          <w:szCs w:val="24"/>
          <w:highlight w:val="none"/>
          <w:u w:val="single"/>
          <w:lang w:val="en-US" w:eastAsia="zh-CN"/>
        </w:rPr>
        <w:t xml:space="preserve"> 2000 </w:t>
      </w:r>
      <w:r>
        <w:rPr>
          <w:rFonts w:hint="eastAsia" w:ascii="宋体" w:hAnsi="宋体" w:eastAsia="宋体" w:cs="宋体"/>
          <w:color w:val="auto"/>
          <w:sz w:val="24"/>
          <w:szCs w:val="24"/>
          <w:highlight w:val="none"/>
          <w:lang w:val="en-US" w:eastAsia="zh-CN"/>
        </w:rPr>
        <w:t>元/次，并要求乙方于</w:t>
      </w:r>
      <w:r>
        <w:rPr>
          <w:rFonts w:hint="eastAsia" w:hAnsi="宋体" w:eastAsia="宋体" w:cs="宋体"/>
          <w:color w:val="auto"/>
          <w:spacing w:val="-8"/>
          <w:sz w:val="24"/>
          <w:highlight w:val="none"/>
          <w:lang w:val="en-US" w:eastAsia="zh-CN"/>
        </w:rPr>
        <w:t>7天内配齐相关人员及机具材料设备。</w:t>
      </w:r>
    </w:p>
    <w:p>
      <w:pPr>
        <w:pStyle w:val="19"/>
        <w:spacing w:line="240" w:lineRule="auto"/>
        <w:ind w:firstLine="480" w:firstLineChars="200"/>
        <w:rPr>
          <w:rFonts w:hint="eastAsia" w:hAnsi="宋体" w:eastAsia="宋体" w:cs="宋体"/>
          <w:color w:val="auto"/>
          <w:spacing w:val="-8"/>
          <w:sz w:val="24"/>
          <w:highlight w:val="none"/>
          <w:lang w:val="en-US" w:eastAsia="zh-CN"/>
        </w:rPr>
      </w:pPr>
      <w:r>
        <w:rPr>
          <w:rFonts w:hint="eastAsia" w:ascii="宋体" w:hAnsi="宋体" w:eastAsia="宋体" w:cs="宋体"/>
          <w:color w:val="auto"/>
          <w:sz w:val="24"/>
          <w:szCs w:val="24"/>
          <w:highlight w:val="none"/>
          <w:lang w:val="en-US" w:eastAsia="zh-CN"/>
        </w:rPr>
        <w:t xml:space="preserve">15.9.2乙方未按应急服务要求，在收到甲方的应急抢修通知后，机具未在2小时内到达抢修现场或抢修人员未在1小时内到达现场的，甲方有权要求乙方支付违约金 </w:t>
      </w:r>
      <w:r>
        <w:rPr>
          <w:rFonts w:hint="eastAsia" w:ascii="宋体" w:hAnsi="宋体" w:eastAsia="宋体" w:cs="宋体"/>
          <w:color w:val="auto"/>
          <w:sz w:val="24"/>
          <w:szCs w:val="24"/>
          <w:highlight w:val="none"/>
          <w:u w:val="single"/>
          <w:lang w:val="en-US" w:eastAsia="zh-CN"/>
        </w:rPr>
        <w:t xml:space="preserve">20000 </w:t>
      </w:r>
      <w:r>
        <w:rPr>
          <w:rFonts w:hint="eastAsia" w:ascii="宋体" w:hAnsi="宋体" w:eastAsia="宋体" w:cs="宋体"/>
          <w:color w:val="auto"/>
          <w:sz w:val="24"/>
          <w:szCs w:val="24"/>
          <w:highlight w:val="none"/>
          <w:lang w:val="en-US" w:eastAsia="zh-CN"/>
        </w:rPr>
        <w:t>元/次。</w:t>
      </w:r>
    </w:p>
    <w:p>
      <w:pPr>
        <w:pStyle w:val="19"/>
        <w:spacing w:line="240" w:lineRule="auto"/>
        <w:ind w:firstLine="480" w:firstLineChars="200"/>
        <w:rPr>
          <w:rFonts w:hint="eastAsia"/>
          <w:color w:val="auto"/>
          <w:highlight w:val="none"/>
        </w:rPr>
      </w:pPr>
      <w:r>
        <w:rPr>
          <w:rFonts w:hint="eastAsia" w:ascii="宋体" w:hAnsi="宋体" w:eastAsia="宋体" w:cs="宋体"/>
          <w:color w:val="auto"/>
          <w:sz w:val="24"/>
          <w:szCs w:val="24"/>
          <w:highlight w:val="none"/>
          <w:lang w:val="en-US" w:eastAsia="zh-CN"/>
        </w:rPr>
        <w:t>出现上述任一情形超过</w:t>
      </w:r>
      <w:r>
        <w:rPr>
          <w:rFonts w:hint="eastAsia" w:ascii="宋体" w:hAnsi="宋体" w:eastAsia="宋体" w:cs="宋体"/>
          <w:color w:val="auto"/>
          <w:sz w:val="24"/>
          <w:szCs w:val="24"/>
          <w:highlight w:val="none"/>
          <w:u w:val="single"/>
          <w:lang w:val="en-US" w:eastAsia="zh-CN"/>
        </w:rPr>
        <w:t xml:space="preserve"> 3 </w:t>
      </w:r>
      <w:r>
        <w:rPr>
          <w:rFonts w:hint="eastAsia" w:ascii="宋体" w:hAnsi="宋体" w:eastAsia="宋体" w:cs="宋体"/>
          <w:color w:val="auto"/>
          <w:sz w:val="24"/>
          <w:szCs w:val="24"/>
          <w:highlight w:val="none"/>
          <w:lang w:val="en-US" w:eastAsia="zh-CN"/>
        </w:rPr>
        <w:t xml:space="preserve"> 次（含</w:t>
      </w:r>
      <w:r>
        <w:rPr>
          <w:rFonts w:hint="eastAsia" w:ascii="宋体" w:hAnsi="宋体" w:eastAsia="宋体" w:cs="宋体"/>
          <w:color w:val="auto"/>
          <w:sz w:val="24"/>
          <w:szCs w:val="24"/>
          <w:highlight w:val="none"/>
          <w:u w:val="single"/>
          <w:lang w:val="en-US" w:eastAsia="zh-CN"/>
        </w:rPr>
        <w:t xml:space="preserve">3  </w:t>
      </w:r>
      <w:r>
        <w:rPr>
          <w:rFonts w:hint="eastAsia" w:ascii="宋体" w:hAnsi="宋体" w:eastAsia="宋体" w:cs="宋体"/>
          <w:color w:val="auto"/>
          <w:sz w:val="24"/>
          <w:szCs w:val="24"/>
          <w:highlight w:val="none"/>
          <w:lang w:val="en-US" w:eastAsia="zh-CN"/>
        </w:rPr>
        <w:t>次）的，甲方有权解除合同</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 xml:space="preserve">除合同解除或终止外，违约方承担上述违约责任后仍应继续履行合同。 </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15.11在合同有效期内，乙方自愿接受甲方按《营运项目承包单位日常履约考评参照表（安全）》处理，具体处理标准详见附件7。</w:t>
      </w:r>
      <w:r>
        <w:rPr>
          <w:rFonts w:hint="eastAsia" w:ascii="宋体" w:hAnsi="宋体" w:eastAsia="宋体" w:cs="宋体"/>
          <w:color w:val="auto"/>
          <w:sz w:val="24"/>
          <w:szCs w:val="24"/>
          <w:highlight w:val="none"/>
        </w:rPr>
        <w:t xml:space="preserve"> </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15.12乙方需满足项目同时实施要求，拟投入工程人员配备响应表配备相应工作人员应满足甲方要求，若因人员不足或人员素质不能满足工程实际开展需要时，乙方需无条件按照甲方要求更换或增加相关人员。否则</w:t>
      </w:r>
      <w:r>
        <w:rPr>
          <w:rFonts w:hint="eastAsia" w:ascii="宋体" w:hAnsi="宋体" w:eastAsia="宋体" w:cs="宋体"/>
          <w:color w:val="auto"/>
          <w:sz w:val="24"/>
          <w:szCs w:val="24"/>
          <w:highlight w:val="none"/>
        </w:rPr>
        <w:t>甲方有权解除合同，要求乙方支付</w:t>
      </w:r>
      <w:r>
        <w:rPr>
          <w:rFonts w:hint="eastAsia" w:ascii="宋体" w:hAnsi="宋体" w:eastAsia="宋体" w:cs="宋体"/>
          <w:color w:val="auto"/>
          <w:sz w:val="24"/>
          <w:szCs w:val="24"/>
          <w:highlight w:val="none"/>
          <w:u w:val="single"/>
        </w:rPr>
        <w:t>合同暂定总价的</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0%</w:t>
      </w:r>
      <w:r>
        <w:rPr>
          <w:rFonts w:hint="eastAsia" w:ascii="宋体" w:hAnsi="宋体" w:eastAsia="宋体" w:cs="宋体"/>
          <w:color w:val="auto"/>
          <w:sz w:val="24"/>
          <w:szCs w:val="24"/>
          <w:highlight w:val="none"/>
        </w:rPr>
        <w:t>作为违约金。</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15.13在合同履行期间，甲方有权按招标文件要求，在某个标段合同无法执行时，重新分配工作量，乙方需无条件配合并承接。</w:t>
      </w:r>
    </w:p>
    <w:p>
      <w:pPr>
        <w:pStyle w:val="33"/>
        <w:spacing w:line="56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15.14</w:t>
      </w:r>
      <w:r>
        <w:rPr>
          <w:rFonts w:hint="eastAsia" w:hAnsi="宋体" w:eastAsia="宋体"/>
          <w:color w:val="auto"/>
          <w:highlight w:val="none"/>
        </w:rPr>
        <w:t>合同具体委托项目完成后，项目实施部门采取一项目一考核的管理标准，具体考核内容及评分标准详见附件</w:t>
      </w:r>
      <w:r>
        <w:rPr>
          <w:rFonts w:hint="eastAsia" w:hAnsi="宋体" w:eastAsia="宋体"/>
          <w:color w:val="auto"/>
          <w:highlight w:val="none"/>
          <w:lang w:val="en-US" w:eastAsia="zh-CN"/>
        </w:rPr>
        <w:t>10</w:t>
      </w:r>
      <w:r>
        <w:rPr>
          <w:rFonts w:hint="eastAsia" w:hAnsi="宋体" w:eastAsia="宋体"/>
          <w:color w:val="auto"/>
          <w:highlight w:val="none"/>
        </w:rPr>
        <w:t>《广州市净水有限公司片区项目实施考核表》,若单项项目实施考核不合格</w:t>
      </w:r>
      <w:r>
        <w:rPr>
          <w:rFonts w:hint="eastAsia" w:hAnsi="宋体" w:eastAsia="宋体"/>
          <w:color w:val="auto"/>
          <w:highlight w:val="none"/>
          <w:lang w:eastAsia="zh-CN"/>
        </w:rPr>
        <w:t>，</w:t>
      </w:r>
      <w:r>
        <w:rPr>
          <w:rFonts w:hint="eastAsia" w:hAnsi="宋体" w:eastAsia="宋体"/>
          <w:color w:val="auto"/>
          <w:highlight w:val="none"/>
          <w:lang w:val="en-US" w:eastAsia="zh-CN"/>
        </w:rPr>
        <w:t>甲方有权要求乙方支付10000元/次作为违约金，</w:t>
      </w:r>
      <w:r>
        <w:rPr>
          <w:rFonts w:hint="eastAsia" w:hAnsi="宋体" w:eastAsia="宋体"/>
          <w:color w:val="auto"/>
          <w:highlight w:val="none"/>
        </w:rPr>
        <w:t>若实施考核不合格累计达3次，甲方有权解除合同并要求乙方支付30000元作为违约金。</w:t>
      </w:r>
    </w:p>
    <w:p>
      <w:pPr>
        <w:keepNext w:val="0"/>
        <w:keepLines w:val="0"/>
        <w:pageBreakBefore w:val="0"/>
        <w:widowControl w:val="0"/>
        <w:tabs>
          <w:tab w:val="left" w:pos="851"/>
        </w:tabs>
        <w:kinsoku/>
        <w:wordWrap/>
        <w:overflowPunct/>
        <w:bidi w:val="0"/>
        <w:adjustRightInd w:val="0"/>
        <w:snapToGrid w:val="0"/>
        <w:spacing w:line="50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 xml:space="preserve">第十六条  </w:t>
      </w:r>
      <w:r>
        <w:rPr>
          <w:rFonts w:hint="eastAsia" w:ascii="宋体" w:hAnsi="宋体" w:eastAsia="宋体" w:cs="宋体"/>
          <w:b/>
          <w:color w:val="auto"/>
          <w:sz w:val="24"/>
          <w:szCs w:val="24"/>
          <w:highlight w:val="none"/>
        </w:rPr>
        <w:t>不可抗力</w:t>
      </w:r>
    </w:p>
    <w:p>
      <w:pPr>
        <w:keepNext w:val="0"/>
        <w:keepLines w:val="0"/>
        <w:pageBreakBefore w:val="0"/>
        <w:widowControl w:val="0"/>
        <w:kinsoku/>
        <w:wordWrap/>
        <w:overflowPunct/>
        <w:bidi w:val="0"/>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任何一方因不可抗力无法全部或部分履行其在本合同项下的义务时，该方有权全部或部分中止履行本合同项下的义务，并不承担违约责任。不可抗力是指合同当事人在签订本合同时不可预见，在合同履行过程中不可避免且不能克服的客观情况，包括：</w:t>
      </w:r>
    </w:p>
    <w:p>
      <w:pPr>
        <w:keepNext w:val="0"/>
        <w:keepLines w:val="0"/>
        <w:pageBreakBefore w:val="0"/>
        <w:widowControl w:val="0"/>
        <w:kinsoku/>
        <w:wordWrap/>
        <w:overflowPunct/>
        <w:bidi w:val="0"/>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（1）地震、火山爆发、滑坡、暴雨（橙色预警及以上）、台风（黄色预警及以上）、海啸、龙卷风、大面积流行病或瘟疫；</w:t>
      </w:r>
    </w:p>
    <w:p>
      <w:pPr>
        <w:keepNext w:val="0"/>
        <w:keepLines w:val="0"/>
        <w:pageBreakBefore w:val="0"/>
        <w:widowControl w:val="0"/>
        <w:kinsoku/>
        <w:wordWrap/>
        <w:overflowPunct/>
        <w:bidi w:val="0"/>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（2）战争行为、入侵、武装冲突或外敌行为、封锁、暴乱、恐怖行为或军事演习；</w:t>
      </w:r>
    </w:p>
    <w:p>
      <w:pPr>
        <w:keepNext w:val="0"/>
        <w:keepLines w:val="0"/>
        <w:pageBreakBefore w:val="0"/>
        <w:widowControl w:val="0"/>
        <w:kinsoku/>
        <w:wordWrap/>
        <w:overflowPunct/>
        <w:bidi w:val="0"/>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声称受到不可抗力影响的一方，应在发生不可抗力或知道发生不可抗力之后5日内书面通知另一方，详细描述不可抗力的发生情况和对该方履行在本合同项下义务的影响，同时附上此种不可抗力事件及其持续时间的有效证明文件。</w:t>
      </w:r>
    </w:p>
    <w:p>
      <w:pPr>
        <w:keepNext w:val="0"/>
        <w:keepLines w:val="0"/>
        <w:pageBreakBefore w:val="0"/>
        <w:widowControl w:val="0"/>
        <w:kinsoku/>
        <w:wordWrap/>
        <w:overflowPunct/>
        <w:bidi w:val="0"/>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因不可抗力导致合同无法履行的时间自该不可抗力发生日起连续超过玖拾(90)天，双方应协商决定继续履行本合同的条件或者变更本合同。如果自不可抗力发生后壹佰捌拾(180)天之内双方不能达成一致意见，任何一方有权解除本合同。</w:t>
      </w:r>
    </w:p>
    <w:p>
      <w:pPr>
        <w:keepNext w:val="0"/>
        <w:keepLines w:val="0"/>
        <w:pageBreakBefore w:val="0"/>
        <w:widowControl w:val="0"/>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16.4双方同意采取一切合理的预防措施和及时的补救措施，尽可能减轻不可抗力事件带来的后果。受到不可抗力影响的一方应尽合理的努力减少不可抗力的影响，包括为采取有效的措施支付合理的金额。双方应协商制定并实施补救计划及合理的替代措施以消除不可抗力，并决定为减少不可抗力给每一方带来的损失应采取的合理的手段。但因受到不可抗力影响的一方采取措施不当，未尽合理的努力减少不可抗力的影响，造成损失扩大的，由有责任的一方承担扩大部分的损失。声称不可抗力的一方在不可抗力消除之后应尽快恢复履行本合同项下的义务。</w:t>
      </w:r>
    </w:p>
    <w:p>
      <w:pPr>
        <w:keepNext w:val="0"/>
        <w:keepLines w:val="0"/>
        <w:pageBreakBefore w:val="0"/>
        <w:widowControl w:val="0"/>
        <w:tabs>
          <w:tab w:val="left" w:pos="851"/>
        </w:tabs>
        <w:kinsoku/>
        <w:wordWrap/>
        <w:overflowPunct/>
        <w:bidi w:val="0"/>
        <w:adjustRightInd w:val="0"/>
        <w:snapToGrid w:val="0"/>
        <w:spacing w:line="50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第十七条 争议解决</w:t>
      </w:r>
    </w:p>
    <w:p>
      <w:pPr>
        <w:keepNext w:val="0"/>
        <w:keepLines w:val="0"/>
        <w:pageBreakBefore w:val="0"/>
        <w:widowControl w:val="0"/>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在本合同履行中，如双方发生争议，应尽量通过协商解决，协商不成的，按下列第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种方式解决：</w:t>
      </w:r>
    </w:p>
    <w:p>
      <w:pPr>
        <w:keepNext w:val="0"/>
        <w:keepLines w:val="0"/>
        <w:pageBreakBefore w:val="0"/>
        <w:widowControl w:val="0"/>
        <w:numPr>
          <w:ilvl w:val="0"/>
          <w:numId w:val="2"/>
        </w:numPr>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向广州仲裁委员会申请仲裁; </w:t>
      </w:r>
    </w:p>
    <w:p>
      <w:pPr>
        <w:keepNext w:val="0"/>
        <w:keepLines w:val="0"/>
        <w:pageBreakBefore w:val="0"/>
        <w:widowControl w:val="0"/>
        <w:numPr>
          <w:ilvl w:val="0"/>
          <w:numId w:val="2"/>
        </w:numPr>
        <w:tabs>
          <w:tab w:val="left" w:pos="851"/>
        </w:tabs>
        <w:kinsoku/>
        <w:wordWrap/>
        <w:overflowPunct/>
        <w:bidi w:val="0"/>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工程所在地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人民法院起诉。</w:t>
      </w:r>
    </w:p>
    <w:p>
      <w:pPr>
        <w:keepNext w:val="0"/>
        <w:keepLines w:val="0"/>
        <w:pageBreakBefore w:val="0"/>
        <w:widowControl w:val="0"/>
        <w:tabs>
          <w:tab w:val="left" w:pos="851"/>
        </w:tabs>
        <w:kinsoku/>
        <w:wordWrap/>
        <w:overflowPunct/>
        <w:bidi w:val="0"/>
        <w:adjustRightInd w:val="0"/>
        <w:snapToGrid w:val="0"/>
        <w:spacing w:line="50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在甲方同意的情况下，除有争端之外的合同的其它部分在争端解决前应继续执行。</w:t>
      </w:r>
    </w:p>
    <w:p>
      <w:pPr>
        <w:keepNext w:val="0"/>
        <w:keepLines w:val="0"/>
        <w:pageBreakBefore w:val="0"/>
        <w:widowControl w:val="0"/>
        <w:kinsoku/>
        <w:wordWrap/>
        <w:overflowPunct/>
        <w:bidi w:val="0"/>
        <w:spacing w:line="500" w:lineRule="exact"/>
        <w:ind w:firstLine="602" w:firstLineChars="2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第十八条  其他：</w:t>
      </w:r>
    </w:p>
    <w:p>
      <w:pPr>
        <w:keepNext w:val="0"/>
        <w:keepLines w:val="0"/>
        <w:pageBreakBefore w:val="0"/>
        <w:widowControl w:val="0"/>
        <w:kinsoku/>
        <w:wordWrap/>
        <w:overflowPunct/>
        <w:bidi w:val="0"/>
        <w:spacing w:line="50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18.1 本协议未尽事宜，可由甲方、乙方双方另行签订补充协议。补充协议与本协议具有同等法律效力。</w:t>
      </w:r>
    </w:p>
    <w:p>
      <w:pPr>
        <w:keepNext w:val="0"/>
        <w:keepLines w:val="0"/>
        <w:pageBreakBefore w:val="0"/>
        <w:widowControl w:val="0"/>
        <w:kinsoku/>
        <w:wordWrap/>
        <w:overflowPunct/>
        <w:bidi w:val="0"/>
        <w:adjustRightIn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 本协议自甲乙双方法定代表人或授权代理人签字并加盖公章之日起生效，双方履行完合同规定的义务后自动终止。</w:t>
      </w:r>
    </w:p>
    <w:p>
      <w:pPr>
        <w:keepNext w:val="0"/>
        <w:keepLines w:val="0"/>
        <w:pageBreakBefore w:val="0"/>
        <w:widowControl w:val="0"/>
        <w:kinsoku/>
        <w:wordWrap/>
        <w:overflowPunct/>
        <w:bidi w:val="0"/>
        <w:spacing w:line="500" w:lineRule="exact"/>
        <w:ind w:left="24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本合同一式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份，甲方执</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份，乙方执</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份。均具有同等法律效力。</w:t>
      </w:r>
    </w:p>
    <w:p>
      <w:pPr>
        <w:keepNext w:val="0"/>
        <w:keepLines w:val="0"/>
        <w:pageBreakBefore w:val="0"/>
        <w:widowControl w:val="0"/>
        <w:kinsoku/>
        <w:wordWrap/>
        <w:overflowPunct/>
        <w:bidi w:val="0"/>
        <w:adjustRightInd w:val="0"/>
        <w:spacing w:line="500" w:lineRule="exact"/>
        <w:ind w:firstLine="480"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18.4</w:t>
      </w:r>
      <w:r>
        <w:rPr>
          <w:rFonts w:hint="eastAsia" w:ascii="宋体" w:hAnsi="宋体" w:eastAsia="宋体" w:cs="宋体"/>
          <w:bCs/>
          <w:color w:val="auto"/>
          <w:sz w:val="24"/>
          <w:szCs w:val="24"/>
          <w:highlight w:val="none"/>
        </w:rPr>
        <w:t>补充条款：</w:t>
      </w:r>
      <w:r>
        <w:rPr>
          <w:rFonts w:hint="eastAsia" w:ascii="宋体" w:hAnsi="宋体" w:eastAsia="宋体" w:cs="宋体"/>
          <w:color w:val="auto"/>
          <w:sz w:val="24"/>
          <w:szCs w:val="24"/>
          <w:highlight w:val="none"/>
          <w:u w:val="single"/>
        </w:rPr>
        <w:t xml:space="preserve">  …   </w:t>
      </w:r>
      <w:r>
        <w:rPr>
          <w:rFonts w:hint="eastAsia" w:ascii="宋体" w:hAnsi="宋体" w:eastAsia="宋体" w:cs="宋体"/>
          <w:b/>
          <w:bCs/>
          <w:color w:val="auto"/>
          <w:sz w:val="24"/>
          <w:szCs w:val="24"/>
          <w:highlight w:val="none"/>
        </w:rPr>
        <w:t xml:space="preserve">。 </w:t>
      </w:r>
    </w:p>
    <w:p>
      <w:pPr>
        <w:keepNext w:val="0"/>
        <w:keepLines w:val="0"/>
        <w:pageBreakBefore w:val="0"/>
        <w:widowControl w:val="0"/>
        <w:kinsoku/>
        <w:wordWrap/>
        <w:overflowPunct/>
        <w:bidi w:val="0"/>
        <w:spacing w:line="500" w:lineRule="exact"/>
        <w:ind w:firstLine="480" w:firstLineChars="200"/>
        <w:rPr>
          <w:rFonts w:hint="eastAsia" w:ascii="宋体" w:hAnsi="宋体" w:eastAsia="宋体" w:cs="宋体"/>
          <w:color w:val="auto"/>
          <w:sz w:val="24"/>
          <w:szCs w:val="24"/>
          <w:highlight w:val="none"/>
        </w:rPr>
      </w:pPr>
    </w:p>
    <w:p>
      <w:pPr>
        <w:keepNext w:val="0"/>
        <w:keepLines w:val="0"/>
        <w:pageBreakBefore w:val="0"/>
        <w:widowControl w:val="0"/>
        <w:kinsoku/>
        <w:wordWrap/>
        <w:overflowPunct/>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附件：1.中标通知书</w:t>
      </w:r>
    </w:p>
    <w:p>
      <w:pPr>
        <w:keepNext w:val="0"/>
        <w:keepLines w:val="0"/>
        <w:pageBreakBefore w:val="0"/>
        <w:widowControl w:val="0"/>
        <w:kinsoku/>
        <w:wordWrap/>
        <w:overflowPunct/>
        <w:bidi w:val="0"/>
        <w:spacing w:line="500" w:lineRule="exact"/>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2.工程质量保修书</w:t>
      </w:r>
    </w:p>
    <w:p>
      <w:pPr>
        <w:keepNext w:val="0"/>
        <w:keepLines w:val="0"/>
        <w:pageBreakBefore w:val="0"/>
        <w:widowControl w:val="0"/>
        <w:kinsoku/>
        <w:wordWrap/>
        <w:overflowPunct/>
        <w:bidi w:val="0"/>
        <w:spacing w:line="500" w:lineRule="exact"/>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3.廉洁协议</w:t>
      </w:r>
    </w:p>
    <w:p>
      <w:pPr>
        <w:keepNext w:val="0"/>
        <w:keepLines w:val="0"/>
        <w:pageBreakBefore w:val="0"/>
        <w:widowControl w:val="0"/>
        <w:kinsoku/>
        <w:wordWrap/>
        <w:overflowPunct/>
        <w:bidi w:val="0"/>
        <w:spacing w:line="500" w:lineRule="exact"/>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4.营运场所施工安全协议书</w:t>
      </w:r>
    </w:p>
    <w:p>
      <w:pPr>
        <w:keepNext w:val="0"/>
        <w:keepLines w:val="0"/>
        <w:pageBreakBefore w:val="0"/>
        <w:widowControl w:val="0"/>
        <w:kinsoku/>
        <w:wordWrap/>
        <w:overflowPunct/>
        <w:bidi w:val="0"/>
        <w:spacing w:line="500" w:lineRule="exact"/>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5.安全生产承诺书</w:t>
      </w:r>
    </w:p>
    <w:p>
      <w:pPr>
        <w:keepNext w:val="0"/>
        <w:keepLines w:val="0"/>
        <w:pageBreakBefore w:val="0"/>
        <w:widowControl w:val="0"/>
        <w:kinsoku/>
        <w:wordWrap/>
        <w:overflowPunct/>
        <w:bidi w:val="0"/>
        <w:spacing w:line="500" w:lineRule="exact"/>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6.项目投入人员架构表/应急抢修设备材料清单</w:t>
      </w:r>
    </w:p>
    <w:p>
      <w:pPr>
        <w:keepNext w:val="0"/>
        <w:keepLines w:val="0"/>
        <w:pageBreakBefore w:val="0"/>
        <w:widowControl w:val="0"/>
        <w:kinsoku/>
        <w:wordWrap/>
        <w:overflowPunct/>
        <w:bidi w:val="0"/>
        <w:spacing w:line="500" w:lineRule="exact"/>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7.营运项目承包单位日常履约考评参照表（安全）、营运项目承包单位综合履约考评表（安全）</w:t>
      </w:r>
    </w:p>
    <w:p>
      <w:pPr>
        <w:keepNext w:val="0"/>
        <w:keepLines w:val="0"/>
        <w:pageBreakBefore w:val="0"/>
        <w:widowControl w:val="0"/>
        <w:kinsoku/>
        <w:wordWrap/>
        <w:overflowPunct/>
        <w:bidi w:val="0"/>
        <w:spacing w:line="500" w:lineRule="exact"/>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.工程量报价单/工程量清单</w:t>
      </w:r>
    </w:p>
    <w:p>
      <w:pPr>
        <w:keepNext w:val="0"/>
        <w:keepLines w:val="0"/>
        <w:pageBreakBefore w:val="0"/>
        <w:widowControl w:val="0"/>
        <w:kinsoku/>
        <w:wordWrap/>
        <w:overflowPunct/>
        <w:bidi w:val="0"/>
        <w:spacing w:line="500" w:lineRule="exact"/>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.履约保函（模板）</w:t>
      </w:r>
    </w:p>
    <w:p>
      <w:pPr>
        <w:keepNext w:val="0"/>
        <w:keepLines w:val="0"/>
        <w:pageBreakBefore w:val="0"/>
        <w:widowControl w:val="0"/>
        <w:kinsoku/>
        <w:wordWrap/>
        <w:overflowPunct/>
        <w:bidi w:val="0"/>
        <w:spacing w:line="500" w:lineRule="exact"/>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.广州市净水有限公司片区项目实施考核表</w:t>
      </w:r>
    </w:p>
    <w:p>
      <w:pPr>
        <w:keepNext w:val="0"/>
        <w:keepLines w:val="0"/>
        <w:pageBreakBefore w:val="0"/>
        <w:widowControl w:val="0"/>
        <w:kinsoku/>
        <w:wordWrap/>
        <w:overflowPunct/>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甲方：广州市净水有限公司（盖章）         乙方：（盖章）</w:t>
      </w:r>
    </w:p>
    <w:p>
      <w:pPr>
        <w:keepNext w:val="0"/>
        <w:keepLines w:val="0"/>
        <w:pageBreakBefore w:val="0"/>
        <w:widowControl w:val="0"/>
        <w:kinsoku/>
        <w:wordWrap/>
        <w:overflowPunct/>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法人代表：                               法人代表：</w:t>
      </w:r>
    </w:p>
    <w:p>
      <w:pPr>
        <w:keepNext w:val="0"/>
        <w:keepLines w:val="0"/>
        <w:pageBreakBefore w:val="0"/>
        <w:widowControl w:val="0"/>
        <w:kinsoku/>
        <w:wordWrap/>
        <w:overflowPunct/>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                                   地址：</w:t>
      </w:r>
    </w:p>
    <w:p>
      <w:pPr>
        <w:keepNext w:val="0"/>
        <w:keepLines w:val="0"/>
        <w:pageBreakBefore w:val="0"/>
        <w:widowControl w:val="0"/>
        <w:kinsoku/>
        <w:wordWrap/>
        <w:overflowPunct/>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                             委托代理人：</w:t>
      </w:r>
    </w:p>
    <w:p>
      <w:pPr>
        <w:keepNext w:val="0"/>
        <w:keepLines w:val="0"/>
        <w:pageBreakBefore w:val="0"/>
        <w:widowControl w:val="0"/>
        <w:kinsoku/>
        <w:wordWrap/>
        <w:overflowPunct/>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经办人：                                 经办人：</w:t>
      </w:r>
    </w:p>
    <w:p>
      <w:pPr>
        <w:keepNext w:val="0"/>
        <w:keepLines w:val="0"/>
        <w:pageBreakBefore w:val="0"/>
        <w:widowControl w:val="0"/>
        <w:kinsoku/>
        <w:wordWrap/>
        <w:overflowPunct/>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                               联系电话：</w:t>
      </w:r>
    </w:p>
    <w:p>
      <w:pPr>
        <w:keepNext w:val="0"/>
        <w:keepLines w:val="0"/>
        <w:pageBreakBefore w:val="0"/>
        <w:widowControl w:val="0"/>
        <w:kinsoku/>
        <w:wordWrap/>
        <w:overflowPunct/>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                                   传真：</w:t>
      </w:r>
    </w:p>
    <w:p>
      <w:pPr>
        <w:keepNext w:val="0"/>
        <w:keepLines w:val="0"/>
        <w:pageBreakBefore w:val="0"/>
        <w:widowControl w:val="0"/>
        <w:kinsoku/>
        <w:wordWrap/>
        <w:overflowPunct/>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签署日期：    年    月    日     签署日期：    年    月    日</w:t>
      </w:r>
    </w:p>
    <w:p>
      <w:pPr>
        <w:pStyle w:val="19"/>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附件1：中标通知书</w:t>
      </w:r>
    </w:p>
    <w:p>
      <w:pPr>
        <w:spacing w:before="224" w:beforeLines="50" w:line="580" w:lineRule="exact"/>
        <w:outlineLvl w:val="1"/>
        <w:rPr>
          <w:rFonts w:hint="eastAsia" w:ascii="宋体" w:hAnsi="宋体"/>
          <w:b/>
          <w:color w:val="auto"/>
          <w:sz w:val="24"/>
          <w:highlight w:val="none"/>
        </w:rPr>
      </w:pPr>
    </w:p>
    <w:p>
      <w:pPr>
        <w:spacing w:before="224" w:beforeLines="50" w:line="580" w:lineRule="exact"/>
        <w:outlineLvl w:val="1"/>
        <w:rPr>
          <w:rFonts w:hint="eastAsia" w:ascii="宋体" w:hAnsi="宋体"/>
          <w:b/>
          <w:color w:val="auto"/>
          <w:sz w:val="24"/>
          <w:highlight w:val="none"/>
        </w:rPr>
      </w:pPr>
    </w:p>
    <w:p>
      <w:pPr>
        <w:spacing w:before="224" w:beforeLines="50" w:line="580" w:lineRule="exact"/>
        <w:outlineLvl w:val="1"/>
        <w:rPr>
          <w:rFonts w:hint="eastAsia" w:ascii="宋体" w:hAnsi="宋体"/>
          <w:b/>
          <w:color w:val="auto"/>
          <w:sz w:val="24"/>
          <w:highlight w:val="none"/>
        </w:rPr>
      </w:pPr>
    </w:p>
    <w:p>
      <w:pPr>
        <w:spacing w:before="224" w:beforeLines="50" w:line="580" w:lineRule="exact"/>
        <w:outlineLvl w:val="1"/>
        <w:rPr>
          <w:rFonts w:hint="eastAsia" w:ascii="宋体" w:hAnsi="宋体"/>
          <w:b/>
          <w:color w:val="auto"/>
          <w:sz w:val="24"/>
          <w:highlight w:val="none"/>
        </w:rPr>
      </w:pPr>
    </w:p>
    <w:p>
      <w:pPr>
        <w:spacing w:before="224" w:beforeLines="50" w:line="580" w:lineRule="exact"/>
        <w:outlineLvl w:val="1"/>
        <w:rPr>
          <w:rFonts w:hint="eastAsia" w:ascii="宋体" w:hAnsi="宋体"/>
          <w:b/>
          <w:color w:val="auto"/>
          <w:sz w:val="24"/>
          <w:highlight w:val="none"/>
        </w:rPr>
      </w:pPr>
    </w:p>
    <w:p>
      <w:pPr>
        <w:spacing w:before="224" w:beforeLines="50" w:line="580" w:lineRule="exact"/>
        <w:outlineLvl w:val="1"/>
        <w:rPr>
          <w:rFonts w:hint="eastAsia" w:ascii="宋体" w:hAnsi="宋体"/>
          <w:b/>
          <w:color w:val="auto"/>
          <w:sz w:val="24"/>
          <w:highlight w:val="none"/>
        </w:rPr>
      </w:pPr>
    </w:p>
    <w:p>
      <w:pPr>
        <w:spacing w:before="224" w:beforeLines="50" w:line="580" w:lineRule="exact"/>
        <w:outlineLvl w:val="1"/>
        <w:rPr>
          <w:rFonts w:hint="eastAsia" w:ascii="宋体" w:hAnsi="宋体"/>
          <w:b/>
          <w:color w:val="auto"/>
          <w:sz w:val="24"/>
          <w:highlight w:val="none"/>
        </w:rPr>
      </w:pPr>
    </w:p>
    <w:p>
      <w:pPr>
        <w:spacing w:before="224" w:beforeLines="50" w:line="580" w:lineRule="exact"/>
        <w:outlineLvl w:val="1"/>
        <w:rPr>
          <w:rFonts w:hint="eastAsia" w:ascii="宋体" w:hAnsi="宋体"/>
          <w:b/>
          <w:color w:val="auto"/>
          <w:sz w:val="24"/>
          <w:highlight w:val="none"/>
        </w:rPr>
      </w:pPr>
    </w:p>
    <w:p>
      <w:pPr>
        <w:spacing w:before="224" w:beforeLines="50" w:line="580" w:lineRule="exact"/>
        <w:outlineLvl w:val="1"/>
        <w:rPr>
          <w:rFonts w:hint="eastAsia" w:ascii="宋体" w:hAnsi="宋体"/>
          <w:b/>
          <w:color w:val="auto"/>
          <w:sz w:val="24"/>
          <w:highlight w:val="none"/>
        </w:rPr>
      </w:pPr>
    </w:p>
    <w:p>
      <w:pPr>
        <w:spacing w:before="224" w:beforeLines="50" w:line="580" w:lineRule="exact"/>
        <w:outlineLvl w:val="1"/>
        <w:rPr>
          <w:rFonts w:hint="eastAsia" w:ascii="宋体" w:hAnsi="宋体"/>
          <w:b/>
          <w:color w:val="auto"/>
          <w:sz w:val="24"/>
          <w:highlight w:val="none"/>
        </w:rPr>
      </w:pPr>
    </w:p>
    <w:p>
      <w:pPr>
        <w:spacing w:before="224" w:beforeLines="50" w:line="580" w:lineRule="exact"/>
        <w:outlineLvl w:val="1"/>
        <w:rPr>
          <w:rFonts w:hint="eastAsia" w:ascii="宋体" w:hAnsi="宋体"/>
          <w:b/>
          <w:color w:val="auto"/>
          <w:sz w:val="24"/>
          <w:highlight w:val="none"/>
        </w:rPr>
      </w:pPr>
    </w:p>
    <w:p>
      <w:pPr>
        <w:spacing w:before="224" w:beforeLines="50" w:line="580" w:lineRule="exact"/>
        <w:outlineLvl w:val="1"/>
        <w:rPr>
          <w:rFonts w:hint="eastAsia" w:ascii="宋体" w:hAnsi="宋体"/>
          <w:b/>
          <w:color w:val="auto"/>
          <w:sz w:val="24"/>
          <w:highlight w:val="none"/>
        </w:rPr>
      </w:pPr>
    </w:p>
    <w:p>
      <w:pPr>
        <w:spacing w:before="224" w:beforeLines="50" w:line="580" w:lineRule="exact"/>
        <w:outlineLvl w:val="1"/>
        <w:rPr>
          <w:rFonts w:hint="eastAsia" w:ascii="宋体" w:hAnsi="宋体"/>
          <w:b/>
          <w:color w:val="auto"/>
          <w:sz w:val="24"/>
          <w:highlight w:val="none"/>
        </w:rPr>
      </w:pPr>
    </w:p>
    <w:p>
      <w:pPr>
        <w:spacing w:before="224" w:beforeLines="50" w:line="580" w:lineRule="exact"/>
        <w:outlineLvl w:val="1"/>
        <w:rPr>
          <w:rFonts w:hint="eastAsia" w:ascii="宋体" w:hAnsi="宋体"/>
          <w:b/>
          <w:color w:val="auto"/>
          <w:sz w:val="24"/>
          <w:highlight w:val="none"/>
        </w:rPr>
      </w:pPr>
    </w:p>
    <w:p>
      <w:pPr>
        <w:spacing w:before="224" w:beforeLines="50" w:line="580" w:lineRule="exact"/>
        <w:outlineLvl w:val="1"/>
        <w:rPr>
          <w:rFonts w:hint="eastAsia" w:ascii="宋体" w:hAnsi="宋体"/>
          <w:b/>
          <w:color w:val="auto"/>
          <w:sz w:val="24"/>
          <w:highlight w:val="none"/>
        </w:rPr>
      </w:pPr>
    </w:p>
    <w:p>
      <w:pPr>
        <w:spacing w:before="224" w:beforeLines="50" w:line="580" w:lineRule="exact"/>
        <w:outlineLvl w:val="1"/>
        <w:rPr>
          <w:rFonts w:hint="eastAsia" w:ascii="宋体" w:hAnsi="宋体"/>
          <w:b/>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附件2：</w:t>
      </w:r>
    </w:p>
    <w:p>
      <w:pPr>
        <w:keepNext w:val="0"/>
        <w:keepLines w:val="0"/>
        <w:pageBreakBefore w:val="0"/>
        <w:kinsoku/>
        <w:wordWrap/>
        <w:overflowPunct/>
        <w:topLinePunct w:val="0"/>
        <w:autoSpaceDE w:val="0"/>
        <w:autoSpaceDN w:val="0"/>
        <w:bidi w:val="0"/>
        <w:adjustRightInd w:val="0"/>
        <w:spacing w:before="100" w:after="100" w:line="500" w:lineRule="exact"/>
        <w:ind w:left="250" w:right="-26"/>
        <w:jc w:val="center"/>
        <w:textAlignment w:val="auto"/>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工程质量保修书</w:t>
      </w:r>
    </w:p>
    <w:p>
      <w:pPr>
        <w:keepNext w:val="0"/>
        <w:keepLines w:val="0"/>
        <w:pageBreakBefore w:val="0"/>
        <w:kinsoku/>
        <w:wordWrap/>
        <w:overflowPunct/>
        <w:topLinePunct w:val="0"/>
        <w:autoSpaceDE w:val="0"/>
        <w:autoSpaceDN w:val="0"/>
        <w:bidi w:val="0"/>
        <w:adjustRightInd w:val="0"/>
        <w:spacing w:before="100" w:after="100" w:line="500" w:lineRule="exact"/>
        <w:ind w:right="-26"/>
        <w:jc w:val="left"/>
        <w:textAlignment w:val="auto"/>
        <w:rPr>
          <w:rFonts w:hint="eastAsia" w:ascii="宋体" w:hAnsi="宋体" w:eastAsia="宋体" w:cs="宋体"/>
          <w:color w:val="auto"/>
          <w:kern w:val="0"/>
          <w:sz w:val="24"/>
          <w:highlight w:val="none"/>
        </w:rPr>
      </w:pPr>
    </w:p>
    <w:p>
      <w:pPr>
        <w:keepNext w:val="0"/>
        <w:keepLines w:val="0"/>
        <w:pageBreakBefore w:val="0"/>
        <w:kinsoku/>
        <w:wordWrap/>
        <w:overflowPunct/>
        <w:topLinePunct w:val="0"/>
        <w:autoSpaceDE w:val="0"/>
        <w:autoSpaceDN w:val="0"/>
        <w:bidi w:val="0"/>
        <w:adjustRightInd w:val="0"/>
        <w:spacing w:before="100" w:after="100" w:line="500" w:lineRule="exact"/>
        <w:ind w:right="-26"/>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承包人（甲方）：广州市净水有限公司</w:t>
      </w:r>
    </w:p>
    <w:p>
      <w:pPr>
        <w:keepNext w:val="0"/>
        <w:keepLines w:val="0"/>
        <w:pageBreakBefore w:val="0"/>
        <w:kinsoku/>
        <w:wordWrap/>
        <w:overflowPunct/>
        <w:topLinePunct w:val="0"/>
        <w:autoSpaceDE w:val="0"/>
        <w:autoSpaceDN w:val="0"/>
        <w:bidi w:val="0"/>
        <w:adjustRightInd w:val="0"/>
        <w:spacing w:before="100" w:after="100" w:line="500" w:lineRule="exact"/>
        <w:ind w:right="-26"/>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发包人（乙方）： </w:t>
      </w:r>
    </w:p>
    <w:p>
      <w:pPr>
        <w:keepNext w:val="0"/>
        <w:keepLines w:val="0"/>
        <w:pageBreakBefore w:val="0"/>
        <w:kinsoku/>
        <w:wordWrap/>
        <w:overflowPunct/>
        <w:topLinePunct w:val="0"/>
        <w:bidi w:val="0"/>
        <w:spacing w:line="500" w:lineRule="exact"/>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在合理使用期限内正常使用，甲方、乙方协商一致签订工程质量保修书。乙方在质量保修期内按照有关管理规定及双方约定承担工程质量保修责任。</w:t>
      </w:r>
    </w:p>
    <w:p>
      <w:pPr>
        <w:keepNext w:val="0"/>
        <w:keepLines w:val="0"/>
        <w:pageBreakBefore w:val="0"/>
        <w:kinsoku/>
        <w:wordWrap/>
        <w:overflowPunct/>
        <w:topLinePunct w:val="0"/>
        <w:autoSpaceDE w:val="0"/>
        <w:autoSpaceDN w:val="0"/>
        <w:bidi w:val="0"/>
        <w:adjustRightInd w:val="0"/>
        <w:spacing w:before="100" w:after="100" w:line="500" w:lineRule="exact"/>
        <w:ind w:left="250" w:right="-26"/>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一、工程质量保修范围和内容</w:t>
      </w:r>
    </w:p>
    <w:p>
      <w:pPr>
        <w:keepNext w:val="0"/>
        <w:keepLines w:val="0"/>
        <w:pageBreakBefore w:val="0"/>
        <w:kinsoku/>
        <w:wordWrap/>
        <w:overflowPunct/>
        <w:topLinePunct w:val="0"/>
        <w:autoSpaceDE w:val="0"/>
        <w:autoSpaceDN w:val="0"/>
        <w:bidi w:val="0"/>
        <w:adjustRightInd w:val="0"/>
        <w:spacing w:before="100" w:after="100" w:line="500" w:lineRule="exact"/>
        <w:ind w:left="250" w:right="-26"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质量保修范围双方约定如下：</w:t>
      </w:r>
    </w:p>
    <w:p>
      <w:pPr>
        <w:keepNext w:val="0"/>
        <w:keepLines w:val="0"/>
        <w:pageBreakBefore w:val="0"/>
        <w:kinsoku/>
        <w:wordWrap/>
        <w:overflowPunct/>
        <w:topLinePunct w:val="0"/>
        <w:autoSpaceDE w:val="0"/>
        <w:autoSpaceDN w:val="0"/>
        <w:bidi w:val="0"/>
        <w:adjustRightInd w:val="0"/>
        <w:spacing w:before="100" w:after="100" w:line="500" w:lineRule="exact"/>
        <w:ind w:left="250" w:right="-26"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rPr>
        <w:t>即乙方施工的工程范围。</w:t>
      </w:r>
    </w:p>
    <w:p>
      <w:pPr>
        <w:keepNext w:val="0"/>
        <w:keepLines w:val="0"/>
        <w:pageBreakBefore w:val="0"/>
        <w:kinsoku/>
        <w:wordWrap/>
        <w:overflowPunct/>
        <w:topLinePunct w:val="0"/>
        <w:autoSpaceDE w:val="0"/>
        <w:autoSpaceDN w:val="0"/>
        <w:bidi w:val="0"/>
        <w:adjustRightInd w:val="0"/>
        <w:spacing w:before="100" w:after="100" w:line="500" w:lineRule="exact"/>
        <w:ind w:left="250" w:right="-26"/>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二、质量保修期</w:t>
      </w:r>
    </w:p>
    <w:p>
      <w:pPr>
        <w:keepNext w:val="0"/>
        <w:keepLines w:val="0"/>
        <w:pageBreakBefore w:val="0"/>
        <w:kinsoku/>
        <w:wordWrap/>
        <w:overflowPunct/>
        <w:topLinePunct w:val="0"/>
        <w:autoSpaceDE w:val="0"/>
        <w:autoSpaceDN w:val="0"/>
        <w:bidi w:val="0"/>
        <w:adjustRightInd w:val="0"/>
        <w:spacing w:before="100" w:after="100" w:line="500" w:lineRule="exact"/>
        <w:ind w:left="250" w:right="-26"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质量保修期从工程实际竣工之日算起。分单项竣工验收的工程，按单项工程分别计算质量保修期。</w:t>
      </w:r>
    </w:p>
    <w:p>
      <w:pPr>
        <w:keepNext w:val="0"/>
        <w:keepLines w:val="0"/>
        <w:pageBreakBefore w:val="0"/>
        <w:kinsoku/>
        <w:wordWrap/>
        <w:overflowPunct/>
        <w:topLinePunct w:val="0"/>
        <w:autoSpaceDE w:val="0"/>
        <w:autoSpaceDN w:val="0"/>
        <w:bidi w:val="0"/>
        <w:adjustRightInd w:val="0"/>
        <w:spacing w:before="100" w:after="100" w:line="500" w:lineRule="exact"/>
        <w:ind w:left="250" w:right="-26"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双方根据国家有关规定，结合具体工程约定本工程的质量保修期如下：</w:t>
      </w:r>
    </w:p>
    <w:p>
      <w:pPr>
        <w:keepNext w:val="0"/>
        <w:keepLines w:val="0"/>
        <w:pageBreakBefore w:val="0"/>
        <w:kinsoku/>
        <w:wordWrap/>
        <w:overflowPunct/>
        <w:topLinePunct w:val="0"/>
        <w:autoSpaceDE w:val="0"/>
        <w:autoSpaceDN w:val="0"/>
        <w:bidi w:val="0"/>
        <w:adjustRightInd w:val="0"/>
        <w:spacing w:before="100" w:after="100" w:line="500" w:lineRule="exact"/>
        <w:ind w:left="250" w:right="-26"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1、土建工程为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1</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年，屋面防水工程为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5</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p>
    <w:p>
      <w:pPr>
        <w:keepNext w:val="0"/>
        <w:keepLines w:val="0"/>
        <w:pageBreakBefore w:val="0"/>
        <w:kinsoku/>
        <w:wordWrap/>
        <w:overflowPunct/>
        <w:topLinePunct w:val="0"/>
        <w:autoSpaceDE w:val="0"/>
        <w:autoSpaceDN w:val="0"/>
        <w:bidi w:val="0"/>
        <w:adjustRightInd w:val="0"/>
        <w:spacing w:before="100" w:after="100" w:line="500" w:lineRule="exact"/>
        <w:ind w:left="250" w:right="-26"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2、电气管线、上下水管线安装工程为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2</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p>
    <w:p>
      <w:pPr>
        <w:keepNext w:val="0"/>
        <w:keepLines w:val="0"/>
        <w:pageBreakBefore w:val="0"/>
        <w:kinsoku/>
        <w:wordWrap/>
        <w:overflowPunct/>
        <w:topLinePunct w:val="0"/>
        <w:autoSpaceDE w:val="0"/>
        <w:autoSpaceDN w:val="0"/>
        <w:bidi w:val="0"/>
        <w:adjustRightInd w:val="0"/>
        <w:spacing w:before="100" w:after="100" w:line="500" w:lineRule="exact"/>
        <w:ind w:left="250" w:right="-26"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3、供热及供冷为为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2</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个采暖期及供冷期； </w:t>
      </w:r>
    </w:p>
    <w:p>
      <w:pPr>
        <w:keepNext w:val="0"/>
        <w:keepLines w:val="0"/>
        <w:pageBreakBefore w:val="0"/>
        <w:kinsoku/>
        <w:wordWrap/>
        <w:overflowPunct/>
        <w:topLinePunct w:val="0"/>
        <w:autoSpaceDE w:val="0"/>
        <w:autoSpaceDN w:val="0"/>
        <w:bidi w:val="0"/>
        <w:adjustRightInd w:val="0"/>
        <w:spacing w:before="100" w:after="100" w:line="500" w:lineRule="exact"/>
        <w:ind w:left="250" w:right="-26"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4、室外的上下水和小区道路等市政公用工程为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1</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p>
    <w:p>
      <w:pPr>
        <w:keepNext w:val="0"/>
        <w:keepLines w:val="0"/>
        <w:pageBreakBefore w:val="0"/>
        <w:kinsoku/>
        <w:wordWrap/>
        <w:overflowPunct/>
        <w:topLinePunct w:val="0"/>
        <w:autoSpaceDE w:val="0"/>
        <w:autoSpaceDN w:val="0"/>
        <w:bidi w:val="0"/>
        <w:adjustRightInd w:val="0"/>
        <w:spacing w:before="100" w:after="100" w:line="500" w:lineRule="exact"/>
        <w:ind w:left="250" w:right="-26" w:firstLine="48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5、其他约定：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其他项目的保修期限不得低于法律规定年限</w:t>
      </w:r>
      <w:r>
        <w:rPr>
          <w:rFonts w:hint="eastAsia" w:ascii="宋体" w:hAnsi="宋体" w:eastAsia="宋体" w:cs="宋体"/>
          <w:color w:val="auto"/>
          <w:kern w:val="0"/>
          <w:sz w:val="24"/>
          <w:szCs w:val="24"/>
          <w:highlight w:val="none"/>
          <w:u w:val="single"/>
        </w:rPr>
        <w:t xml:space="preserve"> .</w:t>
      </w:r>
    </w:p>
    <w:p>
      <w:pPr>
        <w:keepNext w:val="0"/>
        <w:keepLines w:val="0"/>
        <w:pageBreakBefore w:val="0"/>
        <w:kinsoku/>
        <w:wordWrap/>
        <w:overflowPunct/>
        <w:topLinePunct w:val="0"/>
        <w:autoSpaceDE w:val="0"/>
        <w:autoSpaceDN w:val="0"/>
        <w:bidi w:val="0"/>
        <w:adjustRightInd w:val="0"/>
        <w:spacing w:before="100" w:after="100" w:line="500" w:lineRule="exact"/>
        <w:ind w:left="250" w:right="-26"/>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三、质量保修责任</w:t>
      </w:r>
    </w:p>
    <w:p>
      <w:pPr>
        <w:keepNext w:val="0"/>
        <w:keepLines w:val="0"/>
        <w:pageBreakBefore w:val="0"/>
        <w:kinsoku/>
        <w:wordWrap/>
        <w:overflowPunct/>
        <w:topLinePunct w:val="0"/>
        <w:autoSpaceDE w:val="0"/>
        <w:autoSpaceDN w:val="0"/>
        <w:bidi w:val="0"/>
        <w:adjustRightInd w:val="0"/>
        <w:spacing w:before="100" w:after="100" w:line="500" w:lineRule="exact"/>
        <w:ind w:left="250" w:right="-26"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1、属于保修范围、内容的项目，乙方应当在接到保修通知之日起48小时内派人修理。乙方不在约定期限内派人修理，甲方可以委托其他人员修理，保修费用从质量保修金内扣除。</w:t>
      </w:r>
    </w:p>
    <w:p>
      <w:pPr>
        <w:keepNext w:val="0"/>
        <w:keepLines w:val="0"/>
        <w:pageBreakBefore w:val="0"/>
        <w:kinsoku/>
        <w:wordWrap/>
        <w:overflowPunct/>
        <w:topLinePunct w:val="0"/>
        <w:autoSpaceDE w:val="0"/>
        <w:autoSpaceDN w:val="0"/>
        <w:bidi w:val="0"/>
        <w:adjustRightInd w:val="0"/>
        <w:spacing w:before="100" w:after="100" w:line="500" w:lineRule="exact"/>
        <w:ind w:left="250" w:right="-26"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2、发生紧急抢修事故的（如上水跑水、暖气漏水漏气、燃气漏气等），乙方在接到事故通知后，应当立即到达事故现场抢修。非乙方施工质量引起的事故，抢修费用由甲方承担。</w:t>
      </w:r>
    </w:p>
    <w:p>
      <w:pPr>
        <w:keepNext w:val="0"/>
        <w:keepLines w:val="0"/>
        <w:pageBreakBefore w:val="0"/>
        <w:kinsoku/>
        <w:wordWrap/>
        <w:overflowPunct/>
        <w:topLinePunct w:val="0"/>
        <w:autoSpaceDE w:val="0"/>
        <w:autoSpaceDN w:val="0"/>
        <w:bidi w:val="0"/>
        <w:adjustRightInd w:val="0"/>
        <w:spacing w:before="100" w:after="100" w:line="500" w:lineRule="exact"/>
        <w:ind w:left="250" w:right="-26"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3、在国家规定的工程合理使用期限内，乙方确保地基基础工程和主体结构的质量。因乙方原因致使工程在合理使用期限内造成人身和财产损害的，乙方应承担损害赔偿责任。</w:t>
      </w:r>
    </w:p>
    <w:p>
      <w:pPr>
        <w:keepNext w:val="0"/>
        <w:keepLines w:val="0"/>
        <w:pageBreakBefore w:val="0"/>
        <w:kinsoku/>
        <w:wordWrap/>
        <w:overflowPunct/>
        <w:topLinePunct w:val="0"/>
        <w:autoSpaceDE w:val="0"/>
        <w:autoSpaceDN w:val="0"/>
        <w:bidi w:val="0"/>
        <w:adjustRightInd w:val="0"/>
        <w:spacing w:before="100" w:after="100" w:line="500" w:lineRule="exact"/>
        <w:ind w:left="250" w:right="-26"/>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四、质量保修金的支付</w:t>
      </w:r>
    </w:p>
    <w:p>
      <w:pPr>
        <w:keepNext w:val="0"/>
        <w:keepLines w:val="0"/>
        <w:pageBreakBefore w:val="0"/>
        <w:kinsoku/>
        <w:wordWrap/>
        <w:overflowPunct/>
        <w:topLinePunct w:val="0"/>
        <w:autoSpaceDE w:val="0"/>
        <w:autoSpaceDN w:val="0"/>
        <w:bidi w:val="0"/>
        <w:adjustRightInd w:val="0"/>
        <w:spacing w:before="100" w:after="100" w:line="500" w:lineRule="exact"/>
        <w:ind w:left="250" w:right="-26"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工程质量保修金一般不超过施工合同价款的</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％，本工程约定的工程质量保修金为</w:t>
      </w:r>
      <w:r>
        <w:rPr>
          <w:rFonts w:hint="eastAsia" w:ascii="宋体" w:hAnsi="宋体" w:eastAsia="宋体" w:cs="宋体"/>
          <w:color w:val="auto"/>
          <w:kern w:val="0"/>
          <w:sz w:val="24"/>
          <w:szCs w:val="24"/>
          <w:highlight w:val="none"/>
          <w:lang w:eastAsia="zh-CN"/>
        </w:rPr>
        <w:t>预算价</w:t>
      </w:r>
      <w:r>
        <w:rPr>
          <w:rFonts w:hint="eastAsia" w:ascii="宋体" w:hAnsi="宋体" w:eastAsia="宋体" w:cs="宋体"/>
          <w:color w:val="auto"/>
          <w:kern w:val="0"/>
          <w:sz w:val="24"/>
          <w:szCs w:val="24"/>
          <w:highlight w:val="none"/>
        </w:rPr>
        <w:t>/合同结算审定价的</w:t>
      </w:r>
      <w:r>
        <w:rPr>
          <w:rFonts w:hint="eastAsia" w:ascii="宋体" w:hAnsi="宋体" w:eastAsia="宋体" w:cs="宋体"/>
          <w:b/>
          <w:bCs/>
          <w:color w:val="auto"/>
          <w:kern w:val="0"/>
          <w:sz w:val="24"/>
          <w:szCs w:val="24"/>
          <w:highlight w:val="none"/>
          <w:u w:val="single"/>
        </w:rPr>
        <w:t xml:space="preserve">  3%   </w:t>
      </w:r>
      <w:r>
        <w:rPr>
          <w:rFonts w:hint="eastAsia" w:ascii="宋体" w:hAnsi="宋体" w:eastAsia="宋体" w:cs="宋体"/>
          <w:color w:val="auto"/>
          <w:kern w:val="0"/>
          <w:sz w:val="24"/>
          <w:szCs w:val="24"/>
          <w:highlight w:val="none"/>
        </w:rPr>
        <w:t>。</w:t>
      </w:r>
    </w:p>
    <w:p>
      <w:pPr>
        <w:keepNext w:val="0"/>
        <w:keepLines w:val="0"/>
        <w:pageBreakBefore w:val="0"/>
        <w:kinsoku/>
        <w:wordWrap/>
        <w:overflowPunct/>
        <w:topLinePunct w:val="0"/>
        <w:autoSpaceDE w:val="0"/>
        <w:autoSpaceDN w:val="0"/>
        <w:bidi w:val="0"/>
        <w:adjustRightInd w:val="0"/>
        <w:spacing w:before="100" w:after="100" w:line="500" w:lineRule="exact"/>
        <w:ind w:left="250" w:right="-26"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本工程双方约定乙方向甲方支付工程质量保修金金额</w:t>
      </w:r>
      <w:r>
        <w:rPr>
          <w:rFonts w:hint="eastAsia" w:ascii="宋体" w:hAnsi="宋体" w:eastAsia="宋体" w:cs="宋体"/>
          <w:color w:val="auto"/>
          <w:kern w:val="0"/>
          <w:sz w:val="24"/>
          <w:szCs w:val="24"/>
          <w:highlight w:val="none"/>
          <w:u w:val="single"/>
        </w:rPr>
        <w:t>详见（合同名称+合同编号）</w:t>
      </w:r>
      <w:r>
        <w:rPr>
          <w:rFonts w:hint="eastAsia" w:ascii="宋体" w:hAnsi="宋体" w:eastAsia="宋体" w:cs="宋体"/>
          <w:color w:val="auto"/>
          <w:kern w:val="0"/>
          <w:sz w:val="24"/>
          <w:szCs w:val="24"/>
          <w:highlight w:val="none"/>
        </w:rPr>
        <w:t>。质量保修金银行利率为</w:t>
      </w:r>
      <w:r>
        <w:rPr>
          <w:rFonts w:hint="eastAsia" w:ascii="宋体" w:hAnsi="宋体" w:eastAsia="宋体" w:cs="宋体"/>
          <w:color w:val="auto"/>
          <w:kern w:val="0"/>
          <w:sz w:val="24"/>
          <w:szCs w:val="24"/>
          <w:highlight w:val="none"/>
          <w:u w:val="single"/>
        </w:rPr>
        <w:t xml:space="preserve"> 零 </w:t>
      </w:r>
      <w:r>
        <w:rPr>
          <w:rFonts w:hint="eastAsia" w:ascii="宋体" w:hAnsi="宋体" w:eastAsia="宋体" w:cs="宋体"/>
          <w:color w:val="auto"/>
          <w:kern w:val="0"/>
          <w:sz w:val="24"/>
          <w:szCs w:val="24"/>
          <w:highlight w:val="none"/>
        </w:rPr>
        <w:t>。</w:t>
      </w:r>
    </w:p>
    <w:p>
      <w:pPr>
        <w:keepNext w:val="0"/>
        <w:keepLines w:val="0"/>
        <w:pageBreakBefore w:val="0"/>
        <w:kinsoku/>
        <w:wordWrap/>
        <w:overflowPunct/>
        <w:topLinePunct w:val="0"/>
        <w:autoSpaceDE w:val="0"/>
        <w:autoSpaceDN w:val="0"/>
        <w:bidi w:val="0"/>
        <w:adjustRightInd w:val="0"/>
        <w:spacing w:before="100" w:after="100" w:line="500" w:lineRule="exact"/>
        <w:ind w:left="250" w:right="-26"/>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五、其他</w:t>
      </w:r>
    </w:p>
    <w:p>
      <w:pPr>
        <w:keepNext w:val="0"/>
        <w:keepLines w:val="0"/>
        <w:pageBreakBefore w:val="0"/>
        <w:kinsoku/>
        <w:wordWrap/>
        <w:overflowPunct/>
        <w:topLinePunct w:val="0"/>
        <w:autoSpaceDE w:val="0"/>
        <w:autoSpaceDN w:val="0"/>
        <w:bidi w:val="0"/>
        <w:adjustRightInd w:val="0"/>
        <w:spacing w:before="100" w:after="100" w:line="500" w:lineRule="exact"/>
        <w:ind w:left="250" w:right="-26"/>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双方约定的其他质量保修事项：</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pPr>
        <w:keepNext w:val="0"/>
        <w:keepLines w:val="0"/>
        <w:pageBreakBefore w:val="0"/>
        <w:kinsoku/>
        <w:wordWrap/>
        <w:overflowPunct/>
        <w:topLinePunct w:val="0"/>
        <w:autoSpaceDE w:val="0"/>
        <w:autoSpaceDN w:val="0"/>
        <w:bidi w:val="0"/>
        <w:adjustRightInd w:val="0"/>
        <w:spacing w:before="100" w:after="100" w:line="500" w:lineRule="exact"/>
        <w:ind w:left="250" w:right="-26"/>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本工程质量保修书作为施工合同附件，由甲方、乙方双方共同签署。</w:t>
      </w:r>
    </w:p>
    <w:p>
      <w:pPr>
        <w:keepNext w:val="0"/>
        <w:keepLines w:val="0"/>
        <w:pageBreakBefore w:val="0"/>
        <w:kinsoku/>
        <w:wordWrap/>
        <w:overflowPunct/>
        <w:topLinePunct w:val="0"/>
        <w:autoSpaceDE w:val="0"/>
        <w:autoSpaceDN w:val="0"/>
        <w:bidi w:val="0"/>
        <w:adjustRightInd w:val="0"/>
        <w:spacing w:before="100" w:after="100" w:line="500" w:lineRule="exact"/>
        <w:ind w:left="6813" w:leftChars="104" w:right="360" w:hanging="6480" w:hangingChars="27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甲方（甲方）：                      乙方（乙方）:</w:t>
      </w:r>
    </w:p>
    <w:p>
      <w:pPr>
        <w:keepNext w:val="0"/>
        <w:keepLines w:val="0"/>
        <w:pageBreakBefore w:val="0"/>
        <w:kinsoku/>
        <w:wordWrap/>
        <w:overflowPunct/>
        <w:topLinePunct w:val="0"/>
        <w:autoSpaceDE w:val="0"/>
        <w:autoSpaceDN w:val="0"/>
        <w:bidi w:val="0"/>
        <w:adjustRightInd w:val="0"/>
        <w:spacing w:before="100" w:after="100" w:line="500" w:lineRule="exact"/>
        <w:ind w:right="36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广州市净水有限公司                    </w:t>
      </w:r>
    </w:p>
    <w:p>
      <w:pPr>
        <w:keepNext w:val="0"/>
        <w:keepLines w:val="0"/>
        <w:pageBreakBefore w:val="0"/>
        <w:kinsoku/>
        <w:wordWrap/>
        <w:overflowPunct/>
        <w:topLinePunct w:val="0"/>
        <w:autoSpaceDE w:val="0"/>
        <w:autoSpaceDN w:val="0"/>
        <w:bidi w:val="0"/>
        <w:adjustRightInd w:val="0"/>
        <w:spacing w:before="100" w:after="100" w:line="500" w:lineRule="exact"/>
        <w:ind w:right="-26"/>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（盖章）                           （盖章）</w:t>
      </w:r>
    </w:p>
    <w:p>
      <w:pPr>
        <w:keepNext w:val="0"/>
        <w:keepLines w:val="0"/>
        <w:pageBreakBefore w:val="0"/>
        <w:kinsoku/>
        <w:wordWrap/>
        <w:overflowPunct/>
        <w:topLinePunct w:val="0"/>
        <w:autoSpaceDE w:val="0"/>
        <w:autoSpaceDN w:val="0"/>
        <w:bidi w:val="0"/>
        <w:adjustRightInd w:val="0"/>
        <w:spacing w:line="500" w:lineRule="exact"/>
        <w:ind w:left="360" w:right="-26" w:rightChars="-8"/>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经办人：                             经办人：</w:t>
      </w:r>
    </w:p>
    <w:p>
      <w:pPr>
        <w:keepNext w:val="0"/>
        <w:keepLines w:val="0"/>
        <w:pageBreakBefore w:val="0"/>
        <w:kinsoku/>
        <w:wordWrap/>
        <w:overflowPunct/>
        <w:topLinePunct w:val="0"/>
        <w:autoSpaceDE w:val="0"/>
        <w:autoSpaceDN w:val="0"/>
        <w:bidi w:val="0"/>
        <w:adjustRightInd w:val="0"/>
        <w:spacing w:line="500" w:lineRule="exact"/>
        <w:ind w:left="360" w:right="-22" w:rightChars="-7"/>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  话：                             电   话：</w:t>
      </w:r>
    </w:p>
    <w:p>
      <w:pPr>
        <w:keepNext w:val="0"/>
        <w:keepLines w:val="0"/>
        <w:pageBreakBefore w:val="0"/>
        <w:kinsoku/>
        <w:wordWrap/>
        <w:overflowPunct/>
        <w:topLinePunct w:val="0"/>
        <w:autoSpaceDE w:val="0"/>
        <w:autoSpaceDN w:val="0"/>
        <w:bidi w:val="0"/>
        <w:adjustRightInd w:val="0"/>
        <w:spacing w:before="100" w:after="100" w:line="500" w:lineRule="exact"/>
        <w:ind w:right="-26"/>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 xml:space="preserve">   签订日期：      年   月   日         签订日期：      年   月   日</w:t>
      </w:r>
    </w:p>
    <w:p>
      <w:pPr>
        <w:keepNext w:val="0"/>
        <w:keepLines w:val="0"/>
        <w:pageBreakBefore w:val="0"/>
        <w:kinsoku/>
        <w:wordWrap/>
        <w:overflowPunct/>
        <w:topLinePunct w:val="0"/>
        <w:bidi w:val="0"/>
        <w:spacing w:before="224" w:beforeLines="50" w:line="500" w:lineRule="exact"/>
        <w:textAlignment w:val="auto"/>
        <w:outlineLvl w:val="1"/>
        <w:rPr>
          <w:rFonts w:hint="eastAsia" w:ascii="宋体" w:hAnsi="宋体" w:eastAsia="宋体" w:cs="宋体"/>
          <w:b/>
          <w:color w:val="auto"/>
          <w:sz w:val="24"/>
          <w:highlight w:val="none"/>
        </w:rPr>
      </w:pPr>
    </w:p>
    <w:p>
      <w:pPr>
        <w:keepNext w:val="0"/>
        <w:keepLines w:val="0"/>
        <w:pageBreakBefore w:val="0"/>
        <w:kinsoku/>
        <w:wordWrap/>
        <w:overflowPunct/>
        <w:topLinePunct w:val="0"/>
        <w:bidi w:val="0"/>
        <w:spacing w:before="224" w:beforeLines="50" w:line="500" w:lineRule="exac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附件3：</w:t>
      </w:r>
    </w:p>
    <w:p>
      <w:pPr>
        <w:keepNext w:val="0"/>
        <w:keepLines w:val="0"/>
        <w:pageBreakBefore w:val="0"/>
        <w:kinsoku/>
        <w:wordWrap/>
        <w:overflowPunct/>
        <w:topLinePunct w:val="0"/>
        <w:autoSpaceDE/>
        <w:autoSpaceDN/>
        <w:bidi w:val="0"/>
        <w:snapToGrid/>
        <w:spacing w:beforeAutospacing="0" w:line="520" w:lineRule="exact"/>
        <w:jc w:val="center"/>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廉洁协议</w:t>
      </w:r>
    </w:p>
    <w:p>
      <w:pPr>
        <w:keepNext w:val="0"/>
        <w:keepLines w:val="0"/>
        <w:pageBreakBefore w:val="0"/>
        <w:kinsoku/>
        <w:wordWrap/>
        <w:overflowPunct/>
        <w:topLinePunct w:val="0"/>
        <w:autoSpaceDE/>
        <w:autoSpaceDN/>
        <w:bidi w:val="0"/>
        <w:snapToGrid/>
        <w:spacing w:beforeAutospacing="0" w:line="520" w:lineRule="exact"/>
        <w:ind w:firstLine="630" w:firstLineChars="225"/>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为促进双方诚信经营、廉洁从业，防范商业贿赂，保护国家、集体和当事人的合法权益，根据国家有关法律法规和广东省、广州市廉政建设的规定，</w:t>
      </w:r>
      <w:r>
        <w:rPr>
          <w:rFonts w:hint="eastAsia" w:ascii="仿宋_GB2312" w:hAnsi="仿宋_GB2312" w:eastAsia="仿宋_GB2312" w:cs="仿宋_GB2312"/>
          <w:b w:val="0"/>
          <w:bCs/>
          <w:color w:val="auto"/>
          <w:sz w:val="28"/>
          <w:szCs w:val="28"/>
          <w:highlight w:val="none"/>
          <w:u w:val="single"/>
        </w:rPr>
        <w:t>广州市净水有限公司</w:t>
      </w:r>
      <w:r>
        <w:rPr>
          <w:rFonts w:hint="eastAsia" w:ascii="仿宋_GB2312" w:hAnsi="仿宋_GB2312" w:eastAsia="仿宋_GB2312" w:cs="仿宋_GB2312"/>
          <w:b w:val="0"/>
          <w:bCs/>
          <w:color w:val="auto"/>
          <w:sz w:val="28"/>
          <w:szCs w:val="28"/>
          <w:highlight w:val="none"/>
        </w:rPr>
        <w:t>(以下称甲方)与(以下称乙方)，特此订立本协议共同遵照执行。</w:t>
      </w:r>
    </w:p>
    <w:p>
      <w:pPr>
        <w:keepNext w:val="0"/>
        <w:keepLines w:val="0"/>
        <w:pageBreakBefore w:val="0"/>
        <w:kinsoku/>
        <w:wordWrap/>
        <w:overflowPunct/>
        <w:topLinePunct w:val="0"/>
        <w:autoSpaceDE/>
        <w:autoSpaceDN/>
        <w:bidi w:val="0"/>
        <w:snapToGrid/>
        <w:spacing w:beforeAutospacing="0"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第一条 甲乙双方的权利和义务</w:t>
      </w:r>
    </w:p>
    <w:p>
      <w:pPr>
        <w:keepNext w:val="0"/>
        <w:keepLines w:val="0"/>
        <w:pageBreakBefore w:val="0"/>
        <w:kinsoku/>
        <w:wordWrap/>
        <w:overflowPunct/>
        <w:topLinePunct w:val="0"/>
        <w:autoSpaceDE/>
        <w:autoSpaceDN/>
        <w:bidi w:val="0"/>
        <w:snapToGrid/>
        <w:spacing w:beforeAutospacing="0" w:line="520" w:lineRule="exact"/>
        <w:ind w:firstLine="420" w:firstLineChars="15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（一）甲乙双方严格遵守国家关于市场准入、项目招标投标、市场经营活动等有关法律、法规相关政策及廉政建设的各项规定。</w:t>
      </w:r>
    </w:p>
    <w:p>
      <w:pPr>
        <w:keepNext w:val="0"/>
        <w:keepLines w:val="0"/>
        <w:pageBreakBefore w:val="0"/>
        <w:kinsoku/>
        <w:wordWrap/>
        <w:overflowPunct/>
        <w:topLinePunct w:val="0"/>
        <w:autoSpaceDE/>
        <w:autoSpaceDN/>
        <w:bidi w:val="0"/>
        <w:snapToGrid/>
        <w:spacing w:beforeAutospacing="0" w:line="520" w:lineRule="exact"/>
        <w:ind w:firstLine="420" w:firstLineChars="15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（二）严格执行</w:t>
      </w:r>
      <w:r>
        <w:rPr>
          <w:rFonts w:hint="eastAsia" w:ascii="仿宋_GB2312" w:hAnsi="仿宋_GB2312" w:eastAsia="仿宋_GB2312" w:cs="仿宋_GB2312"/>
          <w:b w:val="0"/>
          <w:bCs/>
          <w:color w:val="auto"/>
          <w:sz w:val="28"/>
          <w:szCs w:val="28"/>
          <w:highlight w:val="none"/>
          <w:u w:val="single"/>
        </w:rPr>
        <w:t xml:space="preserve">   （合同名称）+（合同编号）   </w:t>
      </w:r>
      <w:r>
        <w:rPr>
          <w:rFonts w:hint="eastAsia" w:ascii="仿宋_GB2312" w:hAnsi="仿宋_GB2312" w:eastAsia="仿宋_GB2312" w:cs="仿宋_GB2312"/>
          <w:b w:val="0"/>
          <w:bCs/>
          <w:color w:val="auto"/>
          <w:sz w:val="28"/>
          <w:szCs w:val="28"/>
          <w:highlight w:val="none"/>
        </w:rPr>
        <w:t>合同（以下简称：主合同），自觉履行合同约定的相关义务。</w:t>
      </w:r>
    </w:p>
    <w:p>
      <w:pPr>
        <w:keepNext w:val="0"/>
        <w:keepLines w:val="0"/>
        <w:pageBreakBefore w:val="0"/>
        <w:kinsoku/>
        <w:wordWrap/>
        <w:overflowPunct/>
        <w:topLinePunct w:val="0"/>
        <w:autoSpaceDE/>
        <w:autoSpaceDN/>
        <w:bidi w:val="0"/>
        <w:snapToGrid/>
        <w:spacing w:beforeAutospacing="0" w:line="520" w:lineRule="exact"/>
        <w:ind w:firstLine="420" w:firstLineChars="15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（三）在业务活动中坚持公开、公正、诚信、透明的原则，不得损害国家、集体利益。</w:t>
      </w:r>
    </w:p>
    <w:p>
      <w:pPr>
        <w:keepNext w:val="0"/>
        <w:keepLines w:val="0"/>
        <w:pageBreakBefore w:val="0"/>
        <w:kinsoku/>
        <w:wordWrap/>
        <w:overflowPunct/>
        <w:topLinePunct w:val="0"/>
        <w:autoSpaceDE/>
        <w:autoSpaceDN/>
        <w:bidi w:val="0"/>
        <w:snapToGrid/>
        <w:spacing w:beforeAutospacing="0" w:line="520" w:lineRule="exact"/>
        <w:ind w:firstLine="420" w:firstLineChars="15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（四）建立健全廉洁从业制度，开展廉洁教育，公布举报电话，监督并认真查处不廉洁及违法违纪行为。</w:t>
      </w:r>
    </w:p>
    <w:p>
      <w:pPr>
        <w:keepNext w:val="0"/>
        <w:keepLines w:val="0"/>
        <w:pageBreakBefore w:val="0"/>
        <w:kinsoku/>
        <w:wordWrap/>
        <w:overflowPunct/>
        <w:topLinePunct w:val="0"/>
        <w:autoSpaceDE/>
        <w:autoSpaceDN/>
        <w:bidi w:val="0"/>
        <w:snapToGrid/>
        <w:spacing w:beforeAutospacing="0" w:line="520" w:lineRule="exact"/>
        <w:ind w:firstLine="420" w:firstLineChars="150"/>
        <w:rPr>
          <w:rFonts w:hint="default"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rPr>
        <w:t>（五）发现对方在业务活动中有不廉洁行为，应及时提醒对方纠正。情节严重的，应向其有关监督部门</w:t>
      </w:r>
      <w:r>
        <w:rPr>
          <w:rFonts w:hint="eastAsia" w:ascii="仿宋_GB2312" w:hAnsi="仿宋_GB2312" w:eastAsia="仿宋_GB2312" w:cs="仿宋_GB2312"/>
          <w:b w:val="0"/>
          <w:bCs/>
          <w:color w:val="auto"/>
          <w:sz w:val="28"/>
          <w:szCs w:val="28"/>
          <w:highlight w:val="none"/>
          <w:lang w:val="en-US" w:eastAsia="zh-CN"/>
        </w:rPr>
        <w:t>检举。</w:t>
      </w:r>
    </w:p>
    <w:p>
      <w:pPr>
        <w:keepNext w:val="0"/>
        <w:keepLines w:val="0"/>
        <w:pageBreakBefore w:val="0"/>
        <w:kinsoku/>
        <w:wordWrap/>
        <w:overflowPunct/>
        <w:topLinePunct w:val="0"/>
        <w:autoSpaceDE/>
        <w:autoSpaceDN/>
        <w:bidi w:val="0"/>
        <w:snapToGrid/>
        <w:spacing w:beforeAutospacing="0"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第二条甲方的义务</w:t>
      </w:r>
    </w:p>
    <w:p>
      <w:pPr>
        <w:keepNext w:val="0"/>
        <w:keepLines w:val="0"/>
        <w:pageBreakBefore w:val="0"/>
        <w:kinsoku/>
        <w:wordWrap/>
        <w:overflowPunct/>
        <w:topLinePunct w:val="0"/>
        <w:autoSpaceDE/>
        <w:autoSpaceDN/>
        <w:bidi w:val="0"/>
        <w:snapToGrid/>
        <w:spacing w:beforeAutospacing="0"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（一）甲方及其工作人员不得索要或接受乙方的礼金、有价证券和贵重物品，不得在乙方报销任何应由甲方或个人支付的费用等。</w:t>
      </w:r>
    </w:p>
    <w:p>
      <w:pPr>
        <w:keepNext w:val="0"/>
        <w:keepLines w:val="0"/>
        <w:pageBreakBefore w:val="0"/>
        <w:kinsoku/>
        <w:wordWrap/>
        <w:overflowPunct/>
        <w:topLinePunct w:val="0"/>
        <w:autoSpaceDE/>
        <w:autoSpaceDN/>
        <w:bidi w:val="0"/>
        <w:snapToGrid/>
        <w:spacing w:beforeAutospacing="0"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二）甲方工作人员不得参加乙方安排的可能影响相关业务公开、公正、公平性的宴请和娱乐活动；不得参与任何形式的赌博，并通过赌博方式收受乙方财物；不得接受乙方提供的通讯工具、交通工具（合同约定除外）和高档办公用品等。</w:t>
      </w:r>
    </w:p>
    <w:p>
      <w:pPr>
        <w:keepNext w:val="0"/>
        <w:keepLines w:val="0"/>
        <w:pageBreakBefore w:val="0"/>
        <w:kinsoku/>
        <w:wordWrap/>
        <w:overflowPunct/>
        <w:topLinePunct w:val="0"/>
        <w:autoSpaceDE/>
        <w:autoSpaceDN/>
        <w:bidi w:val="0"/>
        <w:snapToGrid/>
        <w:spacing w:beforeAutospacing="0" w:line="520" w:lineRule="exact"/>
        <w:ind w:left="22" w:leftChars="7"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（三）甲方及其工作人员不得要求或者接受乙方为其住房装修、婚丧嫁娶活动、配偶子女工作安排以及出国出境、旅游等提供方便等。</w:t>
      </w:r>
    </w:p>
    <w:p>
      <w:pPr>
        <w:keepNext w:val="0"/>
        <w:keepLines w:val="0"/>
        <w:pageBreakBefore w:val="0"/>
        <w:kinsoku/>
        <w:wordWrap/>
        <w:overflowPunct/>
        <w:topLinePunct w:val="0"/>
        <w:autoSpaceDE/>
        <w:autoSpaceDN/>
        <w:bidi w:val="0"/>
        <w:snapToGrid/>
        <w:spacing w:beforeAutospacing="0" w:line="520" w:lineRule="exact"/>
        <w:ind w:left="22" w:leftChars="7"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（四）甲方工作人员不得在乙方或与乙方有股权关联的企业兼职，不得向乙方介绍家属或者亲友从事与甲方业务有关的经济活动。</w:t>
      </w:r>
    </w:p>
    <w:p>
      <w:pPr>
        <w:keepNext w:val="0"/>
        <w:keepLines w:val="0"/>
        <w:pageBreakBefore w:val="0"/>
        <w:kinsoku/>
        <w:wordWrap/>
        <w:overflowPunct/>
        <w:topLinePunct w:val="0"/>
        <w:autoSpaceDE/>
        <w:autoSpaceDN/>
        <w:bidi w:val="0"/>
        <w:snapToGrid/>
        <w:spacing w:beforeAutospacing="0" w:line="520" w:lineRule="exact"/>
        <w:ind w:left="22" w:leftChars="7"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五）甲方工作人员不得以明显低于市场的价格向乙方购买房屋、汽车等物品；不得以明显高于市场的价格向乙方出售房屋、汽车等物品；不得使用乙方提供的与工作无关的房屋、汽车等物品；不得以其他交易形式非法收受请托人财物。</w:t>
      </w:r>
    </w:p>
    <w:p>
      <w:pPr>
        <w:keepNext w:val="0"/>
        <w:keepLines w:val="0"/>
        <w:pageBreakBefore w:val="0"/>
        <w:kinsoku/>
        <w:wordWrap/>
        <w:overflowPunct/>
        <w:topLinePunct w:val="0"/>
        <w:autoSpaceDE/>
        <w:autoSpaceDN/>
        <w:bidi w:val="0"/>
        <w:snapToGrid/>
        <w:spacing w:beforeAutospacing="0" w:line="520" w:lineRule="exact"/>
        <w:ind w:left="22" w:leftChars="7"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（六）甲方工作人员不得利用职务之便收受乙方以回扣、手续费、加班费、咨询费、劳务费、协调费、辛苦费等各种名义给予或赠送的钱物。</w:t>
      </w:r>
    </w:p>
    <w:p>
      <w:pPr>
        <w:keepNext w:val="0"/>
        <w:keepLines w:val="0"/>
        <w:pageBreakBefore w:val="0"/>
        <w:kinsoku/>
        <w:wordWrap/>
        <w:overflowPunct/>
        <w:topLinePunct w:val="0"/>
        <w:autoSpaceDE/>
        <w:autoSpaceDN/>
        <w:bidi w:val="0"/>
        <w:snapToGrid/>
        <w:spacing w:beforeAutospacing="0" w:line="520" w:lineRule="exact"/>
        <w:ind w:left="22" w:leftChars="7"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（七）甲方工作人员不得接受乙方给予或赠送的干股或红利。</w:t>
      </w:r>
    </w:p>
    <w:p>
      <w:pPr>
        <w:keepNext w:val="0"/>
        <w:keepLines w:val="0"/>
        <w:pageBreakBefore w:val="0"/>
        <w:kinsoku/>
        <w:wordWrap/>
        <w:overflowPunct/>
        <w:topLinePunct w:val="0"/>
        <w:autoSpaceDE/>
        <w:autoSpaceDN/>
        <w:bidi w:val="0"/>
        <w:snapToGrid/>
        <w:spacing w:beforeAutospacing="0" w:line="520" w:lineRule="exact"/>
        <w:ind w:left="22" w:leftChars="7" w:firstLine="560" w:firstLineChars="200"/>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(八）不得存在其他违反廉洁规定的行为。</w:t>
      </w:r>
    </w:p>
    <w:p>
      <w:pPr>
        <w:keepNext w:val="0"/>
        <w:keepLines w:val="0"/>
        <w:pageBreakBefore w:val="0"/>
        <w:kinsoku/>
        <w:wordWrap/>
        <w:overflowPunct/>
        <w:topLinePunct w:val="0"/>
        <w:autoSpaceDE/>
        <w:autoSpaceDN/>
        <w:bidi w:val="0"/>
        <w:snapToGrid/>
        <w:spacing w:beforeAutospacing="0"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第三条乙方的义务</w:t>
      </w:r>
    </w:p>
    <w:p>
      <w:pPr>
        <w:keepNext w:val="0"/>
        <w:keepLines w:val="0"/>
        <w:pageBreakBefore w:val="0"/>
        <w:kinsoku/>
        <w:wordWrap/>
        <w:overflowPunct/>
        <w:topLinePunct w:val="0"/>
        <w:autoSpaceDE/>
        <w:autoSpaceDN/>
        <w:bidi w:val="0"/>
        <w:snapToGrid/>
        <w:spacing w:beforeAutospacing="0"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（一）乙方不得以任何理由向甲方及其工作人员行贿或馈赠礼金、有价证券、贵重礼品。</w:t>
      </w:r>
    </w:p>
    <w:p>
      <w:pPr>
        <w:keepNext w:val="0"/>
        <w:keepLines w:val="0"/>
        <w:pageBreakBefore w:val="0"/>
        <w:kinsoku/>
        <w:wordWrap/>
        <w:overflowPunct/>
        <w:topLinePunct w:val="0"/>
        <w:autoSpaceDE/>
        <w:autoSpaceDN/>
        <w:bidi w:val="0"/>
        <w:snapToGrid/>
        <w:spacing w:beforeAutospacing="0"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（二)乙方不得以任何名义为甲方及其工作人员报销应由甲方单位或个人支付的任何费用。</w:t>
      </w:r>
    </w:p>
    <w:p>
      <w:pPr>
        <w:keepNext w:val="0"/>
        <w:keepLines w:val="0"/>
        <w:pageBreakBefore w:val="0"/>
        <w:kinsoku/>
        <w:wordWrap/>
        <w:overflowPunct/>
        <w:topLinePunct w:val="0"/>
        <w:autoSpaceDE/>
        <w:autoSpaceDN/>
        <w:bidi w:val="0"/>
        <w:snapToGrid/>
        <w:spacing w:beforeAutospacing="0" w:line="520" w:lineRule="exact"/>
        <w:ind w:left="38" w:leftChars="12"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（三）乙方不得以任何理由安排甲方工作人员参加可能影响相关业务公开、公正、公平性的宴请及娱乐活动。</w:t>
      </w:r>
    </w:p>
    <w:p>
      <w:pPr>
        <w:pStyle w:val="12"/>
        <w:keepNext w:val="0"/>
        <w:keepLines w:val="0"/>
        <w:pageBreakBefore w:val="0"/>
        <w:kinsoku/>
        <w:wordWrap/>
        <w:overflowPunct/>
        <w:topLinePunct w:val="0"/>
        <w:autoSpaceDE/>
        <w:autoSpaceDN/>
        <w:bidi w:val="0"/>
        <w:snapToGrid/>
        <w:spacing w:beforeAutospacing="0" w:line="520" w:lineRule="exact"/>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（四）乙方不得为甲方单位和个人购置或提供通讯工具和高档办公用品等物品，也不得为甲方提供与工作无关的房屋、汽车等。</w:t>
      </w:r>
    </w:p>
    <w:p>
      <w:pPr>
        <w:keepNext w:val="0"/>
        <w:keepLines w:val="0"/>
        <w:pageBreakBefore w:val="0"/>
        <w:kinsoku/>
        <w:wordWrap/>
        <w:overflowPunct/>
        <w:topLinePunct w:val="0"/>
        <w:autoSpaceDE/>
        <w:autoSpaceDN/>
        <w:bidi w:val="0"/>
        <w:snapToGrid/>
        <w:spacing w:beforeAutospacing="0"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（五）乙方不得擅自与甲方工作人员就</w:t>
      </w:r>
      <w:r>
        <w:rPr>
          <w:rFonts w:hint="eastAsia" w:ascii="仿宋_GB2312" w:hAnsi="仿宋_GB2312" w:eastAsia="仿宋_GB2312" w:cs="仿宋_GB2312"/>
          <w:b w:val="0"/>
          <w:bCs/>
          <w:color w:val="auto"/>
          <w:sz w:val="28"/>
          <w:szCs w:val="28"/>
          <w:highlight w:val="none"/>
          <w:lang w:val="en-US" w:eastAsia="zh-CN"/>
        </w:rPr>
        <w:t>主</w:t>
      </w:r>
      <w:r>
        <w:rPr>
          <w:rFonts w:hint="eastAsia" w:ascii="仿宋_GB2312" w:hAnsi="仿宋_GB2312" w:eastAsia="仿宋_GB2312" w:cs="仿宋_GB2312"/>
          <w:b w:val="0"/>
          <w:bCs/>
          <w:color w:val="auto"/>
          <w:sz w:val="28"/>
          <w:szCs w:val="28"/>
          <w:highlight w:val="none"/>
        </w:rPr>
        <w:t>合同中的质量、数量、价格、工程量、验收等条款进行私下商谈或者达成默契。</w:t>
      </w:r>
    </w:p>
    <w:p>
      <w:pPr>
        <w:keepNext w:val="0"/>
        <w:keepLines w:val="0"/>
        <w:pageBreakBefore w:val="0"/>
        <w:kinsoku/>
        <w:wordWrap/>
        <w:overflowPunct/>
        <w:topLinePunct w:val="0"/>
        <w:autoSpaceDE/>
        <w:autoSpaceDN/>
        <w:bidi w:val="0"/>
        <w:snapToGrid/>
        <w:spacing w:beforeAutospacing="0"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（六）乙方不得以回扣、手续费、加班费、咨询费、劳务费、协调费、辛苦费等各种名义向甲方工作人员给予或赠送钱物。</w:t>
      </w:r>
    </w:p>
    <w:p>
      <w:pPr>
        <w:keepNext w:val="0"/>
        <w:keepLines w:val="0"/>
        <w:pageBreakBefore w:val="0"/>
        <w:kinsoku/>
        <w:wordWrap/>
        <w:overflowPunct/>
        <w:topLinePunct w:val="0"/>
        <w:autoSpaceDE/>
        <w:autoSpaceDN/>
        <w:bidi w:val="0"/>
        <w:snapToGrid/>
        <w:spacing w:beforeAutospacing="0"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（七）乙方不得向甲方工作人员提供干股或红利。</w:t>
      </w:r>
    </w:p>
    <w:p>
      <w:pPr>
        <w:keepNext w:val="0"/>
        <w:keepLines w:val="0"/>
        <w:pageBreakBefore w:val="0"/>
        <w:kinsoku/>
        <w:wordWrap/>
        <w:overflowPunct/>
        <w:topLinePunct w:val="0"/>
        <w:autoSpaceDE/>
        <w:autoSpaceDN/>
        <w:bidi w:val="0"/>
        <w:snapToGrid/>
        <w:spacing w:beforeAutospacing="0" w:line="520" w:lineRule="exact"/>
        <w:ind w:left="22" w:leftChars="7" w:firstLine="560" w:firstLineChars="200"/>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(八）不得存在其他违反廉洁规定的行为。</w:t>
      </w:r>
    </w:p>
    <w:p>
      <w:pPr>
        <w:keepNext w:val="0"/>
        <w:keepLines w:val="0"/>
        <w:pageBreakBefore w:val="0"/>
        <w:kinsoku/>
        <w:wordWrap/>
        <w:overflowPunct/>
        <w:topLinePunct w:val="0"/>
        <w:autoSpaceDE/>
        <w:autoSpaceDN/>
        <w:bidi w:val="0"/>
        <w:snapToGrid/>
        <w:spacing w:beforeAutospacing="0"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第四条违约责任</w:t>
      </w:r>
    </w:p>
    <w:p>
      <w:pPr>
        <w:keepNext w:val="0"/>
        <w:keepLines w:val="0"/>
        <w:pageBreakBefore w:val="0"/>
        <w:kinsoku/>
        <w:wordWrap/>
        <w:overflowPunct/>
        <w:topLinePunct w:val="0"/>
        <w:autoSpaceDE/>
        <w:autoSpaceDN/>
        <w:bidi w:val="0"/>
        <w:snapToGrid/>
        <w:spacing w:beforeAutospacing="0"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（一）甲方及其工作人员违反本协议第一、二条。甲方按管理权限，对相关责任人依据有关规定给予处理；涉嫌犯罪的，移交司法机关追究刑事责任；给乙方单位造成经济损失的，应予以赔偿。</w:t>
      </w:r>
    </w:p>
    <w:p>
      <w:pPr>
        <w:keepNext w:val="0"/>
        <w:keepLines w:val="0"/>
        <w:pageBreakBefore w:val="0"/>
        <w:kinsoku/>
        <w:wordWrap/>
        <w:overflowPunct/>
        <w:topLinePunct w:val="0"/>
        <w:autoSpaceDE/>
        <w:autoSpaceDN/>
        <w:bidi w:val="0"/>
        <w:snapToGrid/>
        <w:spacing w:beforeAutospacing="0"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甲方举报投诉联系部门：广州市净水有限公司</w:t>
      </w:r>
      <w:r>
        <w:rPr>
          <w:rFonts w:hint="eastAsia" w:ascii="仿宋_GB2312" w:hAnsi="仿宋_GB2312" w:eastAsia="仿宋_GB2312" w:cs="仿宋_GB2312"/>
          <w:b w:val="0"/>
          <w:bCs/>
          <w:color w:val="auto"/>
          <w:sz w:val="28"/>
          <w:szCs w:val="28"/>
          <w:highlight w:val="none"/>
          <w:u w:val="single"/>
        </w:rPr>
        <w:t>纪检室</w:t>
      </w:r>
      <w:r>
        <w:rPr>
          <w:rFonts w:hint="eastAsia" w:ascii="仿宋_GB2312" w:hAnsi="仿宋_GB2312" w:eastAsia="仿宋_GB2312" w:cs="仿宋_GB2312"/>
          <w:b w:val="0"/>
          <w:bCs/>
          <w:color w:val="auto"/>
          <w:sz w:val="28"/>
          <w:szCs w:val="28"/>
          <w:highlight w:val="none"/>
        </w:rPr>
        <w:t>，联系电话：</w:t>
      </w:r>
      <w:r>
        <w:rPr>
          <w:rFonts w:hint="eastAsia" w:ascii="仿宋_GB2312" w:hAnsi="仿宋_GB2312" w:eastAsia="仿宋_GB2312" w:cs="仿宋_GB2312"/>
          <w:b w:val="0"/>
          <w:bCs/>
          <w:color w:val="auto"/>
          <w:sz w:val="28"/>
          <w:szCs w:val="28"/>
          <w:highlight w:val="none"/>
          <w:u w:val="single"/>
        </w:rPr>
        <w:t xml:space="preserve"> 020-38890265 </w:t>
      </w:r>
      <w:r>
        <w:rPr>
          <w:rFonts w:hint="eastAsia" w:ascii="仿宋_GB2312" w:hAnsi="仿宋_GB2312" w:eastAsia="仿宋_GB2312" w:cs="仿宋_GB2312"/>
          <w:b w:val="0"/>
          <w:bCs/>
          <w:color w:val="auto"/>
          <w:sz w:val="28"/>
          <w:szCs w:val="28"/>
          <w:highlight w:val="none"/>
        </w:rPr>
        <w:t>。</w:t>
      </w:r>
    </w:p>
    <w:p>
      <w:pPr>
        <w:pStyle w:val="17"/>
        <w:keepNext w:val="0"/>
        <w:keepLines w:val="0"/>
        <w:pageBreakBefore w:val="0"/>
        <w:widowControl/>
        <w:suppressLineNumbers w:val="0"/>
        <w:kinsoku/>
        <w:wordWrap/>
        <w:overflowPunct/>
        <w:topLinePunct w:val="0"/>
        <w:autoSpaceDE/>
        <w:autoSpaceDN/>
        <w:bidi w:val="0"/>
        <w:snapToGrid/>
        <w:spacing w:beforeAutospacing="0" w:line="520" w:lineRule="exact"/>
        <w:ind w:left="0" w:firstLine="0"/>
        <w:rPr>
          <w:rFonts w:hint="eastAsia" w:ascii="仿宋_GB2312" w:hAnsi="仿宋_GB2312" w:eastAsia="仿宋_GB2312" w:cs="仿宋_GB2312"/>
          <w:b w:val="0"/>
          <w:bCs/>
          <w:i w:val="0"/>
          <w:iCs w:val="0"/>
          <w:caps w:val="0"/>
          <w:color w:val="auto"/>
          <w:spacing w:val="0"/>
          <w:sz w:val="28"/>
          <w:szCs w:val="28"/>
          <w:highlight w:val="none"/>
        </w:rPr>
      </w:pPr>
      <w:r>
        <w:rPr>
          <w:rFonts w:hint="eastAsia" w:ascii="仿宋_GB2312" w:hAnsi="仿宋_GB2312" w:eastAsia="仿宋_GB2312" w:cs="仿宋_GB2312"/>
          <w:b w:val="0"/>
          <w:bCs/>
          <w:i w:val="0"/>
          <w:iCs w:val="0"/>
          <w:caps w:val="0"/>
          <w:color w:val="auto"/>
          <w:spacing w:val="0"/>
          <w:sz w:val="28"/>
          <w:szCs w:val="28"/>
          <w:highlight w:val="none"/>
        </w:rPr>
        <w:t>（二）乙方及其工作人员</w:t>
      </w:r>
      <w:r>
        <w:rPr>
          <w:rFonts w:hint="eastAsia" w:ascii="仿宋_GB2312" w:hAnsi="仿宋_GB2312" w:eastAsia="仿宋_GB2312" w:cs="仿宋_GB2312"/>
          <w:b w:val="0"/>
          <w:bCs/>
          <w:i w:val="0"/>
          <w:iCs w:val="0"/>
          <w:caps w:val="0"/>
          <w:color w:val="auto"/>
          <w:spacing w:val="0"/>
          <w:sz w:val="28"/>
          <w:szCs w:val="28"/>
          <w:highlight w:val="none"/>
          <w:lang w:val="en-US" w:eastAsia="zh-CN"/>
        </w:rPr>
        <w:t>存在</w:t>
      </w:r>
      <w:r>
        <w:rPr>
          <w:rFonts w:hint="eastAsia" w:ascii="仿宋_GB2312" w:hAnsi="仿宋_GB2312" w:eastAsia="仿宋_GB2312" w:cs="仿宋_GB2312"/>
          <w:b w:val="0"/>
          <w:bCs/>
          <w:i w:val="0"/>
          <w:iCs w:val="0"/>
          <w:caps w:val="0"/>
          <w:color w:val="auto"/>
          <w:spacing w:val="0"/>
          <w:sz w:val="28"/>
          <w:szCs w:val="28"/>
          <w:highlight w:val="none"/>
        </w:rPr>
        <w:t>违反本协议第一、三条规定、或在甲方招标、询价等过程中违反法律法规中的廉洁规定</w:t>
      </w:r>
      <w:r>
        <w:rPr>
          <w:rFonts w:hint="eastAsia" w:ascii="仿宋_GB2312" w:hAnsi="仿宋_GB2312" w:eastAsia="仿宋_GB2312" w:cs="仿宋_GB2312"/>
          <w:b w:val="0"/>
          <w:bCs/>
          <w:i w:val="0"/>
          <w:iCs w:val="0"/>
          <w:caps w:val="0"/>
          <w:color w:val="auto"/>
          <w:spacing w:val="0"/>
          <w:sz w:val="28"/>
          <w:szCs w:val="28"/>
          <w:highlight w:val="none"/>
          <w:lang w:val="en-US" w:eastAsia="zh-CN"/>
        </w:rPr>
        <w:t>的行为</w:t>
      </w:r>
      <w:r>
        <w:rPr>
          <w:rFonts w:hint="eastAsia" w:ascii="仿宋_GB2312" w:hAnsi="仿宋_GB2312" w:eastAsia="仿宋_GB2312" w:cs="仿宋_GB2312"/>
          <w:b w:val="0"/>
          <w:bCs/>
          <w:i w:val="0"/>
          <w:iCs w:val="0"/>
          <w:caps w:val="0"/>
          <w:color w:val="auto"/>
          <w:spacing w:val="0"/>
          <w:sz w:val="28"/>
          <w:szCs w:val="28"/>
          <w:highlight w:val="none"/>
        </w:rPr>
        <w:t>，</w:t>
      </w:r>
      <w:r>
        <w:rPr>
          <w:rFonts w:hint="eastAsia" w:ascii="仿宋_GB2312" w:hAnsi="仿宋_GB2312" w:eastAsia="仿宋_GB2312" w:cs="仿宋_GB2312"/>
          <w:b w:val="0"/>
          <w:bCs/>
          <w:i w:val="0"/>
          <w:iCs w:val="0"/>
          <w:caps w:val="0"/>
          <w:color w:val="auto"/>
          <w:spacing w:val="0"/>
          <w:sz w:val="28"/>
          <w:szCs w:val="28"/>
          <w:highlight w:val="none"/>
          <w:lang w:val="en-US" w:eastAsia="zh-CN"/>
        </w:rPr>
        <w:t>无论该行为是否与主合同有关，</w:t>
      </w:r>
      <w:r>
        <w:rPr>
          <w:rFonts w:hint="eastAsia" w:ascii="仿宋_GB2312" w:hAnsi="仿宋_GB2312" w:eastAsia="仿宋_GB2312" w:cs="仿宋_GB2312"/>
          <w:b w:val="0"/>
          <w:bCs/>
          <w:i w:val="0"/>
          <w:iCs w:val="0"/>
          <w:caps w:val="0"/>
          <w:color w:val="auto"/>
          <w:spacing w:val="0"/>
          <w:sz w:val="28"/>
          <w:szCs w:val="28"/>
          <w:highlight w:val="none"/>
        </w:rPr>
        <w:t>甲方</w:t>
      </w:r>
      <w:r>
        <w:rPr>
          <w:rFonts w:hint="eastAsia" w:ascii="仿宋_GB2312" w:hAnsi="仿宋_GB2312" w:eastAsia="仿宋_GB2312" w:cs="仿宋_GB2312"/>
          <w:b w:val="0"/>
          <w:bCs/>
          <w:i w:val="0"/>
          <w:iCs w:val="0"/>
          <w:caps w:val="0"/>
          <w:color w:val="auto"/>
          <w:spacing w:val="0"/>
          <w:sz w:val="28"/>
          <w:szCs w:val="28"/>
          <w:highlight w:val="none"/>
          <w:lang w:val="en-US" w:eastAsia="zh-CN"/>
        </w:rPr>
        <w:t>均</w:t>
      </w:r>
      <w:r>
        <w:rPr>
          <w:rFonts w:hint="eastAsia" w:ascii="仿宋_GB2312" w:hAnsi="仿宋_GB2312" w:eastAsia="仿宋_GB2312" w:cs="仿宋_GB2312"/>
          <w:b w:val="0"/>
          <w:bCs/>
          <w:i w:val="0"/>
          <w:iCs w:val="0"/>
          <w:caps w:val="0"/>
          <w:color w:val="auto"/>
          <w:spacing w:val="0"/>
          <w:sz w:val="28"/>
          <w:szCs w:val="28"/>
          <w:highlight w:val="none"/>
        </w:rPr>
        <w:t>有权根据具体情节和造成的后果，对乙方采取以下处理</w:t>
      </w:r>
      <w:r>
        <w:rPr>
          <w:rFonts w:hint="eastAsia" w:ascii="仿宋_GB2312" w:hAnsi="仿宋_GB2312" w:eastAsia="仿宋_GB2312" w:cs="仿宋_GB2312"/>
          <w:b w:val="0"/>
          <w:bCs/>
          <w:i w:val="0"/>
          <w:iCs w:val="0"/>
          <w:caps w:val="0"/>
          <w:color w:val="auto"/>
          <w:spacing w:val="0"/>
          <w:sz w:val="28"/>
          <w:szCs w:val="28"/>
          <w:highlight w:val="none"/>
          <w:lang w:val="en-US" w:eastAsia="zh-CN"/>
        </w:rPr>
        <w:t>方式</w:t>
      </w:r>
      <w:r>
        <w:rPr>
          <w:rFonts w:hint="eastAsia" w:ascii="仿宋_GB2312" w:hAnsi="仿宋_GB2312" w:eastAsia="仿宋_GB2312" w:cs="仿宋_GB2312"/>
          <w:b w:val="0"/>
          <w:bCs/>
          <w:i w:val="0"/>
          <w:iCs w:val="0"/>
          <w:caps w:val="0"/>
          <w:color w:val="auto"/>
          <w:spacing w:val="0"/>
          <w:sz w:val="28"/>
          <w:szCs w:val="28"/>
          <w:highlight w:val="none"/>
        </w:rPr>
        <w:t>：</w:t>
      </w:r>
    </w:p>
    <w:p>
      <w:pPr>
        <w:pStyle w:val="17"/>
        <w:keepNext w:val="0"/>
        <w:keepLines w:val="0"/>
        <w:pageBreakBefore w:val="0"/>
        <w:widowControl/>
        <w:suppressLineNumbers w:val="0"/>
        <w:kinsoku/>
        <w:wordWrap/>
        <w:overflowPunct/>
        <w:topLinePunct w:val="0"/>
        <w:autoSpaceDE/>
        <w:autoSpaceDN/>
        <w:bidi w:val="0"/>
        <w:snapToGrid/>
        <w:spacing w:beforeAutospacing="0" w:line="520" w:lineRule="exact"/>
        <w:ind w:left="0" w:firstLine="0"/>
        <w:rPr>
          <w:rFonts w:hint="eastAsia" w:ascii="仿宋_GB2312" w:hAnsi="仿宋_GB2312" w:eastAsia="仿宋_GB2312" w:cs="仿宋_GB2312"/>
          <w:b w:val="0"/>
          <w:bCs/>
          <w:i w:val="0"/>
          <w:iCs w:val="0"/>
          <w:caps w:val="0"/>
          <w:color w:val="auto"/>
          <w:spacing w:val="0"/>
          <w:sz w:val="28"/>
          <w:szCs w:val="28"/>
          <w:highlight w:val="none"/>
        </w:rPr>
      </w:pPr>
      <w:r>
        <w:rPr>
          <w:rFonts w:hint="eastAsia" w:ascii="仿宋_GB2312" w:hAnsi="仿宋_GB2312" w:eastAsia="仿宋_GB2312" w:cs="仿宋_GB2312"/>
          <w:b w:val="0"/>
          <w:bCs/>
          <w:i w:val="0"/>
          <w:iCs w:val="0"/>
          <w:caps w:val="0"/>
          <w:color w:val="auto"/>
          <w:spacing w:val="0"/>
          <w:sz w:val="28"/>
          <w:szCs w:val="28"/>
          <w:highlight w:val="none"/>
        </w:rPr>
        <w:t>1、扣除主合同的全部履约保证金；</w:t>
      </w:r>
    </w:p>
    <w:p>
      <w:pPr>
        <w:pStyle w:val="17"/>
        <w:keepNext w:val="0"/>
        <w:keepLines w:val="0"/>
        <w:pageBreakBefore w:val="0"/>
        <w:widowControl/>
        <w:suppressLineNumbers w:val="0"/>
        <w:kinsoku/>
        <w:wordWrap/>
        <w:overflowPunct/>
        <w:topLinePunct w:val="0"/>
        <w:autoSpaceDE/>
        <w:autoSpaceDN/>
        <w:bidi w:val="0"/>
        <w:snapToGrid/>
        <w:spacing w:beforeAutospacing="0" w:line="520" w:lineRule="exact"/>
        <w:ind w:left="0" w:firstLine="0"/>
        <w:rPr>
          <w:rFonts w:hint="eastAsia" w:ascii="仿宋_GB2312" w:hAnsi="仿宋_GB2312" w:eastAsia="仿宋_GB2312" w:cs="仿宋_GB2312"/>
          <w:b w:val="0"/>
          <w:bCs/>
          <w:i w:val="0"/>
          <w:iCs w:val="0"/>
          <w:caps w:val="0"/>
          <w:color w:val="auto"/>
          <w:spacing w:val="0"/>
          <w:sz w:val="28"/>
          <w:szCs w:val="28"/>
          <w:highlight w:val="none"/>
        </w:rPr>
      </w:pPr>
      <w:r>
        <w:rPr>
          <w:rFonts w:hint="eastAsia" w:ascii="仿宋_GB2312" w:hAnsi="仿宋_GB2312" w:eastAsia="仿宋_GB2312" w:cs="仿宋_GB2312"/>
          <w:b w:val="0"/>
          <w:bCs/>
          <w:i w:val="0"/>
          <w:iCs w:val="0"/>
          <w:caps w:val="0"/>
          <w:color w:val="auto"/>
          <w:spacing w:val="0"/>
          <w:sz w:val="28"/>
          <w:szCs w:val="28"/>
          <w:highlight w:val="none"/>
        </w:rPr>
        <w:t>2、解除</w:t>
      </w:r>
      <w:r>
        <w:rPr>
          <w:rFonts w:hint="eastAsia" w:ascii="仿宋_GB2312" w:hAnsi="仿宋_GB2312" w:eastAsia="仿宋_GB2312" w:cs="仿宋_GB2312"/>
          <w:b w:val="0"/>
          <w:bCs/>
          <w:i w:val="0"/>
          <w:iCs w:val="0"/>
          <w:caps w:val="0"/>
          <w:color w:val="auto"/>
          <w:spacing w:val="0"/>
          <w:sz w:val="28"/>
          <w:szCs w:val="28"/>
          <w:highlight w:val="none"/>
          <w:lang w:val="en-US" w:eastAsia="zh-CN"/>
        </w:rPr>
        <w:t>主合同</w:t>
      </w:r>
      <w:r>
        <w:rPr>
          <w:rFonts w:hint="eastAsia" w:ascii="仿宋_GB2312" w:hAnsi="仿宋_GB2312" w:eastAsia="仿宋_GB2312" w:cs="仿宋_GB2312"/>
          <w:b w:val="0"/>
          <w:bCs/>
          <w:i w:val="0"/>
          <w:iCs w:val="0"/>
          <w:caps w:val="0"/>
          <w:color w:val="auto"/>
          <w:spacing w:val="0"/>
          <w:sz w:val="28"/>
          <w:szCs w:val="28"/>
          <w:highlight w:val="none"/>
        </w:rPr>
        <w:t>；</w:t>
      </w:r>
    </w:p>
    <w:p>
      <w:pPr>
        <w:pStyle w:val="17"/>
        <w:keepNext w:val="0"/>
        <w:keepLines w:val="0"/>
        <w:pageBreakBefore w:val="0"/>
        <w:widowControl/>
        <w:suppressLineNumbers w:val="0"/>
        <w:kinsoku/>
        <w:wordWrap/>
        <w:overflowPunct/>
        <w:topLinePunct w:val="0"/>
        <w:autoSpaceDE/>
        <w:autoSpaceDN/>
        <w:bidi w:val="0"/>
        <w:snapToGrid/>
        <w:spacing w:beforeAutospacing="0" w:line="520" w:lineRule="exact"/>
        <w:ind w:left="0" w:firstLine="0"/>
        <w:rPr>
          <w:rFonts w:hint="eastAsia" w:ascii="仿宋_GB2312" w:hAnsi="仿宋_GB2312" w:eastAsia="仿宋_GB2312" w:cs="仿宋_GB2312"/>
          <w:b w:val="0"/>
          <w:bCs/>
          <w:i w:val="0"/>
          <w:iCs w:val="0"/>
          <w:caps w:val="0"/>
          <w:color w:val="auto"/>
          <w:spacing w:val="0"/>
          <w:sz w:val="28"/>
          <w:szCs w:val="28"/>
          <w:highlight w:val="none"/>
        </w:rPr>
      </w:pPr>
      <w:r>
        <w:rPr>
          <w:rFonts w:hint="eastAsia" w:ascii="仿宋_GB2312" w:hAnsi="仿宋_GB2312" w:eastAsia="仿宋_GB2312" w:cs="仿宋_GB2312"/>
          <w:b w:val="0"/>
          <w:bCs/>
          <w:i w:val="0"/>
          <w:iCs w:val="0"/>
          <w:caps w:val="0"/>
          <w:color w:val="auto"/>
          <w:spacing w:val="0"/>
          <w:sz w:val="28"/>
          <w:szCs w:val="28"/>
          <w:highlight w:val="none"/>
        </w:rPr>
        <w:t>3、追究乙方其他违约责任；</w:t>
      </w:r>
    </w:p>
    <w:p>
      <w:pPr>
        <w:pStyle w:val="17"/>
        <w:keepNext w:val="0"/>
        <w:keepLines w:val="0"/>
        <w:pageBreakBefore w:val="0"/>
        <w:widowControl/>
        <w:suppressLineNumbers w:val="0"/>
        <w:kinsoku/>
        <w:wordWrap/>
        <w:overflowPunct/>
        <w:topLinePunct w:val="0"/>
        <w:autoSpaceDE/>
        <w:autoSpaceDN/>
        <w:bidi w:val="0"/>
        <w:snapToGrid/>
        <w:spacing w:beforeAutospacing="0" w:line="520" w:lineRule="exact"/>
        <w:ind w:left="0" w:firstLine="0"/>
        <w:rPr>
          <w:rFonts w:hint="eastAsia" w:ascii="仿宋_GB2312" w:hAnsi="仿宋_GB2312" w:eastAsia="仿宋_GB2312" w:cs="仿宋_GB2312"/>
          <w:b w:val="0"/>
          <w:bCs/>
          <w:i w:val="0"/>
          <w:iCs w:val="0"/>
          <w:caps w:val="0"/>
          <w:color w:val="auto"/>
          <w:spacing w:val="0"/>
          <w:sz w:val="28"/>
          <w:szCs w:val="28"/>
          <w:highlight w:val="none"/>
        </w:rPr>
      </w:pPr>
      <w:r>
        <w:rPr>
          <w:rFonts w:hint="eastAsia" w:ascii="仿宋_GB2312" w:hAnsi="仿宋_GB2312" w:eastAsia="仿宋_GB2312" w:cs="仿宋_GB2312"/>
          <w:b w:val="0"/>
          <w:bCs/>
          <w:i w:val="0"/>
          <w:iCs w:val="0"/>
          <w:caps w:val="0"/>
          <w:color w:val="auto"/>
          <w:spacing w:val="0"/>
          <w:sz w:val="28"/>
          <w:szCs w:val="28"/>
          <w:highlight w:val="none"/>
        </w:rPr>
        <w:t>4、根据甲方的有关规章制度，在一定时间内暂停乙方参与甲方及下属单位所有项目的交易资格；</w:t>
      </w:r>
    </w:p>
    <w:p>
      <w:pPr>
        <w:pStyle w:val="17"/>
        <w:keepNext w:val="0"/>
        <w:keepLines w:val="0"/>
        <w:pageBreakBefore w:val="0"/>
        <w:widowControl/>
        <w:suppressLineNumbers w:val="0"/>
        <w:kinsoku/>
        <w:wordWrap/>
        <w:overflowPunct/>
        <w:topLinePunct w:val="0"/>
        <w:autoSpaceDE/>
        <w:autoSpaceDN/>
        <w:bidi w:val="0"/>
        <w:snapToGrid/>
        <w:spacing w:beforeAutospacing="0" w:line="520" w:lineRule="exact"/>
        <w:ind w:left="0" w:firstLine="0"/>
        <w:rPr>
          <w:rFonts w:hint="eastAsia" w:ascii="仿宋_GB2312" w:hAnsi="仿宋_GB2312" w:eastAsia="仿宋_GB2312" w:cs="仿宋_GB2312"/>
          <w:b w:val="0"/>
          <w:bCs/>
          <w:i w:val="0"/>
          <w:iCs w:val="0"/>
          <w:caps w:val="0"/>
          <w:color w:val="auto"/>
          <w:spacing w:val="0"/>
          <w:sz w:val="28"/>
          <w:szCs w:val="28"/>
          <w:highlight w:val="none"/>
        </w:rPr>
      </w:pPr>
      <w:r>
        <w:rPr>
          <w:rFonts w:hint="eastAsia" w:ascii="仿宋_GB2312" w:hAnsi="仿宋_GB2312" w:eastAsia="仿宋_GB2312" w:cs="仿宋_GB2312"/>
          <w:b w:val="0"/>
          <w:bCs/>
          <w:i w:val="0"/>
          <w:iCs w:val="0"/>
          <w:caps w:val="0"/>
          <w:color w:val="auto"/>
          <w:spacing w:val="0"/>
          <w:sz w:val="28"/>
          <w:szCs w:val="28"/>
          <w:highlight w:val="none"/>
        </w:rPr>
        <w:t>5、根据甲方的有关规章制度，将乙方清退出甲方相关企业库；</w:t>
      </w:r>
    </w:p>
    <w:p>
      <w:pPr>
        <w:pStyle w:val="17"/>
        <w:keepNext w:val="0"/>
        <w:keepLines w:val="0"/>
        <w:pageBreakBefore w:val="0"/>
        <w:widowControl/>
        <w:suppressLineNumbers w:val="0"/>
        <w:kinsoku/>
        <w:wordWrap/>
        <w:overflowPunct/>
        <w:topLinePunct w:val="0"/>
        <w:autoSpaceDE/>
        <w:autoSpaceDN/>
        <w:bidi w:val="0"/>
        <w:snapToGrid/>
        <w:spacing w:beforeAutospacing="0" w:line="520" w:lineRule="exact"/>
        <w:ind w:left="0" w:firstLine="0"/>
        <w:rPr>
          <w:rFonts w:hint="eastAsia" w:ascii="仿宋_GB2312" w:hAnsi="仿宋_GB2312" w:eastAsia="仿宋_GB2312" w:cs="仿宋_GB2312"/>
          <w:b w:val="0"/>
          <w:bCs/>
          <w:i w:val="0"/>
          <w:iCs w:val="0"/>
          <w:caps w:val="0"/>
          <w:color w:val="auto"/>
          <w:spacing w:val="0"/>
          <w:sz w:val="28"/>
          <w:szCs w:val="28"/>
          <w:highlight w:val="none"/>
        </w:rPr>
      </w:pPr>
      <w:r>
        <w:rPr>
          <w:rFonts w:hint="eastAsia" w:ascii="仿宋_GB2312" w:hAnsi="仿宋_GB2312" w:eastAsia="仿宋_GB2312" w:cs="仿宋_GB2312"/>
          <w:b w:val="0"/>
          <w:bCs/>
          <w:i w:val="0"/>
          <w:iCs w:val="0"/>
          <w:caps w:val="0"/>
          <w:color w:val="auto"/>
          <w:spacing w:val="0"/>
          <w:sz w:val="28"/>
          <w:szCs w:val="28"/>
          <w:highlight w:val="none"/>
        </w:rPr>
        <w:t>6、根据甲方上级单位、行政主管部门的意见、决定执行；</w:t>
      </w:r>
    </w:p>
    <w:p>
      <w:pPr>
        <w:pStyle w:val="17"/>
        <w:keepNext w:val="0"/>
        <w:keepLines w:val="0"/>
        <w:pageBreakBefore w:val="0"/>
        <w:widowControl/>
        <w:suppressLineNumbers w:val="0"/>
        <w:kinsoku/>
        <w:wordWrap/>
        <w:overflowPunct/>
        <w:topLinePunct w:val="0"/>
        <w:autoSpaceDE/>
        <w:autoSpaceDN/>
        <w:bidi w:val="0"/>
        <w:snapToGrid/>
        <w:spacing w:beforeAutospacing="0" w:line="520" w:lineRule="exact"/>
        <w:ind w:left="0" w:firstLine="0"/>
        <w:rPr>
          <w:rFonts w:hint="eastAsia" w:ascii="仿宋_GB2312" w:hAnsi="仿宋_GB2312" w:eastAsia="仿宋_GB2312" w:cs="仿宋_GB2312"/>
          <w:b w:val="0"/>
          <w:bCs/>
          <w:i w:val="0"/>
          <w:iCs w:val="0"/>
          <w:caps w:val="0"/>
          <w:color w:val="auto"/>
          <w:spacing w:val="0"/>
          <w:sz w:val="28"/>
          <w:szCs w:val="28"/>
          <w:highlight w:val="none"/>
        </w:rPr>
      </w:pPr>
      <w:r>
        <w:rPr>
          <w:rFonts w:hint="eastAsia" w:ascii="仿宋_GB2312" w:hAnsi="仿宋_GB2312" w:eastAsia="仿宋_GB2312" w:cs="仿宋_GB2312"/>
          <w:b w:val="0"/>
          <w:bCs/>
          <w:i w:val="0"/>
          <w:iCs w:val="0"/>
          <w:caps w:val="0"/>
          <w:color w:val="auto"/>
          <w:spacing w:val="0"/>
          <w:sz w:val="28"/>
          <w:szCs w:val="28"/>
          <w:highlight w:val="none"/>
        </w:rPr>
        <w:t>7、按规定向有关行政监督部门、乙方业务管理部门进行投诉、报告。</w:t>
      </w:r>
    </w:p>
    <w:p>
      <w:pPr>
        <w:keepNext w:val="0"/>
        <w:keepLines w:val="0"/>
        <w:pageBreakBefore w:val="0"/>
        <w:kinsoku/>
        <w:wordWrap/>
        <w:overflowPunct/>
        <w:topLinePunct w:val="0"/>
        <w:autoSpaceDE/>
        <w:autoSpaceDN/>
        <w:bidi w:val="0"/>
        <w:snapToGrid/>
        <w:spacing w:beforeAutospacing="0"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i w:val="0"/>
          <w:iCs w:val="0"/>
          <w:caps w:val="0"/>
          <w:color w:val="auto"/>
          <w:spacing w:val="0"/>
          <w:sz w:val="28"/>
          <w:szCs w:val="28"/>
          <w:highlight w:val="none"/>
        </w:rPr>
        <w:t>乙方无条件接受甲方的处理决定并承担给甲方造成的损失，全额返还通过不正当手段获取的非法所得，并承担相应的法律责任。</w:t>
      </w:r>
    </w:p>
    <w:p>
      <w:pPr>
        <w:keepNext w:val="0"/>
        <w:keepLines w:val="0"/>
        <w:pageBreakBefore w:val="0"/>
        <w:kinsoku/>
        <w:wordWrap/>
        <w:overflowPunct/>
        <w:topLinePunct w:val="0"/>
        <w:autoSpaceDE/>
        <w:autoSpaceDN/>
        <w:bidi w:val="0"/>
        <w:snapToGrid/>
        <w:spacing w:beforeAutospacing="0" w:after="0" w:line="520" w:lineRule="exact"/>
        <w:ind w:firstLine="560" w:firstLineChars="200"/>
        <w:rPr>
          <w:rFonts w:hint="eastAsia" w:ascii="仿宋_GB2312" w:hAnsi="仿宋_GB2312" w:eastAsia="仿宋_GB2312" w:cs="仿宋_GB2312"/>
          <w:b w:val="0"/>
          <w:bCs/>
          <w:color w:val="auto"/>
          <w:kern w:val="0"/>
          <w:sz w:val="28"/>
          <w:szCs w:val="28"/>
          <w:highlight w:val="none"/>
        </w:rPr>
      </w:pPr>
      <w:r>
        <w:rPr>
          <w:rFonts w:hint="eastAsia" w:ascii="仿宋_GB2312" w:hAnsi="仿宋_GB2312" w:eastAsia="仿宋_GB2312" w:cs="仿宋_GB2312"/>
          <w:b w:val="0"/>
          <w:bCs/>
          <w:color w:val="auto"/>
          <w:sz w:val="28"/>
          <w:szCs w:val="28"/>
          <w:highlight w:val="none"/>
        </w:rPr>
        <w:t xml:space="preserve">第五条 </w:t>
      </w:r>
      <w:r>
        <w:rPr>
          <w:rFonts w:hint="eastAsia" w:ascii="仿宋_GB2312" w:hAnsi="仿宋_GB2312" w:eastAsia="仿宋_GB2312" w:cs="仿宋_GB2312"/>
          <w:b w:val="0"/>
          <w:bCs/>
          <w:color w:val="auto"/>
          <w:kern w:val="0"/>
          <w:sz w:val="28"/>
          <w:szCs w:val="28"/>
          <w:highlight w:val="none"/>
        </w:rPr>
        <w:t xml:space="preserve">本协议执行情况，接受有管辖权的纪检、监察部门的监督，双方应予以配合检查调查。 </w:t>
      </w:r>
    </w:p>
    <w:p>
      <w:pPr>
        <w:keepNext w:val="0"/>
        <w:keepLines w:val="0"/>
        <w:pageBreakBefore w:val="0"/>
        <w:kinsoku/>
        <w:wordWrap/>
        <w:overflowPunct/>
        <w:topLinePunct w:val="0"/>
        <w:autoSpaceDE/>
        <w:autoSpaceDN/>
        <w:bidi w:val="0"/>
        <w:snapToGrid/>
        <w:spacing w:beforeAutospacing="0"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第六条本协议作为</w:t>
      </w:r>
      <w:r>
        <w:rPr>
          <w:rFonts w:hint="eastAsia" w:ascii="仿宋_GB2312" w:hAnsi="仿宋_GB2312" w:eastAsia="仿宋_GB2312" w:cs="仿宋_GB2312"/>
          <w:b w:val="0"/>
          <w:bCs/>
          <w:color w:val="auto"/>
          <w:sz w:val="28"/>
          <w:szCs w:val="28"/>
          <w:highlight w:val="none"/>
          <w:u w:val="single"/>
        </w:rPr>
        <w:t>（合同名称）+（合同编号）</w:t>
      </w:r>
      <w:r>
        <w:rPr>
          <w:rFonts w:hint="eastAsia" w:ascii="仿宋_GB2312" w:hAnsi="仿宋_GB2312" w:eastAsia="仿宋_GB2312" w:cs="仿宋_GB2312"/>
          <w:b w:val="0"/>
          <w:bCs/>
          <w:color w:val="auto"/>
          <w:sz w:val="28"/>
          <w:szCs w:val="28"/>
          <w:highlight w:val="none"/>
        </w:rPr>
        <w:t>合同的附件，并具有同等的法律效力，本协议自双方签字盖章之日起生效，与主合同同时终止。</w:t>
      </w:r>
    </w:p>
    <w:p>
      <w:pPr>
        <w:keepNext w:val="0"/>
        <w:keepLines w:val="0"/>
        <w:pageBreakBefore w:val="0"/>
        <w:kinsoku/>
        <w:wordWrap/>
        <w:overflowPunct/>
        <w:topLinePunct w:val="0"/>
        <w:autoSpaceDE/>
        <w:autoSpaceDN/>
        <w:bidi w:val="0"/>
        <w:snapToGrid/>
        <w:spacing w:beforeAutospacing="0"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第七条本协议一式</w:t>
      </w:r>
      <w:r>
        <w:rPr>
          <w:rFonts w:hint="eastAsia" w:ascii="仿宋_GB2312" w:hAnsi="仿宋_GB2312" w:eastAsia="仿宋_GB2312" w:cs="仿宋_GB2312"/>
          <w:b w:val="0"/>
          <w:bCs/>
          <w:color w:val="auto"/>
          <w:sz w:val="28"/>
          <w:szCs w:val="28"/>
          <w:highlight w:val="none"/>
          <w:u w:val="single"/>
        </w:rPr>
        <w:t>…</w:t>
      </w:r>
      <w:r>
        <w:rPr>
          <w:rFonts w:hint="eastAsia" w:ascii="仿宋_GB2312" w:hAnsi="仿宋_GB2312" w:eastAsia="仿宋_GB2312" w:cs="仿宋_GB2312"/>
          <w:b w:val="0"/>
          <w:bCs/>
          <w:color w:val="auto"/>
          <w:sz w:val="28"/>
          <w:szCs w:val="28"/>
          <w:highlight w:val="none"/>
        </w:rPr>
        <w:t>份，甲方</w:t>
      </w:r>
      <w:r>
        <w:rPr>
          <w:rFonts w:hint="eastAsia" w:ascii="仿宋_GB2312" w:hAnsi="仿宋_GB2312" w:eastAsia="仿宋_GB2312" w:cs="仿宋_GB2312"/>
          <w:b w:val="0"/>
          <w:bCs/>
          <w:color w:val="auto"/>
          <w:sz w:val="28"/>
          <w:szCs w:val="28"/>
          <w:highlight w:val="none"/>
          <w:u w:val="single"/>
        </w:rPr>
        <w:t>…</w:t>
      </w:r>
      <w:r>
        <w:rPr>
          <w:rFonts w:hint="eastAsia" w:ascii="仿宋_GB2312" w:hAnsi="仿宋_GB2312" w:eastAsia="仿宋_GB2312" w:cs="仿宋_GB2312"/>
          <w:b w:val="0"/>
          <w:bCs/>
          <w:color w:val="auto"/>
          <w:sz w:val="28"/>
          <w:szCs w:val="28"/>
          <w:highlight w:val="none"/>
        </w:rPr>
        <w:t>份，乙方</w:t>
      </w:r>
      <w:r>
        <w:rPr>
          <w:rFonts w:hint="eastAsia" w:ascii="仿宋_GB2312" w:hAnsi="仿宋_GB2312" w:eastAsia="仿宋_GB2312" w:cs="仿宋_GB2312"/>
          <w:b w:val="0"/>
          <w:bCs/>
          <w:color w:val="auto"/>
          <w:sz w:val="28"/>
          <w:szCs w:val="28"/>
          <w:highlight w:val="none"/>
          <w:u w:val="single"/>
        </w:rPr>
        <w:t>…</w:t>
      </w:r>
      <w:r>
        <w:rPr>
          <w:rFonts w:hint="eastAsia" w:ascii="仿宋_GB2312" w:hAnsi="仿宋_GB2312" w:eastAsia="仿宋_GB2312" w:cs="仿宋_GB2312"/>
          <w:b w:val="0"/>
          <w:bCs/>
          <w:color w:val="auto"/>
          <w:sz w:val="28"/>
          <w:szCs w:val="28"/>
          <w:highlight w:val="none"/>
        </w:rPr>
        <w:t>份。</w:t>
      </w:r>
    </w:p>
    <w:p>
      <w:pPr>
        <w:keepNext w:val="0"/>
        <w:keepLines w:val="0"/>
        <w:pageBreakBefore w:val="0"/>
        <w:kinsoku/>
        <w:wordWrap/>
        <w:overflowPunct/>
        <w:topLinePunct w:val="0"/>
        <w:autoSpaceDE/>
        <w:autoSpaceDN/>
        <w:bidi w:val="0"/>
        <w:snapToGrid/>
        <w:spacing w:beforeAutospacing="0" w:line="520" w:lineRule="exact"/>
        <w:ind w:firstLine="560" w:firstLineChars="200"/>
        <w:rPr>
          <w:rFonts w:hint="eastAsia" w:ascii="仿宋_GB2312" w:hAnsi="仿宋_GB2312" w:eastAsia="仿宋_GB2312" w:cs="仿宋_GB2312"/>
          <w:b w:val="0"/>
          <w:bCs/>
          <w:color w:val="auto"/>
          <w:sz w:val="28"/>
          <w:szCs w:val="28"/>
          <w:highlight w:val="none"/>
        </w:rPr>
      </w:pPr>
    </w:p>
    <w:p>
      <w:pPr>
        <w:keepNext w:val="0"/>
        <w:keepLines w:val="0"/>
        <w:pageBreakBefore w:val="0"/>
        <w:kinsoku/>
        <w:wordWrap/>
        <w:overflowPunct/>
        <w:topLinePunct w:val="0"/>
        <w:autoSpaceDE/>
        <w:autoSpaceDN/>
        <w:bidi w:val="0"/>
        <w:snapToGrid/>
        <w:spacing w:beforeAutospacing="0" w:line="520" w:lineRule="exact"/>
        <w:rPr>
          <w:rFonts w:hint="eastAsia" w:ascii="仿宋_GB2312" w:hAnsi="仿宋_GB2312" w:eastAsia="仿宋_GB2312" w:cs="仿宋_GB2312"/>
          <w:b w:val="0"/>
          <w:bCs/>
          <w:color w:val="auto"/>
          <w:sz w:val="28"/>
          <w:szCs w:val="28"/>
          <w:highlight w:val="none"/>
          <w:lang w:eastAsia="zh-CN"/>
        </w:rPr>
      </w:pPr>
    </w:p>
    <w:p>
      <w:pPr>
        <w:pStyle w:val="19"/>
        <w:rPr>
          <w:rFonts w:hint="eastAsia"/>
          <w:color w:val="auto"/>
          <w:highlight w:val="none"/>
          <w:lang w:eastAsia="zh-CN"/>
        </w:rPr>
      </w:pPr>
    </w:p>
    <w:p>
      <w:pPr>
        <w:keepNext w:val="0"/>
        <w:keepLines w:val="0"/>
        <w:pageBreakBefore w:val="0"/>
        <w:kinsoku/>
        <w:wordWrap/>
        <w:overflowPunct/>
        <w:topLinePunct w:val="0"/>
        <w:autoSpaceDE/>
        <w:autoSpaceDN/>
        <w:bidi w:val="0"/>
        <w:snapToGrid/>
        <w:spacing w:beforeAutospacing="0" w:line="520" w:lineRule="exact"/>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甲方（盖章）：                     乙方（盖章）：</w:t>
      </w:r>
    </w:p>
    <w:p>
      <w:pPr>
        <w:pStyle w:val="34"/>
        <w:keepNext w:val="0"/>
        <w:keepLines w:val="0"/>
        <w:pageBreakBefore w:val="0"/>
        <w:tabs>
          <w:tab w:val="left" w:pos="5100"/>
        </w:tabs>
        <w:kinsoku/>
        <w:wordWrap/>
        <w:overflowPunct/>
        <w:topLinePunct w:val="0"/>
        <w:autoSpaceDE/>
        <w:autoSpaceDN/>
        <w:bidi w:val="0"/>
        <w:snapToGrid/>
        <w:spacing w:beforeAutospacing="0" w:line="520" w:lineRule="exact"/>
        <w:ind w:left="7200" w:firstLine="0" w:firstLineChars="0"/>
        <w:jc w:val="left"/>
        <w:rPr>
          <w:rFonts w:hint="eastAsia" w:ascii="仿宋_GB2312" w:hAnsi="仿宋_GB2312" w:eastAsia="仿宋_GB2312" w:cs="仿宋_GB2312"/>
          <w:b w:val="0"/>
          <w:bCs/>
          <w:color w:val="auto"/>
          <w:sz w:val="28"/>
          <w:szCs w:val="28"/>
          <w:highlight w:val="none"/>
        </w:rPr>
      </w:pPr>
    </w:p>
    <w:p>
      <w:pPr>
        <w:keepNext w:val="0"/>
        <w:keepLines w:val="0"/>
        <w:pageBreakBefore w:val="0"/>
        <w:tabs>
          <w:tab w:val="left" w:pos="5100"/>
        </w:tabs>
        <w:kinsoku/>
        <w:wordWrap/>
        <w:overflowPunct/>
        <w:topLinePunct w:val="0"/>
        <w:autoSpaceDE/>
        <w:autoSpaceDN/>
        <w:bidi w:val="0"/>
        <w:snapToGrid/>
        <w:spacing w:beforeAutospacing="0" w:line="520" w:lineRule="exact"/>
        <w:ind w:left="8400" w:hanging="8400" w:hangingChars="30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签约代表：                         签约代表：</w:t>
      </w:r>
    </w:p>
    <w:p>
      <w:pPr>
        <w:keepNext w:val="0"/>
        <w:keepLines w:val="0"/>
        <w:pageBreakBefore w:val="0"/>
        <w:tabs>
          <w:tab w:val="left" w:pos="4170"/>
        </w:tabs>
        <w:kinsoku/>
        <w:wordWrap/>
        <w:overflowPunct/>
        <w:topLinePunct w:val="0"/>
        <w:autoSpaceDE/>
        <w:autoSpaceDN/>
        <w:bidi w:val="0"/>
        <w:snapToGrid/>
        <w:spacing w:beforeAutospacing="0" w:line="520" w:lineRule="exact"/>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日期:    年  月  日</w:t>
      </w:r>
      <w:r>
        <w:rPr>
          <w:rFonts w:hint="eastAsia" w:ascii="仿宋_GB2312" w:hAnsi="仿宋_GB2312" w:eastAsia="仿宋_GB2312" w:cs="仿宋_GB2312"/>
          <w:b w:val="0"/>
          <w:bCs/>
          <w:color w:val="auto"/>
          <w:sz w:val="28"/>
          <w:szCs w:val="28"/>
          <w:highlight w:val="none"/>
        </w:rPr>
        <w:tab/>
      </w:r>
      <w:r>
        <w:rPr>
          <w:rFonts w:hint="eastAsia" w:ascii="仿宋_GB2312" w:hAnsi="仿宋_GB2312" w:eastAsia="仿宋_GB2312" w:cs="仿宋_GB2312"/>
          <w:b w:val="0"/>
          <w:bCs/>
          <w:color w:val="auto"/>
          <w:sz w:val="28"/>
          <w:szCs w:val="28"/>
          <w:highlight w:val="none"/>
        </w:rPr>
        <w:t>日期：  年  月  日</w:t>
      </w:r>
    </w:p>
    <w:p>
      <w:pPr>
        <w:keepNext w:val="0"/>
        <w:keepLines w:val="0"/>
        <w:pageBreakBefore w:val="0"/>
        <w:kinsoku/>
        <w:wordWrap/>
        <w:overflowPunct/>
        <w:topLinePunct w:val="0"/>
        <w:bidi w:val="0"/>
        <w:spacing w:before="224" w:beforeLines="50" w:line="500" w:lineRule="exact"/>
        <w:textAlignment w:val="auto"/>
        <w:outlineLvl w:val="1"/>
        <w:rPr>
          <w:rFonts w:hint="eastAsia" w:ascii="宋体" w:hAnsi="宋体" w:eastAsia="宋体" w:cs="宋体"/>
          <w:b/>
          <w:color w:val="auto"/>
          <w:sz w:val="24"/>
          <w:highlight w:val="none"/>
        </w:rPr>
      </w:pPr>
    </w:p>
    <w:p>
      <w:pPr>
        <w:keepNext w:val="0"/>
        <w:keepLines w:val="0"/>
        <w:pageBreakBefore w:val="0"/>
        <w:kinsoku/>
        <w:wordWrap/>
        <w:overflowPunct/>
        <w:topLinePunct w:val="0"/>
        <w:bidi w:val="0"/>
        <w:spacing w:before="224" w:beforeLines="50" w:line="500" w:lineRule="exact"/>
        <w:textAlignment w:val="auto"/>
        <w:outlineLvl w:val="1"/>
        <w:rPr>
          <w:rFonts w:hint="eastAsia" w:ascii="宋体" w:hAnsi="宋体" w:eastAsia="宋体" w:cs="宋体"/>
          <w:b/>
          <w:color w:val="auto"/>
          <w:sz w:val="24"/>
          <w:highlight w:val="none"/>
        </w:rPr>
      </w:pPr>
    </w:p>
    <w:p>
      <w:pPr>
        <w:keepNext w:val="0"/>
        <w:keepLines w:val="0"/>
        <w:pageBreakBefore w:val="0"/>
        <w:kinsoku/>
        <w:wordWrap/>
        <w:overflowPunct/>
        <w:topLinePunct w:val="0"/>
        <w:bidi w:val="0"/>
        <w:spacing w:before="224" w:beforeLines="50" w:line="500" w:lineRule="exact"/>
        <w:textAlignment w:val="auto"/>
        <w:outlineLvl w:val="1"/>
        <w:rPr>
          <w:rFonts w:hint="eastAsia" w:ascii="宋体" w:hAnsi="宋体" w:eastAsia="宋体" w:cs="宋体"/>
          <w:b/>
          <w:color w:val="auto"/>
          <w:sz w:val="24"/>
          <w:highlight w:val="none"/>
        </w:rPr>
      </w:pPr>
    </w:p>
    <w:p>
      <w:pPr>
        <w:keepNext w:val="0"/>
        <w:keepLines w:val="0"/>
        <w:pageBreakBefore w:val="0"/>
        <w:kinsoku/>
        <w:wordWrap/>
        <w:overflowPunct/>
        <w:topLinePunct w:val="0"/>
        <w:bidi w:val="0"/>
        <w:spacing w:before="224" w:beforeLines="50" w:line="500" w:lineRule="exact"/>
        <w:textAlignment w:val="auto"/>
        <w:outlineLvl w:val="1"/>
        <w:rPr>
          <w:rFonts w:hint="eastAsia" w:ascii="宋体" w:hAnsi="宋体" w:eastAsia="宋体" w:cs="宋体"/>
          <w:b/>
          <w:color w:val="auto"/>
          <w:sz w:val="24"/>
          <w:highlight w:val="none"/>
        </w:rPr>
      </w:pPr>
    </w:p>
    <w:p>
      <w:pPr>
        <w:keepNext w:val="0"/>
        <w:keepLines w:val="0"/>
        <w:pageBreakBefore w:val="0"/>
        <w:kinsoku/>
        <w:wordWrap/>
        <w:overflowPunct/>
        <w:topLinePunct w:val="0"/>
        <w:bidi w:val="0"/>
        <w:spacing w:before="224" w:beforeLines="50" w:line="500" w:lineRule="exact"/>
        <w:textAlignment w:val="auto"/>
        <w:outlineLvl w:val="1"/>
        <w:rPr>
          <w:rFonts w:hint="eastAsia" w:ascii="宋体" w:hAnsi="宋体" w:eastAsia="宋体" w:cs="宋体"/>
          <w:b/>
          <w:color w:val="auto"/>
          <w:sz w:val="24"/>
          <w:highlight w:val="none"/>
        </w:rPr>
      </w:pPr>
    </w:p>
    <w:p>
      <w:pPr>
        <w:keepNext w:val="0"/>
        <w:keepLines w:val="0"/>
        <w:pageBreakBefore w:val="0"/>
        <w:kinsoku/>
        <w:wordWrap/>
        <w:overflowPunct/>
        <w:topLinePunct w:val="0"/>
        <w:bidi w:val="0"/>
        <w:spacing w:before="224" w:beforeLines="50" w:line="500" w:lineRule="exact"/>
        <w:textAlignment w:val="auto"/>
        <w:outlineLvl w:val="1"/>
        <w:rPr>
          <w:rFonts w:hint="eastAsia" w:ascii="宋体" w:hAnsi="宋体" w:eastAsia="宋体" w:cs="宋体"/>
          <w:b/>
          <w:color w:val="auto"/>
          <w:sz w:val="24"/>
          <w:highlight w:val="none"/>
        </w:rPr>
      </w:pPr>
    </w:p>
    <w:p>
      <w:pPr>
        <w:keepNext w:val="0"/>
        <w:keepLines w:val="0"/>
        <w:pageBreakBefore w:val="0"/>
        <w:kinsoku/>
        <w:wordWrap/>
        <w:overflowPunct/>
        <w:topLinePunct w:val="0"/>
        <w:bidi w:val="0"/>
        <w:spacing w:before="224" w:beforeLines="50" w:line="500" w:lineRule="exact"/>
        <w:textAlignment w:val="auto"/>
        <w:outlineLvl w:val="1"/>
        <w:rPr>
          <w:rFonts w:hint="eastAsia" w:ascii="宋体" w:hAnsi="宋体" w:eastAsia="宋体" w:cs="宋体"/>
          <w:b/>
          <w:color w:val="auto"/>
          <w:sz w:val="24"/>
          <w:highlight w:val="none"/>
        </w:rPr>
      </w:pPr>
    </w:p>
    <w:p>
      <w:pPr>
        <w:keepNext w:val="0"/>
        <w:keepLines w:val="0"/>
        <w:pageBreakBefore w:val="0"/>
        <w:kinsoku/>
        <w:wordWrap/>
        <w:overflowPunct/>
        <w:topLinePunct w:val="0"/>
        <w:bidi w:val="0"/>
        <w:spacing w:before="224" w:beforeLines="50" w:line="500" w:lineRule="exact"/>
        <w:textAlignment w:val="auto"/>
        <w:outlineLvl w:val="1"/>
        <w:rPr>
          <w:rFonts w:hint="eastAsia" w:ascii="宋体" w:hAnsi="宋体" w:eastAsia="宋体" w:cs="宋体"/>
          <w:b/>
          <w:color w:val="auto"/>
          <w:sz w:val="24"/>
          <w:highlight w:val="none"/>
        </w:rPr>
      </w:pPr>
    </w:p>
    <w:p>
      <w:pPr>
        <w:keepNext w:val="0"/>
        <w:keepLines w:val="0"/>
        <w:pageBreakBefore w:val="0"/>
        <w:kinsoku/>
        <w:wordWrap/>
        <w:overflowPunct/>
        <w:topLinePunct w:val="0"/>
        <w:bidi w:val="0"/>
        <w:spacing w:before="224" w:beforeLines="50" w:line="500" w:lineRule="exact"/>
        <w:textAlignment w:val="auto"/>
        <w:outlineLvl w:val="1"/>
        <w:rPr>
          <w:rFonts w:hint="eastAsia" w:ascii="宋体" w:hAnsi="宋体" w:eastAsia="宋体" w:cs="宋体"/>
          <w:b/>
          <w:color w:val="auto"/>
          <w:sz w:val="24"/>
          <w:highlight w:val="none"/>
        </w:rPr>
      </w:pPr>
    </w:p>
    <w:p>
      <w:pPr>
        <w:keepNext w:val="0"/>
        <w:keepLines w:val="0"/>
        <w:pageBreakBefore w:val="0"/>
        <w:kinsoku/>
        <w:wordWrap/>
        <w:overflowPunct/>
        <w:topLinePunct w:val="0"/>
        <w:bidi w:val="0"/>
        <w:spacing w:before="224" w:beforeLines="50" w:line="500" w:lineRule="exac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附件4：                                                     </w:t>
      </w:r>
    </w:p>
    <w:p>
      <w:pPr>
        <w:spacing w:line="560" w:lineRule="exact"/>
        <w:jc w:val="center"/>
        <w:rPr>
          <w:rFonts w:ascii="黑体" w:hAnsi="Batang" w:eastAsia="黑体" w:cs="Batang"/>
          <w:bCs/>
          <w:color w:val="auto"/>
          <w:kern w:val="0"/>
          <w:sz w:val="44"/>
          <w:szCs w:val="44"/>
          <w:highlight w:val="none"/>
        </w:rPr>
      </w:pPr>
      <w:r>
        <w:rPr>
          <w:rFonts w:hint="eastAsia" w:ascii="黑体" w:hAnsi="Batang" w:eastAsia="黑体" w:cs="Batang"/>
          <w:bCs/>
          <w:color w:val="auto"/>
          <w:kern w:val="0"/>
          <w:sz w:val="44"/>
          <w:szCs w:val="44"/>
          <w:highlight w:val="none"/>
        </w:rPr>
        <w:t>营运场所施工安全协议书</w:t>
      </w:r>
    </w:p>
    <w:p>
      <w:pPr>
        <w:spacing w:line="560" w:lineRule="exact"/>
        <w:rPr>
          <w:rFonts w:ascii="仿宋_GB2312" w:hAnsi="宋体" w:eastAsia="仿宋_GB2312"/>
          <w:color w:val="auto"/>
          <w:sz w:val="24"/>
          <w:highlight w:val="none"/>
        </w:rPr>
      </w:pPr>
    </w:p>
    <w:p>
      <w:pPr>
        <w:spacing w:line="560" w:lineRule="exact"/>
        <w:rPr>
          <w:rFonts w:ascii="宋体" w:hAnsi="宋体" w:cs="Arial"/>
          <w:color w:val="auto"/>
          <w:kern w:val="0"/>
          <w:sz w:val="24"/>
          <w:highlight w:val="none"/>
        </w:rPr>
      </w:pPr>
      <w:r>
        <w:rPr>
          <w:rFonts w:hint="eastAsia" w:ascii="宋体" w:hAnsi="宋体" w:cs="Arial"/>
          <w:color w:val="auto"/>
          <w:kern w:val="0"/>
          <w:sz w:val="24"/>
          <w:highlight w:val="none"/>
        </w:rPr>
        <w:t>甲方：</w:t>
      </w:r>
      <w:r>
        <w:rPr>
          <w:rFonts w:hint="eastAsia"/>
          <w:color w:val="auto"/>
          <w:sz w:val="24"/>
          <w:highlight w:val="none"/>
        </w:rPr>
        <w:t>广州市净水有限公司</w:t>
      </w:r>
    </w:p>
    <w:p>
      <w:pPr>
        <w:spacing w:line="560" w:lineRule="exact"/>
        <w:rPr>
          <w:rFonts w:ascii="宋体" w:hAnsi="宋体" w:cs="Arial"/>
          <w:color w:val="auto"/>
          <w:kern w:val="0"/>
          <w:sz w:val="24"/>
          <w:highlight w:val="none"/>
        </w:rPr>
      </w:pPr>
      <w:r>
        <w:rPr>
          <w:rFonts w:hint="eastAsia" w:ascii="宋体" w:hAnsi="宋体" w:cs="Arial"/>
          <w:color w:val="auto"/>
          <w:kern w:val="0"/>
          <w:sz w:val="24"/>
          <w:highlight w:val="none"/>
        </w:rPr>
        <w:t xml:space="preserve">乙方： </w:t>
      </w:r>
    </w:p>
    <w:p>
      <w:pPr>
        <w:spacing w:line="560" w:lineRule="exact"/>
        <w:jc w:val="left"/>
        <w:rPr>
          <w:rStyle w:val="23"/>
          <w:rFonts w:ascii="宋体" w:hAnsi="宋体" w:eastAsia="宋体"/>
          <w:b w:val="0"/>
          <w:color w:val="auto"/>
          <w:highlight w:val="none"/>
          <w:u w:val="single"/>
        </w:rPr>
      </w:pPr>
    </w:p>
    <w:p>
      <w:pPr>
        <w:adjustRightInd w:val="0"/>
        <w:snapToGrid w:val="0"/>
        <w:spacing w:line="560" w:lineRule="exact"/>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根据《中华人民共和国安全生产法》《中华人民共和国建筑法》《建设工程安全生产管理条例》《生产安全事故报告和调查处理条例》《中华人民共和国职业病防治法》《工作场所职业卫生监督管理规定》《用人单位职业健康监护监督管理办法》《广州市职业卫生监督管理规定》等法律法规, 经双方协商，签订本协议书，以明确各自的安全生产、职业卫生责任并共同遵守。</w:t>
      </w:r>
    </w:p>
    <w:p>
      <w:pPr>
        <w:adjustRightInd w:val="0"/>
        <w:snapToGrid w:val="0"/>
        <w:spacing w:line="560" w:lineRule="exact"/>
        <w:ind w:firstLine="482" w:firstLineChars="200"/>
        <w:jc w:val="left"/>
        <w:rPr>
          <w:rFonts w:ascii="宋体" w:hAnsi="宋体" w:eastAsia="宋体"/>
          <w:b/>
          <w:color w:val="auto"/>
          <w:sz w:val="24"/>
          <w:highlight w:val="none"/>
        </w:rPr>
      </w:pPr>
      <w:r>
        <w:rPr>
          <w:rFonts w:hint="eastAsia" w:ascii="宋体" w:hAnsi="宋体" w:eastAsia="宋体"/>
          <w:b/>
          <w:color w:val="auto"/>
          <w:sz w:val="24"/>
          <w:highlight w:val="none"/>
        </w:rPr>
        <w:t>一、本协议与主合同的关系</w:t>
      </w:r>
    </w:p>
    <w:p>
      <w:pPr>
        <w:adjustRightInd w:val="0"/>
        <w:snapToGrid w:val="0"/>
        <w:spacing w:line="560" w:lineRule="exact"/>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本协议作为</w:t>
      </w:r>
      <w:r>
        <w:rPr>
          <w:rFonts w:hint="eastAsia" w:ascii="宋体" w:hAnsi="宋体" w:eastAsia="宋体"/>
          <w:color w:val="auto"/>
          <w:sz w:val="24"/>
          <w:highlight w:val="none"/>
          <w:u w:val="single"/>
          <w:lang w:val="en-US" w:eastAsia="zh-CN"/>
        </w:rPr>
        <w:t xml:space="preserve">  </w:t>
      </w:r>
      <w:r>
        <w:rPr>
          <w:rFonts w:hint="eastAsia" w:ascii="仿宋_GB2312" w:hAnsi="仿宋_GB2312" w:eastAsia="仿宋_GB2312" w:cs="仿宋_GB2312"/>
          <w:b w:val="0"/>
          <w:bCs/>
          <w:color w:val="auto"/>
          <w:sz w:val="28"/>
          <w:szCs w:val="28"/>
          <w:highlight w:val="none"/>
          <w:u w:val="single"/>
        </w:rPr>
        <w:t>（合同名称）+（合同编号）</w:t>
      </w:r>
      <w:r>
        <w:rPr>
          <w:rFonts w:hint="eastAsia" w:ascii="宋体" w:hAnsi="宋体" w:eastAsia="宋体"/>
          <w:color w:val="auto"/>
          <w:sz w:val="24"/>
          <w:highlight w:val="none"/>
          <w:u w:val="single"/>
          <w:lang w:val="en-US" w:eastAsia="zh-CN"/>
        </w:rPr>
        <w:t xml:space="preserve">  </w:t>
      </w:r>
      <w:r>
        <w:rPr>
          <w:rFonts w:hint="eastAsia" w:ascii="宋体" w:hAnsi="宋体" w:eastAsia="宋体"/>
          <w:color w:val="auto"/>
          <w:sz w:val="24"/>
          <w:highlight w:val="none"/>
        </w:rPr>
        <w:t>的组成部分，与主合同具有同等法律效力。</w:t>
      </w:r>
    </w:p>
    <w:p>
      <w:pPr>
        <w:adjustRightInd w:val="0"/>
        <w:snapToGrid w:val="0"/>
        <w:spacing w:line="560" w:lineRule="exact"/>
        <w:ind w:firstLine="482" w:firstLineChars="200"/>
        <w:jc w:val="left"/>
        <w:rPr>
          <w:rFonts w:ascii="宋体" w:hAnsi="宋体" w:eastAsia="宋体"/>
          <w:b/>
          <w:color w:val="auto"/>
          <w:sz w:val="24"/>
          <w:highlight w:val="none"/>
        </w:rPr>
      </w:pPr>
      <w:r>
        <w:rPr>
          <w:rFonts w:ascii="宋体" w:hAnsi="宋体" w:eastAsia="宋体"/>
          <w:b/>
          <w:color w:val="auto"/>
          <w:sz w:val="24"/>
          <w:highlight w:val="none"/>
        </w:rPr>
        <w:t xml:space="preserve"> 二、</w:t>
      </w:r>
      <w:r>
        <w:rPr>
          <w:rFonts w:hint="eastAsia" w:ascii="宋体" w:hAnsi="宋体" w:eastAsia="宋体"/>
          <w:b/>
          <w:color w:val="auto"/>
          <w:sz w:val="24"/>
          <w:highlight w:val="none"/>
        </w:rPr>
        <w:t>甲方权责</w:t>
      </w:r>
    </w:p>
    <w:p>
      <w:pPr>
        <w:adjustRightInd w:val="0"/>
        <w:snapToGrid w:val="0"/>
        <w:spacing w:line="560" w:lineRule="exact"/>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（一）在甲方生产营运场所内施工的，告知乙方该场所已知存在的安全风险，并要求乙方在作业前应重新识别现场的安全风险并采取措施进行管控。</w:t>
      </w:r>
    </w:p>
    <w:p>
      <w:pPr>
        <w:adjustRightInd w:val="0"/>
        <w:snapToGrid w:val="0"/>
        <w:spacing w:line="560" w:lineRule="exact"/>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（二）落实生产营运等相关配合措施，提供必要的施工条件。</w:t>
      </w:r>
    </w:p>
    <w:p>
      <w:pPr>
        <w:adjustRightInd w:val="0"/>
        <w:snapToGrid w:val="0"/>
        <w:spacing w:line="560" w:lineRule="exact"/>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（三）要求乙方遵守的甲方安全管理要求。</w:t>
      </w:r>
    </w:p>
    <w:p>
      <w:pPr>
        <w:adjustRightInd w:val="0"/>
        <w:snapToGrid w:val="0"/>
        <w:spacing w:line="560" w:lineRule="exact"/>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（四）有权对乙方安全措施投入、现场安全施工情况等进行安全监督检查，并提出整改。</w:t>
      </w:r>
    </w:p>
    <w:p>
      <w:pPr>
        <w:adjustRightInd w:val="0"/>
        <w:snapToGrid w:val="0"/>
        <w:spacing w:line="560" w:lineRule="exact"/>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（五）按照《广州市净水有限公司工程项目安全管理规范》等办法对乙方进行施工安全管理评价。</w:t>
      </w:r>
    </w:p>
    <w:p>
      <w:pPr>
        <w:adjustRightInd w:val="0"/>
        <w:snapToGrid w:val="0"/>
        <w:spacing w:line="560" w:lineRule="exact"/>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（六）对于乙方不服从甲方管理，违反安全生产管理规定等违约行为的，甲方有权对乙方采取以下一种或以上的方式处理：</w:t>
      </w:r>
    </w:p>
    <w:p>
      <w:pPr>
        <w:adjustRightInd w:val="0"/>
        <w:snapToGrid w:val="0"/>
        <w:spacing w:line="560" w:lineRule="exact"/>
        <w:ind w:firstLine="480" w:firstLineChars="200"/>
        <w:jc w:val="left"/>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rPr>
        <w:t>按主合同相关条款进行经济扣罚；</w:t>
      </w:r>
    </w:p>
    <w:p>
      <w:pPr>
        <w:adjustRightInd w:val="0"/>
        <w:snapToGrid w:val="0"/>
        <w:spacing w:line="560" w:lineRule="exact"/>
        <w:ind w:firstLine="480" w:firstLineChars="200"/>
        <w:jc w:val="left"/>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根据《广州市水务局关于印发广州市水务工程施工和监理企业诚信评价管理办法的通知》（穗水建设〔2</w:t>
      </w:r>
      <w:r>
        <w:rPr>
          <w:rFonts w:ascii="宋体" w:hAnsi="宋体" w:eastAsia="宋体"/>
          <w:color w:val="auto"/>
          <w:sz w:val="24"/>
          <w:highlight w:val="none"/>
        </w:rPr>
        <w:t>014</w:t>
      </w:r>
      <w:r>
        <w:rPr>
          <w:rFonts w:hint="eastAsia" w:ascii="宋体" w:hAnsi="宋体" w:eastAsia="宋体"/>
          <w:color w:val="auto"/>
          <w:sz w:val="24"/>
          <w:highlight w:val="none"/>
        </w:rPr>
        <w:t>〕1</w:t>
      </w:r>
      <w:r>
        <w:rPr>
          <w:rFonts w:ascii="宋体" w:hAnsi="宋体" w:eastAsia="宋体"/>
          <w:color w:val="auto"/>
          <w:sz w:val="24"/>
          <w:highlight w:val="none"/>
        </w:rPr>
        <w:t>0</w:t>
      </w:r>
      <w:r>
        <w:rPr>
          <w:rFonts w:hint="eastAsia" w:ascii="宋体" w:hAnsi="宋体" w:eastAsia="宋体"/>
          <w:color w:val="auto"/>
          <w:sz w:val="24"/>
          <w:highlight w:val="none"/>
        </w:rPr>
        <w:t>号）、《市净水公司关于印发施工和监理企业诚信评价工作实施办法的通知》（穗净水〔201</w:t>
      </w:r>
      <w:r>
        <w:rPr>
          <w:rFonts w:ascii="宋体" w:hAnsi="宋体" w:eastAsia="宋体"/>
          <w:color w:val="auto"/>
          <w:sz w:val="24"/>
          <w:highlight w:val="none"/>
        </w:rPr>
        <w:t>5</w:t>
      </w:r>
      <w:r>
        <w:rPr>
          <w:rFonts w:hint="eastAsia" w:ascii="宋体" w:hAnsi="宋体" w:eastAsia="宋体"/>
          <w:color w:val="auto"/>
          <w:sz w:val="24"/>
          <w:highlight w:val="none"/>
        </w:rPr>
        <w:t>〕2</w:t>
      </w:r>
      <w:r>
        <w:rPr>
          <w:rFonts w:ascii="宋体" w:hAnsi="宋体" w:eastAsia="宋体"/>
          <w:color w:val="auto"/>
          <w:sz w:val="24"/>
          <w:highlight w:val="none"/>
        </w:rPr>
        <w:t>40</w:t>
      </w:r>
      <w:r>
        <w:rPr>
          <w:rFonts w:hint="eastAsia" w:ascii="宋体" w:hAnsi="宋体" w:eastAsia="宋体"/>
          <w:color w:val="auto"/>
          <w:sz w:val="24"/>
          <w:highlight w:val="none"/>
        </w:rPr>
        <w:t>号），进行诚信扣分（合同期内有新的文件印发的，按照最新的文件执行）；</w:t>
      </w:r>
    </w:p>
    <w:p>
      <w:pPr>
        <w:adjustRightInd w:val="0"/>
        <w:snapToGrid w:val="0"/>
        <w:spacing w:line="560" w:lineRule="exact"/>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w:t>
      </w:r>
      <w:r>
        <w:rPr>
          <w:rFonts w:hint="eastAsia" w:ascii="宋体" w:hAnsi="宋体" w:eastAsia="宋体"/>
          <w:color w:val="auto"/>
          <w:sz w:val="24"/>
          <w:highlight w:val="none"/>
        </w:rPr>
        <w:t>限制投保，或经其他单位承包后以分别方参与项目实施；</w:t>
      </w:r>
    </w:p>
    <w:p>
      <w:pPr>
        <w:adjustRightInd w:val="0"/>
        <w:snapToGrid w:val="0"/>
        <w:spacing w:line="560" w:lineRule="exact"/>
        <w:ind w:firstLine="480" w:firstLineChars="200"/>
        <w:jc w:val="left"/>
        <w:rPr>
          <w:rFonts w:ascii="宋体" w:hAnsi="宋体" w:eastAsia="宋体"/>
          <w:color w:val="auto"/>
          <w:sz w:val="24"/>
          <w:highlight w:val="none"/>
        </w:rPr>
      </w:pPr>
      <w:r>
        <w:rPr>
          <w:rFonts w:ascii="宋体" w:hAnsi="宋体" w:eastAsia="宋体"/>
          <w:color w:val="auto"/>
          <w:sz w:val="24"/>
          <w:highlight w:val="none"/>
        </w:rPr>
        <w:t>4.</w:t>
      </w:r>
      <w:r>
        <w:rPr>
          <w:rFonts w:hint="eastAsia" w:ascii="宋体" w:hAnsi="宋体" w:eastAsia="宋体"/>
          <w:color w:val="auto"/>
          <w:sz w:val="24"/>
          <w:highlight w:val="none"/>
        </w:rPr>
        <w:t>向上级进行反映，包括但不限于广东省市政行业协会、广州市市政公路协会等。</w:t>
      </w:r>
    </w:p>
    <w:p>
      <w:pPr>
        <w:spacing w:line="560" w:lineRule="exact"/>
        <w:ind w:firstLine="480" w:firstLineChars="200"/>
        <w:rPr>
          <w:rFonts w:ascii="宋体" w:hAnsi="宋体" w:cs="Arial"/>
          <w:color w:val="auto"/>
          <w:kern w:val="0"/>
          <w:sz w:val="24"/>
          <w:highlight w:val="none"/>
        </w:rPr>
      </w:pPr>
      <w:r>
        <w:rPr>
          <w:rFonts w:hint="eastAsia" w:ascii="宋体" w:hAnsi="宋体" w:cs="Arial"/>
          <w:color w:val="auto"/>
          <w:kern w:val="0"/>
          <w:sz w:val="24"/>
          <w:highlight w:val="none"/>
        </w:rPr>
        <w:t>（七）乙方对存在问题拒不整改的，或存在弄虚作假情况的，视为违约，甲方有权按主合同相关条款对乙方进行违约金扣罚。如乙方拒不缴纳违约金的，甲方有权在履约保证金中扣除。</w:t>
      </w:r>
    </w:p>
    <w:p>
      <w:pPr>
        <w:adjustRightInd w:val="0"/>
        <w:snapToGrid w:val="0"/>
        <w:spacing w:line="560" w:lineRule="exact"/>
        <w:ind w:firstLine="482" w:firstLineChars="200"/>
        <w:jc w:val="left"/>
        <w:rPr>
          <w:rFonts w:ascii="宋体" w:hAnsi="宋体" w:eastAsia="宋体"/>
          <w:b/>
          <w:color w:val="auto"/>
          <w:sz w:val="24"/>
          <w:highlight w:val="none"/>
        </w:rPr>
      </w:pPr>
      <w:r>
        <w:rPr>
          <w:rFonts w:hint="eastAsia" w:ascii="宋体" w:hAnsi="宋体" w:eastAsia="宋体"/>
          <w:b/>
          <w:color w:val="auto"/>
          <w:sz w:val="24"/>
          <w:highlight w:val="none"/>
        </w:rPr>
        <w:t>三、乙方权责</w:t>
      </w:r>
    </w:p>
    <w:p>
      <w:pPr>
        <w:adjustRightInd w:val="0"/>
        <w:snapToGrid w:val="0"/>
        <w:spacing w:line="560" w:lineRule="exact"/>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（一）在施工前重新识别现场的安全风险并采取措施进行管控。大型机械设备进场，需提前对设备行走、运输路线进行勘查，确保行走、运输过程中不会造成各种设施的破坏或二次事故。</w:t>
      </w:r>
    </w:p>
    <w:p>
      <w:pPr>
        <w:adjustRightInd w:val="0"/>
        <w:snapToGrid w:val="0"/>
        <w:spacing w:line="560" w:lineRule="exact"/>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（二）严格执行国家、地方和行业主管部门关于施工的强制性标准、地方行政法规、管理要求。</w:t>
      </w:r>
    </w:p>
    <w:p>
      <w:pPr>
        <w:adjustRightInd w:val="0"/>
        <w:snapToGrid w:val="0"/>
        <w:spacing w:line="560" w:lineRule="exact"/>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依法为施工现场作业的人员办理意外伤害保险、购买安全生产责任保险。</w:t>
      </w:r>
    </w:p>
    <w:p>
      <w:pPr>
        <w:adjustRightInd w:val="0"/>
        <w:snapToGrid w:val="0"/>
        <w:spacing w:line="560" w:lineRule="exact"/>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（三）乙方应在合同签订后</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15</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日内制定安全生产文明施工措施费投入使用计划，并提交甲方备案，保证施工安全措施投入。</w:t>
      </w:r>
    </w:p>
    <w:p>
      <w:pPr>
        <w:adjustRightInd w:val="0"/>
        <w:snapToGrid w:val="0"/>
        <w:spacing w:line="560" w:lineRule="exact"/>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（四）严格按照甲方制定的《广州市净水有限公司工程项目安全管理规范》要求，落实各项安全管理工作。</w:t>
      </w:r>
    </w:p>
    <w:p>
      <w:pPr>
        <w:adjustRightInd w:val="0"/>
        <w:snapToGrid w:val="0"/>
        <w:spacing w:line="560" w:lineRule="exact"/>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根据当前国家、行业或甲方近期安全管理的突出方面，或针对项目实际，有针对性地开展安全管理工作，接受甲方的安全管理评价。</w:t>
      </w:r>
    </w:p>
    <w:p>
      <w:pPr>
        <w:adjustRightInd w:val="0"/>
        <w:snapToGrid w:val="0"/>
        <w:spacing w:line="560" w:lineRule="exact"/>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配合甲方的安全监督检查，并立即对提出的问题隐患进行整改。</w:t>
      </w:r>
    </w:p>
    <w:p>
      <w:pPr>
        <w:adjustRightInd w:val="0"/>
        <w:snapToGrid w:val="0"/>
        <w:spacing w:line="560" w:lineRule="exact"/>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（五）落实人员实名制，在签订主合同前提供本项目全体人员已通过三级安全教育及职业健康体检的证明，确保全员没有职业病，禁止有职业禁忌证的人员从事禁忌证相关工作。</w:t>
      </w:r>
    </w:p>
    <w:p>
      <w:pPr>
        <w:adjustRightInd w:val="0"/>
        <w:snapToGrid w:val="0"/>
        <w:spacing w:line="560" w:lineRule="exact"/>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乙方该项目的管理人员、作业人员（包括分包人员）每年由乙方单位依法开展安全生产教育培训，并保存好相关培训证明备查。</w:t>
      </w:r>
    </w:p>
    <w:p>
      <w:pPr>
        <w:adjustRightInd w:val="0"/>
        <w:snapToGrid w:val="0"/>
        <w:spacing w:line="560" w:lineRule="exact"/>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施工过程中，项目管理人员、作业人员（包括分包人员）需进行调整的，必须书面向甲方请示，并获得甲方批准后方可执行变更。</w:t>
      </w:r>
    </w:p>
    <w:p>
      <w:pPr>
        <w:adjustRightInd w:val="0"/>
        <w:snapToGrid w:val="0"/>
        <w:spacing w:line="560" w:lineRule="exact"/>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（六）建立应急管理体系，编制应急预案和现场处置方案，并定期组织开展应急演练。施工现场，乙方应根据施工方案在施工现场配置应急救援物资，并做好应急救援物资的定期检查，确保完好、有效。</w:t>
      </w:r>
    </w:p>
    <w:p>
      <w:pPr>
        <w:adjustRightInd w:val="0"/>
        <w:snapToGrid w:val="0"/>
        <w:spacing w:line="560" w:lineRule="exact"/>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（七）发生突发事件时，应立即报甲方，并同时积极主动地开展应急救援，采取有效措施将事故影响控制在最小范围内。</w:t>
      </w:r>
    </w:p>
    <w:p>
      <w:pPr>
        <w:adjustRightInd w:val="0"/>
        <w:snapToGrid w:val="0"/>
        <w:spacing w:line="560" w:lineRule="exact"/>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（八）严格履行本协议，遵守甲方各项管理规定，服从管理。</w:t>
      </w:r>
    </w:p>
    <w:p>
      <w:pPr>
        <w:adjustRightInd w:val="0"/>
        <w:snapToGrid w:val="0"/>
        <w:spacing w:line="560" w:lineRule="exact"/>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（九）对甲方的违章指挥，拒绝执行，但需书面明确指出甲方所违反的具体法律法规、标准规范等。</w:t>
      </w:r>
    </w:p>
    <w:p>
      <w:pPr>
        <w:adjustRightInd w:val="0"/>
        <w:snapToGrid w:val="0"/>
        <w:spacing w:line="560" w:lineRule="exact"/>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（十）乙方委托的第三方运输单位或个人，违反本协议的，全部责任均由乙方承担。</w:t>
      </w:r>
    </w:p>
    <w:p>
      <w:pPr>
        <w:adjustRightInd w:val="0"/>
        <w:snapToGrid w:val="0"/>
        <w:spacing w:line="560" w:lineRule="exact"/>
        <w:ind w:firstLine="482" w:firstLineChars="200"/>
        <w:jc w:val="left"/>
        <w:rPr>
          <w:rFonts w:ascii="宋体" w:hAnsi="宋体" w:eastAsia="宋体"/>
          <w:b/>
          <w:color w:val="auto"/>
          <w:sz w:val="24"/>
          <w:highlight w:val="none"/>
        </w:rPr>
      </w:pPr>
      <w:r>
        <w:rPr>
          <w:rFonts w:hint="eastAsia" w:ascii="宋体" w:hAnsi="宋体" w:eastAsia="宋体"/>
          <w:b/>
          <w:color w:val="auto"/>
          <w:sz w:val="24"/>
          <w:highlight w:val="none"/>
        </w:rPr>
        <w:t>四、事故责任</w:t>
      </w:r>
    </w:p>
    <w:p>
      <w:pPr>
        <w:adjustRightInd w:val="0"/>
        <w:snapToGrid w:val="0"/>
        <w:spacing w:line="560" w:lineRule="exact"/>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（一）在乙方承包范围内，由于乙方责任发生生产安全事故时，造成的甲方、乙方或者第三方人身伤害事故，乙方负全部责任。</w:t>
      </w:r>
    </w:p>
    <w:p>
      <w:pPr>
        <w:adjustRightInd w:val="0"/>
        <w:snapToGrid w:val="0"/>
        <w:spacing w:line="560" w:lineRule="exact"/>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（二）乙方人员违规进入甲方或第三方承包区域，造成事故的，乙方负全部事故责任；乙方人员遭受人身伤害的，乙方负全部责任。</w:t>
      </w:r>
    </w:p>
    <w:p>
      <w:pPr>
        <w:adjustRightInd w:val="0"/>
        <w:snapToGrid w:val="0"/>
        <w:spacing w:line="560" w:lineRule="exact"/>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三）同一生产区域内有两家及以上承包单位的，发生生产安全事故，侵害方负全部责任；共同责任造成的，按事故原因划分责任，不能达成一致的，根据政府有关部门的责任划分承担相应的事故责任和经济责任。</w:t>
      </w:r>
    </w:p>
    <w:p>
      <w:pPr>
        <w:adjustRightInd w:val="0"/>
        <w:snapToGrid w:val="0"/>
        <w:spacing w:line="560" w:lineRule="exact"/>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（四）乙方在甲方生产区域内发生生产安全事故后，必须在第一时间向甲方报告，迟报或者隐瞒不报生产安全事故，承担事故的全部责任。</w:t>
      </w:r>
    </w:p>
    <w:p>
      <w:pPr>
        <w:adjustRightInd w:val="0"/>
        <w:snapToGrid w:val="0"/>
        <w:spacing w:line="560" w:lineRule="exact"/>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（五）乙方各类人员在甲方生产区域内发生人身伤害事故和其他事故，乙方应开展调查、处理、统计、上报并向甲方报告，配合甲方及有关部门开展事故调查。</w:t>
      </w:r>
    </w:p>
    <w:p>
      <w:pPr>
        <w:spacing w:line="56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六）乙方造成的事故或造成事故扩大的，乙方须立即开展事故处置，并双倍赔偿甲方的全部损失（包括但不限于甲方的直接经济损失和间接经济损失、为处理事故支出的费用、为恢复正常生产产生的费用、因事故被有关单位追究的经济考核扣罚以及因造成第三方损失而支出的赔偿款、律师费、诉讼费等）。</w:t>
      </w:r>
    </w:p>
    <w:p>
      <w:pPr>
        <w:pStyle w:val="36"/>
        <w:spacing w:line="560" w:lineRule="exact"/>
        <w:ind w:firstLine="482" w:firstLineChars="200"/>
        <w:rPr>
          <w:rFonts w:ascii="宋体" w:hAnsi="宋体" w:eastAsia="宋体"/>
          <w:color w:val="auto"/>
          <w:sz w:val="24"/>
          <w:highlight w:val="none"/>
        </w:rPr>
      </w:pPr>
      <w:r>
        <w:rPr>
          <w:rFonts w:hint="eastAsia" w:ascii="宋体" w:hAnsi="宋体" w:eastAsia="宋体"/>
          <w:b/>
          <w:color w:val="auto"/>
          <w:sz w:val="24"/>
          <w:highlight w:val="none"/>
        </w:rPr>
        <w:t>五、补充条款：</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lang w:val="en-US" w:eastAsia="zh-CN"/>
        </w:rPr>
        <w:t>无</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w:t>
      </w:r>
    </w:p>
    <w:p>
      <w:pPr>
        <w:adjustRightInd w:val="0"/>
        <w:snapToGrid w:val="0"/>
        <w:spacing w:line="560" w:lineRule="exact"/>
        <w:ind w:firstLine="482" w:firstLineChars="200"/>
        <w:jc w:val="left"/>
        <w:rPr>
          <w:rFonts w:ascii="宋体" w:hAnsi="宋体" w:eastAsia="宋体"/>
          <w:b/>
          <w:color w:val="auto"/>
          <w:sz w:val="24"/>
          <w:highlight w:val="none"/>
        </w:rPr>
      </w:pPr>
      <w:r>
        <w:rPr>
          <w:rFonts w:hint="eastAsia" w:ascii="宋体" w:hAnsi="宋体" w:eastAsia="宋体"/>
          <w:b/>
          <w:color w:val="auto"/>
          <w:sz w:val="24"/>
          <w:highlight w:val="none"/>
        </w:rPr>
        <w:t>六、附则</w:t>
      </w:r>
    </w:p>
    <w:p>
      <w:pPr>
        <w:adjustRightInd w:val="0"/>
        <w:snapToGrid w:val="0"/>
        <w:spacing w:line="560" w:lineRule="exact"/>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（一）本协议未尽事宜，依据有关法律、法规、规章处理。法律、法规、规章没有明确规定的，经双方协商处理解决。</w:t>
      </w:r>
    </w:p>
    <w:p>
      <w:pPr>
        <w:adjustRightInd w:val="0"/>
        <w:snapToGrid w:val="0"/>
        <w:spacing w:line="560" w:lineRule="exact"/>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（二）本协议与主合同同时签订、同时终止、同时生效，具有相同的法律效力，自甲方、乙方双方签字、盖章生效，甲方、乙方双方执持数量与主合同一致。</w:t>
      </w:r>
    </w:p>
    <w:p>
      <w:pPr>
        <w:adjustRightInd w:val="0"/>
        <w:snapToGrid w:val="0"/>
        <w:spacing w:line="560" w:lineRule="exact"/>
        <w:rPr>
          <w:rFonts w:ascii="仿宋_GB2312" w:hAnsi="宋体" w:eastAsia="仿宋_GB2312"/>
          <w:color w:val="auto"/>
          <w:sz w:val="24"/>
          <w:highlight w:val="none"/>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72"/>
        <w:gridCol w:w="4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3" w:type="dxa"/>
          </w:tcPr>
          <w:p>
            <w:pPr>
              <w:adjustRightInd w:val="0"/>
              <w:snapToGrid w:val="0"/>
              <w:spacing w:line="560" w:lineRule="exact"/>
              <w:rPr>
                <w:rFonts w:ascii="宋体" w:hAnsi="宋体" w:eastAsia="宋体"/>
                <w:color w:val="auto"/>
                <w:sz w:val="24"/>
                <w:highlight w:val="none"/>
              </w:rPr>
            </w:pPr>
            <w:r>
              <w:rPr>
                <w:rFonts w:hint="eastAsia" w:ascii="宋体" w:hAnsi="宋体" w:eastAsia="宋体"/>
                <w:color w:val="auto"/>
                <w:sz w:val="24"/>
                <w:highlight w:val="none"/>
              </w:rPr>
              <w:t>甲方：</w:t>
            </w:r>
          </w:p>
          <w:p>
            <w:pPr>
              <w:adjustRightInd w:val="0"/>
              <w:snapToGrid w:val="0"/>
              <w:spacing w:line="560" w:lineRule="exact"/>
              <w:rPr>
                <w:rFonts w:ascii="宋体" w:hAnsi="宋体" w:eastAsia="宋体"/>
                <w:color w:val="auto"/>
                <w:sz w:val="24"/>
                <w:highlight w:val="none"/>
              </w:rPr>
            </w:pPr>
            <w:r>
              <w:rPr>
                <w:rFonts w:hint="eastAsia" w:ascii="宋体" w:hAnsi="宋体" w:eastAsia="宋体"/>
                <w:color w:val="auto"/>
                <w:sz w:val="24"/>
                <w:highlight w:val="none"/>
              </w:rPr>
              <w:t>签约代表：</w:t>
            </w:r>
          </w:p>
          <w:p>
            <w:pPr>
              <w:adjustRightInd w:val="0"/>
              <w:snapToGrid w:val="0"/>
              <w:spacing w:line="560" w:lineRule="exact"/>
              <w:rPr>
                <w:rFonts w:ascii="宋体" w:hAnsi="宋体" w:eastAsia="宋体"/>
                <w:color w:val="auto"/>
                <w:sz w:val="24"/>
                <w:highlight w:val="none"/>
              </w:rPr>
            </w:pPr>
            <w:r>
              <w:rPr>
                <w:rFonts w:hint="eastAsia" w:ascii="宋体" w:hAnsi="宋体" w:eastAsia="宋体"/>
                <w:color w:val="auto"/>
                <w:sz w:val="24"/>
                <w:highlight w:val="none"/>
              </w:rPr>
              <w:t>联系电话：</w:t>
            </w:r>
          </w:p>
          <w:p>
            <w:pPr>
              <w:adjustRightInd w:val="0"/>
              <w:snapToGrid w:val="0"/>
              <w:spacing w:line="560" w:lineRule="exact"/>
              <w:ind w:firstLine="240" w:firstLineChars="100"/>
              <w:jc w:val="right"/>
              <w:rPr>
                <w:rFonts w:ascii="宋体" w:hAnsi="宋体" w:eastAsia="宋体"/>
                <w:color w:val="auto"/>
                <w:sz w:val="24"/>
                <w:highlight w:val="none"/>
              </w:rPr>
            </w:pPr>
            <w:r>
              <w:rPr>
                <w:rFonts w:hint="eastAsia" w:ascii="宋体" w:hAnsi="宋体" w:eastAsia="宋体"/>
                <w:color w:val="auto"/>
                <w:sz w:val="24"/>
                <w:highlight w:val="none"/>
              </w:rPr>
              <w:t>年</w:t>
            </w:r>
            <w:r>
              <w:rPr>
                <w:rFonts w:ascii="宋体" w:hAnsi="宋体" w:eastAsia="宋体"/>
                <w:color w:val="auto"/>
                <w:sz w:val="24"/>
                <w:highlight w:val="none"/>
              </w:rPr>
              <w:t xml:space="preserve">    </w:t>
            </w:r>
            <w:r>
              <w:rPr>
                <w:rFonts w:hint="eastAsia" w:ascii="宋体" w:hAnsi="宋体" w:eastAsia="宋体"/>
                <w:color w:val="auto"/>
                <w:sz w:val="24"/>
                <w:highlight w:val="none"/>
              </w:rPr>
              <w:t>月</w:t>
            </w:r>
            <w:r>
              <w:rPr>
                <w:rFonts w:ascii="宋体" w:hAnsi="宋体" w:eastAsia="宋体"/>
                <w:color w:val="auto"/>
                <w:sz w:val="24"/>
                <w:highlight w:val="none"/>
              </w:rPr>
              <w:t xml:space="preserve">    </w:t>
            </w:r>
            <w:r>
              <w:rPr>
                <w:rFonts w:hint="eastAsia" w:ascii="宋体" w:hAnsi="宋体" w:eastAsia="宋体"/>
                <w:color w:val="auto"/>
                <w:sz w:val="24"/>
                <w:highlight w:val="none"/>
              </w:rPr>
              <w:t>日</w:t>
            </w:r>
          </w:p>
        </w:tc>
        <w:tc>
          <w:tcPr>
            <w:tcW w:w="4474" w:type="dxa"/>
          </w:tcPr>
          <w:p>
            <w:pPr>
              <w:adjustRightInd w:val="0"/>
              <w:snapToGrid w:val="0"/>
              <w:spacing w:line="560" w:lineRule="exact"/>
              <w:rPr>
                <w:rFonts w:ascii="宋体" w:hAnsi="宋体" w:eastAsia="宋体"/>
                <w:color w:val="auto"/>
                <w:sz w:val="24"/>
                <w:highlight w:val="none"/>
              </w:rPr>
            </w:pPr>
            <w:r>
              <w:rPr>
                <w:rFonts w:hint="eastAsia" w:ascii="宋体" w:hAnsi="宋体" w:eastAsia="宋体"/>
                <w:color w:val="auto"/>
                <w:sz w:val="24"/>
                <w:highlight w:val="none"/>
              </w:rPr>
              <w:t>乙方：</w:t>
            </w:r>
          </w:p>
          <w:p>
            <w:pPr>
              <w:adjustRightInd w:val="0"/>
              <w:snapToGrid w:val="0"/>
              <w:spacing w:line="560" w:lineRule="exact"/>
              <w:rPr>
                <w:rFonts w:ascii="宋体" w:hAnsi="宋体" w:eastAsia="宋体"/>
                <w:color w:val="auto"/>
                <w:sz w:val="24"/>
                <w:highlight w:val="none"/>
              </w:rPr>
            </w:pPr>
            <w:r>
              <w:rPr>
                <w:rFonts w:hint="eastAsia" w:ascii="宋体" w:hAnsi="宋体" w:eastAsia="宋体"/>
                <w:color w:val="auto"/>
                <w:sz w:val="24"/>
                <w:highlight w:val="none"/>
              </w:rPr>
              <w:t>签约代表：</w:t>
            </w:r>
          </w:p>
          <w:p>
            <w:pPr>
              <w:adjustRightInd w:val="0"/>
              <w:snapToGrid w:val="0"/>
              <w:spacing w:line="560" w:lineRule="exact"/>
              <w:rPr>
                <w:rFonts w:ascii="宋体" w:hAnsi="宋体" w:eastAsia="宋体"/>
                <w:color w:val="auto"/>
                <w:sz w:val="24"/>
                <w:highlight w:val="none"/>
              </w:rPr>
            </w:pPr>
            <w:r>
              <w:rPr>
                <w:rFonts w:hint="eastAsia" w:ascii="宋体" w:hAnsi="宋体" w:eastAsia="宋体"/>
                <w:color w:val="auto"/>
                <w:sz w:val="24"/>
                <w:highlight w:val="none"/>
              </w:rPr>
              <w:t>联系电话：</w:t>
            </w:r>
          </w:p>
          <w:p>
            <w:pPr>
              <w:adjustRightInd w:val="0"/>
              <w:snapToGrid w:val="0"/>
              <w:spacing w:line="560" w:lineRule="exact"/>
              <w:ind w:firstLine="1440" w:firstLineChars="600"/>
              <w:jc w:val="both"/>
              <w:rPr>
                <w:rFonts w:ascii="宋体" w:hAnsi="宋体" w:eastAsia="宋体"/>
                <w:color w:val="auto"/>
                <w:sz w:val="24"/>
                <w:highlight w:val="none"/>
              </w:rPr>
            </w:pPr>
            <w:r>
              <w:rPr>
                <w:rFonts w:hint="eastAsia" w:ascii="宋体" w:hAnsi="宋体" w:eastAsia="宋体"/>
                <w:color w:val="auto"/>
                <w:sz w:val="24"/>
                <w:highlight w:val="none"/>
              </w:rPr>
              <w:t>年</w:t>
            </w:r>
            <w:r>
              <w:rPr>
                <w:rFonts w:ascii="宋体" w:hAnsi="宋体" w:eastAsia="宋体"/>
                <w:color w:val="auto"/>
                <w:sz w:val="24"/>
                <w:highlight w:val="none"/>
              </w:rPr>
              <w:t xml:space="preserve">    </w:t>
            </w:r>
            <w:r>
              <w:rPr>
                <w:rFonts w:hint="eastAsia" w:ascii="宋体" w:hAnsi="宋体" w:eastAsia="宋体"/>
                <w:color w:val="auto"/>
                <w:sz w:val="24"/>
                <w:highlight w:val="none"/>
              </w:rPr>
              <w:t>月</w:t>
            </w:r>
            <w:r>
              <w:rPr>
                <w:rFonts w:ascii="宋体" w:hAnsi="宋体" w:eastAsia="宋体"/>
                <w:color w:val="auto"/>
                <w:sz w:val="24"/>
                <w:highlight w:val="none"/>
              </w:rPr>
              <w:t xml:space="preserve">    </w:t>
            </w:r>
            <w:r>
              <w:rPr>
                <w:rFonts w:hint="eastAsia" w:ascii="宋体" w:hAnsi="宋体" w:eastAsia="宋体"/>
                <w:color w:val="auto"/>
                <w:sz w:val="24"/>
                <w:highlight w:val="none"/>
              </w:rPr>
              <w:t>日</w:t>
            </w:r>
          </w:p>
        </w:tc>
      </w:tr>
    </w:tbl>
    <w:p>
      <w:pPr>
        <w:spacing w:line="360" w:lineRule="auto"/>
        <w:rPr>
          <w:rFonts w:hint="eastAsia" w:ascii="宋体" w:hAnsi="宋体" w:cs="宋体"/>
          <w:b/>
          <w:color w:val="auto"/>
          <w:szCs w:val="21"/>
          <w:highlight w:val="none"/>
        </w:rPr>
      </w:pPr>
    </w:p>
    <w:p>
      <w:pPr>
        <w:keepNext w:val="0"/>
        <w:keepLines w:val="0"/>
        <w:pageBreakBefore w:val="0"/>
        <w:kinsoku/>
        <w:wordWrap/>
        <w:overflowPunct/>
        <w:topLinePunct w:val="0"/>
        <w:bidi w:val="0"/>
        <w:adjustRightInd w:val="0"/>
        <w:snapToGrid w:val="0"/>
        <w:spacing w:line="500" w:lineRule="exact"/>
        <w:ind w:left="1320" w:hanging="1320" w:hangingChars="5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keepNext w:val="0"/>
        <w:keepLines w:val="0"/>
        <w:pageBreakBefore w:val="0"/>
        <w:widowControl/>
        <w:kinsoku/>
        <w:wordWrap/>
        <w:overflowPunct/>
        <w:topLinePunct w:val="0"/>
        <w:bidi w:val="0"/>
        <w:spacing w:line="500" w:lineRule="exact"/>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highlight w:val="none"/>
        </w:rPr>
        <w:t>附件5：</w:t>
      </w:r>
    </w:p>
    <w:p>
      <w:pPr>
        <w:keepNext w:val="0"/>
        <w:keepLines w:val="0"/>
        <w:pageBreakBefore w:val="0"/>
        <w:kinsoku/>
        <w:wordWrap/>
        <w:overflowPunct/>
        <w:topLinePunct w:val="0"/>
        <w:bidi w:val="0"/>
        <w:adjustRightInd w:val="0"/>
        <w:snapToGrid w:val="0"/>
        <w:spacing w:line="500" w:lineRule="exact"/>
        <w:textAlignment w:val="auto"/>
        <w:rPr>
          <w:rFonts w:hint="eastAsia" w:ascii="宋体" w:hAnsi="宋体" w:eastAsia="宋体" w:cs="宋体"/>
          <w:color w:val="auto"/>
          <w:sz w:val="24"/>
          <w:szCs w:val="22"/>
          <w:highlight w:val="none"/>
        </w:rPr>
      </w:pPr>
    </w:p>
    <w:p>
      <w:pPr>
        <w:keepNext w:val="0"/>
        <w:keepLines w:val="0"/>
        <w:pageBreakBefore w:val="0"/>
        <w:kinsoku/>
        <w:wordWrap/>
        <w:overflowPunct/>
        <w:topLinePunct w:val="0"/>
        <w:bidi w:val="0"/>
        <w:spacing w:line="5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安全生产承诺书</w:t>
      </w:r>
    </w:p>
    <w:p>
      <w:pPr>
        <w:keepNext w:val="0"/>
        <w:keepLines w:val="0"/>
        <w:pageBreakBefore w:val="0"/>
        <w:kinsoku/>
        <w:wordWrap/>
        <w:overflowPunct/>
        <w:topLinePunct w:val="0"/>
        <w:bidi w:val="0"/>
        <w:spacing w:line="500" w:lineRule="exact"/>
        <w:textAlignment w:val="auto"/>
        <w:rPr>
          <w:rFonts w:hint="eastAsia" w:ascii="宋体" w:hAnsi="宋体" w:eastAsia="宋体" w:cs="宋体"/>
          <w:color w:val="auto"/>
          <w:sz w:val="24"/>
          <w:highlight w:val="none"/>
        </w:rPr>
      </w:pPr>
    </w:p>
    <w:p>
      <w:pPr>
        <w:keepNext w:val="0"/>
        <w:keepLines w:val="0"/>
        <w:pageBreakBefore w:val="0"/>
        <w:kinsoku/>
        <w:wordWrap/>
        <w:overflowPunct/>
        <w:topLinePunct w:val="0"/>
        <w:bidi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致：广州市净水有限公司</w:t>
      </w:r>
    </w:p>
    <w:p>
      <w:pPr>
        <w:keepNext w:val="0"/>
        <w:keepLines w:val="0"/>
        <w:pageBreakBefore w:val="0"/>
        <w:kinsoku/>
        <w:wordWrap/>
        <w:overflowPunct/>
        <w:topLinePunct w:val="0"/>
        <w:bidi w:val="0"/>
        <w:spacing w:line="500" w:lineRule="exact"/>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为确保我公司承包的</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（合同名称）+（合同编号）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color w:val="auto"/>
          <w:sz w:val="24"/>
          <w:szCs w:val="24"/>
          <w:highlight w:val="none"/>
        </w:rPr>
        <w:t>项目在施工期间的施工安全，特郑重承诺如下：</w:t>
      </w:r>
    </w:p>
    <w:p>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一、认真组织施工人员、管理人员学习有关施工安全的知识，争取做到人人懂安全，事事保安全。</w:t>
      </w:r>
    </w:p>
    <w:p>
      <w:pPr>
        <w:keepNext w:val="0"/>
        <w:keepLines w:val="0"/>
        <w:pageBreakBefore w:val="0"/>
        <w:kinsoku/>
        <w:wordWrap/>
        <w:overflowPunct/>
        <w:topLinePunct w:val="0"/>
        <w:bidi w:val="0"/>
        <w:adjustRightInd w:val="0"/>
        <w:snapToGrid w:val="0"/>
        <w:spacing w:line="500" w:lineRule="exact"/>
        <w:ind w:left="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二、严格执行安全施工的有关规定和规程，文明施工，安全施工。</w:t>
      </w:r>
    </w:p>
    <w:p>
      <w:pPr>
        <w:keepNext w:val="0"/>
        <w:keepLines w:val="0"/>
        <w:pageBreakBefore w:val="0"/>
        <w:kinsoku/>
        <w:wordWrap/>
        <w:overflowPunct/>
        <w:topLinePunct w:val="0"/>
        <w:bidi w:val="0"/>
        <w:adjustRightInd w:val="0"/>
        <w:snapToGrid w:val="0"/>
        <w:spacing w:line="500" w:lineRule="exact"/>
        <w:ind w:left="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三、切实履行施工安全协议书规定的各项安全管理职责。</w:t>
      </w:r>
    </w:p>
    <w:p>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我方保证严格依据国家、相关行业有关规定和施工承包合同的要求安全施工，安全生产目标为：不发生安全事故。我方保证切实执行与贵公司签订的施工安全协议书，如发生安全生产责任事故导致人员重伤累计2人次或死亡1人的，从认定为安全事故责任之日起，我方自动放弃在你方项目中 1年的投标资格；重伤累计3人次及以上或死亡2人及以上的，从认定为安全事故责任之日起，我方自动放弃在你方项目中3年的投标资格。</w:t>
      </w:r>
    </w:p>
    <w:p>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tabs>
          <w:tab w:val="left" w:pos="2352"/>
        </w:tabs>
        <w:kinsoku/>
        <w:wordWrap/>
        <w:overflowPunct/>
        <w:topLinePunct w:val="0"/>
        <w:bidi w:val="0"/>
        <w:adjustRightInd w:val="0"/>
        <w:snapToGrid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p>
    <w:p>
      <w:pPr>
        <w:keepNext w:val="0"/>
        <w:keepLines w:val="0"/>
        <w:pageBreakBefore w:val="0"/>
        <w:tabs>
          <w:tab w:val="left" w:pos="2224"/>
          <w:tab w:val="left" w:pos="7152"/>
        </w:tabs>
        <w:kinsoku/>
        <w:wordWrap/>
        <w:overflowPunct/>
        <w:topLinePunct w:val="0"/>
        <w:bidi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p>
    <w:p>
      <w:pPr>
        <w:keepNext w:val="0"/>
        <w:keepLines w:val="0"/>
        <w:pageBreakBefore w:val="0"/>
        <w:kinsoku/>
        <w:wordWrap/>
        <w:overflowPunct/>
        <w:topLinePunct w:val="0"/>
        <w:bidi w:val="0"/>
        <w:spacing w:line="500" w:lineRule="exact"/>
        <w:ind w:left="38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施工单位：（盖章）</w:t>
      </w:r>
    </w:p>
    <w:p>
      <w:pPr>
        <w:keepNext w:val="0"/>
        <w:keepLines w:val="0"/>
        <w:pageBreakBefore w:val="0"/>
        <w:kinsoku/>
        <w:wordWrap/>
        <w:overflowPunct/>
        <w:topLinePunct w:val="0"/>
        <w:bidi w:val="0"/>
        <w:spacing w:line="500" w:lineRule="exact"/>
        <w:ind w:left="3840"/>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spacing w:line="500" w:lineRule="exact"/>
        <w:ind w:firstLine="4440" w:firstLineChars="18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keepNext w:val="0"/>
        <w:keepLines w:val="0"/>
        <w:pageBreakBefore w:val="0"/>
        <w:kinsoku/>
        <w:wordWrap/>
        <w:overflowPunct/>
        <w:topLinePunct w:val="0"/>
        <w:bidi w:val="0"/>
        <w:adjustRightInd w:val="0"/>
        <w:snapToGrid w:val="0"/>
        <w:spacing w:line="500" w:lineRule="exact"/>
        <w:textAlignment w:val="auto"/>
        <w:rPr>
          <w:rFonts w:hint="eastAsia" w:ascii="宋体" w:hAnsi="宋体" w:eastAsia="宋体" w:cs="宋体"/>
          <w:color w:val="auto"/>
          <w:sz w:val="24"/>
          <w:szCs w:val="22"/>
          <w:highlight w:val="none"/>
        </w:rPr>
      </w:pPr>
    </w:p>
    <w:p>
      <w:pPr>
        <w:keepNext w:val="0"/>
        <w:keepLines w:val="0"/>
        <w:pageBreakBefore w:val="0"/>
        <w:kinsoku/>
        <w:wordWrap/>
        <w:overflowPunct/>
        <w:topLinePunct w:val="0"/>
        <w:bidi w:val="0"/>
        <w:adjustRightInd w:val="0"/>
        <w:snapToGrid w:val="0"/>
        <w:spacing w:line="500" w:lineRule="exact"/>
        <w:textAlignment w:val="auto"/>
        <w:rPr>
          <w:rFonts w:hint="eastAsia" w:ascii="宋体" w:hAnsi="宋体" w:eastAsia="宋体" w:cs="宋体"/>
          <w:color w:val="auto"/>
          <w:sz w:val="24"/>
          <w:szCs w:val="22"/>
          <w:highlight w:val="none"/>
        </w:rPr>
      </w:pPr>
    </w:p>
    <w:p>
      <w:pPr>
        <w:keepNext w:val="0"/>
        <w:keepLines w:val="0"/>
        <w:pageBreakBefore w:val="0"/>
        <w:kinsoku/>
        <w:wordWrap/>
        <w:overflowPunct/>
        <w:topLinePunct w:val="0"/>
        <w:bidi w:val="0"/>
        <w:adjustRightInd w:val="0"/>
        <w:snapToGrid w:val="0"/>
        <w:spacing w:line="500" w:lineRule="exact"/>
        <w:textAlignment w:val="auto"/>
        <w:rPr>
          <w:rFonts w:hint="eastAsia" w:ascii="宋体" w:hAnsi="宋体" w:eastAsia="宋体" w:cs="宋体"/>
          <w:color w:val="auto"/>
          <w:sz w:val="24"/>
          <w:szCs w:val="22"/>
          <w:highlight w:val="none"/>
        </w:rPr>
      </w:pPr>
    </w:p>
    <w:p>
      <w:pPr>
        <w:spacing w:line="360" w:lineRule="auto"/>
        <w:rPr>
          <w:rFonts w:ascii="宋体" w:hAnsi="宋体" w:cs="宋体"/>
          <w:b/>
          <w:bCs/>
          <w:color w:val="auto"/>
          <w:sz w:val="24"/>
          <w:szCs w:val="18"/>
          <w:highlight w:val="none"/>
        </w:rPr>
      </w:pPr>
      <w:r>
        <w:rPr>
          <w:rFonts w:hint="eastAsia" w:ascii="宋体" w:hAnsi="宋体" w:cs="宋体"/>
          <w:b/>
          <w:bCs/>
          <w:color w:val="auto"/>
          <w:sz w:val="24"/>
          <w:szCs w:val="18"/>
          <w:highlight w:val="none"/>
        </w:rPr>
        <w:t>附件6 ：项目投入人员架构表/应急抢修设备材料清单</w:t>
      </w:r>
    </w:p>
    <w:p>
      <w:pPr>
        <w:spacing w:line="360" w:lineRule="auto"/>
        <w:jc w:val="center"/>
        <w:outlineLvl w:val="3"/>
        <w:rPr>
          <w:rFonts w:ascii="宋体" w:hAnsi="宋体" w:cs="宋体"/>
          <w:b/>
          <w:color w:val="auto"/>
          <w:sz w:val="24"/>
          <w:szCs w:val="24"/>
          <w:highlight w:val="none"/>
        </w:rPr>
      </w:pPr>
      <w:r>
        <w:rPr>
          <w:rFonts w:hint="eastAsia" w:ascii="宋体" w:hAnsi="宋体" w:cs="宋体"/>
          <w:b/>
          <w:color w:val="auto"/>
          <w:sz w:val="24"/>
          <w:szCs w:val="24"/>
          <w:highlight w:val="none"/>
        </w:rPr>
        <w:t>拟投入工程人员配备响应表</w:t>
      </w:r>
    </w:p>
    <w:tbl>
      <w:tblPr>
        <w:tblStyle w:val="20"/>
        <w:tblW w:w="10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282"/>
        <w:gridCol w:w="1052"/>
        <w:gridCol w:w="2679"/>
        <w:gridCol w:w="2909"/>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岗位</w:t>
            </w:r>
          </w:p>
        </w:tc>
        <w:tc>
          <w:tcPr>
            <w:tcW w:w="12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性别</w:t>
            </w:r>
          </w:p>
        </w:tc>
        <w:tc>
          <w:tcPr>
            <w:tcW w:w="2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身份证号</w:t>
            </w:r>
          </w:p>
        </w:tc>
        <w:tc>
          <w:tcPr>
            <w:tcW w:w="2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执业或职业资格证明</w:t>
            </w:r>
          </w:p>
        </w:tc>
        <w:tc>
          <w:tcPr>
            <w:tcW w:w="1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仿宋_GB2312" w:cs="宋体"/>
                <w:color w:val="auto"/>
                <w:kern w:val="2"/>
                <w:sz w:val="24"/>
                <w:szCs w:val="24"/>
                <w:highlight w:val="none"/>
                <w:lang w:val="en-US" w:eastAsia="zh-CN" w:bidi="ar-SA"/>
              </w:rPr>
            </w:pPr>
            <w:r>
              <w:rPr>
                <w:rFonts w:hint="eastAsia" w:ascii="宋体" w:hAnsi="宋体" w:cs="宋体"/>
                <w:color w:val="auto"/>
                <w:sz w:val="24"/>
                <w:szCs w:val="24"/>
                <w:highlight w:val="none"/>
              </w:rPr>
              <w:t>项目负责人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总负责人</w:t>
            </w:r>
            <w:r>
              <w:rPr>
                <w:rFonts w:hint="eastAsia" w:ascii="宋体" w:hAnsi="宋体" w:cs="宋体"/>
                <w:color w:val="auto"/>
                <w:sz w:val="24"/>
                <w:szCs w:val="24"/>
                <w:highlight w:val="none"/>
                <w:lang w:eastAsia="zh-CN"/>
              </w:rPr>
              <w:t>）</w:t>
            </w:r>
          </w:p>
        </w:tc>
        <w:tc>
          <w:tcPr>
            <w:tcW w:w="12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p>
        </w:tc>
        <w:tc>
          <w:tcPr>
            <w:tcW w:w="2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p>
        </w:tc>
        <w:tc>
          <w:tcPr>
            <w:tcW w:w="2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仿宋_GB2312" w:cs="宋体"/>
                <w:color w:val="auto"/>
                <w:sz w:val="24"/>
                <w:szCs w:val="24"/>
                <w:highlight w:val="none"/>
                <w:lang w:eastAsia="zh-CN"/>
              </w:rPr>
            </w:pPr>
            <w:r>
              <w:rPr>
                <w:rFonts w:hint="eastAsia" w:ascii="宋体" w:hAnsi="宋体" w:cs="宋体"/>
                <w:color w:val="auto"/>
                <w:sz w:val="24"/>
                <w:szCs w:val="24"/>
                <w:highlight w:val="none"/>
                <w:lang w:val="en-US" w:eastAsia="zh-CN"/>
              </w:rPr>
              <w:t>各厂</w:t>
            </w:r>
            <w:r>
              <w:rPr>
                <w:rFonts w:hint="eastAsia" w:ascii="宋体" w:hAnsi="宋体" w:cs="宋体"/>
                <w:color w:val="auto"/>
                <w:sz w:val="24"/>
                <w:szCs w:val="24"/>
                <w:highlight w:val="none"/>
              </w:rPr>
              <w:t>项目负责人</w:t>
            </w:r>
          </w:p>
        </w:tc>
        <w:tc>
          <w:tcPr>
            <w:tcW w:w="12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p>
        </w:tc>
        <w:tc>
          <w:tcPr>
            <w:tcW w:w="2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p>
        </w:tc>
        <w:tc>
          <w:tcPr>
            <w:tcW w:w="2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技术负责人</w:t>
            </w:r>
          </w:p>
        </w:tc>
        <w:tc>
          <w:tcPr>
            <w:tcW w:w="12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p>
        </w:tc>
        <w:tc>
          <w:tcPr>
            <w:tcW w:w="2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p>
        </w:tc>
        <w:tc>
          <w:tcPr>
            <w:tcW w:w="2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eastAsia="宋体" w:cs="宋体"/>
                <w:color w:val="auto"/>
                <w:sz w:val="24"/>
                <w:szCs w:val="24"/>
                <w:highlight w:val="none"/>
              </w:rPr>
              <w:t>安全员</w:t>
            </w:r>
          </w:p>
        </w:tc>
        <w:tc>
          <w:tcPr>
            <w:tcW w:w="12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p>
        </w:tc>
        <w:tc>
          <w:tcPr>
            <w:tcW w:w="2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p>
        </w:tc>
        <w:tc>
          <w:tcPr>
            <w:tcW w:w="2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现场</w:t>
            </w:r>
            <w:r>
              <w:rPr>
                <w:rFonts w:hint="eastAsia" w:ascii="宋体" w:hAnsi="宋体" w:eastAsia="宋体" w:cs="宋体"/>
                <w:color w:val="auto"/>
                <w:sz w:val="24"/>
                <w:szCs w:val="24"/>
                <w:highlight w:val="none"/>
              </w:rPr>
              <w:t>负责人</w:t>
            </w:r>
          </w:p>
        </w:tc>
        <w:tc>
          <w:tcPr>
            <w:tcW w:w="12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p>
        </w:tc>
        <w:tc>
          <w:tcPr>
            <w:tcW w:w="2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p>
        </w:tc>
        <w:tc>
          <w:tcPr>
            <w:tcW w:w="2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p>
        </w:tc>
      </w:tr>
    </w:tbl>
    <w:p>
      <w:pPr>
        <w:numPr>
          <w:ilvl w:val="0"/>
          <w:numId w:val="0"/>
        </w:numPr>
        <w:overflowPunct w:val="0"/>
        <w:autoSpaceDE/>
        <w:autoSpaceDN/>
        <w:spacing w:line="360" w:lineRule="auto"/>
        <w:jc w:val="left"/>
        <w:rPr>
          <w:rFonts w:hint="eastAsia" w:ascii="宋体" w:hAnsi="宋体" w:cs="宋体"/>
          <w:b/>
          <w:bCs/>
          <w:color w:val="auto"/>
          <w:szCs w:val="21"/>
          <w:highlight w:val="none"/>
          <w:lang w:val="en-US" w:eastAsia="zh-CN"/>
        </w:rPr>
      </w:pPr>
    </w:p>
    <w:tbl>
      <w:tblPr>
        <w:tblStyle w:val="20"/>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5"/>
        <w:gridCol w:w="4857"/>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8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岗位</w:t>
            </w:r>
          </w:p>
        </w:tc>
        <w:tc>
          <w:tcPr>
            <w:tcW w:w="4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仿宋_GB2312" w:cs="宋体"/>
                <w:color w:val="auto"/>
                <w:sz w:val="24"/>
                <w:szCs w:val="24"/>
                <w:highlight w:val="none"/>
                <w:lang w:val="en-US" w:eastAsia="zh-CN"/>
              </w:rPr>
            </w:pPr>
            <w:r>
              <w:rPr>
                <w:rFonts w:hint="eastAsia" w:ascii="宋体" w:hAnsi="宋体" w:cs="宋体"/>
                <w:color w:val="auto"/>
                <w:sz w:val="24"/>
                <w:szCs w:val="24"/>
                <w:highlight w:val="none"/>
                <w:lang w:val="en-US" w:eastAsia="zh-CN"/>
              </w:rPr>
              <w:t>人数</w:t>
            </w:r>
          </w:p>
        </w:tc>
        <w:tc>
          <w:tcPr>
            <w:tcW w:w="18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仿宋_GB2312" w:cs="宋体"/>
                <w:color w:val="auto"/>
                <w:sz w:val="24"/>
                <w:szCs w:val="24"/>
                <w:highlight w:val="none"/>
                <w:lang w:val="en-US" w:eastAsia="zh-CN"/>
              </w:rPr>
            </w:pPr>
            <w:r>
              <w:rPr>
                <w:rFonts w:hint="eastAsia" w:ascii="宋体" w:hAnsi="宋体" w:cs="宋体"/>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8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电工</w:t>
            </w:r>
          </w:p>
        </w:tc>
        <w:tc>
          <w:tcPr>
            <w:tcW w:w="4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8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焊工</w:t>
            </w:r>
          </w:p>
        </w:tc>
        <w:tc>
          <w:tcPr>
            <w:tcW w:w="4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8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普工</w:t>
            </w:r>
          </w:p>
        </w:tc>
        <w:tc>
          <w:tcPr>
            <w:tcW w:w="4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28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特种车辆驾驶员</w:t>
            </w:r>
          </w:p>
        </w:tc>
        <w:tc>
          <w:tcPr>
            <w:tcW w:w="4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28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4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p>
        </w:tc>
      </w:tr>
    </w:tbl>
    <w:p>
      <w:pPr>
        <w:pStyle w:val="2"/>
        <w:rPr>
          <w:rFonts w:hint="eastAsia"/>
          <w:color w:val="auto"/>
          <w:highlight w:val="none"/>
          <w:lang w:val="en-US" w:eastAsia="zh-CN"/>
        </w:rPr>
      </w:pPr>
    </w:p>
    <w:p>
      <w:pPr>
        <w:numPr>
          <w:ilvl w:val="0"/>
          <w:numId w:val="0"/>
        </w:numPr>
        <w:overflowPunct w:val="0"/>
        <w:autoSpaceDE/>
        <w:autoSpaceDN/>
        <w:spacing w:line="360" w:lineRule="auto"/>
        <w:jc w:val="center"/>
        <w:rPr>
          <w:rFonts w:hint="eastAsia" w:ascii="仿宋_GB2312" w:hAnsi="仿宋_GB2312" w:eastAsia="仿宋_GB2312" w:cs="仿宋_GB2312"/>
          <w:b/>
          <w:bCs/>
          <w:color w:val="auto"/>
          <w:sz w:val="28"/>
          <w:szCs w:val="28"/>
          <w:highlight w:val="none"/>
        </w:rPr>
      </w:pPr>
      <w:r>
        <w:rPr>
          <w:rFonts w:hint="eastAsia" w:ascii="宋体" w:hAnsi="宋体" w:cs="宋体"/>
          <w:b/>
          <w:bCs/>
          <w:color w:val="auto"/>
          <w:szCs w:val="21"/>
          <w:highlight w:val="none"/>
          <w:lang w:val="en-US" w:eastAsia="zh-CN"/>
        </w:rPr>
        <w:t>应急备勤人员清单</w:t>
      </w:r>
    </w:p>
    <w:tbl>
      <w:tblPr>
        <w:tblStyle w:val="21"/>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091"/>
        <w:gridCol w:w="2931"/>
        <w:gridCol w:w="1573"/>
        <w:gridCol w:w="1573"/>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95" w:type="dxa"/>
            <w:vAlign w:val="center"/>
          </w:tcPr>
          <w:p>
            <w:pPr>
              <w:jc w:val="center"/>
              <w:rPr>
                <w:rFonts w:hint="eastAsia" w:ascii="仿宋_GB2312" w:hAnsi="仿宋_GB2312" w:eastAsia="仿宋_GB2312" w:cs="仿宋_GB2312"/>
                <w:b/>
                <w:bCs/>
                <w:color w:val="auto"/>
                <w:highlight w:val="none"/>
                <w:vertAlign w:val="baseline"/>
                <w:lang w:val="en-US" w:eastAsia="zh-CN"/>
              </w:rPr>
            </w:pPr>
            <w:r>
              <w:rPr>
                <w:rFonts w:hint="eastAsia" w:ascii="仿宋_GB2312" w:hAnsi="仿宋_GB2312" w:eastAsia="仿宋_GB2312" w:cs="仿宋_GB2312"/>
                <w:b/>
                <w:bCs/>
                <w:color w:val="auto"/>
                <w:highlight w:val="none"/>
                <w:vertAlign w:val="baseline"/>
                <w:lang w:val="en-US" w:eastAsia="zh-CN"/>
              </w:rPr>
              <w:t>序号</w:t>
            </w:r>
          </w:p>
        </w:tc>
        <w:tc>
          <w:tcPr>
            <w:tcW w:w="1091" w:type="dxa"/>
            <w:vAlign w:val="center"/>
          </w:tcPr>
          <w:p>
            <w:pPr>
              <w:jc w:val="center"/>
              <w:rPr>
                <w:rFonts w:hint="eastAsia" w:ascii="仿宋_GB2312" w:hAnsi="仿宋_GB2312" w:eastAsia="仿宋_GB2312" w:cs="仿宋_GB2312"/>
                <w:b/>
                <w:bCs/>
                <w:color w:val="auto"/>
                <w:highlight w:val="none"/>
                <w:vertAlign w:val="baseline"/>
                <w:lang w:val="en-US" w:eastAsia="zh-CN"/>
              </w:rPr>
            </w:pPr>
            <w:r>
              <w:rPr>
                <w:rFonts w:hint="eastAsia" w:ascii="仿宋_GB2312" w:hAnsi="仿宋_GB2312" w:eastAsia="仿宋_GB2312" w:cs="仿宋_GB2312"/>
                <w:b/>
                <w:bCs/>
                <w:color w:val="auto"/>
                <w:highlight w:val="none"/>
                <w:vertAlign w:val="baseline"/>
                <w:lang w:val="en-US" w:eastAsia="zh-CN"/>
              </w:rPr>
              <w:t>人员姓名</w:t>
            </w:r>
          </w:p>
        </w:tc>
        <w:tc>
          <w:tcPr>
            <w:tcW w:w="2931" w:type="dxa"/>
            <w:vAlign w:val="center"/>
          </w:tcPr>
          <w:p>
            <w:pPr>
              <w:jc w:val="center"/>
              <w:rPr>
                <w:rFonts w:hint="eastAsia" w:ascii="仿宋_GB2312" w:hAnsi="仿宋_GB2312" w:eastAsia="仿宋_GB2312" w:cs="仿宋_GB2312"/>
                <w:b/>
                <w:bCs/>
                <w:color w:val="auto"/>
                <w:highlight w:val="none"/>
                <w:vertAlign w:val="baseline"/>
                <w:lang w:val="en-US" w:eastAsia="zh-CN"/>
              </w:rPr>
            </w:pPr>
            <w:r>
              <w:rPr>
                <w:rFonts w:hint="eastAsia" w:ascii="仿宋_GB2312" w:hAnsi="仿宋_GB2312" w:eastAsia="仿宋_GB2312" w:cs="仿宋_GB2312"/>
                <w:b/>
                <w:bCs/>
                <w:color w:val="auto"/>
                <w:highlight w:val="none"/>
                <w:vertAlign w:val="baseline"/>
                <w:lang w:val="en-US" w:eastAsia="zh-CN"/>
              </w:rPr>
              <w:t>身份证号码</w:t>
            </w:r>
          </w:p>
        </w:tc>
        <w:tc>
          <w:tcPr>
            <w:tcW w:w="1573" w:type="dxa"/>
            <w:vAlign w:val="center"/>
          </w:tcPr>
          <w:p>
            <w:pPr>
              <w:jc w:val="center"/>
              <w:rPr>
                <w:rFonts w:hint="eastAsia" w:ascii="仿宋_GB2312" w:hAnsi="仿宋_GB2312" w:eastAsia="仿宋_GB2312" w:cs="仿宋_GB2312"/>
                <w:b/>
                <w:bCs/>
                <w:color w:val="auto"/>
                <w:highlight w:val="none"/>
                <w:vertAlign w:val="baseline"/>
                <w:lang w:val="en-US" w:eastAsia="zh-CN"/>
              </w:rPr>
            </w:pPr>
            <w:r>
              <w:rPr>
                <w:rFonts w:hint="eastAsia" w:ascii="仿宋_GB2312" w:hAnsi="仿宋_GB2312" w:eastAsia="仿宋_GB2312" w:cs="仿宋_GB2312"/>
                <w:b/>
                <w:bCs/>
                <w:color w:val="auto"/>
                <w:highlight w:val="none"/>
                <w:vertAlign w:val="baseline"/>
                <w:lang w:val="en-US" w:eastAsia="zh-CN"/>
              </w:rPr>
              <w:t>联系方式</w:t>
            </w:r>
          </w:p>
        </w:tc>
        <w:tc>
          <w:tcPr>
            <w:tcW w:w="1573" w:type="dxa"/>
            <w:vAlign w:val="center"/>
          </w:tcPr>
          <w:p>
            <w:pPr>
              <w:jc w:val="center"/>
              <w:rPr>
                <w:rFonts w:hint="eastAsia" w:ascii="仿宋_GB2312" w:hAnsi="仿宋_GB2312" w:eastAsia="仿宋_GB2312" w:cs="仿宋_GB2312"/>
                <w:b/>
                <w:bCs/>
                <w:color w:val="auto"/>
                <w:highlight w:val="none"/>
                <w:vertAlign w:val="baseline"/>
                <w:lang w:val="en-US" w:eastAsia="zh-CN"/>
              </w:rPr>
            </w:pPr>
            <w:r>
              <w:rPr>
                <w:rFonts w:hint="eastAsia" w:ascii="仿宋_GB2312" w:hAnsi="仿宋_GB2312" w:eastAsia="仿宋_GB2312" w:cs="仿宋_GB2312"/>
                <w:b/>
                <w:bCs/>
                <w:color w:val="auto"/>
                <w:highlight w:val="none"/>
                <w:vertAlign w:val="baseline"/>
                <w:lang w:val="en-US" w:eastAsia="zh-CN"/>
              </w:rPr>
              <w:t>特种作业资格</w:t>
            </w:r>
          </w:p>
        </w:tc>
        <w:tc>
          <w:tcPr>
            <w:tcW w:w="1573" w:type="dxa"/>
            <w:vAlign w:val="center"/>
          </w:tcPr>
          <w:p>
            <w:pPr>
              <w:jc w:val="center"/>
              <w:rPr>
                <w:rFonts w:hint="eastAsia" w:ascii="仿宋_GB2312" w:hAnsi="仿宋_GB2312" w:eastAsia="仿宋_GB2312" w:cs="仿宋_GB2312"/>
                <w:b/>
                <w:bCs/>
                <w:color w:val="auto"/>
                <w:highlight w:val="none"/>
                <w:vertAlign w:val="baseline"/>
                <w:lang w:val="en-US" w:eastAsia="zh-CN"/>
              </w:rPr>
            </w:pPr>
            <w:r>
              <w:rPr>
                <w:rFonts w:hint="eastAsia" w:ascii="仿宋_GB2312" w:hAnsi="仿宋_GB2312" w:eastAsia="仿宋_GB2312" w:cs="仿宋_GB2312"/>
                <w:b/>
                <w:bCs/>
                <w:color w:val="auto"/>
                <w:highlight w:val="none"/>
                <w:vertAlign w:val="baseline"/>
                <w:lang w:val="en-US" w:eastAsia="zh-CN"/>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95" w:type="dxa"/>
            <w:vAlign w:val="center"/>
          </w:tcPr>
          <w:p>
            <w:pPr>
              <w:keepNext w:val="0"/>
              <w:keepLines w:val="0"/>
              <w:widowControl/>
              <w:suppressLineNumbers w:val="0"/>
              <w:jc w:val="center"/>
              <w:textAlignment w:val="top"/>
              <w:rPr>
                <w:rFonts w:hint="eastAsia" w:ascii="仿宋_GB2312" w:hAnsi="仿宋_GB2312" w:eastAsia="仿宋_GB2312" w:cs="仿宋_GB2312"/>
                <w:color w:val="auto"/>
                <w:highlight w:val="none"/>
                <w:vertAlign w:val="baseline"/>
                <w:lang w:val="en-US" w:eastAsia="zh-CN"/>
              </w:rPr>
            </w:pPr>
            <w:r>
              <w:rPr>
                <w:rFonts w:hint="eastAsia" w:ascii="仿宋_GB2312" w:hAnsi="仿宋_GB2312" w:eastAsia="仿宋_GB2312" w:cs="仿宋_GB2312"/>
                <w:color w:val="auto"/>
                <w:highlight w:val="none"/>
                <w:vertAlign w:val="baseline"/>
                <w:lang w:val="en-US" w:eastAsia="zh-CN"/>
              </w:rPr>
              <w:t>1</w:t>
            </w:r>
          </w:p>
        </w:tc>
        <w:tc>
          <w:tcPr>
            <w:tcW w:w="1091" w:type="dxa"/>
            <w:vAlign w:val="center"/>
          </w:tcPr>
          <w:p>
            <w:pPr>
              <w:keepNext w:val="0"/>
              <w:keepLines w:val="0"/>
              <w:widowControl/>
              <w:suppressLineNumbers w:val="0"/>
              <w:jc w:val="center"/>
              <w:textAlignment w:val="top"/>
              <w:rPr>
                <w:rFonts w:hint="eastAsia" w:ascii="仿宋_GB2312" w:hAnsi="仿宋_GB2312" w:eastAsia="仿宋_GB2312" w:cs="仿宋_GB2312"/>
                <w:color w:val="auto"/>
                <w:highlight w:val="none"/>
                <w:vertAlign w:val="baseline"/>
              </w:rPr>
            </w:pPr>
          </w:p>
        </w:tc>
        <w:tc>
          <w:tcPr>
            <w:tcW w:w="2931" w:type="dxa"/>
            <w:vAlign w:val="center"/>
          </w:tcPr>
          <w:p>
            <w:pPr>
              <w:keepNext w:val="0"/>
              <w:keepLines w:val="0"/>
              <w:widowControl/>
              <w:suppressLineNumbers w:val="0"/>
              <w:jc w:val="center"/>
              <w:textAlignment w:val="top"/>
              <w:rPr>
                <w:rFonts w:hint="eastAsia" w:ascii="仿宋_GB2312" w:hAnsi="仿宋_GB2312" w:eastAsia="仿宋_GB2312" w:cs="仿宋_GB2312"/>
                <w:color w:val="auto"/>
                <w:highlight w:val="none"/>
                <w:vertAlign w:val="baseline"/>
              </w:rPr>
            </w:pPr>
          </w:p>
        </w:tc>
        <w:tc>
          <w:tcPr>
            <w:tcW w:w="1573" w:type="dxa"/>
            <w:vAlign w:val="center"/>
          </w:tcPr>
          <w:p>
            <w:pPr>
              <w:keepNext w:val="0"/>
              <w:keepLines w:val="0"/>
              <w:widowControl/>
              <w:suppressLineNumbers w:val="0"/>
              <w:jc w:val="center"/>
              <w:textAlignment w:val="top"/>
              <w:rPr>
                <w:rFonts w:hint="eastAsia" w:ascii="仿宋_GB2312" w:hAnsi="仿宋_GB2312" w:eastAsia="仿宋_GB2312" w:cs="仿宋_GB2312"/>
                <w:color w:val="auto"/>
                <w:highlight w:val="none"/>
                <w:vertAlign w:val="baseline"/>
              </w:rPr>
            </w:pPr>
          </w:p>
        </w:tc>
        <w:tc>
          <w:tcPr>
            <w:tcW w:w="1573" w:type="dxa"/>
            <w:vAlign w:val="center"/>
          </w:tcPr>
          <w:p>
            <w:pPr>
              <w:keepNext w:val="0"/>
              <w:keepLines w:val="0"/>
              <w:widowControl/>
              <w:suppressLineNumbers w:val="0"/>
              <w:jc w:val="center"/>
              <w:textAlignment w:val="top"/>
              <w:rPr>
                <w:rFonts w:hint="eastAsia" w:ascii="仿宋_GB2312" w:hAnsi="仿宋_GB2312" w:eastAsia="仿宋_GB2312" w:cs="仿宋_GB2312"/>
                <w:color w:val="auto"/>
                <w:highlight w:val="none"/>
                <w:vertAlign w:val="baseline"/>
              </w:rPr>
            </w:pPr>
          </w:p>
        </w:tc>
        <w:tc>
          <w:tcPr>
            <w:tcW w:w="1573" w:type="dxa"/>
            <w:vAlign w:val="center"/>
          </w:tcPr>
          <w:p>
            <w:pPr>
              <w:keepNext w:val="0"/>
              <w:keepLines w:val="0"/>
              <w:widowControl/>
              <w:suppressLineNumbers w:val="0"/>
              <w:jc w:val="center"/>
              <w:textAlignment w:val="top"/>
              <w:rPr>
                <w:rFonts w:hint="eastAsia" w:ascii="仿宋_GB2312" w:hAnsi="仿宋_GB2312" w:eastAsia="仿宋_GB2312" w:cs="仿宋_GB2312"/>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95" w:type="dxa"/>
            <w:vAlign w:val="center"/>
          </w:tcPr>
          <w:p>
            <w:pPr>
              <w:keepNext w:val="0"/>
              <w:keepLines w:val="0"/>
              <w:widowControl/>
              <w:suppressLineNumbers w:val="0"/>
              <w:jc w:val="center"/>
              <w:textAlignment w:val="top"/>
              <w:rPr>
                <w:rFonts w:hint="eastAsia" w:ascii="仿宋_GB2312" w:hAnsi="仿宋_GB2312" w:eastAsia="仿宋_GB2312" w:cs="仿宋_GB2312"/>
                <w:color w:val="auto"/>
                <w:highlight w:val="none"/>
                <w:vertAlign w:val="baseline"/>
                <w:lang w:val="en-US" w:eastAsia="zh-CN"/>
              </w:rPr>
            </w:pPr>
            <w:r>
              <w:rPr>
                <w:rFonts w:hint="eastAsia" w:ascii="仿宋_GB2312" w:hAnsi="仿宋_GB2312" w:eastAsia="仿宋_GB2312" w:cs="仿宋_GB2312"/>
                <w:color w:val="auto"/>
                <w:highlight w:val="none"/>
                <w:vertAlign w:val="baseline"/>
                <w:lang w:val="en-US" w:eastAsia="zh-CN"/>
              </w:rPr>
              <w:t>2</w:t>
            </w:r>
          </w:p>
        </w:tc>
        <w:tc>
          <w:tcPr>
            <w:tcW w:w="1091" w:type="dxa"/>
            <w:vAlign w:val="center"/>
          </w:tcPr>
          <w:p>
            <w:pPr>
              <w:keepNext w:val="0"/>
              <w:keepLines w:val="0"/>
              <w:widowControl/>
              <w:suppressLineNumbers w:val="0"/>
              <w:jc w:val="center"/>
              <w:textAlignment w:val="top"/>
              <w:rPr>
                <w:rFonts w:hint="eastAsia" w:ascii="仿宋_GB2312" w:hAnsi="仿宋_GB2312" w:eastAsia="仿宋_GB2312" w:cs="仿宋_GB2312"/>
                <w:color w:val="auto"/>
                <w:highlight w:val="none"/>
                <w:vertAlign w:val="baseline"/>
              </w:rPr>
            </w:pPr>
          </w:p>
        </w:tc>
        <w:tc>
          <w:tcPr>
            <w:tcW w:w="2931" w:type="dxa"/>
            <w:vAlign w:val="center"/>
          </w:tcPr>
          <w:p>
            <w:pPr>
              <w:keepNext w:val="0"/>
              <w:keepLines w:val="0"/>
              <w:widowControl/>
              <w:suppressLineNumbers w:val="0"/>
              <w:jc w:val="center"/>
              <w:textAlignment w:val="top"/>
              <w:rPr>
                <w:rFonts w:hint="eastAsia" w:ascii="仿宋_GB2312" w:hAnsi="仿宋_GB2312" w:eastAsia="仿宋_GB2312" w:cs="仿宋_GB2312"/>
                <w:color w:val="auto"/>
                <w:highlight w:val="none"/>
                <w:vertAlign w:val="baseline"/>
              </w:rPr>
            </w:pPr>
          </w:p>
        </w:tc>
        <w:tc>
          <w:tcPr>
            <w:tcW w:w="1573" w:type="dxa"/>
            <w:vAlign w:val="center"/>
          </w:tcPr>
          <w:p>
            <w:pPr>
              <w:keepNext w:val="0"/>
              <w:keepLines w:val="0"/>
              <w:widowControl/>
              <w:suppressLineNumbers w:val="0"/>
              <w:jc w:val="center"/>
              <w:textAlignment w:val="top"/>
              <w:rPr>
                <w:rFonts w:hint="eastAsia" w:ascii="仿宋_GB2312" w:hAnsi="仿宋_GB2312" w:eastAsia="仿宋_GB2312" w:cs="仿宋_GB2312"/>
                <w:color w:val="auto"/>
                <w:highlight w:val="none"/>
                <w:vertAlign w:val="baseline"/>
              </w:rPr>
            </w:pPr>
          </w:p>
        </w:tc>
        <w:tc>
          <w:tcPr>
            <w:tcW w:w="1573" w:type="dxa"/>
            <w:vAlign w:val="center"/>
          </w:tcPr>
          <w:p>
            <w:pPr>
              <w:keepNext w:val="0"/>
              <w:keepLines w:val="0"/>
              <w:widowControl/>
              <w:suppressLineNumbers w:val="0"/>
              <w:jc w:val="center"/>
              <w:textAlignment w:val="top"/>
              <w:rPr>
                <w:rFonts w:hint="eastAsia" w:ascii="仿宋_GB2312" w:hAnsi="仿宋_GB2312" w:eastAsia="仿宋_GB2312" w:cs="仿宋_GB2312"/>
                <w:color w:val="auto"/>
                <w:highlight w:val="none"/>
                <w:vertAlign w:val="baseline"/>
              </w:rPr>
            </w:pPr>
          </w:p>
        </w:tc>
        <w:tc>
          <w:tcPr>
            <w:tcW w:w="1573" w:type="dxa"/>
            <w:vAlign w:val="center"/>
          </w:tcPr>
          <w:p>
            <w:pPr>
              <w:keepNext w:val="0"/>
              <w:keepLines w:val="0"/>
              <w:widowControl/>
              <w:suppressLineNumbers w:val="0"/>
              <w:jc w:val="center"/>
              <w:textAlignment w:val="top"/>
              <w:rPr>
                <w:rFonts w:hint="eastAsia" w:ascii="仿宋_GB2312" w:hAnsi="仿宋_GB2312" w:eastAsia="仿宋_GB2312" w:cs="仿宋_GB2312"/>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95" w:type="dxa"/>
            <w:vAlign w:val="center"/>
          </w:tcPr>
          <w:p>
            <w:pPr>
              <w:keepNext w:val="0"/>
              <w:keepLines w:val="0"/>
              <w:widowControl/>
              <w:suppressLineNumbers w:val="0"/>
              <w:jc w:val="center"/>
              <w:textAlignment w:val="top"/>
              <w:rPr>
                <w:rFonts w:hint="eastAsia" w:ascii="仿宋_GB2312" w:hAnsi="仿宋_GB2312" w:eastAsia="仿宋_GB2312" w:cs="仿宋_GB2312"/>
                <w:color w:val="auto"/>
                <w:highlight w:val="none"/>
                <w:vertAlign w:val="baseline"/>
                <w:lang w:val="en-US" w:eastAsia="zh-CN"/>
              </w:rPr>
            </w:pPr>
            <w:r>
              <w:rPr>
                <w:rFonts w:hint="eastAsia" w:ascii="仿宋_GB2312" w:hAnsi="仿宋_GB2312" w:eastAsia="仿宋_GB2312" w:cs="仿宋_GB2312"/>
                <w:color w:val="auto"/>
                <w:highlight w:val="none"/>
                <w:vertAlign w:val="baseline"/>
                <w:lang w:val="en-US" w:eastAsia="zh-CN"/>
              </w:rPr>
              <w:t>3</w:t>
            </w:r>
          </w:p>
        </w:tc>
        <w:tc>
          <w:tcPr>
            <w:tcW w:w="1091" w:type="dxa"/>
            <w:vAlign w:val="center"/>
          </w:tcPr>
          <w:p>
            <w:pPr>
              <w:keepNext w:val="0"/>
              <w:keepLines w:val="0"/>
              <w:widowControl/>
              <w:suppressLineNumbers w:val="0"/>
              <w:jc w:val="center"/>
              <w:textAlignment w:val="top"/>
              <w:rPr>
                <w:rFonts w:hint="eastAsia" w:ascii="仿宋_GB2312" w:hAnsi="仿宋_GB2312" w:eastAsia="仿宋_GB2312" w:cs="仿宋_GB2312"/>
                <w:color w:val="auto"/>
                <w:highlight w:val="none"/>
                <w:vertAlign w:val="baseline"/>
              </w:rPr>
            </w:pPr>
          </w:p>
        </w:tc>
        <w:tc>
          <w:tcPr>
            <w:tcW w:w="2931" w:type="dxa"/>
            <w:vAlign w:val="center"/>
          </w:tcPr>
          <w:p>
            <w:pPr>
              <w:keepNext w:val="0"/>
              <w:keepLines w:val="0"/>
              <w:widowControl/>
              <w:suppressLineNumbers w:val="0"/>
              <w:jc w:val="center"/>
              <w:textAlignment w:val="top"/>
              <w:rPr>
                <w:rFonts w:hint="eastAsia" w:ascii="仿宋_GB2312" w:hAnsi="仿宋_GB2312" w:eastAsia="仿宋_GB2312" w:cs="仿宋_GB2312"/>
                <w:color w:val="auto"/>
                <w:highlight w:val="none"/>
                <w:vertAlign w:val="baseline"/>
              </w:rPr>
            </w:pPr>
          </w:p>
        </w:tc>
        <w:tc>
          <w:tcPr>
            <w:tcW w:w="1573" w:type="dxa"/>
            <w:vAlign w:val="center"/>
          </w:tcPr>
          <w:p>
            <w:pPr>
              <w:keepNext w:val="0"/>
              <w:keepLines w:val="0"/>
              <w:widowControl/>
              <w:suppressLineNumbers w:val="0"/>
              <w:jc w:val="center"/>
              <w:textAlignment w:val="top"/>
              <w:rPr>
                <w:rFonts w:hint="eastAsia" w:ascii="仿宋_GB2312" w:hAnsi="仿宋_GB2312" w:eastAsia="仿宋_GB2312" w:cs="仿宋_GB2312"/>
                <w:color w:val="auto"/>
                <w:highlight w:val="none"/>
                <w:vertAlign w:val="baseline"/>
              </w:rPr>
            </w:pPr>
          </w:p>
        </w:tc>
        <w:tc>
          <w:tcPr>
            <w:tcW w:w="1573" w:type="dxa"/>
            <w:vAlign w:val="center"/>
          </w:tcPr>
          <w:p>
            <w:pPr>
              <w:keepNext w:val="0"/>
              <w:keepLines w:val="0"/>
              <w:widowControl/>
              <w:suppressLineNumbers w:val="0"/>
              <w:jc w:val="center"/>
              <w:textAlignment w:val="top"/>
              <w:rPr>
                <w:rFonts w:hint="eastAsia" w:ascii="仿宋_GB2312" w:hAnsi="仿宋_GB2312" w:eastAsia="仿宋_GB2312" w:cs="仿宋_GB2312"/>
                <w:color w:val="auto"/>
                <w:highlight w:val="none"/>
                <w:vertAlign w:val="baseline"/>
              </w:rPr>
            </w:pPr>
          </w:p>
        </w:tc>
        <w:tc>
          <w:tcPr>
            <w:tcW w:w="1573" w:type="dxa"/>
            <w:vAlign w:val="center"/>
          </w:tcPr>
          <w:p>
            <w:pPr>
              <w:keepNext w:val="0"/>
              <w:keepLines w:val="0"/>
              <w:widowControl/>
              <w:suppressLineNumbers w:val="0"/>
              <w:jc w:val="center"/>
              <w:textAlignment w:val="top"/>
              <w:rPr>
                <w:rFonts w:hint="eastAsia" w:ascii="仿宋_GB2312" w:hAnsi="仿宋_GB2312" w:eastAsia="仿宋_GB2312" w:cs="仿宋_GB2312"/>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95" w:type="dxa"/>
            <w:vAlign w:val="center"/>
          </w:tcPr>
          <w:p>
            <w:pPr>
              <w:keepNext w:val="0"/>
              <w:keepLines w:val="0"/>
              <w:widowControl/>
              <w:suppressLineNumbers w:val="0"/>
              <w:jc w:val="center"/>
              <w:textAlignment w:val="top"/>
              <w:rPr>
                <w:rFonts w:hint="eastAsia" w:ascii="仿宋_GB2312" w:hAnsi="仿宋_GB2312" w:eastAsia="仿宋_GB2312" w:cs="仿宋_GB2312"/>
                <w:color w:val="auto"/>
                <w:highlight w:val="none"/>
                <w:vertAlign w:val="baseline"/>
                <w:lang w:val="en-US" w:eastAsia="zh-CN"/>
              </w:rPr>
            </w:pPr>
            <w:r>
              <w:rPr>
                <w:rFonts w:hint="eastAsia" w:ascii="仿宋_GB2312" w:hAnsi="仿宋_GB2312" w:eastAsia="仿宋_GB2312" w:cs="仿宋_GB2312"/>
                <w:color w:val="auto"/>
                <w:highlight w:val="none"/>
                <w:vertAlign w:val="baseline"/>
                <w:lang w:val="en-US" w:eastAsia="zh-CN"/>
              </w:rPr>
              <w:t>4</w:t>
            </w:r>
          </w:p>
        </w:tc>
        <w:tc>
          <w:tcPr>
            <w:tcW w:w="1091" w:type="dxa"/>
            <w:vAlign w:val="center"/>
          </w:tcPr>
          <w:p>
            <w:pPr>
              <w:keepNext w:val="0"/>
              <w:keepLines w:val="0"/>
              <w:widowControl/>
              <w:suppressLineNumbers w:val="0"/>
              <w:jc w:val="center"/>
              <w:textAlignment w:val="top"/>
              <w:rPr>
                <w:rFonts w:hint="eastAsia" w:ascii="仿宋_GB2312" w:hAnsi="仿宋_GB2312" w:eastAsia="仿宋_GB2312" w:cs="仿宋_GB2312"/>
                <w:color w:val="auto"/>
                <w:highlight w:val="none"/>
                <w:vertAlign w:val="baseline"/>
              </w:rPr>
            </w:pPr>
          </w:p>
        </w:tc>
        <w:tc>
          <w:tcPr>
            <w:tcW w:w="2931" w:type="dxa"/>
            <w:vAlign w:val="center"/>
          </w:tcPr>
          <w:p>
            <w:pPr>
              <w:keepNext w:val="0"/>
              <w:keepLines w:val="0"/>
              <w:widowControl/>
              <w:suppressLineNumbers w:val="0"/>
              <w:jc w:val="center"/>
              <w:textAlignment w:val="top"/>
              <w:rPr>
                <w:rFonts w:hint="eastAsia" w:ascii="仿宋_GB2312" w:hAnsi="仿宋_GB2312" w:eastAsia="仿宋_GB2312" w:cs="仿宋_GB2312"/>
                <w:color w:val="auto"/>
                <w:highlight w:val="none"/>
                <w:vertAlign w:val="baseline"/>
              </w:rPr>
            </w:pPr>
          </w:p>
        </w:tc>
        <w:tc>
          <w:tcPr>
            <w:tcW w:w="1573" w:type="dxa"/>
            <w:vAlign w:val="center"/>
          </w:tcPr>
          <w:p>
            <w:pPr>
              <w:keepNext w:val="0"/>
              <w:keepLines w:val="0"/>
              <w:widowControl/>
              <w:suppressLineNumbers w:val="0"/>
              <w:jc w:val="center"/>
              <w:textAlignment w:val="top"/>
              <w:rPr>
                <w:rFonts w:hint="eastAsia" w:ascii="仿宋_GB2312" w:hAnsi="仿宋_GB2312" w:eastAsia="仿宋_GB2312" w:cs="仿宋_GB2312"/>
                <w:color w:val="auto"/>
                <w:highlight w:val="none"/>
                <w:vertAlign w:val="baseline"/>
              </w:rPr>
            </w:pPr>
          </w:p>
        </w:tc>
        <w:tc>
          <w:tcPr>
            <w:tcW w:w="1573" w:type="dxa"/>
            <w:vAlign w:val="center"/>
          </w:tcPr>
          <w:p>
            <w:pPr>
              <w:keepNext w:val="0"/>
              <w:keepLines w:val="0"/>
              <w:widowControl/>
              <w:suppressLineNumbers w:val="0"/>
              <w:jc w:val="center"/>
              <w:textAlignment w:val="top"/>
              <w:rPr>
                <w:rFonts w:hint="eastAsia" w:ascii="仿宋_GB2312" w:hAnsi="仿宋_GB2312" w:eastAsia="仿宋_GB2312" w:cs="仿宋_GB2312"/>
                <w:color w:val="auto"/>
                <w:highlight w:val="none"/>
                <w:vertAlign w:val="baseline"/>
              </w:rPr>
            </w:pPr>
          </w:p>
        </w:tc>
        <w:tc>
          <w:tcPr>
            <w:tcW w:w="1573" w:type="dxa"/>
            <w:vAlign w:val="center"/>
          </w:tcPr>
          <w:p>
            <w:pPr>
              <w:keepNext w:val="0"/>
              <w:keepLines w:val="0"/>
              <w:widowControl/>
              <w:suppressLineNumbers w:val="0"/>
              <w:jc w:val="center"/>
              <w:textAlignment w:val="top"/>
              <w:rPr>
                <w:rFonts w:hint="eastAsia" w:ascii="仿宋_GB2312" w:hAnsi="仿宋_GB2312" w:eastAsia="仿宋_GB2312" w:cs="仿宋_GB2312"/>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95" w:type="dxa"/>
            <w:vAlign w:val="center"/>
          </w:tcPr>
          <w:p>
            <w:pPr>
              <w:keepNext w:val="0"/>
              <w:keepLines w:val="0"/>
              <w:widowControl/>
              <w:suppressLineNumbers w:val="0"/>
              <w:jc w:val="center"/>
              <w:textAlignment w:val="top"/>
              <w:rPr>
                <w:rFonts w:hint="eastAsia" w:ascii="仿宋_GB2312" w:hAnsi="仿宋_GB2312" w:eastAsia="仿宋_GB2312" w:cs="仿宋_GB2312"/>
                <w:color w:val="auto"/>
                <w:highlight w:val="none"/>
                <w:vertAlign w:val="baseline"/>
                <w:lang w:val="en-US" w:eastAsia="zh-CN"/>
              </w:rPr>
            </w:pPr>
            <w:r>
              <w:rPr>
                <w:rFonts w:hint="eastAsia" w:ascii="仿宋_GB2312" w:hAnsi="仿宋_GB2312" w:eastAsia="仿宋_GB2312" w:cs="仿宋_GB2312"/>
                <w:color w:val="auto"/>
                <w:highlight w:val="none"/>
                <w:vertAlign w:val="baseline"/>
                <w:lang w:val="en-US" w:eastAsia="zh-CN"/>
              </w:rPr>
              <w:t>5</w:t>
            </w:r>
          </w:p>
        </w:tc>
        <w:tc>
          <w:tcPr>
            <w:tcW w:w="1091" w:type="dxa"/>
            <w:vAlign w:val="center"/>
          </w:tcPr>
          <w:p>
            <w:pPr>
              <w:keepNext w:val="0"/>
              <w:keepLines w:val="0"/>
              <w:widowControl/>
              <w:suppressLineNumbers w:val="0"/>
              <w:jc w:val="center"/>
              <w:textAlignment w:val="top"/>
              <w:rPr>
                <w:rFonts w:hint="eastAsia" w:ascii="仿宋_GB2312" w:hAnsi="仿宋_GB2312" w:eastAsia="仿宋_GB2312" w:cs="仿宋_GB2312"/>
                <w:color w:val="auto"/>
                <w:highlight w:val="none"/>
                <w:vertAlign w:val="baseline"/>
              </w:rPr>
            </w:pPr>
          </w:p>
        </w:tc>
        <w:tc>
          <w:tcPr>
            <w:tcW w:w="2931" w:type="dxa"/>
            <w:vAlign w:val="center"/>
          </w:tcPr>
          <w:p>
            <w:pPr>
              <w:keepNext w:val="0"/>
              <w:keepLines w:val="0"/>
              <w:widowControl/>
              <w:suppressLineNumbers w:val="0"/>
              <w:jc w:val="center"/>
              <w:textAlignment w:val="top"/>
              <w:rPr>
                <w:rFonts w:hint="eastAsia" w:ascii="仿宋_GB2312" w:hAnsi="仿宋_GB2312" w:eastAsia="仿宋_GB2312" w:cs="仿宋_GB2312"/>
                <w:color w:val="auto"/>
                <w:highlight w:val="none"/>
                <w:vertAlign w:val="baseline"/>
              </w:rPr>
            </w:pPr>
          </w:p>
        </w:tc>
        <w:tc>
          <w:tcPr>
            <w:tcW w:w="1573" w:type="dxa"/>
            <w:vAlign w:val="center"/>
          </w:tcPr>
          <w:p>
            <w:pPr>
              <w:keepNext w:val="0"/>
              <w:keepLines w:val="0"/>
              <w:widowControl/>
              <w:suppressLineNumbers w:val="0"/>
              <w:jc w:val="center"/>
              <w:textAlignment w:val="top"/>
              <w:rPr>
                <w:rFonts w:hint="eastAsia" w:ascii="仿宋_GB2312" w:hAnsi="仿宋_GB2312" w:eastAsia="仿宋_GB2312" w:cs="仿宋_GB2312"/>
                <w:color w:val="auto"/>
                <w:highlight w:val="none"/>
                <w:vertAlign w:val="baseline"/>
              </w:rPr>
            </w:pPr>
          </w:p>
        </w:tc>
        <w:tc>
          <w:tcPr>
            <w:tcW w:w="1573" w:type="dxa"/>
            <w:vAlign w:val="center"/>
          </w:tcPr>
          <w:p>
            <w:pPr>
              <w:keepNext w:val="0"/>
              <w:keepLines w:val="0"/>
              <w:widowControl/>
              <w:suppressLineNumbers w:val="0"/>
              <w:jc w:val="center"/>
              <w:textAlignment w:val="top"/>
              <w:rPr>
                <w:rFonts w:hint="eastAsia" w:ascii="仿宋_GB2312" w:hAnsi="仿宋_GB2312" w:eastAsia="仿宋_GB2312" w:cs="仿宋_GB2312"/>
                <w:color w:val="auto"/>
                <w:highlight w:val="none"/>
                <w:vertAlign w:val="baseline"/>
              </w:rPr>
            </w:pPr>
          </w:p>
        </w:tc>
        <w:tc>
          <w:tcPr>
            <w:tcW w:w="1573" w:type="dxa"/>
            <w:vAlign w:val="center"/>
          </w:tcPr>
          <w:p>
            <w:pPr>
              <w:keepNext w:val="0"/>
              <w:keepLines w:val="0"/>
              <w:widowControl/>
              <w:suppressLineNumbers w:val="0"/>
              <w:jc w:val="center"/>
              <w:textAlignment w:val="top"/>
              <w:rPr>
                <w:rFonts w:hint="eastAsia" w:ascii="仿宋_GB2312" w:hAnsi="仿宋_GB2312" w:eastAsia="仿宋_GB2312" w:cs="仿宋_GB2312"/>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95" w:type="dxa"/>
            <w:vAlign w:val="center"/>
          </w:tcPr>
          <w:p>
            <w:pPr>
              <w:keepNext w:val="0"/>
              <w:keepLines w:val="0"/>
              <w:widowControl/>
              <w:suppressLineNumbers w:val="0"/>
              <w:jc w:val="center"/>
              <w:textAlignment w:val="top"/>
              <w:rPr>
                <w:rFonts w:hint="eastAsia" w:ascii="仿宋_GB2312" w:hAnsi="仿宋_GB2312" w:eastAsia="仿宋_GB2312" w:cs="仿宋_GB2312"/>
                <w:color w:val="auto"/>
                <w:highlight w:val="none"/>
                <w:vertAlign w:val="baseline"/>
                <w:lang w:val="en-US" w:eastAsia="zh-CN"/>
              </w:rPr>
            </w:pPr>
            <w:r>
              <w:rPr>
                <w:rFonts w:hint="eastAsia" w:ascii="仿宋_GB2312" w:hAnsi="仿宋_GB2312" w:eastAsia="仿宋_GB2312" w:cs="仿宋_GB2312"/>
                <w:color w:val="auto"/>
                <w:highlight w:val="none"/>
                <w:vertAlign w:val="baseline"/>
                <w:lang w:val="en-US" w:eastAsia="zh-CN"/>
              </w:rPr>
              <w:t>6</w:t>
            </w:r>
          </w:p>
        </w:tc>
        <w:tc>
          <w:tcPr>
            <w:tcW w:w="1091" w:type="dxa"/>
            <w:vAlign w:val="center"/>
          </w:tcPr>
          <w:p>
            <w:pPr>
              <w:keepNext w:val="0"/>
              <w:keepLines w:val="0"/>
              <w:widowControl/>
              <w:suppressLineNumbers w:val="0"/>
              <w:jc w:val="center"/>
              <w:textAlignment w:val="top"/>
              <w:rPr>
                <w:rFonts w:hint="eastAsia" w:ascii="仿宋_GB2312" w:hAnsi="仿宋_GB2312" w:eastAsia="仿宋_GB2312" w:cs="仿宋_GB2312"/>
                <w:color w:val="auto"/>
                <w:highlight w:val="none"/>
                <w:vertAlign w:val="baseline"/>
              </w:rPr>
            </w:pPr>
          </w:p>
        </w:tc>
        <w:tc>
          <w:tcPr>
            <w:tcW w:w="2931" w:type="dxa"/>
            <w:vAlign w:val="center"/>
          </w:tcPr>
          <w:p>
            <w:pPr>
              <w:keepNext w:val="0"/>
              <w:keepLines w:val="0"/>
              <w:widowControl/>
              <w:suppressLineNumbers w:val="0"/>
              <w:jc w:val="center"/>
              <w:textAlignment w:val="top"/>
              <w:rPr>
                <w:rFonts w:hint="eastAsia" w:ascii="仿宋_GB2312" w:hAnsi="仿宋_GB2312" w:eastAsia="仿宋_GB2312" w:cs="仿宋_GB2312"/>
                <w:color w:val="auto"/>
                <w:highlight w:val="none"/>
                <w:vertAlign w:val="baseline"/>
              </w:rPr>
            </w:pPr>
          </w:p>
        </w:tc>
        <w:tc>
          <w:tcPr>
            <w:tcW w:w="1573" w:type="dxa"/>
            <w:vAlign w:val="center"/>
          </w:tcPr>
          <w:p>
            <w:pPr>
              <w:keepNext w:val="0"/>
              <w:keepLines w:val="0"/>
              <w:widowControl/>
              <w:suppressLineNumbers w:val="0"/>
              <w:jc w:val="center"/>
              <w:textAlignment w:val="top"/>
              <w:rPr>
                <w:rFonts w:hint="eastAsia" w:ascii="仿宋_GB2312" w:hAnsi="仿宋_GB2312" w:eastAsia="仿宋_GB2312" w:cs="仿宋_GB2312"/>
                <w:color w:val="auto"/>
                <w:highlight w:val="none"/>
                <w:vertAlign w:val="baseline"/>
              </w:rPr>
            </w:pPr>
          </w:p>
        </w:tc>
        <w:tc>
          <w:tcPr>
            <w:tcW w:w="1573" w:type="dxa"/>
            <w:vAlign w:val="center"/>
          </w:tcPr>
          <w:p>
            <w:pPr>
              <w:keepNext w:val="0"/>
              <w:keepLines w:val="0"/>
              <w:widowControl/>
              <w:suppressLineNumbers w:val="0"/>
              <w:jc w:val="center"/>
              <w:textAlignment w:val="top"/>
              <w:rPr>
                <w:rFonts w:hint="eastAsia" w:ascii="仿宋_GB2312" w:hAnsi="仿宋_GB2312" w:eastAsia="仿宋_GB2312" w:cs="仿宋_GB2312"/>
                <w:color w:val="auto"/>
                <w:highlight w:val="none"/>
                <w:vertAlign w:val="baseline"/>
              </w:rPr>
            </w:pPr>
          </w:p>
        </w:tc>
        <w:tc>
          <w:tcPr>
            <w:tcW w:w="1573" w:type="dxa"/>
            <w:vAlign w:val="center"/>
          </w:tcPr>
          <w:p>
            <w:pPr>
              <w:keepNext w:val="0"/>
              <w:keepLines w:val="0"/>
              <w:widowControl/>
              <w:suppressLineNumbers w:val="0"/>
              <w:jc w:val="center"/>
              <w:textAlignment w:val="top"/>
              <w:rPr>
                <w:rFonts w:hint="eastAsia" w:ascii="仿宋_GB2312" w:hAnsi="仿宋_GB2312" w:eastAsia="仿宋_GB2312" w:cs="仿宋_GB2312"/>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95" w:type="dxa"/>
            <w:vAlign w:val="center"/>
          </w:tcPr>
          <w:p>
            <w:pPr>
              <w:keepNext w:val="0"/>
              <w:keepLines w:val="0"/>
              <w:widowControl/>
              <w:suppressLineNumbers w:val="0"/>
              <w:jc w:val="center"/>
              <w:textAlignment w:val="top"/>
              <w:rPr>
                <w:rFonts w:hint="eastAsia" w:ascii="仿宋_GB2312" w:hAnsi="仿宋_GB2312" w:eastAsia="仿宋_GB2312" w:cs="仿宋_GB2312"/>
                <w:color w:val="auto"/>
                <w:highlight w:val="none"/>
                <w:vertAlign w:val="baseline"/>
                <w:lang w:val="en-US" w:eastAsia="zh-CN"/>
              </w:rPr>
            </w:pPr>
          </w:p>
        </w:tc>
        <w:tc>
          <w:tcPr>
            <w:tcW w:w="1091" w:type="dxa"/>
            <w:vAlign w:val="center"/>
          </w:tcPr>
          <w:p>
            <w:pPr>
              <w:keepNext w:val="0"/>
              <w:keepLines w:val="0"/>
              <w:widowControl/>
              <w:suppressLineNumbers w:val="0"/>
              <w:jc w:val="center"/>
              <w:textAlignment w:val="top"/>
              <w:rPr>
                <w:rFonts w:hint="eastAsia" w:ascii="仿宋_GB2312" w:hAnsi="仿宋_GB2312" w:eastAsia="仿宋_GB2312" w:cs="仿宋_GB2312"/>
                <w:color w:val="auto"/>
                <w:highlight w:val="none"/>
                <w:vertAlign w:val="baseline"/>
              </w:rPr>
            </w:pPr>
          </w:p>
        </w:tc>
        <w:tc>
          <w:tcPr>
            <w:tcW w:w="2931" w:type="dxa"/>
            <w:vAlign w:val="center"/>
          </w:tcPr>
          <w:p>
            <w:pPr>
              <w:keepNext w:val="0"/>
              <w:keepLines w:val="0"/>
              <w:widowControl/>
              <w:suppressLineNumbers w:val="0"/>
              <w:jc w:val="center"/>
              <w:textAlignment w:val="top"/>
              <w:rPr>
                <w:rFonts w:hint="eastAsia" w:ascii="仿宋_GB2312" w:hAnsi="仿宋_GB2312" w:eastAsia="仿宋_GB2312" w:cs="仿宋_GB2312"/>
                <w:color w:val="auto"/>
                <w:highlight w:val="none"/>
                <w:vertAlign w:val="baseline"/>
              </w:rPr>
            </w:pPr>
          </w:p>
        </w:tc>
        <w:tc>
          <w:tcPr>
            <w:tcW w:w="1573" w:type="dxa"/>
            <w:vAlign w:val="center"/>
          </w:tcPr>
          <w:p>
            <w:pPr>
              <w:keepNext w:val="0"/>
              <w:keepLines w:val="0"/>
              <w:widowControl/>
              <w:suppressLineNumbers w:val="0"/>
              <w:jc w:val="center"/>
              <w:textAlignment w:val="top"/>
              <w:rPr>
                <w:rFonts w:hint="eastAsia" w:ascii="仿宋_GB2312" w:hAnsi="仿宋_GB2312" w:eastAsia="仿宋_GB2312" w:cs="仿宋_GB2312"/>
                <w:color w:val="auto"/>
                <w:highlight w:val="none"/>
                <w:vertAlign w:val="baseline"/>
              </w:rPr>
            </w:pPr>
          </w:p>
        </w:tc>
        <w:tc>
          <w:tcPr>
            <w:tcW w:w="1573" w:type="dxa"/>
            <w:vAlign w:val="center"/>
          </w:tcPr>
          <w:p>
            <w:pPr>
              <w:keepNext w:val="0"/>
              <w:keepLines w:val="0"/>
              <w:widowControl/>
              <w:suppressLineNumbers w:val="0"/>
              <w:jc w:val="center"/>
              <w:textAlignment w:val="top"/>
              <w:rPr>
                <w:rFonts w:hint="eastAsia" w:ascii="仿宋_GB2312" w:hAnsi="仿宋_GB2312" w:eastAsia="仿宋_GB2312" w:cs="仿宋_GB2312"/>
                <w:color w:val="auto"/>
                <w:highlight w:val="none"/>
                <w:vertAlign w:val="baseline"/>
              </w:rPr>
            </w:pPr>
          </w:p>
        </w:tc>
        <w:tc>
          <w:tcPr>
            <w:tcW w:w="1573" w:type="dxa"/>
            <w:vAlign w:val="center"/>
          </w:tcPr>
          <w:p>
            <w:pPr>
              <w:keepNext w:val="0"/>
              <w:keepLines w:val="0"/>
              <w:widowControl/>
              <w:suppressLineNumbers w:val="0"/>
              <w:jc w:val="center"/>
              <w:textAlignment w:val="top"/>
              <w:rPr>
                <w:rFonts w:hint="eastAsia" w:ascii="仿宋_GB2312" w:hAnsi="仿宋_GB2312" w:eastAsia="仿宋_GB2312" w:cs="仿宋_GB2312"/>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95" w:type="dxa"/>
            <w:vAlign w:val="center"/>
          </w:tcPr>
          <w:p>
            <w:pPr>
              <w:keepNext w:val="0"/>
              <w:keepLines w:val="0"/>
              <w:widowControl/>
              <w:suppressLineNumbers w:val="0"/>
              <w:jc w:val="center"/>
              <w:textAlignment w:val="top"/>
              <w:rPr>
                <w:rFonts w:hint="eastAsia" w:ascii="仿宋_GB2312" w:hAnsi="仿宋_GB2312" w:eastAsia="仿宋_GB2312" w:cs="仿宋_GB2312"/>
                <w:color w:val="auto"/>
                <w:highlight w:val="none"/>
                <w:vertAlign w:val="baseline"/>
                <w:lang w:val="en-US" w:eastAsia="zh-CN"/>
              </w:rPr>
            </w:pPr>
          </w:p>
        </w:tc>
        <w:tc>
          <w:tcPr>
            <w:tcW w:w="1091" w:type="dxa"/>
            <w:vAlign w:val="center"/>
          </w:tcPr>
          <w:p>
            <w:pPr>
              <w:keepNext w:val="0"/>
              <w:keepLines w:val="0"/>
              <w:widowControl/>
              <w:suppressLineNumbers w:val="0"/>
              <w:jc w:val="center"/>
              <w:textAlignment w:val="top"/>
              <w:rPr>
                <w:rFonts w:hint="eastAsia" w:ascii="仿宋_GB2312" w:hAnsi="仿宋_GB2312" w:eastAsia="仿宋_GB2312" w:cs="仿宋_GB2312"/>
                <w:color w:val="auto"/>
                <w:highlight w:val="none"/>
                <w:vertAlign w:val="baseline"/>
              </w:rPr>
            </w:pPr>
          </w:p>
        </w:tc>
        <w:tc>
          <w:tcPr>
            <w:tcW w:w="2931" w:type="dxa"/>
            <w:vAlign w:val="center"/>
          </w:tcPr>
          <w:p>
            <w:pPr>
              <w:keepNext w:val="0"/>
              <w:keepLines w:val="0"/>
              <w:widowControl/>
              <w:suppressLineNumbers w:val="0"/>
              <w:jc w:val="center"/>
              <w:textAlignment w:val="top"/>
              <w:rPr>
                <w:rFonts w:hint="eastAsia" w:ascii="仿宋_GB2312" w:hAnsi="仿宋_GB2312" w:eastAsia="仿宋_GB2312" w:cs="仿宋_GB2312"/>
                <w:color w:val="auto"/>
                <w:highlight w:val="none"/>
                <w:vertAlign w:val="baseline"/>
              </w:rPr>
            </w:pPr>
          </w:p>
        </w:tc>
        <w:tc>
          <w:tcPr>
            <w:tcW w:w="1573" w:type="dxa"/>
            <w:vAlign w:val="center"/>
          </w:tcPr>
          <w:p>
            <w:pPr>
              <w:keepNext w:val="0"/>
              <w:keepLines w:val="0"/>
              <w:widowControl/>
              <w:suppressLineNumbers w:val="0"/>
              <w:jc w:val="center"/>
              <w:textAlignment w:val="top"/>
              <w:rPr>
                <w:rFonts w:hint="eastAsia" w:ascii="仿宋_GB2312" w:hAnsi="仿宋_GB2312" w:eastAsia="仿宋_GB2312" w:cs="仿宋_GB2312"/>
                <w:color w:val="auto"/>
                <w:highlight w:val="none"/>
                <w:vertAlign w:val="baseline"/>
              </w:rPr>
            </w:pPr>
          </w:p>
        </w:tc>
        <w:tc>
          <w:tcPr>
            <w:tcW w:w="1573" w:type="dxa"/>
            <w:vAlign w:val="center"/>
          </w:tcPr>
          <w:p>
            <w:pPr>
              <w:keepNext w:val="0"/>
              <w:keepLines w:val="0"/>
              <w:widowControl/>
              <w:suppressLineNumbers w:val="0"/>
              <w:jc w:val="center"/>
              <w:textAlignment w:val="top"/>
              <w:rPr>
                <w:rFonts w:hint="eastAsia" w:ascii="仿宋_GB2312" w:hAnsi="仿宋_GB2312" w:eastAsia="仿宋_GB2312" w:cs="仿宋_GB2312"/>
                <w:color w:val="auto"/>
                <w:highlight w:val="none"/>
                <w:vertAlign w:val="baseline"/>
              </w:rPr>
            </w:pPr>
          </w:p>
        </w:tc>
        <w:tc>
          <w:tcPr>
            <w:tcW w:w="1573" w:type="dxa"/>
            <w:vAlign w:val="center"/>
          </w:tcPr>
          <w:p>
            <w:pPr>
              <w:keepNext w:val="0"/>
              <w:keepLines w:val="0"/>
              <w:widowControl/>
              <w:suppressLineNumbers w:val="0"/>
              <w:jc w:val="center"/>
              <w:textAlignment w:val="top"/>
              <w:rPr>
                <w:rFonts w:hint="eastAsia" w:ascii="仿宋_GB2312" w:hAnsi="仿宋_GB2312" w:eastAsia="仿宋_GB2312" w:cs="仿宋_GB2312"/>
                <w:color w:val="auto"/>
                <w:highlight w:val="none"/>
                <w:vertAlign w:val="baseline"/>
              </w:rPr>
            </w:pPr>
          </w:p>
        </w:tc>
      </w:tr>
    </w:tbl>
    <w:p>
      <w:pPr>
        <w:pStyle w:val="19"/>
        <w:ind w:left="0" w:leftChars="0" w:firstLine="0" w:firstLineChars="0"/>
        <w:rPr>
          <w:rFonts w:hint="eastAsia" w:ascii="宋体" w:hAnsi="宋体" w:cs="宋体"/>
          <w:b/>
          <w:bCs/>
          <w:color w:val="auto"/>
          <w:szCs w:val="21"/>
          <w:highlight w:val="none"/>
        </w:rPr>
      </w:pPr>
    </w:p>
    <w:p>
      <w:pPr>
        <w:overflowPunct w:val="0"/>
        <w:spacing w:line="360" w:lineRule="auto"/>
        <w:ind w:firstLine="0" w:firstLineChars="0"/>
        <w:rPr>
          <w:rFonts w:hint="eastAsia" w:ascii="仿宋_GB2312" w:hAnsi="仿宋_GB2312" w:eastAsia="仿宋_GB2312" w:cs="仿宋_GB2312"/>
          <w:b w:val="0"/>
          <w:bCs/>
          <w:color w:val="auto"/>
          <w:sz w:val="22"/>
          <w:szCs w:val="22"/>
          <w:highlight w:val="none"/>
        </w:rPr>
      </w:pPr>
      <w:r>
        <w:rPr>
          <w:rFonts w:hint="eastAsia" w:ascii="宋体" w:hAnsi="宋体" w:cs="宋体"/>
          <w:b/>
          <w:bCs/>
          <w:color w:val="auto"/>
          <w:sz w:val="24"/>
          <w:szCs w:val="18"/>
          <w:highlight w:val="none"/>
        </w:rPr>
        <w:t>应急抢修</w:t>
      </w:r>
      <w:r>
        <w:rPr>
          <w:rFonts w:hint="eastAsia" w:ascii="宋体" w:hAnsi="宋体" w:cs="宋体"/>
          <w:b/>
          <w:bCs/>
          <w:color w:val="auto"/>
          <w:sz w:val="24"/>
          <w:szCs w:val="18"/>
          <w:highlight w:val="none"/>
          <w:lang w:val="en-US" w:eastAsia="zh-CN"/>
        </w:rPr>
        <w:t>设备材料清单</w:t>
      </w:r>
    </w:p>
    <w:tbl>
      <w:tblPr>
        <w:tblStyle w:val="20"/>
        <w:tblpPr w:leftFromText="180" w:rightFromText="180" w:vertAnchor="text" w:horzAnchor="page" w:tblpXSpec="center" w:tblpY="295"/>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2777"/>
        <w:gridCol w:w="2777"/>
        <w:gridCol w:w="1104"/>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488" w:type="pct"/>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序号</w:t>
            </w:r>
          </w:p>
        </w:tc>
        <w:tc>
          <w:tcPr>
            <w:tcW w:w="1552" w:type="pct"/>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分类</w:t>
            </w:r>
          </w:p>
        </w:tc>
        <w:tc>
          <w:tcPr>
            <w:tcW w:w="1552" w:type="pct"/>
          </w:tcPr>
          <w:p>
            <w:pPr>
              <w:overflowPunct w:val="0"/>
              <w:spacing w:line="360" w:lineRule="auto"/>
              <w:jc w:val="center"/>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设备设施、材料</w:t>
            </w:r>
          </w:p>
        </w:tc>
        <w:tc>
          <w:tcPr>
            <w:tcW w:w="617" w:type="pct"/>
          </w:tcPr>
          <w:p>
            <w:pPr>
              <w:overflowPunct w:val="0"/>
              <w:spacing w:line="360" w:lineRule="auto"/>
              <w:jc w:val="center"/>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数量</w:t>
            </w:r>
          </w:p>
        </w:tc>
        <w:tc>
          <w:tcPr>
            <w:tcW w:w="788" w:type="pct"/>
          </w:tcPr>
          <w:p>
            <w:pPr>
              <w:overflowPunct w:val="0"/>
              <w:spacing w:line="360" w:lineRule="auto"/>
              <w:jc w:val="center"/>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pct"/>
            <w:vMerge w:val="restart"/>
            <w:vAlign w:val="center"/>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w:t>
            </w:r>
          </w:p>
        </w:tc>
        <w:tc>
          <w:tcPr>
            <w:tcW w:w="1552" w:type="pct"/>
            <w:vMerge w:val="restart"/>
            <w:vAlign w:val="center"/>
          </w:tcPr>
          <w:p>
            <w:pPr>
              <w:overflowPunct w:val="0"/>
              <w:spacing w:line="360" w:lineRule="auto"/>
              <w:jc w:val="center"/>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拆除设备</w:t>
            </w:r>
          </w:p>
        </w:tc>
        <w:tc>
          <w:tcPr>
            <w:tcW w:w="1552" w:type="pct"/>
            <w:vAlign w:val="center"/>
          </w:tcPr>
          <w:p>
            <w:pPr>
              <w:overflowPunct w:val="0"/>
              <w:spacing w:line="360" w:lineRule="auto"/>
              <w:jc w:val="center"/>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叉车</w:t>
            </w:r>
          </w:p>
        </w:tc>
        <w:tc>
          <w:tcPr>
            <w:tcW w:w="617" w:type="pct"/>
          </w:tcPr>
          <w:p>
            <w:pPr>
              <w:overflowPunct w:val="0"/>
              <w:spacing w:line="360" w:lineRule="auto"/>
              <w:jc w:val="center"/>
              <w:rPr>
                <w:rFonts w:hint="default" w:ascii="仿宋_GB2312" w:hAnsi="仿宋_GB2312" w:eastAsia="仿宋_GB2312" w:cs="仿宋_GB2312"/>
                <w:color w:val="auto"/>
                <w:sz w:val="24"/>
                <w:szCs w:val="24"/>
                <w:highlight w:val="none"/>
                <w:vertAlign w:val="baseline"/>
                <w:lang w:val="en-US" w:eastAsia="zh-CN"/>
              </w:rPr>
            </w:pPr>
          </w:p>
        </w:tc>
        <w:tc>
          <w:tcPr>
            <w:tcW w:w="788" w:type="pct"/>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pct"/>
            <w:vMerge w:val="continue"/>
            <w:vAlign w:val="center"/>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p>
        </w:tc>
        <w:tc>
          <w:tcPr>
            <w:tcW w:w="1552" w:type="pct"/>
            <w:vMerge w:val="continue"/>
            <w:vAlign w:val="center"/>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p>
        </w:tc>
        <w:tc>
          <w:tcPr>
            <w:tcW w:w="1552" w:type="pct"/>
            <w:vAlign w:val="center"/>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金属切割机</w:t>
            </w:r>
          </w:p>
        </w:tc>
        <w:tc>
          <w:tcPr>
            <w:tcW w:w="617" w:type="pct"/>
          </w:tcPr>
          <w:p>
            <w:pPr>
              <w:overflowPunct w:val="0"/>
              <w:spacing w:line="360" w:lineRule="auto"/>
              <w:jc w:val="center"/>
              <w:rPr>
                <w:rFonts w:hint="default" w:ascii="仿宋_GB2312" w:hAnsi="仿宋_GB2312" w:eastAsia="仿宋_GB2312" w:cs="仿宋_GB2312"/>
                <w:color w:val="auto"/>
                <w:sz w:val="24"/>
                <w:szCs w:val="24"/>
                <w:highlight w:val="none"/>
                <w:vertAlign w:val="baseline"/>
                <w:lang w:val="en-US" w:eastAsia="zh-CN"/>
              </w:rPr>
            </w:pPr>
          </w:p>
        </w:tc>
        <w:tc>
          <w:tcPr>
            <w:tcW w:w="788" w:type="pct"/>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pct"/>
            <w:vMerge w:val="continue"/>
            <w:vAlign w:val="center"/>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p>
        </w:tc>
        <w:tc>
          <w:tcPr>
            <w:tcW w:w="1552" w:type="pct"/>
            <w:vMerge w:val="continue"/>
            <w:vAlign w:val="center"/>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p>
        </w:tc>
        <w:tc>
          <w:tcPr>
            <w:tcW w:w="1552" w:type="pct"/>
            <w:vAlign w:val="center"/>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电焊机</w:t>
            </w:r>
          </w:p>
        </w:tc>
        <w:tc>
          <w:tcPr>
            <w:tcW w:w="617" w:type="pct"/>
          </w:tcPr>
          <w:p>
            <w:pPr>
              <w:overflowPunct w:val="0"/>
              <w:spacing w:line="360" w:lineRule="auto"/>
              <w:jc w:val="center"/>
              <w:rPr>
                <w:rFonts w:hint="default" w:ascii="仿宋_GB2312" w:hAnsi="仿宋_GB2312" w:eastAsia="仿宋_GB2312" w:cs="仿宋_GB2312"/>
                <w:color w:val="auto"/>
                <w:sz w:val="24"/>
                <w:szCs w:val="24"/>
                <w:highlight w:val="none"/>
                <w:vertAlign w:val="baseline"/>
                <w:lang w:val="en-US" w:eastAsia="zh-CN"/>
              </w:rPr>
            </w:pPr>
          </w:p>
        </w:tc>
        <w:tc>
          <w:tcPr>
            <w:tcW w:w="788" w:type="pct"/>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pct"/>
            <w:vMerge w:val="restart"/>
            <w:vAlign w:val="center"/>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w:t>
            </w:r>
          </w:p>
        </w:tc>
        <w:tc>
          <w:tcPr>
            <w:tcW w:w="1552" w:type="pct"/>
            <w:vMerge w:val="restart"/>
            <w:vAlign w:val="center"/>
          </w:tcPr>
          <w:p>
            <w:pPr>
              <w:overflowPunct w:val="0"/>
              <w:spacing w:line="360" w:lineRule="auto"/>
              <w:jc w:val="center"/>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高空抢险设备</w:t>
            </w:r>
          </w:p>
        </w:tc>
        <w:tc>
          <w:tcPr>
            <w:tcW w:w="1552" w:type="pct"/>
            <w:vAlign w:val="center"/>
          </w:tcPr>
          <w:p>
            <w:pPr>
              <w:overflowPunct w:val="0"/>
              <w:spacing w:line="360" w:lineRule="auto"/>
              <w:jc w:val="center"/>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10t吊车</w:t>
            </w:r>
          </w:p>
        </w:tc>
        <w:tc>
          <w:tcPr>
            <w:tcW w:w="617" w:type="pct"/>
          </w:tcPr>
          <w:p>
            <w:pPr>
              <w:overflowPunct w:val="0"/>
              <w:spacing w:line="360" w:lineRule="auto"/>
              <w:jc w:val="center"/>
              <w:rPr>
                <w:rFonts w:hint="default" w:ascii="仿宋_GB2312" w:hAnsi="仿宋_GB2312" w:eastAsia="仿宋_GB2312" w:cs="仿宋_GB2312"/>
                <w:color w:val="auto"/>
                <w:sz w:val="24"/>
                <w:szCs w:val="24"/>
                <w:highlight w:val="none"/>
                <w:vertAlign w:val="baseline"/>
                <w:lang w:val="en-US" w:eastAsia="zh-CN"/>
              </w:rPr>
            </w:pPr>
          </w:p>
        </w:tc>
        <w:tc>
          <w:tcPr>
            <w:tcW w:w="788" w:type="pct"/>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pct"/>
            <w:vMerge w:val="continue"/>
            <w:vAlign w:val="center"/>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p>
        </w:tc>
        <w:tc>
          <w:tcPr>
            <w:tcW w:w="1552" w:type="pct"/>
            <w:vMerge w:val="continue"/>
            <w:vAlign w:val="center"/>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p>
        </w:tc>
        <w:tc>
          <w:tcPr>
            <w:tcW w:w="1552" w:type="pct"/>
            <w:vAlign w:val="center"/>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升降平台</w:t>
            </w:r>
          </w:p>
        </w:tc>
        <w:tc>
          <w:tcPr>
            <w:tcW w:w="617" w:type="pct"/>
          </w:tcPr>
          <w:p>
            <w:pPr>
              <w:overflowPunct w:val="0"/>
              <w:spacing w:line="360" w:lineRule="auto"/>
              <w:jc w:val="center"/>
              <w:rPr>
                <w:rFonts w:hint="default" w:ascii="仿宋_GB2312" w:hAnsi="仿宋_GB2312" w:eastAsia="仿宋_GB2312" w:cs="仿宋_GB2312"/>
                <w:color w:val="auto"/>
                <w:sz w:val="24"/>
                <w:szCs w:val="24"/>
                <w:highlight w:val="none"/>
                <w:vertAlign w:val="baseline"/>
                <w:lang w:val="en-US" w:eastAsia="zh-CN"/>
              </w:rPr>
            </w:pPr>
          </w:p>
        </w:tc>
        <w:tc>
          <w:tcPr>
            <w:tcW w:w="788" w:type="pct"/>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pct"/>
            <w:vMerge w:val="continue"/>
            <w:vAlign w:val="center"/>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p>
        </w:tc>
        <w:tc>
          <w:tcPr>
            <w:tcW w:w="1552" w:type="pct"/>
            <w:vMerge w:val="continue"/>
            <w:vAlign w:val="center"/>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p>
        </w:tc>
        <w:tc>
          <w:tcPr>
            <w:tcW w:w="1552" w:type="pct"/>
            <w:vAlign w:val="center"/>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脚手架</w:t>
            </w:r>
          </w:p>
        </w:tc>
        <w:tc>
          <w:tcPr>
            <w:tcW w:w="617" w:type="pct"/>
          </w:tcPr>
          <w:p>
            <w:pPr>
              <w:overflowPunct w:val="0"/>
              <w:spacing w:line="360" w:lineRule="auto"/>
              <w:jc w:val="center"/>
              <w:rPr>
                <w:rFonts w:hint="default" w:ascii="仿宋_GB2312" w:hAnsi="仿宋_GB2312" w:eastAsia="仿宋_GB2312" w:cs="仿宋_GB2312"/>
                <w:color w:val="auto"/>
                <w:sz w:val="24"/>
                <w:szCs w:val="24"/>
                <w:highlight w:val="none"/>
                <w:vertAlign w:val="baseline"/>
                <w:lang w:val="en-US" w:eastAsia="zh-CN"/>
              </w:rPr>
            </w:pPr>
          </w:p>
        </w:tc>
        <w:tc>
          <w:tcPr>
            <w:tcW w:w="788" w:type="pct"/>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pct"/>
            <w:vMerge w:val="restart"/>
            <w:vAlign w:val="center"/>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3</w:t>
            </w:r>
          </w:p>
        </w:tc>
        <w:tc>
          <w:tcPr>
            <w:tcW w:w="1552" w:type="pct"/>
            <w:vMerge w:val="restart"/>
            <w:vAlign w:val="center"/>
          </w:tcPr>
          <w:p>
            <w:pPr>
              <w:overflowPunct w:val="0"/>
              <w:spacing w:line="360" w:lineRule="auto"/>
              <w:jc w:val="center"/>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建筑抢险设备</w:t>
            </w:r>
          </w:p>
        </w:tc>
        <w:tc>
          <w:tcPr>
            <w:tcW w:w="1552" w:type="pct"/>
            <w:vAlign w:val="center"/>
          </w:tcPr>
          <w:p>
            <w:pPr>
              <w:overflowPunct w:val="0"/>
              <w:spacing w:line="360" w:lineRule="auto"/>
              <w:jc w:val="center"/>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挖掘机</w:t>
            </w:r>
          </w:p>
        </w:tc>
        <w:tc>
          <w:tcPr>
            <w:tcW w:w="617" w:type="pct"/>
          </w:tcPr>
          <w:p>
            <w:pPr>
              <w:overflowPunct w:val="0"/>
              <w:spacing w:line="360" w:lineRule="auto"/>
              <w:jc w:val="center"/>
              <w:rPr>
                <w:rFonts w:hint="default" w:ascii="仿宋_GB2312" w:hAnsi="仿宋_GB2312" w:eastAsia="仿宋_GB2312" w:cs="仿宋_GB2312"/>
                <w:color w:val="auto"/>
                <w:sz w:val="24"/>
                <w:szCs w:val="24"/>
                <w:highlight w:val="none"/>
                <w:vertAlign w:val="baseline"/>
                <w:lang w:val="en-US" w:eastAsia="zh-CN"/>
              </w:rPr>
            </w:pPr>
          </w:p>
        </w:tc>
        <w:tc>
          <w:tcPr>
            <w:tcW w:w="788" w:type="pct"/>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pct"/>
            <w:vMerge w:val="continue"/>
            <w:vAlign w:val="center"/>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p>
        </w:tc>
        <w:tc>
          <w:tcPr>
            <w:tcW w:w="1552" w:type="pct"/>
            <w:vMerge w:val="continue"/>
            <w:vAlign w:val="center"/>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p>
        </w:tc>
        <w:tc>
          <w:tcPr>
            <w:tcW w:w="1552" w:type="pct"/>
            <w:vAlign w:val="center"/>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工程运输车</w:t>
            </w:r>
          </w:p>
        </w:tc>
        <w:tc>
          <w:tcPr>
            <w:tcW w:w="617" w:type="pct"/>
          </w:tcPr>
          <w:p>
            <w:pPr>
              <w:overflowPunct w:val="0"/>
              <w:spacing w:line="360" w:lineRule="auto"/>
              <w:jc w:val="center"/>
              <w:rPr>
                <w:rFonts w:hint="default" w:ascii="仿宋_GB2312" w:hAnsi="仿宋_GB2312" w:eastAsia="仿宋_GB2312" w:cs="仿宋_GB2312"/>
                <w:color w:val="auto"/>
                <w:sz w:val="24"/>
                <w:szCs w:val="24"/>
                <w:highlight w:val="none"/>
                <w:vertAlign w:val="baseline"/>
                <w:lang w:val="en-US" w:eastAsia="zh-CN"/>
              </w:rPr>
            </w:pPr>
          </w:p>
        </w:tc>
        <w:tc>
          <w:tcPr>
            <w:tcW w:w="788" w:type="pct"/>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pct"/>
            <w:vAlign w:val="center"/>
          </w:tcPr>
          <w:p>
            <w:pPr>
              <w:overflowPunct w:val="0"/>
              <w:spacing w:line="360" w:lineRule="auto"/>
              <w:jc w:val="center"/>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4</w:t>
            </w:r>
          </w:p>
        </w:tc>
        <w:tc>
          <w:tcPr>
            <w:tcW w:w="1552" w:type="pct"/>
            <w:vAlign w:val="center"/>
          </w:tcPr>
          <w:p>
            <w:pPr>
              <w:overflowPunct w:val="0"/>
              <w:spacing w:line="360" w:lineRule="auto"/>
              <w:jc w:val="center"/>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抽排水设备</w:t>
            </w:r>
          </w:p>
        </w:tc>
        <w:tc>
          <w:tcPr>
            <w:tcW w:w="1552" w:type="pct"/>
            <w:vAlign w:val="center"/>
          </w:tcPr>
          <w:p>
            <w:pPr>
              <w:overflowPunct w:val="0"/>
              <w:spacing w:line="360" w:lineRule="auto"/>
              <w:jc w:val="center"/>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应急抢险泵</w:t>
            </w:r>
          </w:p>
        </w:tc>
        <w:tc>
          <w:tcPr>
            <w:tcW w:w="617" w:type="pct"/>
          </w:tcPr>
          <w:p>
            <w:pPr>
              <w:overflowPunct w:val="0"/>
              <w:spacing w:line="360" w:lineRule="auto"/>
              <w:jc w:val="center"/>
              <w:rPr>
                <w:rFonts w:hint="default" w:ascii="仿宋_GB2312" w:hAnsi="仿宋_GB2312" w:eastAsia="仿宋_GB2312" w:cs="仿宋_GB2312"/>
                <w:color w:val="auto"/>
                <w:sz w:val="24"/>
                <w:szCs w:val="24"/>
                <w:highlight w:val="none"/>
                <w:vertAlign w:val="baseline"/>
                <w:lang w:val="en-US" w:eastAsia="zh-CN"/>
              </w:rPr>
            </w:pPr>
          </w:p>
        </w:tc>
        <w:tc>
          <w:tcPr>
            <w:tcW w:w="788" w:type="pct"/>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pct"/>
            <w:vMerge w:val="restart"/>
            <w:vAlign w:val="center"/>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5</w:t>
            </w:r>
          </w:p>
        </w:tc>
        <w:tc>
          <w:tcPr>
            <w:tcW w:w="1552" w:type="pct"/>
            <w:vMerge w:val="restart"/>
            <w:vAlign w:val="center"/>
          </w:tcPr>
          <w:p>
            <w:pPr>
              <w:overflowPunct w:val="0"/>
              <w:spacing w:line="360" w:lineRule="auto"/>
              <w:jc w:val="center"/>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有限空间作业设备</w:t>
            </w:r>
          </w:p>
        </w:tc>
        <w:tc>
          <w:tcPr>
            <w:tcW w:w="1552" w:type="pct"/>
            <w:vAlign w:val="center"/>
          </w:tcPr>
          <w:p>
            <w:pPr>
              <w:overflowPunct w:val="0"/>
              <w:spacing w:line="360" w:lineRule="auto"/>
              <w:jc w:val="center"/>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照明设备</w:t>
            </w:r>
          </w:p>
        </w:tc>
        <w:tc>
          <w:tcPr>
            <w:tcW w:w="617" w:type="pct"/>
          </w:tcPr>
          <w:p>
            <w:pPr>
              <w:overflowPunct w:val="0"/>
              <w:spacing w:line="360" w:lineRule="auto"/>
              <w:jc w:val="center"/>
              <w:rPr>
                <w:rFonts w:hint="default" w:ascii="仿宋_GB2312" w:hAnsi="仿宋_GB2312" w:eastAsia="仿宋_GB2312" w:cs="仿宋_GB2312"/>
                <w:color w:val="auto"/>
                <w:sz w:val="24"/>
                <w:szCs w:val="24"/>
                <w:highlight w:val="none"/>
                <w:vertAlign w:val="baseline"/>
                <w:lang w:val="en-US" w:eastAsia="zh-CN"/>
              </w:rPr>
            </w:pPr>
          </w:p>
        </w:tc>
        <w:tc>
          <w:tcPr>
            <w:tcW w:w="788" w:type="pct"/>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pct"/>
            <w:vMerge w:val="continue"/>
            <w:vAlign w:val="center"/>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p>
        </w:tc>
        <w:tc>
          <w:tcPr>
            <w:tcW w:w="1552" w:type="pct"/>
            <w:vMerge w:val="continue"/>
            <w:vAlign w:val="center"/>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p>
        </w:tc>
        <w:tc>
          <w:tcPr>
            <w:tcW w:w="1552" w:type="pct"/>
            <w:vAlign w:val="center"/>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通风设备</w:t>
            </w:r>
          </w:p>
        </w:tc>
        <w:tc>
          <w:tcPr>
            <w:tcW w:w="617" w:type="pct"/>
          </w:tcPr>
          <w:p>
            <w:pPr>
              <w:overflowPunct w:val="0"/>
              <w:spacing w:line="360" w:lineRule="auto"/>
              <w:jc w:val="center"/>
              <w:rPr>
                <w:rFonts w:hint="default" w:ascii="仿宋_GB2312" w:hAnsi="仿宋_GB2312" w:eastAsia="仿宋_GB2312" w:cs="仿宋_GB2312"/>
                <w:color w:val="auto"/>
                <w:sz w:val="24"/>
                <w:szCs w:val="24"/>
                <w:highlight w:val="none"/>
                <w:vertAlign w:val="baseline"/>
                <w:lang w:val="en-US" w:eastAsia="zh-CN"/>
              </w:rPr>
            </w:pPr>
          </w:p>
        </w:tc>
        <w:tc>
          <w:tcPr>
            <w:tcW w:w="788" w:type="pct"/>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pct"/>
            <w:vMerge w:val="continue"/>
            <w:vAlign w:val="center"/>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p>
        </w:tc>
        <w:tc>
          <w:tcPr>
            <w:tcW w:w="1552" w:type="pct"/>
            <w:vMerge w:val="continue"/>
            <w:vAlign w:val="center"/>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p>
        </w:tc>
        <w:tc>
          <w:tcPr>
            <w:tcW w:w="1552" w:type="pct"/>
            <w:vAlign w:val="center"/>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四合一气体检测仪</w:t>
            </w:r>
          </w:p>
        </w:tc>
        <w:tc>
          <w:tcPr>
            <w:tcW w:w="617" w:type="pct"/>
          </w:tcPr>
          <w:p>
            <w:pPr>
              <w:overflowPunct w:val="0"/>
              <w:spacing w:line="360" w:lineRule="auto"/>
              <w:jc w:val="center"/>
              <w:rPr>
                <w:rFonts w:hint="default" w:ascii="仿宋_GB2312" w:hAnsi="仿宋_GB2312" w:eastAsia="仿宋_GB2312" w:cs="仿宋_GB2312"/>
                <w:color w:val="auto"/>
                <w:sz w:val="24"/>
                <w:szCs w:val="24"/>
                <w:highlight w:val="none"/>
                <w:vertAlign w:val="baseline"/>
                <w:lang w:val="en-US" w:eastAsia="zh-CN"/>
              </w:rPr>
            </w:pPr>
          </w:p>
        </w:tc>
        <w:tc>
          <w:tcPr>
            <w:tcW w:w="788" w:type="pct"/>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pct"/>
            <w:vMerge w:val="continue"/>
            <w:vAlign w:val="center"/>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p>
        </w:tc>
        <w:tc>
          <w:tcPr>
            <w:tcW w:w="1552" w:type="pct"/>
            <w:vMerge w:val="continue"/>
            <w:vAlign w:val="center"/>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p>
        </w:tc>
        <w:tc>
          <w:tcPr>
            <w:tcW w:w="1552" w:type="pct"/>
            <w:vAlign w:val="center"/>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发电机</w:t>
            </w:r>
          </w:p>
        </w:tc>
        <w:tc>
          <w:tcPr>
            <w:tcW w:w="617" w:type="pct"/>
          </w:tcPr>
          <w:p>
            <w:pPr>
              <w:overflowPunct w:val="0"/>
              <w:spacing w:line="360" w:lineRule="auto"/>
              <w:jc w:val="center"/>
              <w:rPr>
                <w:rFonts w:hint="default" w:ascii="仿宋_GB2312" w:hAnsi="仿宋_GB2312" w:eastAsia="仿宋_GB2312" w:cs="仿宋_GB2312"/>
                <w:color w:val="auto"/>
                <w:sz w:val="24"/>
                <w:szCs w:val="24"/>
                <w:highlight w:val="none"/>
                <w:vertAlign w:val="baseline"/>
                <w:lang w:val="en-US" w:eastAsia="zh-CN"/>
              </w:rPr>
            </w:pPr>
          </w:p>
        </w:tc>
        <w:tc>
          <w:tcPr>
            <w:tcW w:w="788" w:type="pct"/>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pct"/>
            <w:vMerge w:val="continue"/>
            <w:vAlign w:val="center"/>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p>
        </w:tc>
        <w:tc>
          <w:tcPr>
            <w:tcW w:w="1552" w:type="pct"/>
            <w:vMerge w:val="continue"/>
            <w:vAlign w:val="center"/>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p>
        </w:tc>
        <w:tc>
          <w:tcPr>
            <w:tcW w:w="1552" w:type="pct"/>
            <w:vAlign w:val="center"/>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对讲机</w:t>
            </w:r>
          </w:p>
        </w:tc>
        <w:tc>
          <w:tcPr>
            <w:tcW w:w="617" w:type="pct"/>
          </w:tcPr>
          <w:p>
            <w:pPr>
              <w:overflowPunct w:val="0"/>
              <w:spacing w:line="360" w:lineRule="auto"/>
              <w:jc w:val="center"/>
              <w:rPr>
                <w:rFonts w:hint="default" w:ascii="仿宋_GB2312" w:hAnsi="仿宋_GB2312" w:eastAsia="仿宋_GB2312" w:cs="仿宋_GB2312"/>
                <w:color w:val="auto"/>
                <w:sz w:val="24"/>
                <w:szCs w:val="24"/>
                <w:highlight w:val="none"/>
                <w:vertAlign w:val="baseline"/>
                <w:lang w:val="en-US" w:eastAsia="zh-CN"/>
              </w:rPr>
            </w:pPr>
          </w:p>
        </w:tc>
        <w:tc>
          <w:tcPr>
            <w:tcW w:w="788" w:type="pct"/>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pct"/>
            <w:vMerge w:val="restart"/>
            <w:vAlign w:val="center"/>
          </w:tcPr>
          <w:p>
            <w:pPr>
              <w:overflowPunct w:val="0"/>
              <w:spacing w:line="360" w:lineRule="auto"/>
              <w:jc w:val="center"/>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6</w:t>
            </w:r>
          </w:p>
        </w:tc>
        <w:tc>
          <w:tcPr>
            <w:tcW w:w="1552" w:type="pct"/>
            <w:vMerge w:val="restart"/>
            <w:vAlign w:val="center"/>
          </w:tcPr>
          <w:p>
            <w:pPr>
              <w:overflowPunct w:val="0"/>
              <w:spacing w:line="360" w:lineRule="auto"/>
              <w:jc w:val="center"/>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个人防护设备</w:t>
            </w:r>
          </w:p>
        </w:tc>
        <w:tc>
          <w:tcPr>
            <w:tcW w:w="1552" w:type="pct"/>
            <w:vAlign w:val="center"/>
          </w:tcPr>
          <w:p>
            <w:pPr>
              <w:overflowPunct w:val="0"/>
              <w:spacing w:line="360" w:lineRule="auto"/>
              <w:jc w:val="center"/>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正压式呼吸器</w:t>
            </w:r>
          </w:p>
        </w:tc>
        <w:tc>
          <w:tcPr>
            <w:tcW w:w="617" w:type="pct"/>
          </w:tcPr>
          <w:p>
            <w:pPr>
              <w:overflowPunct w:val="0"/>
              <w:spacing w:line="360" w:lineRule="auto"/>
              <w:jc w:val="center"/>
              <w:rPr>
                <w:rFonts w:hint="default" w:ascii="仿宋_GB2312" w:hAnsi="仿宋_GB2312" w:eastAsia="仿宋_GB2312" w:cs="仿宋_GB2312"/>
                <w:color w:val="auto"/>
                <w:sz w:val="24"/>
                <w:szCs w:val="24"/>
                <w:highlight w:val="none"/>
                <w:vertAlign w:val="baseline"/>
                <w:lang w:val="en-US" w:eastAsia="zh-CN"/>
              </w:rPr>
            </w:pPr>
          </w:p>
        </w:tc>
        <w:tc>
          <w:tcPr>
            <w:tcW w:w="788" w:type="pct"/>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pct"/>
            <w:vMerge w:val="continue"/>
            <w:vAlign w:val="center"/>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p>
        </w:tc>
        <w:tc>
          <w:tcPr>
            <w:tcW w:w="1552" w:type="pct"/>
            <w:vMerge w:val="continue"/>
            <w:vAlign w:val="center"/>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p>
        </w:tc>
        <w:tc>
          <w:tcPr>
            <w:tcW w:w="1552" w:type="pct"/>
            <w:vAlign w:val="center"/>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防毒面具</w:t>
            </w:r>
          </w:p>
        </w:tc>
        <w:tc>
          <w:tcPr>
            <w:tcW w:w="617" w:type="pct"/>
          </w:tcPr>
          <w:p>
            <w:pPr>
              <w:overflowPunct w:val="0"/>
              <w:spacing w:line="360" w:lineRule="auto"/>
              <w:jc w:val="center"/>
              <w:rPr>
                <w:rFonts w:hint="default" w:ascii="仿宋_GB2312" w:hAnsi="仿宋_GB2312" w:eastAsia="仿宋_GB2312" w:cs="仿宋_GB2312"/>
                <w:color w:val="auto"/>
                <w:sz w:val="24"/>
                <w:szCs w:val="24"/>
                <w:highlight w:val="none"/>
                <w:vertAlign w:val="baseline"/>
                <w:lang w:val="en-US" w:eastAsia="zh-CN"/>
              </w:rPr>
            </w:pPr>
          </w:p>
        </w:tc>
        <w:tc>
          <w:tcPr>
            <w:tcW w:w="788" w:type="pct"/>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pct"/>
            <w:vMerge w:val="continue"/>
            <w:vAlign w:val="center"/>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p>
        </w:tc>
        <w:tc>
          <w:tcPr>
            <w:tcW w:w="1552" w:type="pct"/>
            <w:vMerge w:val="continue"/>
            <w:vAlign w:val="center"/>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p>
        </w:tc>
        <w:tc>
          <w:tcPr>
            <w:tcW w:w="1552" w:type="pct"/>
            <w:vAlign w:val="center"/>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救生衣</w:t>
            </w:r>
          </w:p>
        </w:tc>
        <w:tc>
          <w:tcPr>
            <w:tcW w:w="617" w:type="pct"/>
          </w:tcPr>
          <w:p>
            <w:pPr>
              <w:overflowPunct w:val="0"/>
              <w:spacing w:line="360" w:lineRule="auto"/>
              <w:jc w:val="center"/>
              <w:rPr>
                <w:rFonts w:hint="default" w:ascii="仿宋_GB2312" w:hAnsi="仿宋_GB2312" w:eastAsia="仿宋_GB2312" w:cs="仿宋_GB2312"/>
                <w:color w:val="auto"/>
                <w:sz w:val="24"/>
                <w:szCs w:val="24"/>
                <w:highlight w:val="none"/>
                <w:vertAlign w:val="baseline"/>
                <w:lang w:val="en-US" w:eastAsia="zh-CN"/>
              </w:rPr>
            </w:pPr>
          </w:p>
        </w:tc>
        <w:tc>
          <w:tcPr>
            <w:tcW w:w="788" w:type="pct"/>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pct"/>
            <w:vMerge w:val="restart"/>
            <w:vAlign w:val="center"/>
          </w:tcPr>
          <w:p>
            <w:pPr>
              <w:overflowPunct w:val="0"/>
              <w:spacing w:line="360" w:lineRule="auto"/>
              <w:jc w:val="center"/>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7</w:t>
            </w:r>
          </w:p>
        </w:tc>
        <w:tc>
          <w:tcPr>
            <w:tcW w:w="1552" w:type="pct"/>
            <w:vMerge w:val="restart"/>
            <w:vAlign w:val="center"/>
          </w:tcPr>
          <w:p>
            <w:pPr>
              <w:overflowPunct w:val="0"/>
              <w:spacing w:line="360" w:lineRule="auto"/>
              <w:jc w:val="center"/>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医疗设备</w:t>
            </w:r>
          </w:p>
        </w:tc>
        <w:tc>
          <w:tcPr>
            <w:tcW w:w="1552" w:type="pct"/>
            <w:vAlign w:val="center"/>
          </w:tcPr>
          <w:p>
            <w:pPr>
              <w:overflowPunct w:val="0"/>
              <w:spacing w:line="360" w:lineRule="auto"/>
              <w:jc w:val="center"/>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担架</w:t>
            </w:r>
          </w:p>
        </w:tc>
        <w:tc>
          <w:tcPr>
            <w:tcW w:w="617" w:type="pct"/>
          </w:tcPr>
          <w:p>
            <w:pPr>
              <w:overflowPunct w:val="0"/>
              <w:spacing w:line="360" w:lineRule="auto"/>
              <w:jc w:val="center"/>
              <w:rPr>
                <w:rFonts w:hint="default" w:ascii="仿宋_GB2312" w:hAnsi="仿宋_GB2312" w:eastAsia="仿宋_GB2312" w:cs="仿宋_GB2312"/>
                <w:color w:val="auto"/>
                <w:sz w:val="24"/>
                <w:szCs w:val="24"/>
                <w:highlight w:val="none"/>
                <w:vertAlign w:val="baseline"/>
                <w:lang w:val="en-US" w:eastAsia="zh-CN"/>
              </w:rPr>
            </w:pPr>
          </w:p>
        </w:tc>
        <w:tc>
          <w:tcPr>
            <w:tcW w:w="788" w:type="pct"/>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pct"/>
            <w:vMerge w:val="continue"/>
            <w:vAlign w:val="center"/>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p>
        </w:tc>
        <w:tc>
          <w:tcPr>
            <w:tcW w:w="1552" w:type="pct"/>
            <w:vMerge w:val="continue"/>
            <w:vAlign w:val="center"/>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p>
        </w:tc>
        <w:tc>
          <w:tcPr>
            <w:tcW w:w="1552" w:type="pct"/>
            <w:vAlign w:val="center"/>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夹板</w:t>
            </w:r>
          </w:p>
        </w:tc>
        <w:tc>
          <w:tcPr>
            <w:tcW w:w="617" w:type="pct"/>
          </w:tcPr>
          <w:p>
            <w:pPr>
              <w:overflowPunct w:val="0"/>
              <w:spacing w:line="360" w:lineRule="auto"/>
              <w:jc w:val="center"/>
              <w:rPr>
                <w:rFonts w:hint="default" w:ascii="仿宋_GB2312" w:hAnsi="仿宋_GB2312" w:eastAsia="仿宋_GB2312" w:cs="仿宋_GB2312"/>
                <w:color w:val="auto"/>
                <w:sz w:val="24"/>
                <w:szCs w:val="24"/>
                <w:highlight w:val="none"/>
                <w:vertAlign w:val="baseline"/>
                <w:lang w:val="en-US" w:eastAsia="zh-CN"/>
              </w:rPr>
            </w:pPr>
          </w:p>
        </w:tc>
        <w:tc>
          <w:tcPr>
            <w:tcW w:w="788" w:type="pct"/>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pct"/>
            <w:vMerge w:val="continue"/>
            <w:vAlign w:val="center"/>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p>
        </w:tc>
        <w:tc>
          <w:tcPr>
            <w:tcW w:w="1552" w:type="pct"/>
            <w:vMerge w:val="continue"/>
            <w:vAlign w:val="center"/>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p>
        </w:tc>
        <w:tc>
          <w:tcPr>
            <w:tcW w:w="1552" w:type="pct"/>
            <w:vAlign w:val="center"/>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急救箱</w:t>
            </w:r>
          </w:p>
        </w:tc>
        <w:tc>
          <w:tcPr>
            <w:tcW w:w="617" w:type="pct"/>
          </w:tcPr>
          <w:p>
            <w:pPr>
              <w:overflowPunct w:val="0"/>
              <w:spacing w:line="360" w:lineRule="auto"/>
              <w:jc w:val="center"/>
              <w:rPr>
                <w:rFonts w:hint="default" w:ascii="仿宋_GB2312" w:hAnsi="仿宋_GB2312" w:eastAsia="仿宋_GB2312" w:cs="仿宋_GB2312"/>
                <w:color w:val="auto"/>
                <w:sz w:val="24"/>
                <w:szCs w:val="24"/>
                <w:highlight w:val="none"/>
                <w:vertAlign w:val="baseline"/>
                <w:lang w:val="en-US" w:eastAsia="zh-CN"/>
              </w:rPr>
            </w:pPr>
          </w:p>
        </w:tc>
        <w:tc>
          <w:tcPr>
            <w:tcW w:w="788" w:type="pct"/>
          </w:tcPr>
          <w:p>
            <w:pPr>
              <w:overflowPunct w:val="0"/>
              <w:spacing w:line="360" w:lineRule="auto"/>
              <w:jc w:val="center"/>
              <w:rPr>
                <w:rFonts w:hint="eastAsia" w:ascii="仿宋_GB2312" w:hAnsi="仿宋_GB2312" w:eastAsia="仿宋_GB2312" w:cs="仿宋_GB2312"/>
                <w:color w:val="auto"/>
                <w:sz w:val="24"/>
                <w:szCs w:val="24"/>
                <w:highlight w:val="none"/>
                <w:vertAlign w:val="baseline"/>
                <w:lang w:val="en-US" w:eastAsia="zh-CN"/>
              </w:rPr>
            </w:pPr>
          </w:p>
        </w:tc>
      </w:tr>
    </w:tbl>
    <w:p>
      <w:pPr>
        <w:pStyle w:val="33"/>
        <w:rPr>
          <w:rFonts w:hint="eastAsia" w:ascii="宋体" w:hAnsi="宋体" w:cs="宋体"/>
          <w:color w:val="auto"/>
          <w:szCs w:val="21"/>
          <w:highlight w:val="none"/>
        </w:rPr>
      </w:pPr>
    </w:p>
    <w:p>
      <w:pPr>
        <w:pStyle w:val="33"/>
        <w:rPr>
          <w:rFonts w:hint="eastAsia" w:ascii="宋体" w:hAnsi="宋体" w:cs="宋体"/>
          <w:color w:val="auto"/>
          <w:szCs w:val="21"/>
          <w:highlight w:val="none"/>
        </w:rPr>
      </w:pPr>
    </w:p>
    <w:p>
      <w:pPr>
        <w:pStyle w:val="33"/>
        <w:rPr>
          <w:rFonts w:hint="eastAsia" w:ascii="宋体" w:hAnsi="宋体" w:cs="宋体"/>
          <w:color w:val="auto"/>
          <w:szCs w:val="21"/>
          <w:highlight w:val="none"/>
        </w:rPr>
      </w:pPr>
    </w:p>
    <w:p>
      <w:pPr>
        <w:pStyle w:val="33"/>
        <w:rPr>
          <w:rFonts w:hint="eastAsia" w:ascii="宋体" w:hAnsi="宋体" w:cs="宋体"/>
          <w:color w:val="auto"/>
          <w:szCs w:val="21"/>
          <w:highlight w:val="none"/>
        </w:rPr>
      </w:pPr>
    </w:p>
    <w:p>
      <w:pPr>
        <w:pStyle w:val="33"/>
        <w:rPr>
          <w:rFonts w:hint="eastAsia" w:ascii="宋体" w:hAnsi="宋体" w:cs="宋体"/>
          <w:color w:val="auto"/>
          <w:szCs w:val="21"/>
          <w:highlight w:val="none"/>
        </w:rPr>
      </w:pPr>
    </w:p>
    <w:p>
      <w:pPr>
        <w:pStyle w:val="33"/>
        <w:rPr>
          <w:rFonts w:hint="eastAsia" w:ascii="宋体" w:hAnsi="宋体" w:cs="宋体"/>
          <w:color w:val="auto"/>
          <w:szCs w:val="21"/>
          <w:highlight w:val="none"/>
        </w:rPr>
      </w:pPr>
    </w:p>
    <w:p>
      <w:pPr>
        <w:pStyle w:val="33"/>
        <w:rPr>
          <w:rFonts w:hint="eastAsia" w:ascii="宋体" w:hAnsi="宋体" w:cs="宋体"/>
          <w:color w:val="auto"/>
          <w:szCs w:val="21"/>
          <w:highlight w:val="none"/>
        </w:rPr>
      </w:pPr>
    </w:p>
    <w:p>
      <w:pPr>
        <w:pStyle w:val="33"/>
        <w:rPr>
          <w:rFonts w:hint="eastAsia" w:ascii="宋体" w:hAnsi="宋体" w:cs="宋体"/>
          <w:color w:val="auto"/>
          <w:szCs w:val="21"/>
          <w:highlight w:val="none"/>
        </w:rPr>
      </w:pPr>
    </w:p>
    <w:p>
      <w:pPr>
        <w:pStyle w:val="33"/>
        <w:rPr>
          <w:rFonts w:hint="eastAsia" w:ascii="宋体" w:hAnsi="宋体" w:cs="宋体"/>
          <w:color w:val="auto"/>
          <w:szCs w:val="21"/>
          <w:highlight w:val="none"/>
        </w:rPr>
      </w:pPr>
    </w:p>
    <w:p>
      <w:pPr>
        <w:pStyle w:val="33"/>
        <w:rPr>
          <w:rFonts w:hint="eastAsia" w:ascii="宋体" w:hAnsi="宋体" w:cs="宋体"/>
          <w:color w:val="auto"/>
          <w:szCs w:val="21"/>
          <w:highlight w:val="none"/>
        </w:rPr>
      </w:pPr>
    </w:p>
    <w:p>
      <w:pPr>
        <w:pStyle w:val="33"/>
        <w:rPr>
          <w:rFonts w:hint="eastAsia" w:ascii="宋体" w:hAnsi="宋体" w:cs="宋体"/>
          <w:color w:val="auto"/>
          <w:szCs w:val="21"/>
          <w:highlight w:val="none"/>
        </w:rPr>
      </w:pPr>
    </w:p>
    <w:p>
      <w:pPr>
        <w:pStyle w:val="33"/>
        <w:rPr>
          <w:rFonts w:hint="eastAsia" w:ascii="宋体" w:hAnsi="宋体" w:cs="宋体"/>
          <w:color w:val="auto"/>
          <w:szCs w:val="21"/>
          <w:highlight w:val="none"/>
        </w:rPr>
      </w:pPr>
    </w:p>
    <w:p>
      <w:pPr>
        <w:pStyle w:val="33"/>
        <w:rPr>
          <w:rFonts w:hint="eastAsia" w:ascii="宋体" w:hAnsi="宋体" w:cs="宋体"/>
          <w:color w:val="auto"/>
          <w:szCs w:val="21"/>
          <w:highlight w:val="none"/>
        </w:rPr>
      </w:pPr>
    </w:p>
    <w:p>
      <w:pPr>
        <w:pStyle w:val="33"/>
        <w:rPr>
          <w:rFonts w:hint="eastAsia" w:ascii="宋体" w:hAnsi="宋体" w:cs="宋体"/>
          <w:color w:val="auto"/>
          <w:szCs w:val="21"/>
          <w:highlight w:val="none"/>
        </w:rPr>
      </w:pPr>
    </w:p>
    <w:p>
      <w:pPr>
        <w:pStyle w:val="33"/>
        <w:rPr>
          <w:rFonts w:hint="eastAsia" w:ascii="宋体" w:hAnsi="宋体" w:cs="宋体"/>
          <w:color w:val="auto"/>
          <w:szCs w:val="21"/>
          <w:highlight w:val="none"/>
        </w:rPr>
      </w:pPr>
    </w:p>
    <w:p>
      <w:pPr>
        <w:pStyle w:val="33"/>
        <w:rPr>
          <w:rFonts w:hint="default"/>
          <w:color w:val="auto"/>
          <w:highlight w:val="none"/>
          <w:lang w:val="en-US" w:eastAsia="zh-CN"/>
        </w:rPr>
      </w:pPr>
      <w:r>
        <w:rPr>
          <w:rFonts w:hint="eastAsia" w:ascii="宋体" w:hAnsi="宋体" w:cs="宋体"/>
          <w:color w:val="auto"/>
          <w:szCs w:val="21"/>
          <w:highlight w:val="none"/>
        </w:rPr>
        <w:t>附件</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p>
    <w:tbl>
      <w:tblPr>
        <w:tblStyle w:val="20"/>
        <w:tblpPr w:leftFromText="180" w:rightFromText="180" w:vertAnchor="text" w:horzAnchor="page" w:tblpXSpec="center" w:tblpY="527"/>
        <w:tblOverlap w:val="never"/>
        <w:tblW w:w="0" w:type="auto"/>
        <w:jc w:val="center"/>
        <w:tblLayout w:type="autofit"/>
        <w:tblCellMar>
          <w:top w:w="0" w:type="dxa"/>
          <w:left w:w="0" w:type="dxa"/>
          <w:bottom w:w="0" w:type="dxa"/>
          <w:right w:w="0" w:type="dxa"/>
        </w:tblCellMar>
      </w:tblPr>
      <w:tblGrid>
        <w:gridCol w:w="344"/>
        <w:gridCol w:w="871"/>
        <w:gridCol w:w="705"/>
        <w:gridCol w:w="2280"/>
        <w:gridCol w:w="1125"/>
        <w:gridCol w:w="1136"/>
        <w:gridCol w:w="1136"/>
        <w:gridCol w:w="1157"/>
      </w:tblGrid>
      <w:tr>
        <w:tblPrEx>
          <w:tblCellMar>
            <w:top w:w="0" w:type="dxa"/>
            <w:left w:w="0" w:type="dxa"/>
            <w:bottom w:w="0" w:type="dxa"/>
            <w:right w:w="0" w:type="dxa"/>
          </w:tblCellMar>
        </w:tblPrEx>
        <w:trPr>
          <w:trHeight w:val="300" w:hRule="atLeast"/>
          <w:jc w:val="center"/>
        </w:trPr>
        <w:tc>
          <w:tcPr>
            <w:tcW w:w="0" w:type="auto"/>
            <w:gridSpan w:val="2"/>
            <w:tcBorders>
              <w:top w:val="nil"/>
              <w:left w:val="nil"/>
              <w:bottom w:val="nil"/>
              <w:right w:val="nil"/>
            </w:tcBorders>
            <w:noWrap/>
            <w:tcMar>
              <w:top w:w="12" w:type="dxa"/>
              <w:left w:w="12" w:type="dxa"/>
              <w:right w:w="12" w:type="dxa"/>
            </w:tcMar>
            <w:vAlign w:val="center"/>
          </w:tcPr>
          <w:p>
            <w:pPr>
              <w:widowControl/>
              <w:jc w:val="left"/>
              <w:textAlignment w:val="center"/>
              <w:rPr>
                <w:rFonts w:ascii="等线" w:hAnsi="等线" w:eastAsia="等线" w:cs="等线"/>
                <w:color w:val="auto"/>
                <w:sz w:val="16"/>
                <w:szCs w:val="16"/>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ascii="等线" w:hAnsi="等线" w:eastAsia="等线" w:cs="等线"/>
                <w:color w:val="auto"/>
                <w:sz w:val="16"/>
                <w:szCs w:val="16"/>
                <w:highlight w:val="none"/>
              </w:rPr>
            </w:pPr>
          </w:p>
        </w:tc>
        <w:tc>
          <w:tcPr>
            <w:tcW w:w="0" w:type="auto"/>
            <w:tcBorders>
              <w:top w:val="nil"/>
              <w:left w:val="nil"/>
              <w:bottom w:val="nil"/>
              <w:right w:val="nil"/>
            </w:tcBorders>
            <w:noWrap/>
            <w:tcMar>
              <w:top w:w="12" w:type="dxa"/>
              <w:left w:w="12" w:type="dxa"/>
              <w:right w:w="12" w:type="dxa"/>
            </w:tcMar>
            <w:vAlign w:val="center"/>
          </w:tcPr>
          <w:p>
            <w:pPr>
              <w:rPr>
                <w:rFonts w:ascii="等线" w:hAnsi="等线" w:eastAsia="等线" w:cs="等线"/>
                <w:color w:val="auto"/>
                <w:sz w:val="16"/>
                <w:szCs w:val="16"/>
                <w:highlight w:val="none"/>
              </w:rPr>
            </w:pPr>
          </w:p>
        </w:tc>
        <w:tc>
          <w:tcPr>
            <w:tcW w:w="0" w:type="auto"/>
            <w:tcBorders>
              <w:top w:val="nil"/>
              <w:left w:val="nil"/>
              <w:bottom w:val="nil"/>
              <w:right w:val="nil"/>
            </w:tcBorders>
            <w:noWrap/>
            <w:tcMar>
              <w:top w:w="12" w:type="dxa"/>
              <w:left w:w="12" w:type="dxa"/>
              <w:right w:w="12" w:type="dxa"/>
            </w:tcMar>
            <w:vAlign w:val="center"/>
          </w:tcPr>
          <w:p>
            <w:pPr>
              <w:rPr>
                <w:rFonts w:ascii="等线" w:hAnsi="等线" w:eastAsia="等线" w:cs="等线"/>
                <w:color w:val="auto"/>
                <w:sz w:val="16"/>
                <w:szCs w:val="16"/>
                <w:highlight w:val="none"/>
              </w:rPr>
            </w:pPr>
          </w:p>
        </w:tc>
        <w:tc>
          <w:tcPr>
            <w:tcW w:w="0" w:type="auto"/>
            <w:tcBorders>
              <w:top w:val="nil"/>
              <w:left w:val="nil"/>
              <w:bottom w:val="nil"/>
              <w:right w:val="nil"/>
            </w:tcBorders>
            <w:noWrap/>
            <w:tcMar>
              <w:top w:w="12" w:type="dxa"/>
              <w:left w:w="12" w:type="dxa"/>
              <w:right w:w="12" w:type="dxa"/>
            </w:tcMar>
            <w:vAlign w:val="center"/>
          </w:tcPr>
          <w:p>
            <w:pPr>
              <w:rPr>
                <w:rFonts w:ascii="等线" w:hAnsi="等线" w:eastAsia="等线" w:cs="等线"/>
                <w:color w:val="auto"/>
                <w:sz w:val="16"/>
                <w:szCs w:val="16"/>
                <w:highlight w:val="none"/>
              </w:rPr>
            </w:pPr>
          </w:p>
        </w:tc>
        <w:tc>
          <w:tcPr>
            <w:tcW w:w="0" w:type="auto"/>
            <w:tcBorders>
              <w:top w:val="nil"/>
              <w:left w:val="nil"/>
              <w:bottom w:val="nil"/>
              <w:right w:val="nil"/>
            </w:tcBorders>
            <w:noWrap/>
            <w:tcMar>
              <w:top w:w="12" w:type="dxa"/>
              <w:left w:w="12" w:type="dxa"/>
              <w:right w:w="12" w:type="dxa"/>
            </w:tcMar>
            <w:vAlign w:val="center"/>
          </w:tcPr>
          <w:p>
            <w:pPr>
              <w:rPr>
                <w:rFonts w:ascii="等线" w:hAnsi="等线" w:eastAsia="等线" w:cs="等线"/>
                <w:color w:val="auto"/>
                <w:sz w:val="16"/>
                <w:szCs w:val="16"/>
                <w:highlight w:val="none"/>
              </w:rPr>
            </w:pPr>
          </w:p>
        </w:tc>
        <w:tc>
          <w:tcPr>
            <w:tcW w:w="0" w:type="auto"/>
            <w:tcBorders>
              <w:top w:val="nil"/>
              <w:left w:val="nil"/>
              <w:bottom w:val="nil"/>
              <w:right w:val="nil"/>
            </w:tcBorders>
            <w:noWrap/>
            <w:tcMar>
              <w:top w:w="12" w:type="dxa"/>
              <w:left w:w="12" w:type="dxa"/>
              <w:right w:w="12" w:type="dxa"/>
            </w:tcMar>
            <w:vAlign w:val="center"/>
          </w:tcPr>
          <w:p>
            <w:pPr>
              <w:jc w:val="center"/>
              <w:rPr>
                <w:rFonts w:ascii="等线" w:hAnsi="等线" w:eastAsia="等线" w:cs="等线"/>
                <w:color w:val="auto"/>
                <w:sz w:val="16"/>
                <w:szCs w:val="16"/>
                <w:highlight w:val="none"/>
              </w:rPr>
            </w:pPr>
          </w:p>
        </w:tc>
      </w:tr>
      <w:tr>
        <w:tblPrEx>
          <w:tblCellMar>
            <w:top w:w="0" w:type="dxa"/>
            <w:left w:w="0" w:type="dxa"/>
            <w:bottom w:w="0" w:type="dxa"/>
            <w:right w:w="0" w:type="dxa"/>
          </w:tblCellMar>
        </w:tblPrEx>
        <w:trPr>
          <w:trHeight w:val="320" w:hRule="atLeast"/>
          <w:jc w:val="center"/>
        </w:trPr>
        <w:tc>
          <w:tcPr>
            <w:tcW w:w="0" w:type="auto"/>
            <w:gridSpan w:val="8"/>
            <w:tcBorders>
              <w:top w:val="nil"/>
              <w:left w:val="nil"/>
              <w:bottom w:val="nil"/>
              <w:right w:val="nil"/>
            </w:tcBorders>
            <w:noWrap/>
            <w:tcMar>
              <w:top w:w="12" w:type="dxa"/>
              <w:left w:w="12" w:type="dxa"/>
              <w:right w:w="12" w:type="dxa"/>
            </w:tcMar>
            <w:vAlign w:val="center"/>
          </w:tcPr>
          <w:p>
            <w:pPr>
              <w:widowControl/>
              <w:jc w:val="center"/>
              <w:textAlignment w:val="center"/>
              <w:rPr>
                <w:rFonts w:ascii="等线" w:hAnsi="等线" w:eastAsia="等线" w:cs="等线"/>
                <w:b/>
                <w:color w:val="auto"/>
                <w:sz w:val="16"/>
                <w:szCs w:val="16"/>
                <w:highlight w:val="none"/>
              </w:rPr>
            </w:pPr>
            <w:r>
              <w:rPr>
                <w:rFonts w:hint="eastAsia" w:ascii="等线" w:hAnsi="等线" w:eastAsia="等线" w:cs="等线"/>
                <w:b/>
                <w:color w:val="auto"/>
                <w:kern w:val="0"/>
                <w:sz w:val="16"/>
                <w:szCs w:val="16"/>
                <w:highlight w:val="none"/>
                <w:lang w:bidi="ar"/>
              </w:rPr>
              <w:t>营运项目承包单位日常履约考评参照表（安全）</w:t>
            </w:r>
          </w:p>
        </w:tc>
      </w:tr>
      <w:tr>
        <w:tblPrEx>
          <w:tblCellMar>
            <w:top w:w="0" w:type="dxa"/>
            <w:left w:w="0" w:type="dxa"/>
            <w:bottom w:w="0" w:type="dxa"/>
            <w:right w:w="0" w:type="dxa"/>
          </w:tblCellMar>
        </w:tblPrEx>
        <w:trPr>
          <w:trHeight w:val="1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等线" w:hAnsi="等线" w:eastAsia="等线" w:cs="等线"/>
                <w:color w:val="auto"/>
                <w:sz w:val="16"/>
                <w:szCs w:val="16"/>
                <w:highlight w:val="none"/>
              </w:rPr>
            </w:pPr>
            <w:r>
              <w:rPr>
                <w:rFonts w:hint="eastAsia" w:ascii="等线" w:hAnsi="等线" w:eastAsia="等线" w:cs="等线"/>
                <w:color w:val="auto"/>
                <w:kern w:val="0"/>
                <w:sz w:val="16"/>
                <w:szCs w:val="16"/>
                <w:highlight w:val="none"/>
                <w:lang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等线" w:hAnsi="等线" w:eastAsia="等线" w:cs="等线"/>
                <w:color w:val="auto"/>
                <w:sz w:val="16"/>
                <w:szCs w:val="16"/>
                <w:highlight w:val="none"/>
              </w:rPr>
            </w:pPr>
            <w:r>
              <w:rPr>
                <w:rFonts w:hint="eastAsia" w:ascii="等线" w:hAnsi="等线" w:eastAsia="等线" w:cs="等线"/>
                <w:color w:val="auto"/>
                <w:kern w:val="0"/>
                <w:sz w:val="16"/>
                <w:szCs w:val="16"/>
                <w:highlight w:val="none"/>
                <w:lang w:bidi="ar"/>
              </w:rPr>
              <w:t>考评项目</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等线" w:hAnsi="等线" w:eastAsia="等线" w:cs="等线"/>
                <w:color w:val="auto"/>
                <w:sz w:val="16"/>
                <w:szCs w:val="16"/>
                <w:highlight w:val="none"/>
              </w:rPr>
            </w:pPr>
            <w:r>
              <w:rPr>
                <w:rFonts w:hint="eastAsia" w:ascii="等线" w:hAnsi="等线" w:eastAsia="等线" w:cs="等线"/>
                <w:color w:val="auto"/>
                <w:kern w:val="0"/>
                <w:sz w:val="16"/>
                <w:szCs w:val="16"/>
                <w:highlight w:val="none"/>
                <w:lang w:bidi="ar"/>
              </w:rPr>
              <w:t>考评分项</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等线" w:hAnsi="等线" w:eastAsia="等线" w:cs="等线"/>
                <w:color w:val="auto"/>
                <w:sz w:val="16"/>
                <w:szCs w:val="16"/>
                <w:highlight w:val="none"/>
              </w:rPr>
            </w:pPr>
            <w:r>
              <w:rPr>
                <w:rFonts w:hint="eastAsia" w:ascii="等线" w:hAnsi="等线" w:eastAsia="等线" w:cs="等线"/>
                <w:color w:val="auto"/>
                <w:kern w:val="0"/>
                <w:sz w:val="16"/>
                <w:szCs w:val="16"/>
                <w:highlight w:val="none"/>
                <w:lang w:bidi="ar"/>
              </w:rPr>
              <w:t>考评内容</w:t>
            </w:r>
          </w:p>
        </w:tc>
        <w:tc>
          <w:tcPr>
            <w:tcW w:w="0" w:type="auto"/>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等线" w:hAnsi="等线" w:eastAsia="等线" w:cs="等线"/>
                <w:color w:val="auto"/>
                <w:sz w:val="16"/>
                <w:szCs w:val="16"/>
                <w:highlight w:val="none"/>
              </w:rPr>
            </w:pPr>
          </w:p>
        </w:tc>
      </w:tr>
      <w:tr>
        <w:tblPrEx>
          <w:tblCellMar>
            <w:top w:w="0" w:type="dxa"/>
            <w:left w:w="0" w:type="dxa"/>
            <w:bottom w:w="0" w:type="dxa"/>
            <w:right w:w="0"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等线" w:hAnsi="等线" w:eastAsia="等线" w:cs="等线"/>
                <w:color w:val="auto"/>
                <w:sz w:val="16"/>
                <w:szCs w:val="16"/>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等线" w:hAnsi="等线" w:eastAsia="等线" w:cs="等线"/>
                <w:color w:val="auto"/>
                <w:sz w:val="16"/>
                <w:szCs w:val="16"/>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等线" w:hAnsi="等线" w:eastAsia="等线" w:cs="等线"/>
                <w:color w:val="auto"/>
                <w:sz w:val="16"/>
                <w:szCs w:val="16"/>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等线" w:hAnsi="等线" w:eastAsia="等线" w:cs="等线"/>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等线" w:hAnsi="等线" w:eastAsia="等线" w:cs="等线"/>
                <w:color w:val="auto"/>
                <w:sz w:val="16"/>
                <w:szCs w:val="16"/>
                <w:highlight w:val="none"/>
              </w:rPr>
            </w:pPr>
            <w:r>
              <w:rPr>
                <w:rFonts w:hint="eastAsia" w:ascii="等线" w:hAnsi="等线" w:eastAsia="等线" w:cs="等线"/>
                <w:color w:val="auto"/>
                <w:kern w:val="0"/>
                <w:sz w:val="16"/>
                <w:szCs w:val="16"/>
                <w:highlight w:val="none"/>
                <w:lang w:bidi="ar"/>
              </w:rPr>
              <w:t>合同金额＜5万</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等线" w:hAnsi="等线" w:eastAsia="等线" w:cs="等线"/>
                <w:color w:val="auto"/>
                <w:sz w:val="16"/>
                <w:szCs w:val="16"/>
                <w:highlight w:val="none"/>
              </w:rPr>
            </w:pPr>
            <w:r>
              <w:rPr>
                <w:rFonts w:hint="eastAsia" w:ascii="等线" w:hAnsi="等线" w:eastAsia="等线" w:cs="等线"/>
                <w:color w:val="auto"/>
                <w:kern w:val="0"/>
                <w:sz w:val="16"/>
                <w:szCs w:val="16"/>
                <w:highlight w:val="none"/>
                <w:lang w:bidi="ar"/>
              </w:rPr>
              <w:t>5万≤合同金额＜30万</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等线" w:hAnsi="等线" w:eastAsia="等线" w:cs="等线"/>
                <w:color w:val="auto"/>
                <w:sz w:val="16"/>
                <w:szCs w:val="16"/>
                <w:highlight w:val="none"/>
              </w:rPr>
            </w:pPr>
            <w:r>
              <w:rPr>
                <w:rFonts w:hint="eastAsia" w:ascii="等线" w:hAnsi="等线" w:eastAsia="等线" w:cs="等线"/>
                <w:color w:val="auto"/>
                <w:kern w:val="0"/>
                <w:sz w:val="16"/>
                <w:szCs w:val="16"/>
                <w:highlight w:val="none"/>
                <w:lang w:bidi="ar"/>
              </w:rPr>
              <w:t>30万≤合同金额＜100万</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等线" w:hAnsi="等线" w:eastAsia="等线" w:cs="等线"/>
                <w:color w:val="auto"/>
                <w:sz w:val="16"/>
                <w:szCs w:val="16"/>
                <w:highlight w:val="none"/>
              </w:rPr>
            </w:pPr>
            <w:r>
              <w:rPr>
                <w:rFonts w:hint="eastAsia" w:ascii="等线" w:hAnsi="等线" w:eastAsia="等线" w:cs="等线"/>
                <w:color w:val="auto"/>
                <w:kern w:val="0"/>
                <w:sz w:val="16"/>
                <w:szCs w:val="16"/>
                <w:highlight w:val="none"/>
                <w:lang w:bidi="ar"/>
              </w:rPr>
              <w:t>合同金额≥100万</w:t>
            </w:r>
          </w:p>
        </w:tc>
      </w:tr>
      <w:tr>
        <w:tblPrEx>
          <w:tblCellMar>
            <w:top w:w="0" w:type="dxa"/>
            <w:left w:w="0" w:type="dxa"/>
            <w:bottom w:w="0" w:type="dxa"/>
            <w:right w:w="0"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等线" w:hAnsi="等线" w:eastAsia="等线" w:cs="等线"/>
                <w:color w:val="auto"/>
                <w:sz w:val="16"/>
                <w:szCs w:val="16"/>
                <w:highlight w:val="none"/>
              </w:rPr>
            </w:pPr>
            <w:r>
              <w:rPr>
                <w:rFonts w:hint="eastAsia" w:ascii="等线" w:hAnsi="等线" w:eastAsia="等线" w:cs="等线"/>
                <w:color w:val="auto"/>
                <w:kern w:val="0"/>
                <w:sz w:val="16"/>
                <w:szCs w:val="16"/>
                <w:highlight w:val="none"/>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安全事故</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事故类型</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发生发生3人及以上重伤或发生1人及以上死亡或直接经济损失达200万元以上的安全生产事故</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按“四不放过”调查后处理</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按“四不放过”调查后处理</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按“四不放过”调查后处理</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按“四不放过”调查后处理</w:t>
            </w:r>
          </w:p>
        </w:tc>
      </w:tr>
      <w:tr>
        <w:tblPrEx>
          <w:tblCellMar>
            <w:top w:w="0" w:type="dxa"/>
            <w:left w:w="0" w:type="dxa"/>
            <w:bottom w:w="0" w:type="dxa"/>
            <w:right w:w="0" w:type="dxa"/>
          </w:tblCellMar>
        </w:tblPrEx>
        <w:trPr>
          <w:trHeight w:val="9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等线" w:hAnsi="等线" w:eastAsia="等线" w:cs="等线"/>
                <w:color w:val="auto"/>
                <w:sz w:val="16"/>
                <w:szCs w:val="16"/>
                <w:highlight w:val="none"/>
              </w:rPr>
            </w:pPr>
            <w:r>
              <w:rPr>
                <w:rFonts w:hint="eastAsia" w:ascii="等线" w:hAnsi="等线" w:eastAsia="等线" w:cs="等线"/>
                <w:color w:val="auto"/>
                <w:kern w:val="0"/>
                <w:sz w:val="16"/>
                <w:szCs w:val="16"/>
                <w:highlight w:val="none"/>
                <w:lang w:bidi="ar"/>
              </w:rPr>
              <w:t>2</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_GB2312" w:hAnsi="等线" w:eastAsia="仿宋_GB2312" w:cs="仿宋_GB2312"/>
                <w:color w:val="auto"/>
                <w:sz w:val="16"/>
                <w:szCs w:val="16"/>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_GB2312" w:hAnsi="等线" w:eastAsia="仿宋_GB2312" w:cs="仿宋_GB2312"/>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发生重伤2人安全事故的</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扣合同金额的30%～50%；</w:t>
            </w:r>
          </w:p>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或1万～2万</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扣合同金额的20%～30%；</w:t>
            </w:r>
          </w:p>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或2万～4万</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扣合同金额的10%～20%；</w:t>
            </w:r>
          </w:p>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或4万～8万</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扣合同金额的5%～10%;</w:t>
            </w:r>
          </w:p>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或8万～12万</w:t>
            </w:r>
          </w:p>
        </w:tc>
      </w:tr>
      <w:tr>
        <w:tblPrEx>
          <w:tblCellMar>
            <w:top w:w="0" w:type="dxa"/>
            <w:left w:w="0" w:type="dxa"/>
            <w:bottom w:w="0" w:type="dxa"/>
            <w:right w:w="0" w:type="dxa"/>
          </w:tblCellMar>
        </w:tblPrEx>
        <w:trPr>
          <w:trHeight w:val="8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等线" w:hAnsi="等线" w:eastAsia="等线" w:cs="等线"/>
                <w:color w:val="auto"/>
                <w:sz w:val="16"/>
                <w:szCs w:val="16"/>
                <w:highlight w:val="none"/>
              </w:rPr>
            </w:pPr>
            <w:r>
              <w:rPr>
                <w:rFonts w:hint="eastAsia" w:ascii="等线" w:hAnsi="等线" w:eastAsia="等线" w:cs="等线"/>
                <w:color w:val="auto"/>
                <w:kern w:val="0"/>
                <w:sz w:val="16"/>
                <w:szCs w:val="16"/>
                <w:highlight w:val="none"/>
                <w:lang w:bidi="ar"/>
              </w:rPr>
              <w:t>3</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_GB2312" w:hAnsi="等线" w:eastAsia="仿宋_GB2312" w:cs="仿宋_GB2312"/>
                <w:color w:val="auto"/>
                <w:sz w:val="16"/>
                <w:szCs w:val="16"/>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_GB2312" w:hAnsi="等线" w:eastAsia="仿宋_GB2312" w:cs="仿宋_GB2312"/>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发生重伤1人安全事故的</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扣合同金额的20%～30%;</w:t>
            </w:r>
          </w:p>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或5000～1万</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扣合同金额的10%～20%；</w:t>
            </w:r>
          </w:p>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或1万～2万</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扣合同金额的5%～10%；</w:t>
            </w:r>
          </w:p>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或2万～4万</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扣合同金额的3%～5%；</w:t>
            </w:r>
          </w:p>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或4万～8万</w:t>
            </w:r>
          </w:p>
        </w:tc>
      </w:tr>
      <w:tr>
        <w:tblPrEx>
          <w:tblCellMar>
            <w:top w:w="0" w:type="dxa"/>
            <w:left w:w="0" w:type="dxa"/>
            <w:bottom w:w="0" w:type="dxa"/>
            <w:right w:w="0" w:type="dxa"/>
          </w:tblCellMar>
        </w:tblPrEx>
        <w:trPr>
          <w:trHeight w:val="6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等线" w:hAnsi="等线" w:eastAsia="等线" w:cs="等线"/>
                <w:color w:val="auto"/>
                <w:sz w:val="16"/>
                <w:szCs w:val="16"/>
                <w:highlight w:val="none"/>
              </w:rPr>
            </w:pPr>
            <w:r>
              <w:rPr>
                <w:rFonts w:hint="eastAsia" w:ascii="等线" w:hAnsi="等线" w:eastAsia="等线" w:cs="等线"/>
                <w:color w:val="auto"/>
                <w:kern w:val="0"/>
                <w:sz w:val="16"/>
                <w:szCs w:val="16"/>
                <w:highlight w:val="none"/>
                <w:lang w:bidi="ar"/>
              </w:rPr>
              <w:t>4</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_GB2312" w:hAnsi="等线" w:eastAsia="仿宋_GB2312" w:cs="仿宋_GB2312"/>
                <w:color w:val="auto"/>
                <w:sz w:val="16"/>
                <w:szCs w:val="16"/>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_GB2312" w:hAnsi="等线" w:eastAsia="仿宋_GB2312" w:cs="仿宋_GB2312"/>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发生停产、影响环境、破坏公共设施、造成不良影响等事故的</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扣合同金额的10%～20%；</w:t>
            </w:r>
          </w:p>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或2000～3000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扣合同金额的5%～10%；</w:t>
            </w:r>
          </w:p>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或5000～1万</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扣合同金额的3%～5%；</w:t>
            </w:r>
          </w:p>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或1万～2万</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扣合同金额的1%～2%；</w:t>
            </w:r>
          </w:p>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或2万～4万</w:t>
            </w:r>
          </w:p>
        </w:tc>
      </w:tr>
      <w:tr>
        <w:tblPrEx>
          <w:tblCellMar>
            <w:top w:w="0" w:type="dxa"/>
            <w:left w:w="0" w:type="dxa"/>
            <w:bottom w:w="0" w:type="dxa"/>
            <w:right w:w="0" w:type="dxa"/>
          </w:tblCellMar>
        </w:tblPrEx>
        <w:trPr>
          <w:trHeight w:val="1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等线" w:hAnsi="等线" w:eastAsia="等线" w:cs="等线"/>
                <w:color w:val="auto"/>
                <w:sz w:val="16"/>
                <w:szCs w:val="16"/>
                <w:highlight w:val="none"/>
              </w:rPr>
            </w:pPr>
            <w:r>
              <w:rPr>
                <w:rFonts w:hint="eastAsia" w:ascii="等线" w:hAnsi="等线" w:eastAsia="等线" w:cs="等线"/>
                <w:color w:val="auto"/>
                <w:kern w:val="0"/>
                <w:sz w:val="16"/>
                <w:szCs w:val="16"/>
                <w:highlight w:val="none"/>
                <w:lang w:bidi="ar"/>
              </w:rPr>
              <w:t>5</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_GB2312" w:hAnsi="等线" w:eastAsia="仿宋_GB2312" w:cs="仿宋_GB2312"/>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事故处理</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1.发生事故或事件隐瞒不报的</w:t>
            </w:r>
          </w:p>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2.未在1小时内向业主单位上报事故的</w:t>
            </w:r>
          </w:p>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3.拒绝、不配合事故事件调查的或事故事件调查提供虚假信息</w:t>
            </w:r>
          </w:p>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4.未按规定和程序组织事故调查和事故处理的</w:t>
            </w:r>
          </w:p>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5.未及时处理导致事故扩大的</w:t>
            </w:r>
          </w:p>
          <w:p>
            <w:pPr>
              <w:widowControl/>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6.未落实“四不放过”的</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扣合同金额的30%～50%；</w:t>
            </w:r>
          </w:p>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或1万～2万</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扣合同金额的20%～30%；</w:t>
            </w:r>
          </w:p>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或2万～4万</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扣合同金额的10%～20%；</w:t>
            </w:r>
          </w:p>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或4万～8万</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扣合同金额的5%～10%;</w:t>
            </w:r>
          </w:p>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或8万～12万</w:t>
            </w:r>
          </w:p>
        </w:tc>
      </w:tr>
      <w:tr>
        <w:tblPrEx>
          <w:tblCellMar>
            <w:top w:w="0" w:type="dxa"/>
            <w:left w:w="0" w:type="dxa"/>
            <w:bottom w:w="0" w:type="dxa"/>
            <w:right w:w="0" w:type="dxa"/>
          </w:tblCellMar>
        </w:tblPrEx>
        <w:trPr>
          <w:trHeight w:val="138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等线" w:hAnsi="等线" w:eastAsia="等线" w:cs="等线"/>
                <w:color w:val="auto"/>
                <w:sz w:val="16"/>
                <w:szCs w:val="16"/>
                <w:highlight w:val="none"/>
              </w:rPr>
            </w:pPr>
            <w:r>
              <w:rPr>
                <w:rFonts w:hint="eastAsia" w:ascii="等线" w:hAnsi="等线" w:eastAsia="等线" w:cs="等线"/>
                <w:color w:val="auto"/>
                <w:kern w:val="0"/>
                <w:sz w:val="16"/>
                <w:szCs w:val="16"/>
                <w:highlight w:val="none"/>
                <w:lang w:bidi="ar"/>
              </w:rPr>
              <w:t>6</w:t>
            </w:r>
          </w:p>
        </w:tc>
        <w:tc>
          <w:tcPr>
            <w:tcW w:w="0" w:type="auto"/>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首次备案施工单位须提供的资料</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一般资料</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1.施工人员签名的安全交底表（交底内容由分公司编写），被交底人员应与人员花名册一致</w:t>
            </w:r>
          </w:p>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2.施工单位对施工人员的三级安全教育材料</w:t>
            </w:r>
          </w:p>
          <w:p>
            <w:pPr>
              <w:widowControl/>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3.特殊时期需要增加的资料（如新冠疫情期间，需要增加的人员健康码和行程码资料）</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缺资料扣合同金额的5%或500；</w:t>
            </w:r>
          </w:p>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资料有问题扣合同金额的3%或300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缺资料扣合同金额的2%或2000；</w:t>
            </w:r>
          </w:p>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资料有问题扣合同金额的1%或1000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缺资料扣合同金额的1%或4500；</w:t>
            </w:r>
          </w:p>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资料有问题扣合同金额的0.4%或2000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缺资料扣合同金额的0.4%或8000；</w:t>
            </w:r>
          </w:p>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资料有问题扣合同金额的0.2%或4000</w:t>
            </w:r>
          </w:p>
        </w:tc>
      </w:tr>
      <w:tr>
        <w:tblPrEx>
          <w:tblCellMar>
            <w:top w:w="0" w:type="dxa"/>
            <w:left w:w="0" w:type="dxa"/>
            <w:bottom w:w="0" w:type="dxa"/>
            <w:right w:w="0" w:type="dxa"/>
          </w:tblCellMar>
        </w:tblPrEx>
        <w:trPr>
          <w:trHeight w:val="15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等线" w:hAnsi="等线" w:eastAsia="等线" w:cs="等线"/>
                <w:color w:val="auto"/>
                <w:sz w:val="16"/>
                <w:szCs w:val="16"/>
                <w:highlight w:val="none"/>
              </w:rPr>
            </w:pPr>
            <w:r>
              <w:rPr>
                <w:rFonts w:hint="eastAsia" w:ascii="等线" w:hAnsi="等线" w:eastAsia="等线" w:cs="等线"/>
                <w:color w:val="auto"/>
                <w:kern w:val="0"/>
                <w:sz w:val="16"/>
                <w:szCs w:val="16"/>
                <w:highlight w:val="none"/>
                <w:lang w:bidi="ar"/>
              </w:rPr>
              <w:t>7</w:t>
            </w:r>
          </w:p>
        </w:tc>
        <w:tc>
          <w:tcPr>
            <w:tcW w:w="0" w:type="auto"/>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等线" w:eastAsia="仿宋_GB2312" w:cs="仿宋_GB2312"/>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施工方案</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4.施工方案，应满足合同要求，内容至少包括：</w:t>
            </w:r>
          </w:p>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 xml:space="preserve">  施工点介绍</w:t>
            </w:r>
          </w:p>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 xml:space="preserve">  施工内容（含作业流程、风险分析、施工工艺等）</w:t>
            </w:r>
          </w:p>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 xml:space="preserve">  施工设备和材料（必要时含构件测试手段等）</w:t>
            </w:r>
          </w:p>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 xml:space="preserve">  安全措施（根据工程特点、分公司的风险评估和施工单位的施工工艺制定）</w:t>
            </w:r>
          </w:p>
          <w:p>
            <w:pPr>
              <w:widowControl/>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 xml:space="preserve">  正常施工安全物资（主要是安全防护设备、劳保用品）</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缺施工方案扣合同金额的6%或700；</w:t>
            </w:r>
          </w:p>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资料有问题扣合同金额的3%或300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缺施工方案扣合同金额的3%或3500；</w:t>
            </w:r>
          </w:p>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资料有问题扣合同金额的1%或1000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缺施工方案扣合同金额的1.5%或5000；</w:t>
            </w:r>
          </w:p>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资料有问题扣合同金额的0.5%或2500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缺施工方案扣合同金额的0.5%或1万；</w:t>
            </w:r>
          </w:p>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资料有问题扣合同金额的0.3%或5000</w:t>
            </w:r>
          </w:p>
        </w:tc>
      </w:tr>
      <w:tr>
        <w:tblPrEx>
          <w:tblCellMar>
            <w:top w:w="0" w:type="dxa"/>
            <w:left w:w="0" w:type="dxa"/>
            <w:bottom w:w="0" w:type="dxa"/>
            <w:right w:w="0" w:type="dxa"/>
          </w:tblCellMar>
        </w:tblPrEx>
        <w:trPr>
          <w:trHeight w:val="21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等线" w:hAnsi="等线" w:eastAsia="等线" w:cs="等线"/>
                <w:color w:val="auto"/>
                <w:sz w:val="16"/>
                <w:szCs w:val="16"/>
                <w:highlight w:val="none"/>
              </w:rPr>
            </w:pPr>
            <w:r>
              <w:rPr>
                <w:rFonts w:hint="eastAsia" w:ascii="等线" w:hAnsi="等线" w:eastAsia="等线" w:cs="等线"/>
                <w:color w:val="auto"/>
                <w:kern w:val="0"/>
                <w:sz w:val="16"/>
                <w:szCs w:val="16"/>
                <w:highlight w:val="none"/>
                <w:lang w:bidi="ar"/>
              </w:rPr>
              <w:t>8</w:t>
            </w:r>
          </w:p>
        </w:tc>
        <w:tc>
          <w:tcPr>
            <w:tcW w:w="0" w:type="auto"/>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等线" w:eastAsia="仿宋_GB2312" w:cs="仿宋_GB2312"/>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应急预案</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5.应急预案，内容至少包括：</w:t>
            </w:r>
          </w:p>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 xml:space="preserve">  现场情况介绍</w:t>
            </w:r>
          </w:p>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 xml:space="preserve">  风险评估</w:t>
            </w:r>
          </w:p>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 xml:space="preserve">  应急架构（包括应急主管人员和安全员，以及各应急小组，落实到人和联系方式）</w:t>
            </w:r>
          </w:p>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 xml:space="preserve">  应急流程</w:t>
            </w:r>
          </w:p>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 xml:space="preserve">  各种风险情况下的应急措施（根据现场情况、分公司的风险评估制定）</w:t>
            </w:r>
          </w:p>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 xml:space="preserve">  应急物资清单</w:t>
            </w:r>
          </w:p>
          <w:p>
            <w:pPr>
              <w:widowControl/>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 xml:space="preserve">  外单位救援力量及联系方式等</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缺应急预案扣合同金额的6%或700；</w:t>
            </w:r>
          </w:p>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资料有问题扣合同金额的3%或300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缺应急预案扣合同金额的3%或3500；</w:t>
            </w:r>
          </w:p>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资料有问题扣合同金额的1%或1000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缺应急预案扣合同金额的1.5%或5000；</w:t>
            </w:r>
          </w:p>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资料有问题扣合同金额的0.5%或2500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缺应急预案扣合同金额的0.5%或1万；</w:t>
            </w:r>
          </w:p>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资料有问题扣合同金额的0.3%或5000</w:t>
            </w:r>
          </w:p>
        </w:tc>
      </w:tr>
      <w:tr>
        <w:tblPrEx>
          <w:tblCellMar>
            <w:top w:w="0" w:type="dxa"/>
            <w:left w:w="0" w:type="dxa"/>
            <w:bottom w:w="0" w:type="dxa"/>
            <w:right w:w="0" w:type="dxa"/>
          </w:tblCellMar>
        </w:tblPrEx>
        <w:trPr>
          <w:trHeight w:val="154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等线" w:hAnsi="等线" w:eastAsia="等线" w:cs="等线"/>
                <w:color w:val="auto"/>
                <w:sz w:val="16"/>
                <w:szCs w:val="16"/>
                <w:highlight w:val="none"/>
              </w:rPr>
            </w:pPr>
            <w:r>
              <w:rPr>
                <w:rFonts w:hint="eastAsia" w:ascii="等线" w:hAnsi="等线" w:eastAsia="等线" w:cs="等线"/>
                <w:color w:val="auto"/>
                <w:kern w:val="0"/>
                <w:sz w:val="16"/>
                <w:szCs w:val="16"/>
                <w:highlight w:val="none"/>
                <w:lang w:bidi="ar"/>
              </w:rPr>
              <w:t>9</w:t>
            </w:r>
          </w:p>
        </w:tc>
        <w:tc>
          <w:tcPr>
            <w:tcW w:w="0" w:type="auto"/>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等线" w:eastAsia="仿宋_GB2312" w:cs="仿宋_GB2312"/>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安全架构</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6.安全架构和相应安全责任制（落实到人和联系方式），可编写入施工方案内，架构人员主要包括：</w:t>
            </w:r>
          </w:p>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 xml:space="preserve">  安全责任人</w:t>
            </w:r>
          </w:p>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 xml:space="preserve">  施工负责人（可与安全责任人为同一个人）</w:t>
            </w:r>
          </w:p>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 xml:space="preserve">  安全员</w:t>
            </w:r>
          </w:p>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 xml:space="preserve">  设备、物资管理人员</w:t>
            </w:r>
          </w:p>
          <w:p>
            <w:pPr>
              <w:widowControl/>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 xml:space="preserve">  关键岗位人员、特种作业人员</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缺安全架构扣合同金额的10%或2000；</w:t>
            </w:r>
          </w:p>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缺少任何一类人员及其职责的扣合同金额的6%或700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缺安全架构扣合同金额的5%或5000；</w:t>
            </w:r>
          </w:p>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缺少任何一类人员及其职责的扣合同金额的2%或2000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缺安全架构扣合同金额的2%或1万；</w:t>
            </w:r>
          </w:p>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缺少任何一类人员及其职责的扣合同金额的1%或5000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缺安全架构扣合同金额的1%或2万；</w:t>
            </w:r>
          </w:p>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缺少任何一类人员及其职责的扣合同金额的0.5%或1万</w:t>
            </w:r>
          </w:p>
        </w:tc>
      </w:tr>
      <w:tr>
        <w:tblPrEx>
          <w:tblCellMar>
            <w:top w:w="0" w:type="dxa"/>
            <w:left w:w="0" w:type="dxa"/>
            <w:bottom w:w="0" w:type="dxa"/>
            <w:right w:w="0" w:type="dxa"/>
          </w:tblCellMar>
        </w:tblPrEx>
        <w:trPr>
          <w:trHeight w:val="29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等线" w:hAnsi="等线" w:eastAsia="等线" w:cs="等线"/>
                <w:color w:val="auto"/>
                <w:sz w:val="16"/>
                <w:szCs w:val="16"/>
                <w:highlight w:val="none"/>
              </w:rPr>
            </w:pPr>
            <w:r>
              <w:rPr>
                <w:rFonts w:hint="eastAsia" w:ascii="等线" w:hAnsi="等线" w:eastAsia="等线" w:cs="等线"/>
                <w:color w:val="auto"/>
                <w:kern w:val="0"/>
                <w:sz w:val="16"/>
                <w:szCs w:val="16"/>
                <w:highlight w:val="none"/>
                <w:lang w:bidi="ar"/>
              </w:rPr>
              <w:t>10</w:t>
            </w:r>
          </w:p>
        </w:tc>
        <w:tc>
          <w:tcPr>
            <w:tcW w:w="0" w:type="auto"/>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等线" w:eastAsia="仿宋_GB2312" w:cs="仿宋_GB2312"/>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人员资质</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7.施工人员花名册，人员应包含：</w:t>
            </w:r>
          </w:p>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 xml:space="preserve">  施工负责人（需要施工管理人员资格证书）</w:t>
            </w:r>
          </w:p>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 xml:space="preserve">  安全员（涉及动火、临时用电、有限空间、高空、抽堵盲板、吊装、动土、断路、设备检修等9大危险作业的，安全员需要有安全员证）</w:t>
            </w:r>
          </w:p>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 xml:space="preserve">  特种作业人员（附证件号，同时要复印特种作业证，特种作业人数应满足合同要求）</w:t>
            </w:r>
          </w:p>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 xml:space="preserve">  一般施工人员</w:t>
            </w:r>
          </w:p>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 xml:space="preserve">  可能需要进入厂区的其他人员（如监理人员、资料员等）</w:t>
            </w:r>
          </w:p>
          <w:p>
            <w:pPr>
              <w:widowControl/>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注：如作业涉及危险作业，作业人员须有作业人员岗前职业病体检和筛选</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缺花名册扣合同金额的5%或500；</w:t>
            </w:r>
          </w:p>
          <w:p>
            <w:pPr>
              <w:widowControl/>
              <w:jc w:val="center"/>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缺特种作业人员或特种作业人员不满足合同要求，扣合同金额的5%或500；</w:t>
            </w:r>
          </w:p>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其他人员或资料有缺漏扣合同金额的3%或300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缺花名册扣合同金额的2%或2000；</w:t>
            </w:r>
          </w:p>
          <w:p>
            <w:pPr>
              <w:widowControl/>
              <w:jc w:val="center"/>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缺特种作业人员或特种作业人员不满足合同要求，扣合同金额的2%或2000；</w:t>
            </w:r>
          </w:p>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其他人员或资料有缺漏扣合同金额的1%或1000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缺花名册扣合同金额的1%或4500；</w:t>
            </w:r>
          </w:p>
          <w:p>
            <w:pPr>
              <w:widowControl/>
              <w:jc w:val="center"/>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缺特种作业人员或特种作业人员不满足合同要求，扣合同金额的1%或4500；</w:t>
            </w:r>
          </w:p>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其他人员或资料有缺漏扣合同金额的0.4%或2000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缺花名册扣合同金额的0.4%或8000；</w:t>
            </w:r>
          </w:p>
          <w:p>
            <w:pPr>
              <w:widowControl/>
              <w:jc w:val="center"/>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缺特种作业人员或特种作业人员不满足合同要求，扣合同金额的0.4%或8000；</w:t>
            </w:r>
          </w:p>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其他人员或资料有缺漏扣合同金额的0.2%或4000</w:t>
            </w:r>
          </w:p>
        </w:tc>
      </w:tr>
      <w:tr>
        <w:tblPrEx>
          <w:tblCellMar>
            <w:top w:w="0" w:type="dxa"/>
            <w:left w:w="0" w:type="dxa"/>
            <w:bottom w:w="0" w:type="dxa"/>
            <w:right w:w="0" w:type="dxa"/>
          </w:tblCellMar>
        </w:tblPrEx>
        <w:trPr>
          <w:trHeight w:val="124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等线" w:hAnsi="等线" w:eastAsia="等线" w:cs="等线"/>
                <w:color w:val="auto"/>
                <w:sz w:val="16"/>
                <w:szCs w:val="16"/>
                <w:highlight w:val="none"/>
              </w:rPr>
            </w:pPr>
            <w:r>
              <w:rPr>
                <w:rFonts w:hint="eastAsia" w:ascii="等线" w:hAnsi="等线" w:eastAsia="等线" w:cs="等线"/>
                <w:color w:val="auto"/>
                <w:kern w:val="0"/>
                <w:sz w:val="16"/>
                <w:szCs w:val="16"/>
                <w:highlight w:val="none"/>
                <w:lang w:bidi="ar"/>
              </w:rPr>
              <w:t>11</w:t>
            </w:r>
          </w:p>
        </w:tc>
        <w:tc>
          <w:tcPr>
            <w:tcW w:w="0" w:type="auto"/>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施工现场管理</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现场面貌</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1.施工现场未开展有效围蔽</w:t>
            </w:r>
          </w:p>
          <w:p>
            <w:pPr>
              <w:widowControl/>
              <w:jc w:val="left"/>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2.无七牌一图或有缺漏（七牌：工程概况牌：管理人员名单及监督电话牌、现场事故应急救援预案公示牌、安全生产牌、文明施工牌、消防保卫牌、环境保护牌；一图：施工现场平面图）</w:t>
            </w:r>
          </w:p>
          <w:p>
            <w:pPr>
              <w:widowControl/>
              <w:jc w:val="left"/>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3.现场无危险源公示、告知及相应警示</w:t>
            </w:r>
          </w:p>
          <w:p>
            <w:pPr>
              <w:widowControl/>
              <w:jc w:val="left"/>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4.材料堆放存在重大隐患</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扣合同金额的6%或700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扣合同金额的3%或3500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扣合同金额的1.5%或5000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扣合同金额的0.5%或1万</w:t>
            </w:r>
          </w:p>
        </w:tc>
      </w:tr>
      <w:tr>
        <w:tblPrEx>
          <w:tblCellMar>
            <w:top w:w="0" w:type="dxa"/>
            <w:left w:w="0" w:type="dxa"/>
            <w:bottom w:w="0" w:type="dxa"/>
            <w:right w:w="0" w:type="dxa"/>
          </w:tblCellMar>
        </w:tblPrEx>
        <w:trPr>
          <w:trHeight w:val="78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等线" w:hAnsi="等线" w:eastAsia="等线" w:cs="等线"/>
                <w:color w:val="auto"/>
                <w:sz w:val="16"/>
                <w:szCs w:val="16"/>
                <w:highlight w:val="none"/>
              </w:rPr>
            </w:pPr>
            <w:r>
              <w:rPr>
                <w:rFonts w:hint="eastAsia" w:ascii="等线" w:hAnsi="等线" w:eastAsia="等线" w:cs="等线"/>
                <w:color w:val="auto"/>
                <w:kern w:val="0"/>
                <w:sz w:val="16"/>
                <w:szCs w:val="16"/>
                <w:highlight w:val="none"/>
                <w:lang w:bidi="ar"/>
              </w:rPr>
              <w:t>12</w:t>
            </w:r>
          </w:p>
        </w:tc>
        <w:tc>
          <w:tcPr>
            <w:tcW w:w="0" w:type="auto"/>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等线" w:eastAsia="仿宋_GB2312" w:cs="仿宋_GB2312"/>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施工管理</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1.现场未按施工方案落实安全防范措施的</w:t>
            </w:r>
          </w:p>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2.危险作业未经业主人员审批先行施工的</w:t>
            </w:r>
          </w:p>
          <w:p>
            <w:pPr>
              <w:widowControl/>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3.未按施工方案施工的</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扣合同金额的10%或2000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扣合同金额的5%或5000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扣合同金额的2%或1万</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扣合同金额的1%或2万</w:t>
            </w:r>
          </w:p>
        </w:tc>
      </w:tr>
      <w:tr>
        <w:tblPrEx>
          <w:tblCellMar>
            <w:top w:w="0" w:type="dxa"/>
            <w:left w:w="0" w:type="dxa"/>
            <w:bottom w:w="0" w:type="dxa"/>
            <w:right w:w="0" w:type="dxa"/>
          </w:tblCellMar>
        </w:tblPrEx>
        <w:trPr>
          <w:trHeight w:val="94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等线" w:hAnsi="等线" w:eastAsia="等线" w:cs="等线"/>
                <w:color w:val="auto"/>
                <w:sz w:val="16"/>
                <w:szCs w:val="16"/>
                <w:highlight w:val="none"/>
              </w:rPr>
            </w:pPr>
            <w:r>
              <w:rPr>
                <w:rFonts w:hint="eastAsia" w:ascii="等线" w:hAnsi="等线" w:eastAsia="等线" w:cs="等线"/>
                <w:color w:val="auto"/>
                <w:kern w:val="0"/>
                <w:sz w:val="16"/>
                <w:szCs w:val="16"/>
                <w:highlight w:val="none"/>
                <w:lang w:bidi="ar"/>
              </w:rPr>
              <w:t>13</w:t>
            </w:r>
          </w:p>
        </w:tc>
        <w:tc>
          <w:tcPr>
            <w:tcW w:w="0" w:type="auto"/>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等线" w:eastAsia="仿宋_GB2312" w:cs="仿宋_GB2312"/>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每日安全交底</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1.缺少书面交底、未留存书面资料或交底资料缺少交底人、被交底人及安全员签字的</w:t>
            </w:r>
          </w:p>
          <w:p>
            <w:pPr>
              <w:widowControl/>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2.内容未结合当天的现场状况、特点、工序，对危险因素、施工内容、安全作业和应急措施进行交底的</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扣合同金额的3%或300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扣合同金额的1%或1000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扣合同金额的0.5%或2500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扣合同金额的0.3%或5000</w:t>
            </w:r>
          </w:p>
        </w:tc>
      </w:tr>
      <w:tr>
        <w:tblPrEx>
          <w:tblCellMar>
            <w:top w:w="0" w:type="dxa"/>
            <w:left w:w="0" w:type="dxa"/>
            <w:bottom w:w="0" w:type="dxa"/>
            <w:right w:w="0" w:type="dxa"/>
          </w:tblCellMar>
        </w:tblPrEx>
        <w:trPr>
          <w:trHeight w:val="9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等线" w:hAnsi="等线" w:eastAsia="等线" w:cs="等线"/>
                <w:color w:val="auto"/>
                <w:sz w:val="16"/>
                <w:szCs w:val="16"/>
                <w:highlight w:val="none"/>
              </w:rPr>
            </w:pPr>
            <w:r>
              <w:rPr>
                <w:rFonts w:hint="eastAsia" w:ascii="等线" w:hAnsi="等线" w:eastAsia="等线" w:cs="等线"/>
                <w:color w:val="auto"/>
                <w:kern w:val="0"/>
                <w:sz w:val="16"/>
                <w:szCs w:val="16"/>
                <w:highlight w:val="none"/>
                <w:lang w:bidi="ar"/>
              </w:rPr>
              <w:t>14</w:t>
            </w:r>
          </w:p>
        </w:tc>
        <w:tc>
          <w:tcPr>
            <w:tcW w:w="0" w:type="auto"/>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等线" w:eastAsia="仿宋_GB2312" w:cs="仿宋_GB2312"/>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作业行为管理</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1.违反9大危险作业相关作业规范的</w:t>
            </w:r>
          </w:p>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2.现场存在违章作业、违章指挥等违反相关安全管理规定或制度的</w:t>
            </w:r>
          </w:p>
          <w:p>
            <w:pPr>
              <w:widowControl/>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3.人员错误使用劳保用品3次以上的</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扣合同金额的6%或700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扣合同金额的3%或3500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扣合同金额的1.5%或5000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扣合同金额的0.5%或1万</w:t>
            </w:r>
          </w:p>
        </w:tc>
      </w:tr>
      <w:tr>
        <w:tblPrEx>
          <w:tblCellMar>
            <w:top w:w="0" w:type="dxa"/>
            <w:left w:w="0" w:type="dxa"/>
            <w:bottom w:w="0" w:type="dxa"/>
            <w:right w:w="0" w:type="dxa"/>
          </w:tblCellMar>
        </w:tblPrEx>
        <w:trPr>
          <w:trHeight w:val="68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等线" w:hAnsi="等线" w:eastAsia="等线" w:cs="等线"/>
                <w:color w:val="auto"/>
                <w:sz w:val="16"/>
                <w:szCs w:val="16"/>
                <w:highlight w:val="none"/>
              </w:rPr>
            </w:pPr>
            <w:r>
              <w:rPr>
                <w:rFonts w:hint="eastAsia" w:ascii="等线" w:hAnsi="等线" w:eastAsia="等线" w:cs="等线"/>
                <w:color w:val="auto"/>
                <w:kern w:val="0"/>
                <w:sz w:val="16"/>
                <w:szCs w:val="16"/>
                <w:highlight w:val="none"/>
                <w:lang w:bidi="ar"/>
              </w:rPr>
              <w:t>15</w:t>
            </w:r>
          </w:p>
        </w:tc>
        <w:tc>
          <w:tcPr>
            <w:tcW w:w="0" w:type="auto"/>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等线" w:eastAsia="仿宋_GB2312" w:cs="仿宋_GB2312"/>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安全记录</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未按施工要求开展现场记录或记录内容有缺失</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扣合同金额的3%或300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扣合同金额的1%或1000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扣合同金额的0.5%或2500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扣合同金额的0.3%或5000</w:t>
            </w:r>
          </w:p>
        </w:tc>
      </w:tr>
      <w:tr>
        <w:tblPrEx>
          <w:tblCellMar>
            <w:top w:w="0" w:type="dxa"/>
            <w:left w:w="0" w:type="dxa"/>
            <w:bottom w:w="0" w:type="dxa"/>
            <w:right w:w="0" w:type="dxa"/>
          </w:tblCellMar>
        </w:tblPrEx>
        <w:trPr>
          <w:trHeight w:val="7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等线" w:hAnsi="等线" w:eastAsia="等线" w:cs="等线"/>
                <w:color w:val="auto"/>
                <w:sz w:val="16"/>
                <w:szCs w:val="16"/>
                <w:highlight w:val="none"/>
              </w:rPr>
            </w:pPr>
            <w:r>
              <w:rPr>
                <w:rFonts w:hint="eastAsia" w:ascii="等线" w:hAnsi="等线" w:eastAsia="等线" w:cs="等线"/>
                <w:color w:val="auto"/>
                <w:kern w:val="0"/>
                <w:sz w:val="16"/>
                <w:szCs w:val="16"/>
                <w:highlight w:val="none"/>
                <w:lang w:bidi="ar"/>
              </w:rPr>
              <w:t>16</w:t>
            </w:r>
          </w:p>
        </w:tc>
        <w:tc>
          <w:tcPr>
            <w:tcW w:w="0" w:type="auto"/>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等线" w:eastAsia="仿宋_GB2312" w:cs="仿宋_GB2312"/>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应急管理</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1.未设置应急物资点，未统一存放应急物资</w:t>
            </w:r>
          </w:p>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2.应急物资点无应急物资清单或无应急物资每日检查表</w:t>
            </w:r>
          </w:p>
          <w:p>
            <w:pPr>
              <w:widowControl/>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3.无开展日常应急培训、训练、演练或无资料留档的</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扣合同金额的3%或300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扣合同金额的1%或1000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扣合同金额的0.5%或2500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扣合同金额的0.3%或5000</w:t>
            </w:r>
          </w:p>
        </w:tc>
      </w:tr>
      <w:tr>
        <w:tblPrEx>
          <w:tblCellMar>
            <w:top w:w="0" w:type="dxa"/>
            <w:left w:w="0" w:type="dxa"/>
            <w:bottom w:w="0" w:type="dxa"/>
            <w:right w:w="0"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等线" w:hAnsi="等线" w:eastAsia="等线" w:cs="等线"/>
                <w:color w:val="auto"/>
                <w:sz w:val="16"/>
                <w:szCs w:val="16"/>
                <w:highlight w:val="none"/>
              </w:rPr>
            </w:pPr>
            <w:r>
              <w:rPr>
                <w:rFonts w:hint="eastAsia" w:ascii="等线" w:hAnsi="等线" w:eastAsia="等线" w:cs="等线"/>
                <w:color w:val="auto"/>
                <w:kern w:val="0"/>
                <w:sz w:val="16"/>
                <w:szCs w:val="16"/>
                <w:highlight w:val="none"/>
                <w:lang w:bidi="ar"/>
              </w:rPr>
              <w:t>17</w:t>
            </w:r>
          </w:p>
        </w:tc>
        <w:tc>
          <w:tcPr>
            <w:tcW w:w="0" w:type="auto"/>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等线" w:eastAsia="仿宋_GB2312" w:cs="仿宋_GB2312"/>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人员管理</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人员变更无完善的手续及资料的</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扣合同金额的3%或300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扣合同金额的1%或1000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扣合同金额的0.5%或2500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扣合同金额的0.3%或5000</w:t>
            </w:r>
          </w:p>
        </w:tc>
      </w:tr>
      <w:tr>
        <w:tblPrEx>
          <w:tblCellMar>
            <w:top w:w="0" w:type="dxa"/>
            <w:left w:w="0" w:type="dxa"/>
            <w:bottom w:w="0" w:type="dxa"/>
            <w:right w:w="0"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等线" w:hAnsi="等线" w:eastAsia="等线" w:cs="等线"/>
                <w:color w:val="auto"/>
                <w:sz w:val="16"/>
                <w:szCs w:val="16"/>
                <w:highlight w:val="none"/>
              </w:rPr>
            </w:pPr>
            <w:r>
              <w:rPr>
                <w:rFonts w:hint="eastAsia" w:ascii="等线" w:hAnsi="等线" w:eastAsia="等线" w:cs="等线"/>
                <w:color w:val="auto"/>
                <w:kern w:val="0"/>
                <w:sz w:val="16"/>
                <w:szCs w:val="16"/>
                <w:highlight w:val="none"/>
                <w:lang w:bidi="ar"/>
              </w:rPr>
              <w:t>18</w:t>
            </w:r>
          </w:p>
        </w:tc>
        <w:tc>
          <w:tcPr>
            <w:tcW w:w="0" w:type="auto"/>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等线" w:eastAsia="仿宋_GB2312" w:cs="仿宋_GB2312"/>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隐患管理</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未及时对发现的隐患开展整改的</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扣合同金额的5%或500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扣合同金额的2%或2000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扣合同金额的1%或4500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扣合同金额的0.4%或8000</w:t>
            </w:r>
          </w:p>
        </w:tc>
      </w:tr>
      <w:tr>
        <w:tblPrEx>
          <w:tblCellMar>
            <w:top w:w="0" w:type="dxa"/>
            <w:left w:w="0" w:type="dxa"/>
            <w:bottom w:w="0" w:type="dxa"/>
            <w:right w:w="0" w:type="dxa"/>
          </w:tblCellMar>
        </w:tblPrEx>
        <w:trPr>
          <w:trHeight w:val="6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等线" w:hAnsi="等线" w:eastAsia="等线" w:cs="等线"/>
                <w:color w:val="auto"/>
                <w:sz w:val="16"/>
                <w:szCs w:val="16"/>
                <w:highlight w:val="none"/>
              </w:rPr>
            </w:pPr>
            <w:r>
              <w:rPr>
                <w:rFonts w:hint="eastAsia" w:ascii="等线" w:hAnsi="等线" w:eastAsia="等线" w:cs="等线"/>
                <w:color w:val="auto"/>
                <w:kern w:val="0"/>
                <w:sz w:val="16"/>
                <w:szCs w:val="16"/>
                <w:highlight w:val="none"/>
                <w:lang w:bidi="ar"/>
              </w:rPr>
              <w:t>19</w:t>
            </w:r>
          </w:p>
        </w:tc>
        <w:tc>
          <w:tcPr>
            <w:tcW w:w="0" w:type="auto"/>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等线" w:eastAsia="仿宋_GB2312" w:cs="仿宋_GB2312"/>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其他</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违反业主或上级主管部门提出的其他管理要求、文件、规定或拒不执行的</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扣合同金额的3%～5%；</w:t>
            </w:r>
          </w:p>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或300～500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扣合同金额的1%～2%；</w:t>
            </w:r>
          </w:p>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或1000～2000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扣合同金额的0.5%～1%；</w:t>
            </w:r>
          </w:p>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或2500～4500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扣合同金额的0.3%～0.4%；</w:t>
            </w:r>
          </w:p>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或5000～8000</w:t>
            </w:r>
          </w:p>
        </w:tc>
      </w:tr>
      <w:tr>
        <w:tblPrEx>
          <w:tblCellMar>
            <w:top w:w="0" w:type="dxa"/>
            <w:left w:w="0" w:type="dxa"/>
            <w:bottom w:w="0" w:type="dxa"/>
            <w:right w:w="0" w:type="dxa"/>
          </w:tblCellMar>
        </w:tblPrEx>
        <w:trPr>
          <w:trHeight w:val="44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等线" w:hAnsi="等线" w:eastAsia="等线" w:cs="等线"/>
                <w:color w:val="auto"/>
                <w:sz w:val="16"/>
                <w:szCs w:val="16"/>
                <w:highlight w:val="none"/>
              </w:rPr>
            </w:pPr>
            <w:r>
              <w:rPr>
                <w:rFonts w:hint="eastAsia" w:ascii="等线" w:hAnsi="等线" w:eastAsia="等线" w:cs="等线"/>
                <w:color w:val="auto"/>
                <w:kern w:val="0"/>
                <w:sz w:val="16"/>
                <w:szCs w:val="16"/>
                <w:highlight w:val="none"/>
                <w:lang w:bidi="ar"/>
              </w:rPr>
              <w:t>20</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_GB2312" w:hAnsi="等线" w:eastAsia="仿宋_GB2312" w:cs="仿宋_GB2312"/>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_GB2312" w:hAnsi="等线" w:eastAsia="仿宋_GB2312" w:cs="仿宋_GB2312"/>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等线" w:eastAsia="仿宋_GB2312" w:cs="仿宋_GB2312"/>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等线" w:eastAsia="仿宋_GB2312" w:cs="仿宋_GB2312"/>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等线" w:eastAsia="仿宋_GB2312" w:cs="仿宋_GB2312"/>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等线" w:eastAsia="仿宋_GB2312" w:cs="仿宋_GB2312"/>
                <w:color w:val="auto"/>
                <w:sz w:val="16"/>
                <w:szCs w:val="16"/>
                <w:highlight w:val="none"/>
              </w:rPr>
            </w:pPr>
          </w:p>
        </w:tc>
      </w:tr>
      <w:tr>
        <w:tblPrEx>
          <w:tblCellMar>
            <w:top w:w="0" w:type="dxa"/>
            <w:left w:w="0" w:type="dxa"/>
            <w:bottom w:w="0" w:type="dxa"/>
            <w:right w:w="0" w:type="dxa"/>
          </w:tblCellMar>
        </w:tblPrEx>
        <w:trPr>
          <w:trHeight w:val="280" w:hRule="atLeast"/>
          <w:jc w:val="center"/>
        </w:trPr>
        <w:tc>
          <w:tcPr>
            <w:tcW w:w="0" w:type="auto"/>
            <w:gridSpan w:val="8"/>
            <w:tcBorders>
              <w:top w:val="nil"/>
              <w:left w:val="nil"/>
              <w:bottom w:val="nil"/>
              <w:right w:val="nil"/>
            </w:tcBorders>
            <w:tcMar>
              <w:top w:w="12" w:type="dxa"/>
              <w:left w:w="12" w:type="dxa"/>
              <w:right w:w="12" w:type="dxa"/>
            </w:tcMar>
            <w:vAlign w:val="center"/>
          </w:tcPr>
          <w:p>
            <w:pPr>
              <w:widowControl/>
              <w:jc w:val="left"/>
              <w:textAlignment w:val="center"/>
              <w:rPr>
                <w:color w:val="auto"/>
                <w:sz w:val="13"/>
                <w:szCs w:val="13"/>
                <w:highlight w:val="none"/>
              </w:rPr>
            </w:pPr>
            <w:r>
              <w:rPr>
                <w:rFonts w:hint="eastAsia"/>
                <w:color w:val="auto"/>
                <w:sz w:val="13"/>
                <w:szCs w:val="13"/>
                <w:highlight w:val="none"/>
              </w:rPr>
              <w:t>注：1、与安全管理相关的考评内容具体考评标准内容参照广州市净水有限公司标准《工程项目安全管理规范》（Q/GZJSA 1-2021）执行。</w:t>
            </w:r>
          </w:p>
          <w:p>
            <w:pPr>
              <w:rPr>
                <w:color w:val="auto"/>
                <w:highlight w:val="none"/>
              </w:rPr>
            </w:pPr>
            <w:r>
              <w:rPr>
                <w:rFonts w:hint="eastAsia" w:ascii="仿宋_GB2312" w:hAnsi="仿宋_GB2312" w:eastAsia="仿宋_GB2312" w:cs="仿宋_GB2312"/>
                <w:color w:val="auto"/>
                <w:sz w:val="13"/>
                <w:szCs w:val="13"/>
                <w:highlight w:val="none"/>
              </w:rPr>
              <w:t>2.本处理标准出自《</w:t>
            </w:r>
            <w:r>
              <w:rPr>
                <w:rFonts w:hint="eastAsia" w:ascii="宋体" w:hAnsi="宋体" w:cs="宋体"/>
                <w:color w:val="auto"/>
                <w:sz w:val="13"/>
                <w:szCs w:val="13"/>
                <w:highlight w:val="none"/>
              </w:rPr>
              <w:t>广州净水公司工程项目承包单位质量安全考评细则（试行）</w:t>
            </w:r>
            <w:r>
              <w:rPr>
                <w:rFonts w:hint="eastAsia" w:ascii="仿宋_GB2312" w:hAnsi="仿宋_GB2312" w:eastAsia="仿宋_GB2312" w:cs="仿宋_GB2312"/>
                <w:color w:val="auto"/>
                <w:sz w:val="13"/>
                <w:szCs w:val="13"/>
                <w:highlight w:val="none"/>
              </w:rPr>
              <w:t>》。</w:t>
            </w:r>
          </w:p>
          <w:p>
            <w:pPr>
              <w:pStyle w:val="19"/>
              <w:ind w:firstLine="1126"/>
              <w:rPr>
                <w:rFonts w:hint="default" w:eastAsia="仿宋_GB2312"/>
                <w:color w:val="auto"/>
                <w:highlight w:val="none"/>
                <w:lang w:val="en-US" w:eastAsia="zh-CN"/>
              </w:rPr>
            </w:pPr>
          </w:p>
        </w:tc>
      </w:tr>
    </w:tbl>
    <w:p>
      <w:pPr>
        <w:pStyle w:val="19"/>
        <w:ind w:left="0" w:leftChars="0" w:firstLine="0" w:firstLineChars="0"/>
        <w:rPr>
          <w:rFonts w:ascii="宋体" w:hAnsi="宋体" w:cs="宋体"/>
          <w:b/>
          <w:bCs/>
          <w:color w:val="auto"/>
          <w:sz w:val="24"/>
          <w:szCs w:val="24"/>
          <w:highlight w:val="none"/>
        </w:rPr>
      </w:pPr>
    </w:p>
    <w:tbl>
      <w:tblPr>
        <w:tblStyle w:val="20"/>
        <w:tblW w:w="9300" w:type="dxa"/>
        <w:jc w:val="center"/>
        <w:tblLayout w:type="autofit"/>
        <w:tblCellMar>
          <w:top w:w="0" w:type="dxa"/>
          <w:left w:w="0" w:type="dxa"/>
          <w:bottom w:w="0" w:type="dxa"/>
          <w:right w:w="0" w:type="dxa"/>
        </w:tblCellMar>
      </w:tblPr>
      <w:tblGrid>
        <w:gridCol w:w="344"/>
        <w:gridCol w:w="454"/>
        <w:gridCol w:w="495"/>
        <w:gridCol w:w="3993"/>
        <w:gridCol w:w="1091"/>
        <w:gridCol w:w="757"/>
        <w:gridCol w:w="757"/>
        <w:gridCol w:w="757"/>
        <w:gridCol w:w="757"/>
        <w:gridCol w:w="756"/>
      </w:tblGrid>
      <w:tr>
        <w:tblPrEx>
          <w:tblCellMar>
            <w:top w:w="0" w:type="dxa"/>
            <w:left w:w="0" w:type="dxa"/>
            <w:bottom w:w="0" w:type="dxa"/>
            <w:right w:w="0" w:type="dxa"/>
          </w:tblCellMar>
        </w:tblPrEx>
        <w:trPr>
          <w:trHeight w:val="300" w:hRule="atLeast"/>
          <w:jc w:val="center"/>
        </w:trPr>
        <w:tc>
          <w:tcPr>
            <w:tcW w:w="798" w:type="dxa"/>
            <w:gridSpan w:val="2"/>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等线" w:hAnsi="等线" w:eastAsia="等线" w:cs="等线"/>
                <w:color w:val="auto"/>
                <w:sz w:val="16"/>
                <w:szCs w:val="16"/>
                <w:highlight w:val="none"/>
                <w:lang w:eastAsia="zh-CN"/>
              </w:rPr>
            </w:pPr>
            <w:r>
              <w:rPr>
                <w:rFonts w:hint="eastAsia" w:ascii="等线" w:hAnsi="等线" w:eastAsia="等线" w:cs="等线"/>
                <w:color w:val="auto"/>
                <w:kern w:val="0"/>
                <w:sz w:val="16"/>
                <w:szCs w:val="16"/>
                <w:highlight w:val="none"/>
                <w:lang w:bidi="ar"/>
              </w:rPr>
              <w:t>附件</w:t>
            </w:r>
            <w:r>
              <w:rPr>
                <w:rFonts w:hint="eastAsia" w:ascii="等线" w:hAnsi="等线" w:eastAsia="等线" w:cs="等线"/>
                <w:color w:val="auto"/>
                <w:kern w:val="0"/>
                <w:sz w:val="16"/>
                <w:szCs w:val="16"/>
                <w:highlight w:val="none"/>
                <w:lang w:val="en-US" w:eastAsia="zh-CN" w:bidi="ar"/>
              </w:rPr>
              <w:t>7</w:t>
            </w:r>
          </w:p>
        </w:tc>
        <w:tc>
          <w:tcPr>
            <w:tcW w:w="495" w:type="dxa"/>
            <w:tcBorders>
              <w:top w:val="nil"/>
              <w:left w:val="nil"/>
              <w:bottom w:val="nil"/>
              <w:right w:val="nil"/>
            </w:tcBorders>
            <w:noWrap/>
            <w:tcMar>
              <w:top w:w="12" w:type="dxa"/>
              <w:left w:w="12" w:type="dxa"/>
              <w:right w:w="12" w:type="dxa"/>
            </w:tcMar>
            <w:vAlign w:val="center"/>
          </w:tcPr>
          <w:p>
            <w:pPr>
              <w:jc w:val="left"/>
              <w:rPr>
                <w:rFonts w:ascii="等线" w:hAnsi="等线" w:eastAsia="等线" w:cs="等线"/>
                <w:color w:val="auto"/>
                <w:sz w:val="16"/>
                <w:szCs w:val="16"/>
                <w:highlight w:val="none"/>
              </w:rPr>
            </w:pPr>
          </w:p>
        </w:tc>
        <w:tc>
          <w:tcPr>
            <w:tcW w:w="3993" w:type="dxa"/>
            <w:tcBorders>
              <w:top w:val="nil"/>
              <w:left w:val="nil"/>
              <w:bottom w:val="nil"/>
              <w:right w:val="nil"/>
            </w:tcBorders>
            <w:noWrap/>
            <w:tcMar>
              <w:top w:w="12" w:type="dxa"/>
              <w:left w:w="12" w:type="dxa"/>
              <w:right w:w="12" w:type="dxa"/>
            </w:tcMar>
            <w:vAlign w:val="center"/>
          </w:tcPr>
          <w:p>
            <w:pPr>
              <w:rPr>
                <w:rFonts w:ascii="等线" w:hAnsi="等线" w:eastAsia="等线" w:cs="等线"/>
                <w:color w:val="auto"/>
                <w:sz w:val="16"/>
                <w:szCs w:val="16"/>
                <w:highlight w:val="none"/>
              </w:rPr>
            </w:pPr>
          </w:p>
        </w:tc>
        <w:tc>
          <w:tcPr>
            <w:tcW w:w="1091" w:type="dxa"/>
            <w:tcBorders>
              <w:top w:val="nil"/>
              <w:left w:val="nil"/>
              <w:bottom w:val="nil"/>
              <w:right w:val="nil"/>
            </w:tcBorders>
            <w:noWrap/>
            <w:tcMar>
              <w:top w:w="12" w:type="dxa"/>
              <w:left w:w="12" w:type="dxa"/>
              <w:right w:w="12" w:type="dxa"/>
            </w:tcMar>
            <w:vAlign w:val="center"/>
          </w:tcPr>
          <w:p>
            <w:pPr>
              <w:rPr>
                <w:rFonts w:ascii="等线" w:hAnsi="等线" w:eastAsia="等线" w:cs="等线"/>
                <w:color w:val="auto"/>
                <w:sz w:val="16"/>
                <w:szCs w:val="16"/>
                <w:highlight w:val="none"/>
              </w:rPr>
            </w:pPr>
          </w:p>
        </w:tc>
        <w:tc>
          <w:tcPr>
            <w:tcW w:w="585" w:type="dxa"/>
            <w:tcBorders>
              <w:top w:val="nil"/>
              <w:left w:val="nil"/>
              <w:bottom w:val="nil"/>
              <w:right w:val="nil"/>
            </w:tcBorders>
            <w:noWrap/>
            <w:tcMar>
              <w:top w:w="12" w:type="dxa"/>
              <w:left w:w="12" w:type="dxa"/>
              <w:right w:w="12" w:type="dxa"/>
            </w:tcMar>
            <w:vAlign w:val="center"/>
          </w:tcPr>
          <w:p>
            <w:pPr>
              <w:rPr>
                <w:rFonts w:ascii="等线" w:hAnsi="等线" w:eastAsia="等线" w:cs="等线"/>
                <w:color w:val="auto"/>
                <w:sz w:val="16"/>
                <w:szCs w:val="16"/>
                <w:highlight w:val="none"/>
              </w:rPr>
            </w:pPr>
          </w:p>
        </w:tc>
        <w:tc>
          <w:tcPr>
            <w:tcW w:w="585" w:type="dxa"/>
            <w:tcBorders>
              <w:top w:val="nil"/>
              <w:left w:val="nil"/>
              <w:bottom w:val="nil"/>
              <w:right w:val="nil"/>
            </w:tcBorders>
            <w:noWrap/>
            <w:tcMar>
              <w:top w:w="12" w:type="dxa"/>
              <w:left w:w="12" w:type="dxa"/>
              <w:right w:w="12" w:type="dxa"/>
            </w:tcMar>
            <w:vAlign w:val="center"/>
          </w:tcPr>
          <w:p>
            <w:pPr>
              <w:rPr>
                <w:rFonts w:ascii="等线" w:hAnsi="等线" w:eastAsia="等线" w:cs="等线"/>
                <w:color w:val="auto"/>
                <w:sz w:val="16"/>
                <w:szCs w:val="16"/>
                <w:highlight w:val="none"/>
              </w:rPr>
            </w:pPr>
          </w:p>
        </w:tc>
        <w:tc>
          <w:tcPr>
            <w:tcW w:w="585" w:type="dxa"/>
            <w:tcBorders>
              <w:top w:val="nil"/>
              <w:left w:val="nil"/>
              <w:bottom w:val="nil"/>
              <w:right w:val="nil"/>
            </w:tcBorders>
            <w:noWrap/>
            <w:tcMar>
              <w:top w:w="12" w:type="dxa"/>
              <w:left w:w="12" w:type="dxa"/>
              <w:right w:w="12" w:type="dxa"/>
            </w:tcMar>
            <w:vAlign w:val="center"/>
          </w:tcPr>
          <w:p>
            <w:pPr>
              <w:rPr>
                <w:rFonts w:ascii="等线" w:hAnsi="等线" w:eastAsia="等线" w:cs="等线"/>
                <w:color w:val="auto"/>
                <w:sz w:val="16"/>
                <w:szCs w:val="16"/>
                <w:highlight w:val="none"/>
              </w:rPr>
            </w:pPr>
          </w:p>
        </w:tc>
        <w:tc>
          <w:tcPr>
            <w:tcW w:w="585" w:type="dxa"/>
            <w:tcBorders>
              <w:top w:val="nil"/>
              <w:left w:val="nil"/>
              <w:bottom w:val="nil"/>
              <w:right w:val="nil"/>
            </w:tcBorders>
            <w:noWrap/>
            <w:tcMar>
              <w:top w:w="12" w:type="dxa"/>
              <w:left w:w="12" w:type="dxa"/>
              <w:right w:w="12" w:type="dxa"/>
            </w:tcMar>
            <w:vAlign w:val="center"/>
          </w:tcPr>
          <w:p>
            <w:pPr>
              <w:rPr>
                <w:rFonts w:ascii="等线" w:hAnsi="等线" w:eastAsia="等线" w:cs="等线"/>
                <w:color w:val="auto"/>
                <w:sz w:val="16"/>
                <w:szCs w:val="16"/>
                <w:highlight w:val="none"/>
              </w:rPr>
            </w:pPr>
          </w:p>
        </w:tc>
        <w:tc>
          <w:tcPr>
            <w:tcW w:w="585" w:type="dxa"/>
            <w:tcBorders>
              <w:top w:val="nil"/>
              <w:left w:val="nil"/>
              <w:bottom w:val="nil"/>
              <w:right w:val="nil"/>
            </w:tcBorders>
            <w:noWrap/>
            <w:tcMar>
              <w:top w:w="12" w:type="dxa"/>
              <w:left w:w="12" w:type="dxa"/>
              <w:right w:w="12" w:type="dxa"/>
            </w:tcMar>
            <w:vAlign w:val="center"/>
          </w:tcPr>
          <w:p>
            <w:pPr>
              <w:rPr>
                <w:rFonts w:ascii="等线" w:hAnsi="等线" w:eastAsia="等线" w:cs="等线"/>
                <w:color w:val="auto"/>
                <w:sz w:val="16"/>
                <w:szCs w:val="16"/>
                <w:highlight w:val="none"/>
              </w:rPr>
            </w:pPr>
          </w:p>
        </w:tc>
      </w:tr>
      <w:tr>
        <w:tblPrEx>
          <w:tblCellMar>
            <w:top w:w="0" w:type="dxa"/>
            <w:left w:w="0" w:type="dxa"/>
            <w:bottom w:w="0" w:type="dxa"/>
            <w:right w:w="0" w:type="dxa"/>
          </w:tblCellMar>
        </w:tblPrEx>
        <w:trPr>
          <w:trHeight w:val="320" w:hRule="atLeast"/>
          <w:jc w:val="center"/>
        </w:trPr>
        <w:tc>
          <w:tcPr>
            <w:tcW w:w="0" w:type="auto"/>
            <w:gridSpan w:val="10"/>
            <w:tcBorders>
              <w:top w:val="nil"/>
              <w:left w:val="nil"/>
              <w:bottom w:val="nil"/>
              <w:right w:val="nil"/>
            </w:tcBorders>
            <w:noWrap/>
            <w:tcMar>
              <w:top w:w="12" w:type="dxa"/>
              <w:left w:w="12" w:type="dxa"/>
              <w:right w:w="12" w:type="dxa"/>
            </w:tcMar>
            <w:vAlign w:val="center"/>
          </w:tcPr>
          <w:p>
            <w:pPr>
              <w:widowControl/>
              <w:jc w:val="center"/>
              <w:textAlignment w:val="center"/>
              <w:rPr>
                <w:rFonts w:ascii="等线" w:hAnsi="等线" w:eastAsia="等线" w:cs="等线"/>
                <w:b/>
                <w:color w:val="auto"/>
                <w:sz w:val="16"/>
                <w:szCs w:val="16"/>
                <w:highlight w:val="none"/>
              </w:rPr>
            </w:pPr>
            <w:r>
              <w:rPr>
                <w:rFonts w:hint="eastAsia" w:ascii="等线" w:hAnsi="等线" w:eastAsia="等线" w:cs="等线"/>
                <w:b/>
                <w:color w:val="auto"/>
                <w:kern w:val="0"/>
                <w:sz w:val="16"/>
                <w:szCs w:val="16"/>
                <w:highlight w:val="none"/>
                <w:lang w:bidi="ar"/>
              </w:rPr>
              <w:t>营运项目承包单位综合履约考评表（安全）</w:t>
            </w:r>
          </w:p>
        </w:tc>
      </w:tr>
      <w:tr>
        <w:tblPrEx>
          <w:tblCellMar>
            <w:top w:w="0" w:type="dxa"/>
            <w:left w:w="0" w:type="dxa"/>
            <w:bottom w:w="0" w:type="dxa"/>
            <w:right w:w="0" w:type="dxa"/>
          </w:tblCellMar>
        </w:tblPrEx>
        <w:trPr>
          <w:trHeight w:val="380" w:hRule="atLeast"/>
          <w:jc w:val="center"/>
        </w:trPr>
        <w:tc>
          <w:tcPr>
            <w:tcW w:w="0" w:type="auto"/>
            <w:gridSpan w:val="4"/>
            <w:tcBorders>
              <w:top w:val="nil"/>
              <w:left w:val="nil"/>
              <w:bottom w:val="nil"/>
              <w:right w:val="nil"/>
            </w:tcBorders>
            <w:noWrap/>
            <w:tcMar>
              <w:top w:w="12" w:type="dxa"/>
              <w:left w:w="12" w:type="dxa"/>
              <w:right w:w="12" w:type="dxa"/>
            </w:tcMar>
            <w:vAlign w:val="center"/>
          </w:tcPr>
          <w:p>
            <w:pPr>
              <w:widowControl/>
              <w:jc w:val="left"/>
              <w:textAlignment w:val="center"/>
              <w:rPr>
                <w:rFonts w:ascii="等线" w:hAnsi="等线" w:eastAsia="等线" w:cs="等线"/>
                <w:b/>
                <w:color w:val="auto"/>
                <w:sz w:val="16"/>
                <w:szCs w:val="16"/>
                <w:highlight w:val="none"/>
              </w:rPr>
            </w:pPr>
            <w:r>
              <w:rPr>
                <w:rFonts w:hint="eastAsia" w:ascii="等线" w:hAnsi="等线" w:eastAsia="等线" w:cs="等线"/>
                <w:b/>
                <w:color w:val="auto"/>
                <w:kern w:val="0"/>
                <w:sz w:val="16"/>
                <w:szCs w:val="16"/>
                <w:highlight w:val="none"/>
                <w:lang w:bidi="ar"/>
              </w:rPr>
              <w:t>项目名称：</w:t>
            </w:r>
          </w:p>
        </w:tc>
        <w:tc>
          <w:tcPr>
            <w:tcW w:w="0" w:type="auto"/>
            <w:tcBorders>
              <w:top w:val="nil"/>
              <w:left w:val="nil"/>
              <w:bottom w:val="nil"/>
              <w:right w:val="nil"/>
            </w:tcBorders>
            <w:noWrap/>
            <w:tcMar>
              <w:top w:w="12" w:type="dxa"/>
              <w:left w:w="12" w:type="dxa"/>
              <w:right w:w="12" w:type="dxa"/>
            </w:tcMar>
            <w:vAlign w:val="center"/>
          </w:tcPr>
          <w:p>
            <w:pPr>
              <w:jc w:val="center"/>
              <w:rPr>
                <w:rFonts w:ascii="等线" w:hAnsi="等线" w:eastAsia="等线" w:cs="等线"/>
                <w:b/>
                <w:color w:val="auto"/>
                <w:sz w:val="16"/>
                <w:szCs w:val="16"/>
                <w:highlight w:val="none"/>
              </w:rPr>
            </w:pPr>
          </w:p>
        </w:tc>
        <w:tc>
          <w:tcPr>
            <w:tcW w:w="0" w:type="auto"/>
            <w:gridSpan w:val="5"/>
            <w:tcBorders>
              <w:top w:val="nil"/>
              <w:left w:val="nil"/>
              <w:bottom w:val="nil"/>
              <w:right w:val="nil"/>
            </w:tcBorders>
            <w:noWrap/>
            <w:tcMar>
              <w:top w:w="12" w:type="dxa"/>
              <w:left w:w="12" w:type="dxa"/>
              <w:right w:w="12" w:type="dxa"/>
            </w:tcMar>
            <w:vAlign w:val="center"/>
          </w:tcPr>
          <w:p>
            <w:pPr>
              <w:widowControl/>
              <w:jc w:val="left"/>
              <w:textAlignment w:val="center"/>
              <w:rPr>
                <w:rFonts w:ascii="等线" w:hAnsi="等线" w:eastAsia="等线" w:cs="等线"/>
                <w:b/>
                <w:color w:val="auto"/>
                <w:sz w:val="16"/>
                <w:szCs w:val="16"/>
                <w:highlight w:val="none"/>
              </w:rPr>
            </w:pPr>
            <w:r>
              <w:rPr>
                <w:rFonts w:hint="eastAsia" w:ascii="等线" w:hAnsi="等线" w:eastAsia="等线" w:cs="等线"/>
                <w:b/>
                <w:color w:val="auto"/>
                <w:kern w:val="0"/>
                <w:sz w:val="16"/>
                <w:szCs w:val="16"/>
                <w:highlight w:val="none"/>
                <w:lang w:bidi="ar"/>
              </w:rPr>
              <w:t>综合考评日期：           年        月        日</w:t>
            </w:r>
          </w:p>
        </w:tc>
      </w:tr>
      <w:tr>
        <w:tblPrEx>
          <w:tblCellMar>
            <w:top w:w="0" w:type="dxa"/>
            <w:left w:w="0" w:type="dxa"/>
            <w:bottom w:w="0" w:type="dxa"/>
            <w:right w:w="0" w:type="dxa"/>
          </w:tblCellMar>
        </w:tblPrEx>
        <w:trPr>
          <w:trHeight w:val="38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序号</w:t>
            </w:r>
          </w:p>
        </w:tc>
        <w:tc>
          <w:tcPr>
            <w:tcW w:w="49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考评项目</w:t>
            </w:r>
          </w:p>
        </w:tc>
        <w:tc>
          <w:tcPr>
            <w:tcW w:w="49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考评分项</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考评内容</w:t>
            </w:r>
          </w:p>
        </w:tc>
        <w:tc>
          <w:tcPr>
            <w:tcW w:w="109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考评标准</w:t>
            </w:r>
          </w:p>
        </w:tc>
        <w:tc>
          <w:tcPr>
            <w:tcW w:w="58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监理单位考评</w:t>
            </w:r>
          </w:p>
        </w:tc>
        <w:tc>
          <w:tcPr>
            <w:tcW w:w="58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分公司考评</w:t>
            </w:r>
          </w:p>
        </w:tc>
        <w:tc>
          <w:tcPr>
            <w:tcW w:w="117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公司考评</w:t>
            </w:r>
          </w:p>
        </w:tc>
        <w:tc>
          <w:tcPr>
            <w:tcW w:w="58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综合考评</w:t>
            </w:r>
          </w:p>
        </w:tc>
      </w:tr>
      <w:tr>
        <w:tblPrEx>
          <w:tblCellMar>
            <w:top w:w="0" w:type="dxa"/>
            <w:left w:w="0" w:type="dxa"/>
            <w:bottom w:w="0" w:type="dxa"/>
            <w:right w:w="0" w:type="dxa"/>
          </w:tblCellMar>
        </w:tblPrEx>
        <w:trPr>
          <w:trHeight w:val="3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_GB2312" w:hAnsi="等线" w:eastAsia="仿宋_GB2312" w:cs="仿宋_GB2312"/>
                <w:color w:val="auto"/>
                <w:sz w:val="16"/>
                <w:szCs w:val="16"/>
                <w:highlight w:val="none"/>
              </w:rPr>
            </w:pPr>
          </w:p>
        </w:tc>
        <w:tc>
          <w:tcPr>
            <w:tcW w:w="49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等线" w:eastAsia="仿宋_GB2312" w:cs="仿宋_GB2312"/>
                <w:color w:val="auto"/>
                <w:sz w:val="16"/>
                <w:szCs w:val="16"/>
                <w:highlight w:val="none"/>
              </w:rPr>
            </w:pPr>
          </w:p>
        </w:tc>
        <w:tc>
          <w:tcPr>
            <w:tcW w:w="49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等线" w:eastAsia="仿宋_GB2312" w:cs="仿宋_GB2312"/>
                <w:color w:val="auto"/>
                <w:sz w:val="16"/>
                <w:szCs w:val="16"/>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_GB2312" w:hAnsi="等线" w:eastAsia="仿宋_GB2312" w:cs="仿宋_GB2312"/>
                <w:color w:val="auto"/>
                <w:sz w:val="16"/>
                <w:szCs w:val="16"/>
                <w:highlight w:val="none"/>
              </w:rPr>
            </w:pPr>
          </w:p>
        </w:tc>
        <w:tc>
          <w:tcPr>
            <w:tcW w:w="109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等线" w:eastAsia="仿宋_GB2312" w:cs="仿宋_GB2312"/>
                <w:color w:val="auto"/>
                <w:sz w:val="16"/>
                <w:szCs w:val="16"/>
                <w:highlight w:val="none"/>
              </w:rPr>
            </w:pPr>
          </w:p>
        </w:tc>
        <w:tc>
          <w:tcPr>
            <w:tcW w:w="5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等线" w:eastAsia="仿宋_GB2312" w:cs="仿宋_GB2312"/>
                <w:color w:val="auto"/>
                <w:sz w:val="16"/>
                <w:szCs w:val="16"/>
                <w:highlight w:val="none"/>
              </w:rPr>
            </w:pPr>
          </w:p>
        </w:tc>
        <w:tc>
          <w:tcPr>
            <w:tcW w:w="5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业务主管部门</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安全管理部门</w:t>
            </w:r>
          </w:p>
        </w:tc>
        <w:tc>
          <w:tcPr>
            <w:tcW w:w="5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等线" w:eastAsia="仿宋_GB2312" w:cs="仿宋_GB2312"/>
                <w:color w:val="auto"/>
                <w:sz w:val="16"/>
                <w:szCs w:val="16"/>
                <w:highlight w:val="none"/>
              </w:rPr>
            </w:pPr>
          </w:p>
        </w:tc>
      </w:tr>
      <w:tr>
        <w:tblPrEx>
          <w:tblCellMar>
            <w:top w:w="0" w:type="dxa"/>
            <w:left w:w="0" w:type="dxa"/>
            <w:bottom w:w="0" w:type="dxa"/>
            <w:right w:w="0" w:type="dxa"/>
          </w:tblCellMar>
        </w:tblPrEx>
        <w:trPr>
          <w:trHeight w:val="300" w:hRule="atLeast"/>
          <w:jc w:val="center"/>
        </w:trPr>
        <w:tc>
          <w:tcPr>
            <w:tcW w:w="0" w:type="auto"/>
            <w:gridSpan w:val="10"/>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一、加分部分</w:t>
            </w:r>
          </w:p>
        </w:tc>
      </w:tr>
      <w:tr>
        <w:tblPrEx>
          <w:tblCellMar>
            <w:top w:w="0" w:type="dxa"/>
            <w:left w:w="0" w:type="dxa"/>
            <w:bottom w:w="0" w:type="dxa"/>
            <w:right w:w="0"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等线" w:hAnsi="等线" w:eastAsia="等线" w:cs="等线"/>
                <w:color w:val="auto"/>
                <w:sz w:val="16"/>
                <w:szCs w:val="16"/>
                <w:highlight w:val="none"/>
              </w:rPr>
            </w:pPr>
            <w:r>
              <w:rPr>
                <w:rFonts w:hint="eastAsia" w:ascii="等线" w:hAnsi="等线" w:eastAsia="等线" w:cs="等线"/>
                <w:color w:val="auto"/>
                <w:kern w:val="0"/>
                <w:sz w:val="16"/>
                <w:szCs w:val="16"/>
                <w:highlight w:val="none"/>
                <w:lang w:bidi="ar"/>
              </w:rPr>
              <w:t>1</w:t>
            </w:r>
          </w:p>
        </w:tc>
        <w:tc>
          <w:tcPr>
            <w:tcW w:w="99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综合管理</w:t>
            </w:r>
          </w:p>
        </w:tc>
        <w:tc>
          <w:tcPr>
            <w:tcW w:w="39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受到业主单位或上级管理部门通报表扬的</w:t>
            </w:r>
          </w:p>
        </w:tc>
        <w:tc>
          <w:tcPr>
            <w:tcW w:w="10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加5～10分/项，可叠加</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r>
      <w:tr>
        <w:tblPrEx>
          <w:tblCellMar>
            <w:top w:w="0" w:type="dxa"/>
            <w:left w:w="0" w:type="dxa"/>
            <w:bottom w:w="0" w:type="dxa"/>
            <w:right w:w="0"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等线" w:hAnsi="等线" w:eastAsia="等线" w:cs="等线"/>
                <w:color w:val="auto"/>
                <w:sz w:val="16"/>
                <w:szCs w:val="16"/>
                <w:highlight w:val="none"/>
              </w:rPr>
            </w:pPr>
            <w:r>
              <w:rPr>
                <w:rFonts w:hint="eastAsia" w:ascii="等线" w:hAnsi="等线" w:eastAsia="等线" w:cs="等线"/>
                <w:color w:val="auto"/>
                <w:kern w:val="0"/>
                <w:sz w:val="16"/>
                <w:szCs w:val="16"/>
                <w:highlight w:val="none"/>
                <w:lang w:bidi="ar"/>
              </w:rPr>
              <w:t>2</w:t>
            </w:r>
          </w:p>
        </w:tc>
        <w:tc>
          <w:tcPr>
            <w:tcW w:w="99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现场管理</w:t>
            </w:r>
          </w:p>
        </w:tc>
        <w:tc>
          <w:tcPr>
            <w:tcW w:w="39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积极配合业主单位做好安全工作及相关宣传教育，积极主动排查隐患的</w:t>
            </w:r>
          </w:p>
        </w:tc>
        <w:tc>
          <w:tcPr>
            <w:tcW w:w="10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加5分/项</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r>
      <w:tr>
        <w:tblPrEx>
          <w:tblCellMar>
            <w:top w:w="0" w:type="dxa"/>
            <w:left w:w="0" w:type="dxa"/>
            <w:bottom w:w="0" w:type="dxa"/>
            <w:right w:w="0" w:type="dxa"/>
          </w:tblCellMar>
        </w:tblPrEx>
        <w:trPr>
          <w:trHeight w:val="260" w:hRule="atLeast"/>
          <w:jc w:val="center"/>
        </w:trPr>
        <w:tc>
          <w:tcPr>
            <w:tcW w:w="0" w:type="auto"/>
            <w:gridSpan w:val="10"/>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二、扣分部分</w:t>
            </w:r>
          </w:p>
        </w:tc>
      </w:tr>
      <w:tr>
        <w:tblPrEx>
          <w:tblCellMar>
            <w:top w:w="0" w:type="dxa"/>
            <w:left w:w="0" w:type="dxa"/>
            <w:bottom w:w="0" w:type="dxa"/>
            <w:right w:w="0"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等线" w:hAnsi="等线" w:eastAsia="等线" w:cs="等线"/>
                <w:color w:val="auto"/>
                <w:sz w:val="16"/>
                <w:szCs w:val="16"/>
                <w:highlight w:val="none"/>
              </w:rPr>
            </w:pPr>
            <w:r>
              <w:rPr>
                <w:rFonts w:hint="eastAsia" w:ascii="等线" w:hAnsi="等线" w:eastAsia="等线" w:cs="等线"/>
                <w:color w:val="auto"/>
                <w:kern w:val="0"/>
                <w:sz w:val="16"/>
                <w:szCs w:val="16"/>
                <w:highlight w:val="none"/>
                <w:lang w:bidi="ar"/>
              </w:rPr>
              <w:t>3</w:t>
            </w:r>
          </w:p>
        </w:tc>
        <w:tc>
          <w:tcPr>
            <w:tcW w:w="49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安全事故</w:t>
            </w:r>
          </w:p>
        </w:tc>
        <w:tc>
          <w:tcPr>
            <w:tcW w:w="49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事故类型</w:t>
            </w:r>
          </w:p>
        </w:tc>
        <w:tc>
          <w:tcPr>
            <w:tcW w:w="39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发生重伤1人及以上安全事故，或直接经济损失达200万元以上的安全生产事故</w:t>
            </w:r>
          </w:p>
        </w:tc>
        <w:tc>
          <w:tcPr>
            <w:tcW w:w="10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扣100分/项，同时3年内禁止来我公司投标</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r>
      <w:tr>
        <w:tblPrEx>
          <w:tblCellMar>
            <w:top w:w="0" w:type="dxa"/>
            <w:left w:w="0" w:type="dxa"/>
            <w:bottom w:w="0" w:type="dxa"/>
            <w:right w:w="0" w:type="dxa"/>
          </w:tblCellMar>
        </w:tblPrEx>
        <w:trPr>
          <w:trHeight w:val="78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等线" w:hAnsi="等线" w:eastAsia="等线" w:cs="等线"/>
                <w:color w:val="auto"/>
                <w:sz w:val="16"/>
                <w:szCs w:val="16"/>
                <w:highlight w:val="none"/>
              </w:rPr>
            </w:pPr>
            <w:r>
              <w:rPr>
                <w:rFonts w:hint="eastAsia" w:ascii="等线" w:hAnsi="等线" w:eastAsia="等线" w:cs="等线"/>
                <w:color w:val="auto"/>
                <w:kern w:val="0"/>
                <w:sz w:val="16"/>
                <w:szCs w:val="16"/>
                <w:highlight w:val="none"/>
                <w:lang w:bidi="ar"/>
              </w:rPr>
              <w:t>6</w:t>
            </w:r>
          </w:p>
        </w:tc>
        <w:tc>
          <w:tcPr>
            <w:tcW w:w="49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等线" w:eastAsia="仿宋_GB2312" w:cs="仿宋_GB2312"/>
                <w:color w:val="auto"/>
                <w:sz w:val="16"/>
                <w:szCs w:val="16"/>
                <w:highlight w:val="none"/>
              </w:rPr>
            </w:pPr>
          </w:p>
        </w:tc>
        <w:tc>
          <w:tcPr>
            <w:tcW w:w="49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等线" w:eastAsia="仿宋_GB2312" w:cs="仿宋_GB2312"/>
                <w:color w:val="auto"/>
                <w:sz w:val="16"/>
                <w:szCs w:val="16"/>
                <w:highlight w:val="none"/>
              </w:rPr>
            </w:pPr>
          </w:p>
        </w:tc>
        <w:tc>
          <w:tcPr>
            <w:tcW w:w="39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发生停产、影响环境、破坏公共设施、造成不良影响等事故的</w:t>
            </w:r>
          </w:p>
        </w:tc>
        <w:tc>
          <w:tcPr>
            <w:tcW w:w="10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扣40分/项，可叠加，到达100分，3年内禁止来我公司投标</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r>
      <w:tr>
        <w:tblPrEx>
          <w:tblCellMar>
            <w:top w:w="0" w:type="dxa"/>
            <w:left w:w="0" w:type="dxa"/>
            <w:bottom w:w="0" w:type="dxa"/>
            <w:right w:w="0"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等线" w:hAnsi="等线" w:eastAsia="等线" w:cs="等线"/>
                <w:color w:val="auto"/>
                <w:sz w:val="16"/>
                <w:szCs w:val="16"/>
                <w:highlight w:val="none"/>
              </w:rPr>
            </w:pPr>
            <w:r>
              <w:rPr>
                <w:rFonts w:hint="eastAsia" w:ascii="等线" w:hAnsi="等线" w:eastAsia="等线" w:cs="等线"/>
                <w:color w:val="auto"/>
                <w:kern w:val="0"/>
                <w:sz w:val="16"/>
                <w:szCs w:val="16"/>
                <w:highlight w:val="none"/>
                <w:lang w:bidi="ar"/>
              </w:rPr>
              <w:t>7</w:t>
            </w:r>
          </w:p>
        </w:tc>
        <w:tc>
          <w:tcPr>
            <w:tcW w:w="49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等线" w:eastAsia="仿宋_GB2312" w:cs="仿宋_GB2312"/>
                <w:color w:val="auto"/>
                <w:sz w:val="16"/>
                <w:szCs w:val="16"/>
                <w:highlight w:val="none"/>
              </w:rPr>
            </w:pPr>
          </w:p>
        </w:tc>
        <w:tc>
          <w:tcPr>
            <w:tcW w:w="4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事故处理</w:t>
            </w:r>
          </w:p>
        </w:tc>
        <w:tc>
          <w:tcPr>
            <w:tcW w:w="39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1.发生事故或事件隐瞒不报的</w:t>
            </w:r>
          </w:p>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2.未在1小时内向业主单位上报事故的</w:t>
            </w:r>
          </w:p>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3.拒绝、不配合事故事件调查的或事故事件调查提供虚假信息</w:t>
            </w:r>
          </w:p>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4.未按规定和程序组织事故调查和事故处理的</w:t>
            </w:r>
          </w:p>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5.未及时处理导致事故扩大的</w:t>
            </w:r>
          </w:p>
          <w:p>
            <w:pPr>
              <w:widowControl/>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6.未落实“四不放过”的</w:t>
            </w:r>
          </w:p>
        </w:tc>
        <w:tc>
          <w:tcPr>
            <w:tcW w:w="10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扣100分/项，同时3年内禁止来我公司投标</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r>
      <w:tr>
        <w:tblPrEx>
          <w:tblCellMar>
            <w:top w:w="0" w:type="dxa"/>
            <w:left w:w="0" w:type="dxa"/>
            <w:bottom w:w="0" w:type="dxa"/>
            <w:right w:w="0" w:type="dxa"/>
          </w:tblCellMar>
        </w:tblPrEx>
        <w:trPr>
          <w:trHeight w:val="128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等线" w:hAnsi="等线" w:eastAsia="等线" w:cs="等线"/>
                <w:color w:val="auto"/>
                <w:sz w:val="16"/>
                <w:szCs w:val="16"/>
                <w:highlight w:val="none"/>
              </w:rPr>
            </w:pPr>
            <w:r>
              <w:rPr>
                <w:rFonts w:hint="eastAsia" w:ascii="等线" w:hAnsi="等线" w:eastAsia="等线" w:cs="等线"/>
                <w:color w:val="auto"/>
                <w:kern w:val="0"/>
                <w:sz w:val="16"/>
                <w:szCs w:val="16"/>
                <w:highlight w:val="none"/>
                <w:lang w:bidi="ar"/>
              </w:rPr>
              <w:t>8</w:t>
            </w:r>
          </w:p>
        </w:tc>
        <w:tc>
          <w:tcPr>
            <w:tcW w:w="49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首次备案施工单位须提供的资料</w:t>
            </w:r>
          </w:p>
        </w:tc>
        <w:tc>
          <w:tcPr>
            <w:tcW w:w="4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一般资料</w:t>
            </w:r>
          </w:p>
        </w:tc>
        <w:tc>
          <w:tcPr>
            <w:tcW w:w="39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1.施工人员签名的安全交底表（交底内容由分公司编写），被交底人员应与人员花名册一致</w:t>
            </w:r>
          </w:p>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2.施工单位对施工人员的三级安全教育材料</w:t>
            </w:r>
          </w:p>
          <w:p>
            <w:pPr>
              <w:widowControl/>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3.特殊时期需要增加的资料（如新冠疫情期间，需要增加的人员健康码和行程码资料）</w:t>
            </w:r>
          </w:p>
        </w:tc>
        <w:tc>
          <w:tcPr>
            <w:tcW w:w="10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缺资料扣3～5分/项；</w:t>
            </w:r>
          </w:p>
          <w:p>
            <w:pPr>
              <w:widowControl/>
              <w:jc w:val="left"/>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资料有问题扣1～3分/项</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r>
      <w:tr>
        <w:tblPrEx>
          <w:tblCellMar>
            <w:top w:w="0" w:type="dxa"/>
            <w:left w:w="0" w:type="dxa"/>
            <w:bottom w:w="0" w:type="dxa"/>
            <w:right w:w="0" w:type="dxa"/>
          </w:tblCellMar>
        </w:tblPrEx>
        <w:trPr>
          <w:trHeight w:val="138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等线" w:hAnsi="等线" w:eastAsia="等线" w:cs="等线"/>
                <w:color w:val="auto"/>
                <w:sz w:val="16"/>
                <w:szCs w:val="16"/>
                <w:highlight w:val="none"/>
              </w:rPr>
            </w:pPr>
            <w:r>
              <w:rPr>
                <w:rFonts w:hint="eastAsia" w:ascii="等线" w:hAnsi="等线" w:eastAsia="等线" w:cs="等线"/>
                <w:color w:val="auto"/>
                <w:kern w:val="0"/>
                <w:sz w:val="16"/>
                <w:szCs w:val="16"/>
                <w:highlight w:val="none"/>
                <w:lang w:bidi="ar"/>
              </w:rPr>
              <w:t>9</w:t>
            </w:r>
          </w:p>
        </w:tc>
        <w:tc>
          <w:tcPr>
            <w:tcW w:w="49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等线" w:eastAsia="仿宋_GB2312" w:cs="仿宋_GB2312"/>
                <w:color w:val="auto"/>
                <w:sz w:val="16"/>
                <w:szCs w:val="16"/>
                <w:highlight w:val="none"/>
              </w:rPr>
            </w:pPr>
          </w:p>
        </w:tc>
        <w:tc>
          <w:tcPr>
            <w:tcW w:w="4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施工方案</w:t>
            </w:r>
          </w:p>
        </w:tc>
        <w:tc>
          <w:tcPr>
            <w:tcW w:w="39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4.施工方案，应满足合同要求，内容至少包括：</w:t>
            </w:r>
          </w:p>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 xml:space="preserve">  施工点介绍</w:t>
            </w:r>
          </w:p>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 xml:space="preserve">  施工内容（含作业流程、风险分析、施工工艺等）</w:t>
            </w:r>
          </w:p>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 xml:space="preserve">  施工设备和材料（必要时含构件测试手段等）</w:t>
            </w:r>
          </w:p>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 xml:space="preserve">  安全措施（根据工程特点、分公司的风险评估和施工单位的施工工艺制定）</w:t>
            </w:r>
          </w:p>
          <w:p>
            <w:pPr>
              <w:widowControl/>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 xml:space="preserve">  正常施工安全物资（主要是安全防护设备、劳保用品）</w:t>
            </w:r>
          </w:p>
        </w:tc>
        <w:tc>
          <w:tcPr>
            <w:tcW w:w="10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缺施工方案扣4～8分/项；</w:t>
            </w:r>
          </w:p>
          <w:p>
            <w:pPr>
              <w:widowControl/>
              <w:jc w:val="left"/>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资料有问题扣1～3分/项</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r>
      <w:tr>
        <w:tblPrEx>
          <w:tblCellMar>
            <w:top w:w="0" w:type="dxa"/>
            <w:left w:w="0" w:type="dxa"/>
            <w:bottom w:w="0" w:type="dxa"/>
            <w:right w:w="0" w:type="dxa"/>
          </w:tblCellMar>
        </w:tblPrEx>
        <w:trPr>
          <w:trHeight w:val="537"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等线" w:hAnsi="等线" w:eastAsia="等线" w:cs="等线"/>
                <w:color w:val="auto"/>
                <w:sz w:val="16"/>
                <w:szCs w:val="16"/>
                <w:highlight w:val="none"/>
              </w:rPr>
            </w:pPr>
            <w:r>
              <w:rPr>
                <w:rFonts w:hint="eastAsia" w:ascii="等线" w:hAnsi="等线" w:eastAsia="等线" w:cs="等线"/>
                <w:color w:val="auto"/>
                <w:kern w:val="0"/>
                <w:sz w:val="16"/>
                <w:szCs w:val="16"/>
                <w:highlight w:val="none"/>
                <w:lang w:bidi="ar"/>
              </w:rPr>
              <w:t>10</w:t>
            </w:r>
          </w:p>
        </w:tc>
        <w:tc>
          <w:tcPr>
            <w:tcW w:w="49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等线" w:eastAsia="仿宋_GB2312" w:cs="仿宋_GB2312"/>
                <w:color w:val="auto"/>
                <w:sz w:val="16"/>
                <w:szCs w:val="16"/>
                <w:highlight w:val="none"/>
              </w:rPr>
            </w:pPr>
          </w:p>
        </w:tc>
        <w:tc>
          <w:tcPr>
            <w:tcW w:w="4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应急预案</w:t>
            </w:r>
          </w:p>
        </w:tc>
        <w:tc>
          <w:tcPr>
            <w:tcW w:w="39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5.应急预案，内容至少包括：</w:t>
            </w:r>
          </w:p>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 xml:space="preserve">  现场情况介绍</w:t>
            </w:r>
          </w:p>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 xml:space="preserve">  风险评估</w:t>
            </w:r>
          </w:p>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 xml:space="preserve">  应急架构（包括应急主管人员和安全员，以及各应急小组，落实到人和联系方式）</w:t>
            </w:r>
          </w:p>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 xml:space="preserve">  应急流程</w:t>
            </w:r>
          </w:p>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 xml:space="preserve">  各种风险情况下的应急措施（根据现场情况、分公司的风险评估制定）</w:t>
            </w:r>
          </w:p>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 xml:space="preserve">  应急物资清单</w:t>
            </w:r>
          </w:p>
          <w:p>
            <w:pPr>
              <w:widowControl/>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 xml:space="preserve">  外单位救援力量及联系方式等</w:t>
            </w:r>
          </w:p>
        </w:tc>
        <w:tc>
          <w:tcPr>
            <w:tcW w:w="10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缺应急预案扣4～8分/项；</w:t>
            </w:r>
          </w:p>
          <w:p>
            <w:pPr>
              <w:widowControl/>
              <w:jc w:val="left"/>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资料有问题扣1～3分/项</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r>
      <w:tr>
        <w:tblPrEx>
          <w:tblCellMar>
            <w:top w:w="0" w:type="dxa"/>
            <w:left w:w="0" w:type="dxa"/>
            <w:bottom w:w="0" w:type="dxa"/>
            <w:right w:w="0" w:type="dxa"/>
          </w:tblCellMar>
        </w:tblPrEx>
        <w:trPr>
          <w:trHeight w:val="15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等线" w:hAnsi="等线" w:eastAsia="等线" w:cs="等线"/>
                <w:color w:val="auto"/>
                <w:sz w:val="16"/>
                <w:szCs w:val="16"/>
                <w:highlight w:val="none"/>
              </w:rPr>
            </w:pPr>
            <w:r>
              <w:rPr>
                <w:rFonts w:hint="eastAsia" w:ascii="等线" w:hAnsi="等线" w:eastAsia="等线" w:cs="等线"/>
                <w:color w:val="auto"/>
                <w:kern w:val="0"/>
                <w:sz w:val="16"/>
                <w:szCs w:val="16"/>
                <w:highlight w:val="none"/>
                <w:lang w:bidi="ar"/>
              </w:rPr>
              <w:t>11</w:t>
            </w:r>
          </w:p>
        </w:tc>
        <w:tc>
          <w:tcPr>
            <w:tcW w:w="49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等线" w:eastAsia="仿宋_GB2312" w:cs="仿宋_GB2312"/>
                <w:color w:val="auto"/>
                <w:sz w:val="16"/>
                <w:szCs w:val="16"/>
                <w:highlight w:val="none"/>
              </w:rPr>
            </w:pPr>
          </w:p>
        </w:tc>
        <w:tc>
          <w:tcPr>
            <w:tcW w:w="4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安全架构</w:t>
            </w:r>
          </w:p>
        </w:tc>
        <w:tc>
          <w:tcPr>
            <w:tcW w:w="39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6.安全架构和相应安全责任制（落实到人和联系方式），可编写入施工方案内，架构人员主要包括：</w:t>
            </w:r>
          </w:p>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 xml:space="preserve">  安全责任人</w:t>
            </w:r>
          </w:p>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 xml:space="preserve">  施工负责人（可与安全责任人为同一个人）</w:t>
            </w:r>
          </w:p>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 xml:space="preserve">  安全员</w:t>
            </w:r>
          </w:p>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 xml:space="preserve">  设备、物资管理人员</w:t>
            </w:r>
          </w:p>
          <w:p>
            <w:pPr>
              <w:widowControl/>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 xml:space="preserve">  关键岗位人员、特种作业人员</w:t>
            </w:r>
          </w:p>
        </w:tc>
        <w:tc>
          <w:tcPr>
            <w:tcW w:w="10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缺安全架构扣5～10分/项；</w:t>
            </w:r>
          </w:p>
          <w:p>
            <w:pPr>
              <w:widowControl/>
              <w:jc w:val="left"/>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缺任何一类人员及其职责有问题扣2～4分/项</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r>
      <w:tr>
        <w:tblPrEx>
          <w:tblCellMar>
            <w:top w:w="0" w:type="dxa"/>
            <w:left w:w="0" w:type="dxa"/>
            <w:bottom w:w="0" w:type="dxa"/>
            <w:right w:w="0" w:type="dxa"/>
          </w:tblCellMar>
        </w:tblPrEx>
        <w:trPr>
          <w:trHeight w:val="2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等线" w:hAnsi="等线" w:eastAsia="等线" w:cs="等线"/>
                <w:color w:val="auto"/>
                <w:sz w:val="16"/>
                <w:szCs w:val="16"/>
                <w:highlight w:val="none"/>
              </w:rPr>
            </w:pPr>
            <w:r>
              <w:rPr>
                <w:rFonts w:hint="eastAsia" w:ascii="等线" w:hAnsi="等线" w:eastAsia="等线" w:cs="等线"/>
                <w:color w:val="auto"/>
                <w:kern w:val="0"/>
                <w:sz w:val="16"/>
                <w:szCs w:val="16"/>
                <w:highlight w:val="none"/>
                <w:lang w:bidi="ar"/>
              </w:rPr>
              <w:t>12</w:t>
            </w:r>
          </w:p>
        </w:tc>
        <w:tc>
          <w:tcPr>
            <w:tcW w:w="49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等线" w:eastAsia="仿宋_GB2312" w:cs="仿宋_GB2312"/>
                <w:color w:val="auto"/>
                <w:sz w:val="16"/>
                <w:szCs w:val="16"/>
                <w:highlight w:val="none"/>
              </w:rPr>
            </w:pPr>
          </w:p>
        </w:tc>
        <w:tc>
          <w:tcPr>
            <w:tcW w:w="4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人员资质</w:t>
            </w:r>
          </w:p>
        </w:tc>
        <w:tc>
          <w:tcPr>
            <w:tcW w:w="39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7.施工人员花名册，人员应包含：</w:t>
            </w:r>
          </w:p>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 xml:space="preserve">  施工负责人（需要施工管理人员资格证书）</w:t>
            </w:r>
          </w:p>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 xml:space="preserve">  安全员（涉及动火、临时用电、有限空间、高空、抽堵盲板、吊装、动土、断路、设备检修等9大危险作业的，安全员需要有安全员证）</w:t>
            </w:r>
          </w:p>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 xml:space="preserve">  特种作业人员（附证件号，同时要复印特种作业证，特种作业人数应满足合同要求）</w:t>
            </w:r>
          </w:p>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 xml:space="preserve">  一般施工人员</w:t>
            </w:r>
          </w:p>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 xml:space="preserve">  可能需要进入厂区的其他人员（如监理人员、资料员等）</w:t>
            </w:r>
          </w:p>
          <w:p>
            <w:pPr>
              <w:widowControl/>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注：如作业涉及危险作业，作业人员须有作业人员岗前职业病体检和筛选</w:t>
            </w:r>
          </w:p>
        </w:tc>
        <w:tc>
          <w:tcPr>
            <w:tcW w:w="10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缺花名册扣3～5分/项；</w:t>
            </w:r>
          </w:p>
          <w:p>
            <w:pPr>
              <w:widowControl/>
              <w:jc w:val="left"/>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缺特种作业人员或特种作业人员不满足合同要求扣3～5分/项；</w:t>
            </w:r>
          </w:p>
          <w:p>
            <w:pPr>
              <w:widowControl/>
              <w:jc w:val="left"/>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其他人员或资料有缺漏扣1～3分/项</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r>
      <w:tr>
        <w:tblPrEx>
          <w:tblCellMar>
            <w:top w:w="0" w:type="dxa"/>
            <w:left w:w="0" w:type="dxa"/>
            <w:bottom w:w="0" w:type="dxa"/>
            <w:right w:w="0" w:type="dxa"/>
          </w:tblCellMar>
        </w:tblPrEx>
        <w:trPr>
          <w:trHeight w:val="156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等线" w:hAnsi="等线" w:eastAsia="等线" w:cs="等线"/>
                <w:color w:val="auto"/>
                <w:sz w:val="16"/>
                <w:szCs w:val="16"/>
                <w:highlight w:val="none"/>
              </w:rPr>
            </w:pPr>
            <w:r>
              <w:rPr>
                <w:rFonts w:hint="eastAsia" w:ascii="等线" w:hAnsi="等线" w:eastAsia="等线" w:cs="等线"/>
                <w:color w:val="auto"/>
                <w:kern w:val="0"/>
                <w:sz w:val="16"/>
                <w:szCs w:val="16"/>
                <w:highlight w:val="none"/>
                <w:lang w:bidi="ar"/>
              </w:rPr>
              <w:t>13</w:t>
            </w:r>
          </w:p>
        </w:tc>
        <w:tc>
          <w:tcPr>
            <w:tcW w:w="49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施工现场管理</w:t>
            </w:r>
          </w:p>
        </w:tc>
        <w:tc>
          <w:tcPr>
            <w:tcW w:w="4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现场面貌</w:t>
            </w:r>
          </w:p>
        </w:tc>
        <w:tc>
          <w:tcPr>
            <w:tcW w:w="39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1.施工现场未开展有效围蔽</w:t>
            </w:r>
          </w:p>
          <w:p>
            <w:pPr>
              <w:widowControl/>
              <w:jc w:val="left"/>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2.无七牌一图或有缺漏（七牌：工程概况牌：管理人员名单及监督电话牌、现场事故应急救援预案公示牌、安全生产牌、文明施工牌、消防保卫牌、环境保护牌；一图：施工现场平面图）</w:t>
            </w:r>
          </w:p>
          <w:p>
            <w:pPr>
              <w:widowControl/>
              <w:jc w:val="left"/>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3.现场无危险源公示、告知及相应警示</w:t>
            </w:r>
          </w:p>
          <w:p>
            <w:pPr>
              <w:widowControl/>
              <w:jc w:val="left"/>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4.材料堆放存在重大隐患</w:t>
            </w:r>
          </w:p>
        </w:tc>
        <w:tc>
          <w:tcPr>
            <w:tcW w:w="10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扣2～4分/项</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r>
      <w:tr>
        <w:tblPrEx>
          <w:tblCellMar>
            <w:top w:w="0" w:type="dxa"/>
            <w:left w:w="0" w:type="dxa"/>
            <w:bottom w:w="0" w:type="dxa"/>
            <w:right w:w="0" w:type="dxa"/>
          </w:tblCellMar>
        </w:tblPrEx>
        <w:trPr>
          <w:trHeight w:val="84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等线" w:hAnsi="等线" w:eastAsia="等线" w:cs="等线"/>
                <w:color w:val="auto"/>
                <w:sz w:val="16"/>
                <w:szCs w:val="16"/>
                <w:highlight w:val="none"/>
              </w:rPr>
            </w:pPr>
            <w:r>
              <w:rPr>
                <w:rFonts w:hint="eastAsia" w:ascii="等线" w:hAnsi="等线" w:eastAsia="等线" w:cs="等线"/>
                <w:color w:val="auto"/>
                <w:kern w:val="0"/>
                <w:sz w:val="16"/>
                <w:szCs w:val="16"/>
                <w:highlight w:val="none"/>
                <w:lang w:bidi="ar"/>
              </w:rPr>
              <w:t>14</w:t>
            </w:r>
          </w:p>
        </w:tc>
        <w:tc>
          <w:tcPr>
            <w:tcW w:w="49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等线" w:eastAsia="仿宋_GB2312" w:cs="仿宋_GB2312"/>
                <w:color w:val="auto"/>
                <w:sz w:val="16"/>
                <w:szCs w:val="16"/>
                <w:highlight w:val="none"/>
              </w:rPr>
            </w:pPr>
          </w:p>
        </w:tc>
        <w:tc>
          <w:tcPr>
            <w:tcW w:w="4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施工管理</w:t>
            </w:r>
          </w:p>
        </w:tc>
        <w:tc>
          <w:tcPr>
            <w:tcW w:w="39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1.现场未按施工方案落实安全防范措施的</w:t>
            </w:r>
          </w:p>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2.危险作业未经业主人员审批先行施工的</w:t>
            </w:r>
          </w:p>
          <w:p>
            <w:pPr>
              <w:widowControl/>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3.未按施工方案施工的</w:t>
            </w:r>
          </w:p>
        </w:tc>
        <w:tc>
          <w:tcPr>
            <w:tcW w:w="10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扣3～5分/项</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r>
      <w:tr>
        <w:tblPrEx>
          <w:tblCellMar>
            <w:top w:w="0" w:type="dxa"/>
            <w:left w:w="0" w:type="dxa"/>
            <w:bottom w:w="0" w:type="dxa"/>
            <w:right w:w="0" w:type="dxa"/>
          </w:tblCellMar>
        </w:tblPrEx>
        <w:trPr>
          <w:trHeight w:val="86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等线" w:hAnsi="等线" w:eastAsia="等线" w:cs="等线"/>
                <w:color w:val="auto"/>
                <w:sz w:val="16"/>
                <w:szCs w:val="16"/>
                <w:highlight w:val="none"/>
              </w:rPr>
            </w:pPr>
            <w:r>
              <w:rPr>
                <w:rFonts w:hint="eastAsia" w:ascii="等线" w:hAnsi="等线" w:eastAsia="等线" w:cs="等线"/>
                <w:color w:val="auto"/>
                <w:kern w:val="0"/>
                <w:sz w:val="16"/>
                <w:szCs w:val="16"/>
                <w:highlight w:val="none"/>
                <w:lang w:bidi="ar"/>
              </w:rPr>
              <w:t>15</w:t>
            </w:r>
          </w:p>
        </w:tc>
        <w:tc>
          <w:tcPr>
            <w:tcW w:w="49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等线" w:eastAsia="仿宋_GB2312" w:cs="仿宋_GB2312"/>
                <w:color w:val="auto"/>
                <w:sz w:val="16"/>
                <w:szCs w:val="16"/>
                <w:highlight w:val="none"/>
              </w:rPr>
            </w:pPr>
          </w:p>
        </w:tc>
        <w:tc>
          <w:tcPr>
            <w:tcW w:w="4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每日安全交底</w:t>
            </w:r>
          </w:p>
        </w:tc>
        <w:tc>
          <w:tcPr>
            <w:tcW w:w="39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1.缺少书面交底、未留存书面资料或交底资料缺少交底人、被交底人及安全员签字的</w:t>
            </w:r>
          </w:p>
          <w:p>
            <w:pPr>
              <w:widowControl/>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2.内容未结合当天的现场状况、特点、工序，对危险因素、施工内容、安全作业和应急措施进行交底的</w:t>
            </w:r>
          </w:p>
        </w:tc>
        <w:tc>
          <w:tcPr>
            <w:tcW w:w="10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扣2～4分/项</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r>
      <w:tr>
        <w:tblPrEx>
          <w:tblCellMar>
            <w:top w:w="0" w:type="dxa"/>
            <w:left w:w="0" w:type="dxa"/>
            <w:bottom w:w="0" w:type="dxa"/>
            <w:right w:w="0" w:type="dxa"/>
          </w:tblCellMar>
        </w:tblPrEx>
        <w:trPr>
          <w:trHeight w:val="11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等线" w:hAnsi="等线" w:eastAsia="等线" w:cs="等线"/>
                <w:color w:val="auto"/>
                <w:sz w:val="16"/>
                <w:szCs w:val="16"/>
                <w:highlight w:val="none"/>
              </w:rPr>
            </w:pPr>
            <w:r>
              <w:rPr>
                <w:rFonts w:hint="eastAsia" w:ascii="等线" w:hAnsi="等线" w:eastAsia="等线" w:cs="等线"/>
                <w:color w:val="auto"/>
                <w:kern w:val="0"/>
                <w:sz w:val="16"/>
                <w:szCs w:val="16"/>
                <w:highlight w:val="none"/>
                <w:lang w:bidi="ar"/>
              </w:rPr>
              <w:t>16</w:t>
            </w:r>
          </w:p>
        </w:tc>
        <w:tc>
          <w:tcPr>
            <w:tcW w:w="49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等线" w:eastAsia="仿宋_GB2312" w:cs="仿宋_GB2312"/>
                <w:color w:val="auto"/>
                <w:sz w:val="16"/>
                <w:szCs w:val="16"/>
                <w:highlight w:val="none"/>
              </w:rPr>
            </w:pPr>
          </w:p>
        </w:tc>
        <w:tc>
          <w:tcPr>
            <w:tcW w:w="4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作业行为管理</w:t>
            </w:r>
          </w:p>
        </w:tc>
        <w:tc>
          <w:tcPr>
            <w:tcW w:w="39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1.违反9大危险作业相关作业规范的</w:t>
            </w:r>
          </w:p>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2.现场存在违章作业、违章指挥等违反相关安全管理规定或制度的</w:t>
            </w:r>
          </w:p>
          <w:p>
            <w:pPr>
              <w:widowControl/>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3.人员错误使用劳保用品3次以上的</w:t>
            </w:r>
          </w:p>
        </w:tc>
        <w:tc>
          <w:tcPr>
            <w:tcW w:w="10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扣3～5分/项</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r>
      <w:tr>
        <w:tblPrEx>
          <w:tblCellMar>
            <w:top w:w="0" w:type="dxa"/>
            <w:left w:w="0" w:type="dxa"/>
            <w:bottom w:w="0" w:type="dxa"/>
            <w:right w:w="0"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等线" w:hAnsi="等线" w:eastAsia="等线" w:cs="等线"/>
                <w:color w:val="auto"/>
                <w:sz w:val="16"/>
                <w:szCs w:val="16"/>
                <w:highlight w:val="none"/>
              </w:rPr>
            </w:pPr>
            <w:r>
              <w:rPr>
                <w:rFonts w:hint="eastAsia" w:ascii="等线" w:hAnsi="等线" w:eastAsia="等线" w:cs="等线"/>
                <w:color w:val="auto"/>
                <w:kern w:val="0"/>
                <w:sz w:val="16"/>
                <w:szCs w:val="16"/>
                <w:highlight w:val="none"/>
                <w:lang w:bidi="ar"/>
              </w:rPr>
              <w:t>17</w:t>
            </w:r>
          </w:p>
        </w:tc>
        <w:tc>
          <w:tcPr>
            <w:tcW w:w="49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等线" w:eastAsia="仿宋_GB2312" w:cs="仿宋_GB2312"/>
                <w:color w:val="auto"/>
                <w:sz w:val="16"/>
                <w:szCs w:val="16"/>
                <w:highlight w:val="none"/>
              </w:rPr>
            </w:pPr>
          </w:p>
        </w:tc>
        <w:tc>
          <w:tcPr>
            <w:tcW w:w="4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安全记录</w:t>
            </w:r>
          </w:p>
        </w:tc>
        <w:tc>
          <w:tcPr>
            <w:tcW w:w="39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未按施工要求开展现场记录或记录内容有缺失</w:t>
            </w:r>
          </w:p>
        </w:tc>
        <w:tc>
          <w:tcPr>
            <w:tcW w:w="10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扣2～4分/项</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r>
      <w:tr>
        <w:tblPrEx>
          <w:tblCellMar>
            <w:top w:w="0" w:type="dxa"/>
            <w:left w:w="0" w:type="dxa"/>
            <w:bottom w:w="0" w:type="dxa"/>
            <w:right w:w="0" w:type="dxa"/>
          </w:tblCellMar>
        </w:tblPrEx>
        <w:trPr>
          <w:trHeight w:val="76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等线" w:hAnsi="等线" w:eastAsia="等线" w:cs="等线"/>
                <w:color w:val="auto"/>
                <w:sz w:val="16"/>
                <w:szCs w:val="16"/>
                <w:highlight w:val="none"/>
              </w:rPr>
            </w:pPr>
            <w:r>
              <w:rPr>
                <w:rFonts w:hint="eastAsia" w:ascii="等线" w:hAnsi="等线" w:eastAsia="等线" w:cs="等线"/>
                <w:color w:val="auto"/>
                <w:kern w:val="0"/>
                <w:sz w:val="16"/>
                <w:szCs w:val="16"/>
                <w:highlight w:val="none"/>
                <w:lang w:bidi="ar"/>
              </w:rPr>
              <w:t>18</w:t>
            </w:r>
          </w:p>
        </w:tc>
        <w:tc>
          <w:tcPr>
            <w:tcW w:w="49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等线" w:eastAsia="仿宋_GB2312" w:cs="仿宋_GB2312"/>
                <w:color w:val="auto"/>
                <w:sz w:val="16"/>
                <w:szCs w:val="16"/>
                <w:highlight w:val="none"/>
              </w:rPr>
            </w:pPr>
          </w:p>
        </w:tc>
        <w:tc>
          <w:tcPr>
            <w:tcW w:w="4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应急管理</w:t>
            </w:r>
          </w:p>
        </w:tc>
        <w:tc>
          <w:tcPr>
            <w:tcW w:w="39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1.未设置应急物资点，未统一存放应急物资</w:t>
            </w:r>
          </w:p>
          <w:p>
            <w:pPr>
              <w:widowControl/>
              <w:textAlignment w:val="center"/>
              <w:rPr>
                <w:rFonts w:hint="eastAsia" w:ascii="仿宋_GB2312" w:hAnsi="等线" w:eastAsia="仿宋_GB2312" w:cs="仿宋_GB2312"/>
                <w:color w:val="auto"/>
                <w:kern w:val="0"/>
                <w:sz w:val="16"/>
                <w:szCs w:val="16"/>
                <w:highlight w:val="none"/>
                <w:lang w:eastAsia="zh-CN" w:bidi="ar"/>
              </w:rPr>
            </w:pPr>
            <w:r>
              <w:rPr>
                <w:rFonts w:hint="eastAsia" w:ascii="仿宋_GB2312" w:hAnsi="等线" w:eastAsia="仿宋_GB2312" w:cs="仿宋_GB2312"/>
                <w:color w:val="auto"/>
                <w:kern w:val="0"/>
                <w:sz w:val="16"/>
                <w:szCs w:val="16"/>
                <w:highlight w:val="none"/>
                <w:lang w:bidi="ar"/>
              </w:rPr>
              <w:t>2.应急物资点无应急物资清单或无应急物资每日检查表</w:t>
            </w:r>
          </w:p>
          <w:p>
            <w:pPr>
              <w:widowControl/>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3.无开展日常应急培训、训练、演练或无资料留档的</w:t>
            </w:r>
          </w:p>
        </w:tc>
        <w:tc>
          <w:tcPr>
            <w:tcW w:w="10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扣2～4分/项</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r>
      <w:tr>
        <w:tblPrEx>
          <w:tblCellMar>
            <w:top w:w="0" w:type="dxa"/>
            <w:left w:w="0" w:type="dxa"/>
            <w:bottom w:w="0" w:type="dxa"/>
            <w:right w:w="0"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等线" w:hAnsi="等线" w:eastAsia="等线" w:cs="等线"/>
                <w:color w:val="auto"/>
                <w:sz w:val="16"/>
                <w:szCs w:val="16"/>
                <w:highlight w:val="none"/>
              </w:rPr>
            </w:pPr>
            <w:r>
              <w:rPr>
                <w:rFonts w:hint="eastAsia" w:ascii="等线" w:hAnsi="等线" w:eastAsia="等线" w:cs="等线"/>
                <w:color w:val="auto"/>
                <w:kern w:val="0"/>
                <w:sz w:val="16"/>
                <w:szCs w:val="16"/>
                <w:highlight w:val="none"/>
                <w:lang w:bidi="ar"/>
              </w:rPr>
              <w:t>19</w:t>
            </w:r>
          </w:p>
        </w:tc>
        <w:tc>
          <w:tcPr>
            <w:tcW w:w="49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等线" w:eastAsia="仿宋_GB2312" w:cs="仿宋_GB2312"/>
                <w:color w:val="auto"/>
                <w:sz w:val="16"/>
                <w:szCs w:val="16"/>
                <w:highlight w:val="none"/>
              </w:rPr>
            </w:pPr>
          </w:p>
        </w:tc>
        <w:tc>
          <w:tcPr>
            <w:tcW w:w="4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人员管理</w:t>
            </w:r>
          </w:p>
        </w:tc>
        <w:tc>
          <w:tcPr>
            <w:tcW w:w="39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人员变更无完善的手续及资料的</w:t>
            </w:r>
          </w:p>
        </w:tc>
        <w:tc>
          <w:tcPr>
            <w:tcW w:w="10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扣3～5分/项</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r>
      <w:tr>
        <w:tblPrEx>
          <w:tblCellMar>
            <w:top w:w="0" w:type="dxa"/>
            <w:left w:w="0" w:type="dxa"/>
            <w:bottom w:w="0" w:type="dxa"/>
            <w:right w:w="0" w:type="dxa"/>
          </w:tblCellMar>
        </w:tblPrEx>
        <w:trPr>
          <w:trHeight w:val="44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等线" w:hAnsi="等线" w:eastAsia="等线" w:cs="等线"/>
                <w:color w:val="auto"/>
                <w:sz w:val="16"/>
                <w:szCs w:val="16"/>
                <w:highlight w:val="none"/>
              </w:rPr>
            </w:pPr>
            <w:r>
              <w:rPr>
                <w:rFonts w:hint="eastAsia" w:ascii="等线" w:hAnsi="等线" w:eastAsia="等线" w:cs="等线"/>
                <w:color w:val="auto"/>
                <w:kern w:val="0"/>
                <w:sz w:val="16"/>
                <w:szCs w:val="16"/>
                <w:highlight w:val="none"/>
                <w:lang w:bidi="ar"/>
              </w:rPr>
              <w:t>20</w:t>
            </w:r>
          </w:p>
        </w:tc>
        <w:tc>
          <w:tcPr>
            <w:tcW w:w="49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等线" w:eastAsia="仿宋_GB2312" w:cs="仿宋_GB2312"/>
                <w:color w:val="auto"/>
                <w:sz w:val="16"/>
                <w:szCs w:val="16"/>
                <w:highlight w:val="none"/>
              </w:rPr>
            </w:pPr>
          </w:p>
        </w:tc>
        <w:tc>
          <w:tcPr>
            <w:tcW w:w="4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隐患管理</w:t>
            </w:r>
          </w:p>
        </w:tc>
        <w:tc>
          <w:tcPr>
            <w:tcW w:w="39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未及时对发现的隐患开展整改的</w:t>
            </w:r>
          </w:p>
        </w:tc>
        <w:tc>
          <w:tcPr>
            <w:tcW w:w="10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扣4～8分/项</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r>
      <w:tr>
        <w:tblPrEx>
          <w:tblCellMar>
            <w:top w:w="0" w:type="dxa"/>
            <w:left w:w="0" w:type="dxa"/>
            <w:bottom w:w="0" w:type="dxa"/>
            <w:right w:w="0"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等线" w:hAnsi="等线" w:eastAsia="等线" w:cs="等线"/>
                <w:color w:val="auto"/>
                <w:sz w:val="16"/>
                <w:szCs w:val="16"/>
                <w:highlight w:val="none"/>
              </w:rPr>
            </w:pPr>
            <w:r>
              <w:rPr>
                <w:rFonts w:hint="eastAsia" w:ascii="等线" w:hAnsi="等线" w:eastAsia="等线" w:cs="等线"/>
                <w:color w:val="auto"/>
                <w:kern w:val="0"/>
                <w:sz w:val="16"/>
                <w:szCs w:val="16"/>
                <w:highlight w:val="none"/>
                <w:lang w:bidi="ar"/>
              </w:rPr>
              <w:t>21</w:t>
            </w:r>
          </w:p>
        </w:tc>
        <w:tc>
          <w:tcPr>
            <w:tcW w:w="49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等线" w:eastAsia="仿宋_GB2312" w:cs="仿宋_GB2312"/>
                <w:color w:val="auto"/>
                <w:sz w:val="16"/>
                <w:szCs w:val="16"/>
                <w:highlight w:val="none"/>
              </w:rPr>
            </w:pPr>
          </w:p>
        </w:tc>
        <w:tc>
          <w:tcPr>
            <w:tcW w:w="4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其他</w:t>
            </w:r>
          </w:p>
        </w:tc>
        <w:tc>
          <w:tcPr>
            <w:tcW w:w="39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违反业主或上级主管部门提出的其他管理要求、文件、规定或拒不执行的</w:t>
            </w:r>
          </w:p>
        </w:tc>
        <w:tc>
          <w:tcPr>
            <w:tcW w:w="10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_GB2312" w:hAnsi="等线" w:eastAsia="仿宋_GB2312" w:cs="仿宋_GB2312"/>
                <w:color w:val="auto"/>
                <w:sz w:val="16"/>
                <w:szCs w:val="16"/>
                <w:highlight w:val="none"/>
              </w:rPr>
            </w:pPr>
            <w:r>
              <w:rPr>
                <w:rFonts w:hint="eastAsia" w:ascii="仿宋_GB2312" w:hAnsi="等线" w:eastAsia="仿宋_GB2312" w:cs="仿宋_GB2312"/>
                <w:color w:val="auto"/>
                <w:kern w:val="0"/>
                <w:sz w:val="16"/>
                <w:szCs w:val="16"/>
                <w:highlight w:val="none"/>
                <w:lang w:bidi="ar"/>
              </w:rPr>
              <w:t>扣2～5分/项</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r>
      <w:tr>
        <w:tblPrEx>
          <w:tblCellMar>
            <w:top w:w="0" w:type="dxa"/>
            <w:left w:w="0" w:type="dxa"/>
            <w:bottom w:w="0" w:type="dxa"/>
            <w:right w:w="0"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等线" w:hAnsi="等线" w:eastAsia="等线" w:cs="等线"/>
                <w:color w:val="auto"/>
                <w:sz w:val="16"/>
                <w:szCs w:val="16"/>
                <w:highlight w:val="none"/>
              </w:rPr>
            </w:pPr>
            <w:r>
              <w:rPr>
                <w:rFonts w:hint="eastAsia" w:ascii="等线" w:hAnsi="等线" w:eastAsia="等线" w:cs="等线"/>
                <w:color w:val="auto"/>
                <w:kern w:val="0"/>
                <w:sz w:val="16"/>
                <w:szCs w:val="16"/>
                <w:highlight w:val="none"/>
                <w:lang w:bidi="ar"/>
              </w:rPr>
              <w:t>22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_GB2312" w:hAnsi="等线" w:eastAsia="仿宋_GB2312" w:cs="仿宋_GB2312"/>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_GB2312" w:hAnsi="等线" w:eastAsia="仿宋_GB2312" w:cs="仿宋_GB2312"/>
                <w:color w:val="auto"/>
                <w:sz w:val="16"/>
                <w:szCs w:val="16"/>
                <w:highlight w:val="none"/>
              </w:rPr>
            </w:pPr>
          </w:p>
        </w:tc>
        <w:tc>
          <w:tcPr>
            <w:tcW w:w="39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10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_GB2312" w:hAnsi="等线" w:eastAsia="仿宋_GB2312" w:cs="仿宋_GB2312"/>
                <w:color w:val="auto"/>
                <w:sz w:val="16"/>
                <w:szCs w:val="16"/>
                <w:highlight w:val="none"/>
              </w:rPr>
            </w:pPr>
          </w:p>
        </w:tc>
      </w:tr>
      <w:tr>
        <w:tblPrEx>
          <w:tblCellMar>
            <w:top w:w="0" w:type="dxa"/>
            <w:left w:w="0" w:type="dxa"/>
            <w:bottom w:w="0" w:type="dxa"/>
            <w:right w:w="0" w:type="dxa"/>
          </w:tblCellMar>
        </w:tblPrEx>
        <w:trPr>
          <w:trHeight w:val="1440" w:hRule="atLeast"/>
          <w:jc w:val="center"/>
        </w:trPr>
        <w:tc>
          <w:tcPr>
            <w:tcW w:w="9302" w:type="dxa"/>
            <w:gridSpan w:val="10"/>
            <w:tcBorders>
              <w:top w:val="nil"/>
              <w:left w:val="nil"/>
              <w:bottom w:val="nil"/>
              <w:right w:val="nil"/>
            </w:tcBorders>
            <w:tcMar>
              <w:top w:w="12" w:type="dxa"/>
              <w:left w:w="12" w:type="dxa"/>
              <w:right w:w="12" w:type="dxa"/>
            </w:tcMar>
            <w:vAlign w:val="center"/>
          </w:tcPr>
          <w:p>
            <w:pPr>
              <w:widowControl/>
              <w:jc w:val="left"/>
              <w:textAlignment w:val="center"/>
              <w:rPr>
                <w:rFonts w:hint="eastAsia" w:eastAsia="宋体"/>
                <w:color w:val="auto"/>
                <w:sz w:val="13"/>
                <w:szCs w:val="13"/>
                <w:highlight w:val="none"/>
                <w:lang w:eastAsia="zh-CN"/>
              </w:rPr>
            </w:pPr>
            <w:r>
              <w:rPr>
                <w:rFonts w:hint="eastAsia"/>
                <w:color w:val="auto"/>
                <w:sz w:val="13"/>
                <w:szCs w:val="13"/>
                <w:highlight w:val="none"/>
              </w:rPr>
              <w:t>注：1、综合考评满分100分，各考评项目扣分不设上限；</w:t>
            </w:r>
          </w:p>
          <w:p>
            <w:pPr>
              <w:widowControl/>
              <w:jc w:val="left"/>
              <w:textAlignment w:val="center"/>
              <w:rPr>
                <w:rFonts w:hint="eastAsia" w:eastAsia="宋体"/>
                <w:color w:val="auto"/>
                <w:sz w:val="13"/>
                <w:szCs w:val="13"/>
                <w:highlight w:val="none"/>
                <w:lang w:eastAsia="zh-CN"/>
              </w:rPr>
            </w:pPr>
            <w:r>
              <w:rPr>
                <w:rFonts w:hint="eastAsia"/>
                <w:color w:val="auto"/>
                <w:sz w:val="13"/>
                <w:szCs w:val="13"/>
                <w:highlight w:val="none"/>
              </w:rPr>
              <w:t xml:space="preserve">    2、监理单位考评只作为参考及履职依据，不计入考评，无监理单位不需填写；</w:t>
            </w:r>
          </w:p>
          <w:p>
            <w:pPr>
              <w:widowControl/>
              <w:jc w:val="left"/>
              <w:textAlignment w:val="center"/>
              <w:rPr>
                <w:rFonts w:hint="eastAsia" w:eastAsia="宋体"/>
                <w:color w:val="auto"/>
                <w:sz w:val="13"/>
                <w:szCs w:val="13"/>
                <w:highlight w:val="none"/>
                <w:lang w:eastAsia="zh-CN"/>
              </w:rPr>
            </w:pPr>
            <w:r>
              <w:rPr>
                <w:rFonts w:hint="eastAsia"/>
                <w:color w:val="auto"/>
                <w:sz w:val="13"/>
                <w:szCs w:val="13"/>
                <w:highlight w:val="none"/>
              </w:rPr>
              <w:t xml:space="preserve">    3、“公司考评”业务主管部门和安全办针对本部门检查发现的内容进行扣（奖）分，项目部已经进行扣（奖）分的不重复执行；</w:t>
            </w:r>
          </w:p>
          <w:p>
            <w:pPr>
              <w:widowControl/>
              <w:jc w:val="left"/>
              <w:textAlignment w:val="center"/>
              <w:rPr>
                <w:rFonts w:hint="eastAsia" w:eastAsia="宋体"/>
                <w:color w:val="auto"/>
                <w:sz w:val="13"/>
                <w:szCs w:val="13"/>
                <w:highlight w:val="none"/>
                <w:lang w:eastAsia="zh-CN"/>
              </w:rPr>
            </w:pPr>
            <w:r>
              <w:rPr>
                <w:rFonts w:hint="eastAsia"/>
                <w:color w:val="auto"/>
                <w:sz w:val="13"/>
                <w:szCs w:val="13"/>
                <w:highlight w:val="none"/>
              </w:rPr>
              <w:t xml:space="preserve">    4、各分公司考评填写相应的得（扣）分数值，如奖2分则填写“2”，扣2分则填写“-2”；</w:t>
            </w:r>
          </w:p>
          <w:p>
            <w:pPr>
              <w:widowControl/>
              <w:jc w:val="left"/>
              <w:textAlignment w:val="center"/>
              <w:rPr>
                <w:rFonts w:hint="eastAsia" w:eastAsia="宋体"/>
                <w:color w:val="auto"/>
                <w:sz w:val="13"/>
                <w:szCs w:val="13"/>
                <w:highlight w:val="none"/>
                <w:lang w:eastAsia="zh-CN"/>
              </w:rPr>
            </w:pPr>
            <w:r>
              <w:rPr>
                <w:rFonts w:hint="eastAsia"/>
                <w:color w:val="auto"/>
                <w:sz w:val="13"/>
                <w:szCs w:val="13"/>
                <w:highlight w:val="none"/>
              </w:rPr>
              <w:t xml:space="preserve">    5、单项“综合考评”=项目部考评+公司考评；综合考评总分=各单项“综合考评”+100</w:t>
            </w:r>
          </w:p>
          <w:p>
            <w:pPr>
              <w:widowControl/>
              <w:jc w:val="left"/>
              <w:textAlignment w:val="center"/>
              <w:rPr>
                <w:rFonts w:hint="eastAsia" w:eastAsia="宋体"/>
                <w:color w:val="auto"/>
                <w:sz w:val="13"/>
                <w:szCs w:val="13"/>
                <w:highlight w:val="none"/>
                <w:lang w:eastAsia="zh-CN"/>
              </w:rPr>
            </w:pPr>
            <w:r>
              <w:rPr>
                <w:rFonts w:hint="eastAsia"/>
                <w:color w:val="auto"/>
                <w:sz w:val="13"/>
                <w:szCs w:val="13"/>
                <w:highlight w:val="none"/>
              </w:rPr>
              <w:t xml:space="preserve">    6、最后得分=综合考评总分X类别系数；</w:t>
            </w:r>
          </w:p>
          <w:p>
            <w:pPr>
              <w:widowControl/>
              <w:jc w:val="left"/>
              <w:textAlignment w:val="center"/>
              <w:rPr>
                <w:color w:val="auto"/>
                <w:sz w:val="13"/>
                <w:szCs w:val="13"/>
                <w:highlight w:val="none"/>
              </w:rPr>
            </w:pPr>
            <w:r>
              <w:rPr>
                <w:rFonts w:hint="eastAsia"/>
                <w:color w:val="auto"/>
                <w:sz w:val="13"/>
                <w:szCs w:val="13"/>
                <w:highlight w:val="none"/>
              </w:rPr>
              <w:t xml:space="preserve">    7、各考评项目具体考评标准内容参照广州市净水有限公司标准《工程项目安全管理规范》（Q/GZJSA 1-2021）执行。 </w:t>
            </w:r>
          </w:p>
          <w:p>
            <w:pPr>
              <w:ind w:firstLine="260" w:firstLineChars="200"/>
              <w:contextualSpacing/>
              <w:jc w:val="left"/>
              <w:rPr>
                <w:rFonts w:ascii="仿宋_GB2312" w:hAnsi="仿宋_GB2312" w:eastAsia="仿宋_GB2312" w:cs="仿宋_GB2312"/>
                <w:color w:val="auto"/>
                <w:sz w:val="13"/>
                <w:szCs w:val="13"/>
                <w:highlight w:val="none"/>
              </w:rPr>
            </w:pPr>
            <w:r>
              <w:rPr>
                <w:rFonts w:hint="eastAsia" w:ascii="仿宋_GB2312" w:hAnsi="仿宋_GB2312" w:eastAsia="仿宋_GB2312" w:cs="仿宋_GB2312"/>
                <w:color w:val="auto"/>
                <w:sz w:val="13"/>
                <w:szCs w:val="13"/>
                <w:highlight w:val="none"/>
              </w:rPr>
              <w:t>8、本处理标准出自《</w:t>
            </w:r>
            <w:r>
              <w:rPr>
                <w:rFonts w:hint="eastAsia" w:ascii="宋体" w:hAnsi="宋体" w:cs="宋体"/>
                <w:color w:val="auto"/>
                <w:sz w:val="13"/>
                <w:szCs w:val="13"/>
                <w:highlight w:val="none"/>
              </w:rPr>
              <w:t>广州净水公司工程项目承包单位质量安全考评细则（试行）</w:t>
            </w:r>
            <w:r>
              <w:rPr>
                <w:rFonts w:hint="eastAsia" w:ascii="仿宋_GB2312" w:hAnsi="仿宋_GB2312" w:eastAsia="仿宋_GB2312" w:cs="仿宋_GB2312"/>
                <w:color w:val="auto"/>
                <w:sz w:val="13"/>
                <w:szCs w:val="13"/>
                <w:highlight w:val="none"/>
              </w:rPr>
              <w:t>》。</w:t>
            </w:r>
          </w:p>
          <w:p>
            <w:pPr>
              <w:pStyle w:val="19"/>
              <w:ind w:firstLine="1126"/>
              <w:rPr>
                <w:color w:val="auto"/>
                <w:highlight w:val="none"/>
              </w:rPr>
            </w:pPr>
          </w:p>
        </w:tc>
      </w:tr>
    </w:tbl>
    <w:p>
      <w:pPr>
        <w:adjustRightInd w:val="0"/>
        <w:snapToGrid w:val="0"/>
        <w:spacing w:before="224" w:beforeLines="50" w:after="224" w:afterLines="50" w:line="600" w:lineRule="exact"/>
        <w:jc w:val="both"/>
        <w:rPr>
          <w:rFonts w:hint="eastAsia" w:ascii="方正小标宋简体" w:eastAsia="方正小标宋简体"/>
          <w:color w:val="auto"/>
          <w:sz w:val="28"/>
          <w:szCs w:val="28"/>
          <w:highlight w:val="none"/>
        </w:rPr>
      </w:pPr>
    </w:p>
    <w:p>
      <w:pPr>
        <w:widowControl/>
        <w:jc w:val="left"/>
        <w:rPr>
          <w:rFonts w:hint="eastAsia" w:ascii="宋体" w:hAnsi="宋体" w:cs="宋体"/>
          <w:color w:val="auto"/>
          <w:szCs w:val="21"/>
          <w:highlight w:val="none"/>
          <w:lang w:eastAsia="zh-CN"/>
        </w:rPr>
      </w:pPr>
    </w:p>
    <w:p>
      <w:pPr>
        <w:rPr>
          <w:rFonts w:hint="eastAsia" w:ascii="宋体" w:hAnsi="宋体" w:cs="宋体"/>
          <w:b/>
          <w:bCs/>
          <w:color w:val="auto"/>
          <w:sz w:val="24"/>
          <w:szCs w:val="24"/>
          <w:highlight w:val="none"/>
          <w:lang w:val="en-US" w:eastAsia="zh-CN"/>
        </w:rPr>
      </w:pPr>
    </w:p>
    <w:p>
      <w:pPr>
        <w:pStyle w:val="19"/>
        <w:rPr>
          <w:rFonts w:hint="eastAsia" w:ascii="宋体" w:hAnsi="宋体" w:cs="宋体"/>
          <w:b/>
          <w:bCs/>
          <w:color w:val="auto"/>
          <w:sz w:val="24"/>
          <w:szCs w:val="24"/>
          <w:highlight w:val="none"/>
          <w:lang w:val="en-US" w:eastAsia="zh-CN"/>
        </w:rPr>
      </w:pPr>
    </w:p>
    <w:p>
      <w:pPr>
        <w:pStyle w:val="19"/>
        <w:ind w:left="0" w:leftChars="0" w:firstLine="0" w:firstLineChars="0"/>
        <w:rPr>
          <w:rFonts w:hint="eastAsia" w:ascii="宋体" w:hAnsi="宋体" w:cs="宋体"/>
          <w:b/>
          <w:bCs/>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工程量报价单/工程量清单</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：履约保函（模板）</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履约保函模板</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lang w:eastAsia="zh-CN"/>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（受益人）</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（以下简称“委托人”）与贵方于</w:t>
      </w:r>
      <w:r>
        <w:rPr>
          <w:rFonts w:hint="eastAsia" w:ascii="宋体" w:hAnsi="宋体" w:eastAsia="宋体" w:cs="宋体"/>
          <w:color w:val="auto"/>
          <w:sz w:val="24"/>
          <w:szCs w:val="24"/>
          <w:highlight w:val="none"/>
          <w:u w:val="single"/>
        </w:rPr>
        <w:t xml:space="preserve">   年  月  日</w:t>
      </w:r>
      <w:r>
        <w:rPr>
          <w:rFonts w:hint="eastAsia" w:ascii="宋体" w:hAnsi="宋体" w:eastAsia="宋体" w:cs="宋体"/>
          <w:color w:val="auto"/>
          <w:sz w:val="24"/>
          <w:szCs w:val="24"/>
          <w:highlight w:val="none"/>
        </w:rPr>
        <w:t>签订了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（以下简称“合同”），我行同意为委托人出具履约保函，作为委托人履行合同义务的担保，以使你方得到履约保函的保障。本保函为不可撤销，见索即付的独立保函。</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一、我行保证在收到贵单位于保函有效期内送达的依本保函约定的索赔申请后，在个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工作日内无条件和不可改变地向贵单位支付最高金额不超过人民币元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）的履约保证金，并放弃向你方提出任何异议和追索的权利。</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二、贵单位的索赔申请应符合下述条件：</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（一）贵单位法定代表人或其授权代表签字并加盖单位公章；</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（二）在保函有效期内送达我行；</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（三）明确的索赔金额（不得超过本保函第一条所列之限额）。</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三、本保函自签发之日起生效，有效期至</w:t>
      </w:r>
      <w:r>
        <w:rPr>
          <w:rFonts w:hint="eastAsia" w:ascii="宋体" w:hAnsi="宋体" w:eastAsia="宋体" w:cs="宋体"/>
          <w:color w:val="auto"/>
          <w:sz w:val="24"/>
          <w:szCs w:val="24"/>
          <w:highlight w:val="none"/>
          <w:u w:val="single"/>
        </w:rPr>
        <w:t xml:space="preserve">  年  月  日</w:t>
      </w:r>
      <w:r>
        <w:rPr>
          <w:rFonts w:hint="eastAsia" w:ascii="宋体" w:hAnsi="宋体" w:eastAsia="宋体" w:cs="宋体"/>
          <w:color w:val="auto"/>
          <w:sz w:val="24"/>
          <w:szCs w:val="24"/>
          <w:highlight w:val="none"/>
        </w:rPr>
        <w:t>。本保函于下述任一事项发生之时立即失效，我行在本保函项下的保证义务即刻解除：</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（一）本保函有效期限届满；</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（二）我行保证的义务履行完毕。</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四、我方受本保函制约的责任是延续的、独立的和无条件的，上述合同的任何修改、变更、解释、不可执行或委托人在合同项下对你方的任何抗辩都不能削弱或影响我行按本保函应承担的责任。</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五、我行向你方支付索赔金额后，本保函担保金额即按贵方通知的索赔金额予以递减。</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六、保函失效后请将保函退回我行注销，无论正本最终退回与否，不影响本保函依上述约定自动失效。</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落款</w:t>
      </w:r>
    </w:p>
    <w:p>
      <w:pPr>
        <w:keepNext w:val="0"/>
        <w:keepLines w:val="0"/>
        <w:pageBreakBefore w:val="0"/>
        <w:widowControl w:val="0"/>
        <w:kinsoku/>
        <w:wordWrap/>
        <w:overflowPunct/>
        <w:topLinePunct w:val="0"/>
        <w:autoSpaceDE/>
        <w:autoSpaceDN/>
        <w:bidi w:val="0"/>
        <w:adjustRightInd/>
        <w:snapToGrid/>
        <w:spacing w:line="360" w:lineRule="exact"/>
        <w:ind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保函说明：</w:t>
      </w:r>
    </w:p>
    <w:p>
      <w:pPr>
        <w:keepNext w:val="0"/>
        <w:keepLines w:val="0"/>
        <w:pageBreakBefore w:val="0"/>
        <w:widowControl w:val="0"/>
        <w:kinsoku/>
        <w:wordWrap/>
        <w:overflowPunct/>
        <w:topLinePunct w:val="0"/>
        <w:autoSpaceDE/>
        <w:autoSpaceDN/>
        <w:bidi w:val="0"/>
        <w:adjustRightInd/>
        <w:snapToGrid/>
        <w:spacing w:line="360" w:lineRule="exact"/>
        <w:ind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保函不得有下列或类似含义的表述：</w:t>
      </w:r>
    </w:p>
    <w:p>
      <w:pPr>
        <w:keepNext w:val="0"/>
        <w:keepLines w:val="0"/>
        <w:pageBreakBefore w:val="0"/>
        <w:widowControl w:val="0"/>
        <w:kinsoku/>
        <w:wordWrap/>
        <w:overflowPunct/>
        <w:topLinePunct w:val="0"/>
        <w:autoSpaceDE/>
        <w:autoSpaceDN/>
        <w:bidi w:val="0"/>
        <w:adjustRightInd/>
        <w:snapToGrid/>
        <w:spacing w:line="360" w:lineRule="exact"/>
        <w:ind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1.银行承担的为连带责任保证、一般保证。</w:t>
      </w:r>
    </w:p>
    <w:p>
      <w:pPr>
        <w:keepNext w:val="0"/>
        <w:keepLines w:val="0"/>
        <w:pageBreakBefore w:val="0"/>
        <w:widowControl w:val="0"/>
        <w:kinsoku/>
        <w:wordWrap/>
        <w:overflowPunct/>
        <w:topLinePunct w:val="0"/>
        <w:autoSpaceDE/>
        <w:autoSpaceDN/>
        <w:bidi w:val="0"/>
        <w:adjustRightInd/>
        <w:snapToGrid/>
        <w:spacing w:line="360" w:lineRule="exact"/>
        <w:ind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2.未经银行书面同意，受益人与申请人修改合同或其项下附件时，银行的保证义务解除。</w:t>
      </w:r>
    </w:p>
    <w:p>
      <w:pPr>
        <w:keepNext w:val="0"/>
        <w:keepLines w:val="0"/>
        <w:pageBreakBefore w:val="0"/>
        <w:widowControl w:val="0"/>
        <w:kinsoku/>
        <w:wordWrap/>
        <w:overflowPunct/>
        <w:topLinePunct w:val="0"/>
        <w:autoSpaceDE/>
        <w:autoSpaceDN/>
        <w:bidi w:val="0"/>
        <w:adjustRightInd/>
        <w:snapToGrid/>
        <w:spacing w:line="360" w:lineRule="exact"/>
        <w:ind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3.合同撤销或无效的，保函失效。</w:t>
      </w:r>
    </w:p>
    <w:p>
      <w:pPr>
        <w:keepNext w:val="0"/>
        <w:keepLines w:val="0"/>
        <w:pageBreakBefore w:val="0"/>
        <w:widowControl w:val="0"/>
        <w:kinsoku/>
        <w:wordWrap/>
        <w:overflowPunct/>
        <w:topLinePunct w:val="0"/>
        <w:autoSpaceDE/>
        <w:autoSpaceDN/>
        <w:bidi w:val="0"/>
        <w:adjustRightInd/>
        <w:snapToGrid/>
        <w:spacing w:line="360" w:lineRule="exact"/>
        <w:ind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4.申请人对受益人的抗辩，银行有权向受益人主张。</w:t>
      </w:r>
    </w:p>
    <w:p>
      <w:pPr>
        <w:keepNext w:val="0"/>
        <w:keepLines w:val="0"/>
        <w:pageBreakBefore w:val="0"/>
        <w:widowControl w:val="0"/>
        <w:kinsoku/>
        <w:wordWrap/>
        <w:overflowPunct/>
        <w:topLinePunct w:val="0"/>
        <w:autoSpaceDE/>
        <w:autoSpaceDN/>
        <w:bidi w:val="0"/>
        <w:adjustRightInd/>
        <w:snapToGrid/>
        <w:spacing w:line="360" w:lineRule="exact"/>
        <w:ind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5.受益人请求付款的请款单据包含法院裁判文书、仲裁裁决、第三方单位出具的鉴定书等申请人违约的证明材料。</w:t>
      </w:r>
    </w:p>
    <w:p>
      <w:pPr>
        <w:pStyle w:val="19"/>
        <w:rPr>
          <w:rFonts w:hint="eastAsia" w:ascii="宋体" w:hAnsi="宋体" w:eastAsia="宋体" w:cs="宋体"/>
          <w:b/>
          <w:bCs/>
          <w:color w:val="auto"/>
          <w:sz w:val="21"/>
          <w:szCs w:val="21"/>
          <w:highlight w:val="none"/>
        </w:rPr>
      </w:pPr>
    </w:p>
    <w:p>
      <w:pPr>
        <w:pStyle w:val="19"/>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w:t>
      </w:r>
    </w:p>
    <w:p>
      <w:pPr>
        <w:widowControl/>
        <w:spacing w:line="700" w:lineRule="exact"/>
        <w:jc w:val="center"/>
        <w:rPr>
          <w:rFonts w:ascii="方正小标宋简体" w:hAnsi="宋体" w:eastAsia="方正小标宋简体" w:cs="宋体"/>
          <w:bCs/>
          <w:color w:val="auto"/>
          <w:spacing w:val="-30"/>
          <w:sz w:val="44"/>
          <w:szCs w:val="44"/>
          <w:highlight w:val="none"/>
        </w:rPr>
      </w:pPr>
      <w:r>
        <w:rPr>
          <w:rFonts w:hint="eastAsia" w:ascii="方正小标宋简体" w:hAnsi="宋体" w:eastAsia="方正小标宋简体" w:cs="宋体"/>
          <w:bCs/>
          <w:color w:val="auto"/>
          <w:spacing w:val="-30"/>
          <w:sz w:val="44"/>
          <w:szCs w:val="44"/>
          <w:highlight w:val="none"/>
        </w:rPr>
        <w:t>广州市净水有限公司片区项目实施考核表</w:t>
      </w:r>
    </w:p>
    <w:p>
      <w:pPr>
        <w:jc w:val="center"/>
        <w:rPr>
          <w:rFonts w:hint="eastAsia"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w:t>
      </w:r>
      <w:r>
        <w:rPr>
          <w:rFonts w:hint="eastAsia" w:ascii="仿宋_GB2312" w:hAnsi="宋体" w:eastAsia="仿宋_GB2312"/>
          <w:color w:val="auto"/>
          <w:kern w:val="0"/>
          <w:sz w:val="28"/>
          <w:szCs w:val="28"/>
          <w:highlight w:val="none"/>
          <w:u w:val="single"/>
        </w:rPr>
        <w:t xml:space="preserve">        </w:t>
      </w:r>
      <w:r>
        <w:rPr>
          <w:rFonts w:hint="eastAsia" w:ascii="仿宋_GB2312" w:hAnsi="宋体" w:eastAsia="仿宋_GB2312"/>
          <w:color w:val="auto"/>
          <w:kern w:val="0"/>
          <w:sz w:val="28"/>
          <w:szCs w:val="28"/>
          <w:highlight w:val="none"/>
        </w:rPr>
        <w:t>类项目）</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项目实施单位（盖章）：</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填表日期：     年   月   日</w:t>
      </w:r>
    </w:p>
    <w:tbl>
      <w:tblPr>
        <w:tblStyle w:val="20"/>
        <w:tblW w:w="5941" w:type="pct"/>
        <w:jc w:val="center"/>
        <w:tblLayout w:type="fixed"/>
        <w:tblCellMar>
          <w:top w:w="0" w:type="dxa"/>
          <w:left w:w="0" w:type="dxa"/>
          <w:bottom w:w="0" w:type="dxa"/>
          <w:right w:w="0" w:type="dxa"/>
        </w:tblCellMar>
      </w:tblPr>
      <w:tblGrid>
        <w:gridCol w:w="588"/>
        <w:gridCol w:w="645"/>
        <w:gridCol w:w="1028"/>
        <w:gridCol w:w="4067"/>
        <w:gridCol w:w="778"/>
        <w:gridCol w:w="485"/>
        <w:gridCol w:w="327"/>
        <w:gridCol w:w="1277"/>
        <w:gridCol w:w="1207"/>
      </w:tblGrid>
      <w:tr>
        <w:tblPrEx>
          <w:tblCellMar>
            <w:top w:w="0" w:type="dxa"/>
            <w:left w:w="0" w:type="dxa"/>
            <w:bottom w:w="0" w:type="dxa"/>
            <w:right w:w="0" w:type="dxa"/>
          </w:tblCellMar>
        </w:tblPrEx>
        <w:trPr>
          <w:trHeight w:val="484" w:hRule="atLeast"/>
          <w:jc w:val="center"/>
        </w:trPr>
        <w:tc>
          <w:tcPr>
            <w:tcW w:w="1087" w:type="pct"/>
            <w:gridSpan w:val="3"/>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adjustRightInd w:val="0"/>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项目名称</w:t>
            </w:r>
          </w:p>
        </w:tc>
        <w:tc>
          <w:tcPr>
            <w:tcW w:w="1954" w:type="pct"/>
            <w:tcBorders>
              <w:top w:val="single" w:color="000000" w:sz="8" w:space="0"/>
              <w:left w:val="nil"/>
              <w:bottom w:val="single" w:color="000000" w:sz="8" w:space="0"/>
              <w:right w:val="single" w:color="000000" w:sz="8" w:space="0"/>
            </w:tcBorders>
            <w:tcMar>
              <w:top w:w="12" w:type="dxa"/>
              <w:left w:w="12" w:type="dxa"/>
              <w:right w:w="12" w:type="dxa"/>
            </w:tcMar>
            <w:vAlign w:val="center"/>
          </w:tcPr>
          <w:p>
            <w:pPr>
              <w:adjustRightInd w:val="0"/>
              <w:snapToGrid w:val="0"/>
              <w:jc w:val="center"/>
              <w:rPr>
                <w:rFonts w:hint="eastAsia" w:ascii="宋体" w:hAnsi="宋体" w:eastAsia="宋体" w:cs="宋体"/>
                <w:color w:val="auto"/>
                <w:sz w:val="21"/>
                <w:szCs w:val="21"/>
                <w:highlight w:val="none"/>
              </w:rPr>
            </w:pPr>
          </w:p>
        </w:tc>
        <w:tc>
          <w:tcPr>
            <w:tcW w:w="607" w:type="pct"/>
            <w:gridSpan w:val="2"/>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adjustRightInd w:val="0"/>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项目编号</w:t>
            </w:r>
          </w:p>
        </w:tc>
        <w:tc>
          <w:tcPr>
            <w:tcW w:w="1350" w:type="pct"/>
            <w:gridSpan w:val="3"/>
            <w:tcBorders>
              <w:top w:val="single" w:color="000000" w:sz="8" w:space="0"/>
              <w:left w:val="nil"/>
              <w:bottom w:val="single" w:color="000000" w:sz="8" w:space="0"/>
              <w:right w:val="single" w:color="000000" w:sz="8" w:space="0"/>
            </w:tcBorders>
            <w:tcMar>
              <w:top w:w="12" w:type="dxa"/>
              <w:left w:w="12" w:type="dxa"/>
              <w:right w:w="12" w:type="dxa"/>
            </w:tcMar>
            <w:vAlign w:val="center"/>
          </w:tcPr>
          <w:p>
            <w:pPr>
              <w:adjustRightInd w:val="0"/>
              <w:snapToGrid w:val="0"/>
              <w:jc w:val="cente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375" w:hRule="atLeast"/>
          <w:jc w:val="center"/>
        </w:trPr>
        <w:tc>
          <w:tcPr>
            <w:tcW w:w="1087" w:type="pct"/>
            <w:gridSpan w:val="3"/>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adjustRightInd w:val="0"/>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中选单位名称　</w:t>
            </w:r>
          </w:p>
        </w:tc>
        <w:tc>
          <w:tcPr>
            <w:tcW w:w="3912" w:type="pct"/>
            <w:gridSpan w:val="6"/>
            <w:tcBorders>
              <w:top w:val="nil"/>
              <w:left w:val="nil"/>
              <w:bottom w:val="single" w:color="000000" w:sz="8" w:space="0"/>
              <w:right w:val="single" w:color="000000" w:sz="8" w:space="0"/>
            </w:tcBorders>
            <w:tcMar>
              <w:top w:w="12" w:type="dxa"/>
              <w:left w:w="12" w:type="dxa"/>
              <w:right w:w="12" w:type="dxa"/>
            </w:tcMar>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r>
      <w:tr>
        <w:tblPrEx>
          <w:tblCellMar>
            <w:top w:w="0" w:type="dxa"/>
            <w:left w:w="0" w:type="dxa"/>
            <w:bottom w:w="0" w:type="dxa"/>
            <w:right w:w="0" w:type="dxa"/>
          </w:tblCellMar>
        </w:tblPrEx>
        <w:trPr>
          <w:trHeight w:val="671" w:hRule="atLeast"/>
          <w:jc w:val="center"/>
        </w:trPr>
        <w:tc>
          <w:tcPr>
            <w:tcW w:w="283" w:type="pct"/>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adjustRightInd w:val="0"/>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序号</w:t>
            </w:r>
          </w:p>
        </w:tc>
        <w:tc>
          <w:tcPr>
            <w:tcW w:w="2759" w:type="pct"/>
            <w:gridSpan w:val="3"/>
            <w:tcBorders>
              <w:top w:val="nil"/>
              <w:left w:val="nil"/>
              <w:bottom w:val="single" w:color="000000" w:sz="8" w:space="0"/>
              <w:right w:val="single" w:color="000000" w:sz="8" w:space="0"/>
            </w:tcBorders>
            <w:tcMar>
              <w:top w:w="12" w:type="dxa"/>
              <w:left w:w="12" w:type="dxa"/>
              <w:right w:w="12" w:type="dxa"/>
            </w:tcMar>
            <w:vAlign w:val="center"/>
          </w:tcPr>
          <w:p>
            <w:pPr>
              <w:widowControl/>
              <w:adjustRightInd w:val="0"/>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评价内容</w:t>
            </w:r>
          </w:p>
        </w:tc>
        <w:tc>
          <w:tcPr>
            <w:tcW w:w="374" w:type="pct"/>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adjustRightInd w:val="0"/>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分值</w:t>
            </w:r>
          </w:p>
        </w:tc>
        <w:tc>
          <w:tcPr>
            <w:tcW w:w="390" w:type="pct"/>
            <w:gridSpan w:val="2"/>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评价</w:t>
            </w:r>
          </w:p>
          <w:p>
            <w:pPr>
              <w:widowControl/>
              <w:adjustRightInd w:val="0"/>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得分</w:t>
            </w:r>
          </w:p>
        </w:tc>
        <w:tc>
          <w:tcPr>
            <w:tcW w:w="1192" w:type="pct"/>
            <w:gridSpan w:val="2"/>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adjustRightInd w:val="0"/>
              <w:snapToGrid w:val="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工作记录情况（扣分原因）</w:t>
            </w:r>
          </w:p>
        </w:tc>
      </w:tr>
      <w:tr>
        <w:tblPrEx>
          <w:tblCellMar>
            <w:top w:w="0" w:type="dxa"/>
            <w:left w:w="0" w:type="dxa"/>
            <w:bottom w:w="0" w:type="dxa"/>
            <w:right w:w="0" w:type="dxa"/>
          </w:tblCellMar>
        </w:tblPrEx>
        <w:trPr>
          <w:trHeight w:val="859" w:hRule="atLeast"/>
          <w:jc w:val="center"/>
        </w:trPr>
        <w:tc>
          <w:tcPr>
            <w:tcW w:w="283" w:type="pct"/>
            <w:tcBorders>
              <w:top w:val="nil"/>
              <w:left w:val="single" w:color="000000" w:sz="8" w:space="0"/>
              <w:bottom w:val="single" w:color="auto" w:sz="4" w:space="0"/>
              <w:right w:val="single" w:color="000000" w:sz="8" w:space="0"/>
            </w:tcBorders>
            <w:tcMar>
              <w:top w:w="12" w:type="dxa"/>
              <w:left w:w="12" w:type="dxa"/>
              <w:right w:w="12" w:type="dxa"/>
            </w:tcMar>
            <w:vAlign w:val="center"/>
          </w:tcPr>
          <w:p>
            <w:pPr>
              <w:widowControl/>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10" w:type="pct"/>
            <w:tcBorders>
              <w:top w:val="nil"/>
              <w:left w:val="nil"/>
              <w:bottom w:val="single" w:color="auto" w:sz="4" w:space="0"/>
              <w:right w:val="single" w:color="000000" w:sz="8" w:space="0"/>
            </w:tcBorders>
            <w:tcMar>
              <w:top w:w="12" w:type="dxa"/>
              <w:left w:w="12" w:type="dxa"/>
              <w:right w:w="12" w:type="dxa"/>
            </w:tcMar>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服务态度</w:t>
            </w:r>
          </w:p>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448" w:type="pct"/>
            <w:gridSpan w:val="2"/>
            <w:tcBorders>
              <w:top w:val="nil"/>
              <w:left w:val="nil"/>
              <w:bottom w:val="single" w:color="000000" w:sz="8" w:space="0"/>
              <w:right w:val="single" w:color="000000" w:sz="8" w:space="0"/>
            </w:tcBorders>
            <w:tcMar>
              <w:top w:w="12" w:type="dxa"/>
              <w:left w:w="12" w:type="dxa"/>
              <w:right w:w="12" w:type="dxa"/>
            </w:tcMar>
            <w:vAlign w:val="center"/>
          </w:tcPr>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工作态度积极主动，有较强服务意识，积极按业主的计划节点完成任务。</w:t>
            </w:r>
          </w:p>
        </w:tc>
        <w:tc>
          <w:tcPr>
            <w:tcW w:w="374" w:type="pct"/>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390" w:type="pct"/>
            <w:gridSpan w:val="2"/>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tc>
        <w:tc>
          <w:tcPr>
            <w:tcW w:w="1192" w:type="pct"/>
            <w:gridSpan w:val="2"/>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tc>
      </w:tr>
      <w:tr>
        <w:tblPrEx>
          <w:tblCellMar>
            <w:top w:w="0" w:type="dxa"/>
            <w:left w:w="0" w:type="dxa"/>
            <w:bottom w:w="0" w:type="dxa"/>
            <w:right w:w="0" w:type="dxa"/>
          </w:tblCellMar>
        </w:tblPrEx>
        <w:trPr>
          <w:trHeight w:val="484" w:hRule="atLeast"/>
          <w:jc w:val="center"/>
        </w:trPr>
        <w:tc>
          <w:tcPr>
            <w:tcW w:w="283" w:type="pct"/>
            <w:vMerge w:val="restart"/>
            <w:tcBorders>
              <w:top w:val="single" w:color="auto" w:sz="4" w:space="0"/>
              <w:left w:val="single" w:color="auto" w:sz="4" w:space="0"/>
              <w:right w:val="single" w:color="auto" w:sz="4" w:space="0"/>
            </w:tcBorders>
            <w:tcMar>
              <w:top w:w="12" w:type="dxa"/>
              <w:left w:w="12" w:type="dxa"/>
              <w:right w:w="12" w:type="dxa"/>
            </w:tcMar>
            <w:vAlign w:val="center"/>
          </w:tcPr>
          <w:p>
            <w:pPr>
              <w:adjustRightInd w:val="0"/>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c>
          <w:tcPr>
            <w:tcW w:w="310" w:type="pct"/>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w:t>
            </w:r>
          </w:p>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c>
          <w:tcPr>
            <w:tcW w:w="2448" w:type="pct"/>
            <w:gridSpan w:val="2"/>
            <w:tcBorders>
              <w:top w:val="nil"/>
              <w:left w:val="single" w:color="auto" w:sz="4" w:space="0"/>
              <w:bottom w:val="single" w:color="000000" w:sz="8" w:space="0"/>
              <w:right w:val="single" w:color="000000" w:sz="8" w:space="0"/>
            </w:tcBorders>
            <w:tcMar>
              <w:top w:w="12" w:type="dxa"/>
              <w:left w:w="12" w:type="dxa"/>
              <w:right w:w="12" w:type="dxa"/>
            </w:tcMar>
            <w:vAlign w:val="center"/>
          </w:tcPr>
          <w:p>
            <w:pPr>
              <w:widowControl/>
              <w:adjustRightInd w:val="0"/>
              <w:snapToGrid w:val="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质量达标情况</w:t>
            </w:r>
          </w:p>
        </w:tc>
        <w:tc>
          <w:tcPr>
            <w:tcW w:w="374" w:type="pct"/>
            <w:tcBorders>
              <w:top w:val="nil"/>
              <w:left w:val="nil"/>
              <w:bottom w:val="single" w:color="000000" w:sz="8" w:space="0"/>
              <w:right w:val="single" w:color="000000" w:sz="8" w:space="0"/>
            </w:tcBorders>
            <w:tcMar>
              <w:top w:w="12" w:type="dxa"/>
              <w:left w:w="12" w:type="dxa"/>
              <w:right w:w="12" w:type="dxa"/>
            </w:tcMar>
            <w:vAlign w:val="center"/>
          </w:tcPr>
          <w:p>
            <w:pPr>
              <w:widowControl/>
              <w:adjustRightInd w:val="0"/>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20</w:t>
            </w:r>
          </w:p>
        </w:tc>
        <w:tc>
          <w:tcPr>
            <w:tcW w:w="390" w:type="pct"/>
            <w:gridSpan w:val="2"/>
            <w:tcBorders>
              <w:top w:val="nil"/>
              <w:left w:val="nil"/>
              <w:bottom w:val="single" w:color="000000" w:sz="8" w:space="0"/>
              <w:right w:val="single" w:color="000000" w:sz="8" w:space="0"/>
            </w:tcBorders>
            <w:tcMar>
              <w:top w:w="12" w:type="dxa"/>
              <w:left w:w="12" w:type="dxa"/>
              <w:right w:w="12" w:type="dxa"/>
            </w:tcMar>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c>
          <w:tcPr>
            <w:tcW w:w="1192" w:type="pct"/>
            <w:gridSpan w:val="2"/>
            <w:tcBorders>
              <w:top w:val="single" w:color="000000" w:sz="8" w:space="0"/>
              <w:left w:val="nil"/>
              <w:bottom w:val="single" w:color="000000" w:sz="8" w:space="0"/>
              <w:right w:val="single" w:color="000000" w:sz="8" w:space="0"/>
            </w:tcBorders>
            <w:tcMar>
              <w:top w:w="12" w:type="dxa"/>
              <w:left w:w="12" w:type="dxa"/>
              <w:right w:w="12" w:type="dxa"/>
            </w:tcMar>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r>
      <w:tr>
        <w:tblPrEx>
          <w:tblCellMar>
            <w:top w:w="0" w:type="dxa"/>
            <w:left w:w="0" w:type="dxa"/>
            <w:bottom w:w="0" w:type="dxa"/>
            <w:right w:w="0" w:type="dxa"/>
          </w:tblCellMar>
        </w:tblPrEx>
        <w:trPr>
          <w:trHeight w:val="484" w:hRule="atLeast"/>
          <w:jc w:val="center"/>
        </w:trPr>
        <w:tc>
          <w:tcPr>
            <w:tcW w:w="283" w:type="pct"/>
            <w:vMerge w:val="continue"/>
            <w:tcBorders>
              <w:left w:val="single" w:color="auto" w:sz="4" w:space="0"/>
              <w:right w:val="single" w:color="auto" w:sz="4" w:space="0"/>
            </w:tcBorders>
            <w:tcMar>
              <w:top w:w="12" w:type="dxa"/>
              <w:left w:w="12" w:type="dxa"/>
              <w:right w:w="12" w:type="dxa"/>
            </w:tcMar>
            <w:vAlign w:val="center"/>
          </w:tcPr>
          <w:p>
            <w:pPr>
              <w:adjustRightInd w:val="0"/>
              <w:snapToGrid w:val="0"/>
              <w:jc w:val="center"/>
              <w:textAlignment w:val="center"/>
              <w:rPr>
                <w:rFonts w:hint="eastAsia" w:ascii="宋体" w:hAnsi="宋体" w:eastAsia="宋体" w:cs="宋体"/>
                <w:color w:val="auto"/>
                <w:sz w:val="21"/>
                <w:szCs w:val="21"/>
                <w:highlight w:val="none"/>
              </w:rPr>
            </w:pPr>
          </w:p>
        </w:tc>
        <w:tc>
          <w:tcPr>
            <w:tcW w:w="310" w:type="pct"/>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adjustRightInd w:val="0"/>
              <w:snapToGrid w:val="0"/>
              <w:jc w:val="center"/>
              <w:textAlignment w:val="center"/>
              <w:rPr>
                <w:rFonts w:hint="eastAsia" w:ascii="宋体" w:hAnsi="宋体" w:eastAsia="宋体" w:cs="宋体"/>
                <w:color w:val="auto"/>
                <w:sz w:val="21"/>
                <w:szCs w:val="21"/>
                <w:highlight w:val="none"/>
              </w:rPr>
            </w:pPr>
          </w:p>
        </w:tc>
        <w:tc>
          <w:tcPr>
            <w:tcW w:w="2448" w:type="pct"/>
            <w:gridSpan w:val="2"/>
            <w:tcBorders>
              <w:top w:val="nil"/>
              <w:left w:val="single" w:color="auto" w:sz="4" w:space="0"/>
              <w:bottom w:val="single" w:color="000000" w:sz="8" w:space="0"/>
              <w:right w:val="single" w:color="000000" w:sz="8" w:space="0"/>
            </w:tcBorders>
            <w:tcMar>
              <w:top w:w="12" w:type="dxa"/>
              <w:left w:w="12" w:type="dxa"/>
              <w:right w:w="12" w:type="dxa"/>
            </w:tcMar>
            <w:vAlign w:val="center"/>
          </w:tcPr>
          <w:p>
            <w:pPr>
              <w:widowControl/>
              <w:adjustRightInd w:val="0"/>
              <w:snapToGrid w:val="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问题改进成效</w:t>
            </w:r>
          </w:p>
        </w:tc>
        <w:tc>
          <w:tcPr>
            <w:tcW w:w="374" w:type="pct"/>
            <w:tcBorders>
              <w:top w:val="nil"/>
              <w:left w:val="nil"/>
              <w:bottom w:val="single" w:color="000000" w:sz="8" w:space="0"/>
              <w:right w:val="single" w:color="000000" w:sz="8" w:space="0"/>
            </w:tcBorders>
            <w:tcMar>
              <w:top w:w="12" w:type="dxa"/>
              <w:left w:w="12" w:type="dxa"/>
              <w:right w:w="12" w:type="dxa"/>
            </w:tcMar>
            <w:vAlign w:val="center"/>
          </w:tcPr>
          <w:p>
            <w:pPr>
              <w:widowControl/>
              <w:adjustRightInd w:val="0"/>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w:t>
            </w:r>
          </w:p>
        </w:tc>
        <w:tc>
          <w:tcPr>
            <w:tcW w:w="390" w:type="pct"/>
            <w:gridSpan w:val="2"/>
            <w:tcBorders>
              <w:top w:val="nil"/>
              <w:left w:val="nil"/>
              <w:bottom w:val="single" w:color="000000" w:sz="8" w:space="0"/>
              <w:right w:val="single" w:color="000000" w:sz="8" w:space="0"/>
            </w:tcBorders>
            <w:tcMar>
              <w:top w:w="12" w:type="dxa"/>
              <w:left w:w="12" w:type="dxa"/>
              <w:right w:w="12" w:type="dxa"/>
            </w:tcMar>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c>
          <w:tcPr>
            <w:tcW w:w="1192" w:type="pct"/>
            <w:gridSpan w:val="2"/>
            <w:tcBorders>
              <w:top w:val="single" w:color="000000" w:sz="8" w:space="0"/>
              <w:left w:val="nil"/>
              <w:bottom w:val="single" w:color="000000" w:sz="8" w:space="0"/>
              <w:right w:val="single" w:color="000000" w:sz="8" w:space="0"/>
            </w:tcBorders>
            <w:tcMar>
              <w:top w:w="12" w:type="dxa"/>
              <w:left w:w="12" w:type="dxa"/>
              <w:right w:w="12" w:type="dxa"/>
            </w:tcMar>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r>
      <w:tr>
        <w:tblPrEx>
          <w:tblCellMar>
            <w:top w:w="0" w:type="dxa"/>
            <w:left w:w="0" w:type="dxa"/>
            <w:bottom w:w="0" w:type="dxa"/>
            <w:right w:w="0" w:type="dxa"/>
          </w:tblCellMar>
        </w:tblPrEx>
        <w:trPr>
          <w:trHeight w:val="484" w:hRule="atLeast"/>
          <w:jc w:val="center"/>
        </w:trPr>
        <w:tc>
          <w:tcPr>
            <w:tcW w:w="283" w:type="pct"/>
            <w:vMerge w:val="continue"/>
            <w:tcBorders>
              <w:left w:val="single" w:color="auto" w:sz="4" w:space="0"/>
              <w:right w:val="single" w:color="auto" w:sz="4" w:space="0"/>
            </w:tcBorders>
            <w:tcMar>
              <w:top w:w="12" w:type="dxa"/>
              <w:left w:w="12" w:type="dxa"/>
              <w:right w:w="12" w:type="dxa"/>
            </w:tcMar>
            <w:vAlign w:val="center"/>
          </w:tcPr>
          <w:p>
            <w:pPr>
              <w:adjustRightInd w:val="0"/>
              <w:snapToGrid w:val="0"/>
              <w:jc w:val="center"/>
              <w:textAlignment w:val="center"/>
              <w:rPr>
                <w:rFonts w:hint="eastAsia" w:ascii="宋体" w:hAnsi="宋体" w:eastAsia="宋体" w:cs="宋体"/>
                <w:color w:val="auto"/>
                <w:sz w:val="21"/>
                <w:szCs w:val="21"/>
                <w:highlight w:val="none"/>
              </w:rPr>
            </w:pPr>
          </w:p>
        </w:tc>
        <w:tc>
          <w:tcPr>
            <w:tcW w:w="310" w:type="pct"/>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adjustRightInd w:val="0"/>
              <w:snapToGrid w:val="0"/>
              <w:jc w:val="center"/>
              <w:textAlignment w:val="center"/>
              <w:rPr>
                <w:rFonts w:hint="eastAsia" w:ascii="宋体" w:hAnsi="宋体" w:eastAsia="宋体" w:cs="宋体"/>
                <w:color w:val="auto"/>
                <w:sz w:val="21"/>
                <w:szCs w:val="21"/>
                <w:highlight w:val="none"/>
              </w:rPr>
            </w:pPr>
          </w:p>
        </w:tc>
        <w:tc>
          <w:tcPr>
            <w:tcW w:w="2448" w:type="pct"/>
            <w:gridSpan w:val="2"/>
            <w:tcBorders>
              <w:top w:val="nil"/>
              <w:left w:val="single" w:color="auto" w:sz="4" w:space="0"/>
              <w:bottom w:val="single" w:color="000000" w:sz="8" w:space="0"/>
              <w:right w:val="single" w:color="000000" w:sz="8" w:space="0"/>
            </w:tcBorders>
            <w:tcMar>
              <w:top w:w="12" w:type="dxa"/>
              <w:left w:w="12" w:type="dxa"/>
              <w:right w:w="12" w:type="dxa"/>
            </w:tcMar>
            <w:vAlign w:val="center"/>
          </w:tcPr>
          <w:p>
            <w:pPr>
              <w:widowControl/>
              <w:adjustRightInd w:val="0"/>
              <w:snapToGrid w:val="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合同内容执行稳定情况</w:t>
            </w:r>
          </w:p>
        </w:tc>
        <w:tc>
          <w:tcPr>
            <w:tcW w:w="374" w:type="pct"/>
            <w:tcBorders>
              <w:top w:val="nil"/>
              <w:left w:val="nil"/>
              <w:bottom w:val="single" w:color="000000" w:sz="8" w:space="0"/>
              <w:right w:val="single" w:color="000000" w:sz="8" w:space="0"/>
            </w:tcBorders>
            <w:tcMar>
              <w:top w:w="12" w:type="dxa"/>
              <w:left w:w="12" w:type="dxa"/>
              <w:right w:w="12" w:type="dxa"/>
            </w:tcMar>
            <w:vAlign w:val="center"/>
          </w:tcPr>
          <w:p>
            <w:pPr>
              <w:widowControl/>
              <w:adjustRightInd w:val="0"/>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w:t>
            </w:r>
          </w:p>
        </w:tc>
        <w:tc>
          <w:tcPr>
            <w:tcW w:w="390" w:type="pct"/>
            <w:gridSpan w:val="2"/>
            <w:tcBorders>
              <w:top w:val="nil"/>
              <w:left w:val="nil"/>
              <w:bottom w:val="single" w:color="000000" w:sz="8" w:space="0"/>
              <w:right w:val="single" w:color="000000" w:sz="8" w:space="0"/>
            </w:tcBorders>
            <w:tcMar>
              <w:top w:w="12" w:type="dxa"/>
              <w:left w:w="12" w:type="dxa"/>
              <w:right w:w="12" w:type="dxa"/>
            </w:tcMar>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c>
          <w:tcPr>
            <w:tcW w:w="1192" w:type="pct"/>
            <w:gridSpan w:val="2"/>
            <w:tcBorders>
              <w:top w:val="single" w:color="000000" w:sz="8" w:space="0"/>
              <w:left w:val="nil"/>
              <w:bottom w:val="single" w:color="000000" w:sz="8" w:space="0"/>
              <w:right w:val="single" w:color="000000" w:sz="8" w:space="0"/>
            </w:tcBorders>
            <w:tcMar>
              <w:top w:w="12" w:type="dxa"/>
              <w:left w:w="12" w:type="dxa"/>
              <w:right w:w="12" w:type="dxa"/>
            </w:tcMar>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r>
      <w:tr>
        <w:tblPrEx>
          <w:tblCellMar>
            <w:top w:w="0" w:type="dxa"/>
            <w:left w:w="0" w:type="dxa"/>
            <w:bottom w:w="0" w:type="dxa"/>
            <w:right w:w="0" w:type="dxa"/>
          </w:tblCellMar>
        </w:tblPrEx>
        <w:trPr>
          <w:trHeight w:val="484" w:hRule="atLeast"/>
          <w:jc w:val="center"/>
        </w:trPr>
        <w:tc>
          <w:tcPr>
            <w:tcW w:w="283" w:type="pct"/>
            <w:vMerge w:val="continue"/>
            <w:tcBorders>
              <w:left w:val="single" w:color="auto" w:sz="4" w:space="0"/>
              <w:right w:val="single" w:color="auto" w:sz="4" w:space="0"/>
            </w:tcBorders>
            <w:tcMar>
              <w:top w:w="12" w:type="dxa"/>
              <w:left w:w="12" w:type="dxa"/>
              <w:right w:w="12" w:type="dxa"/>
            </w:tcMar>
            <w:vAlign w:val="center"/>
          </w:tcPr>
          <w:p>
            <w:pPr>
              <w:adjustRightInd w:val="0"/>
              <w:snapToGrid w:val="0"/>
              <w:jc w:val="center"/>
              <w:rPr>
                <w:rFonts w:hint="eastAsia" w:ascii="宋体" w:hAnsi="宋体" w:eastAsia="宋体" w:cs="宋体"/>
                <w:color w:val="auto"/>
                <w:sz w:val="21"/>
                <w:szCs w:val="21"/>
                <w:highlight w:val="none"/>
              </w:rPr>
            </w:pPr>
          </w:p>
        </w:tc>
        <w:tc>
          <w:tcPr>
            <w:tcW w:w="310" w:type="pct"/>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adjustRightInd w:val="0"/>
              <w:snapToGrid w:val="0"/>
              <w:jc w:val="center"/>
              <w:rPr>
                <w:rFonts w:hint="eastAsia" w:ascii="宋体" w:hAnsi="宋体" w:eastAsia="宋体" w:cs="宋体"/>
                <w:color w:val="auto"/>
                <w:sz w:val="21"/>
                <w:szCs w:val="21"/>
                <w:highlight w:val="none"/>
              </w:rPr>
            </w:pPr>
          </w:p>
        </w:tc>
        <w:tc>
          <w:tcPr>
            <w:tcW w:w="2448" w:type="pct"/>
            <w:gridSpan w:val="2"/>
            <w:tcBorders>
              <w:top w:val="nil"/>
              <w:left w:val="single" w:color="auto" w:sz="4" w:space="0"/>
              <w:bottom w:val="single" w:color="000000" w:sz="8" w:space="0"/>
              <w:right w:val="single" w:color="000000" w:sz="8" w:space="0"/>
            </w:tcBorders>
            <w:tcMar>
              <w:top w:w="12" w:type="dxa"/>
              <w:left w:w="12" w:type="dxa"/>
              <w:right w:w="12" w:type="dxa"/>
            </w:tcMar>
            <w:vAlign w:val="center"/>
          </w:tcPr>
          <w:p>
            <w:pPr>
              <w:widowControl/>
              <w:adjustRightInd w:val="0"/>
              <w:snapToGrid w:val="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提供服务及时性</w:t>
            </w:r>
          </w:p>
        </w:tc>
        <w:tc>
          <w:tcPr>
            <w:tcW w:w="374" w:type="pct"/>
            <w:tcBorders>
              <w:top w:val="nil"/>
              <w:left w:val="nil"/>
              <w:bottom w:val="single" w:color="000000" w:sz="8" w:space="0"/>
              <w:right w:val="single" w:color="000000" w:sz="8" w:space="0"/>
            </w:tcBorders>
            <w:tcMar>
              <w:top w:w="12" w:type="dxa"/>
              <w:left w:w="12" w:type="dxa"/>
              <w:right w:w="12" w:type="dxa"/>
            </w:tcMar>
            <w:vAlign w:val="center"/>
          </w:tcPr>
          <w:p>
            <w:pPr>
              <w:widowControl/>
              <w:adjustRightInd w:val="0"/>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390" w:type="pct"/>
            <w:gridSpan w:val="2"/>
            <w:tcBorders>
              <w:top w:val="nil"/>
              <w:left w:val="nil"/>
              <w:bottom w:val="single" w:color="000000" w:sz="8" w:space="0"/>
              <w:right w:val="single" w:color="000000" w:sz="8" w:space="0"/>
            </w:tcBorders>
            <w:tcMar>
              <w:top w:w="12" w:type="dxa"/>
              <w:left w:w="12" w:type="dxa"/>
              <w:right w:w="12" w:type="dxa"/>
            </w:tcMar>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c>
          <w:tcPr>
            <w:tcW w:w="1192" w:type="pct"/>
            <w:gridSpan w:val="2"/>
            <w:tcBorders>
              <w:top w:val="single" w:color="000000" w:sz="8" w:space="0"/>
              <w:left w:val="nil"/>
              <w:bottom w:val="single" w:color="000000" w:sz="8" w:space="0"/>
              <w:right w:val="single" w:color="000000" w:sz="8" w:space="0"/>
            </w:tcBorders>
            <w:tcMar>
              <w:top w:w="12" w:type="dxa"/>
              <w:left w:w="12" w:type="dxa"/>
              <w:right w:w="12" w:type="dxa"/>
            </w:tcMar>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r>
      <w:tr>
        <w:tblPrEx>
          <w:tblCellMar>
            <w:top w:w="0" w:type="dxa"/>
            <w:left w:w="0" w:type="dxa"/>
            <w:bottom w:w="0" w:type="dxa"/>
            <w:right w:w="0" w:type="dxa"/>
          </w:tblCellMar>
        </w:tblPrEx>
        <w:trPr>
          <w:trHeight w:val="484" w:hRule="atLeast"/>
          <w:jc w:val="center"/>
        </w:trPr>
        <w:tc>
          <w:tcPr>
            <w:tcW w:w="283" w:type="pct"/>
            <w:vMerge w:val="continue"/>
            <w:tcBorders>
              <w:left w:val="single" w:color="auto" w:sz="4" w:space="0"/>
              <w:right w:val="single" w:color="auto" w:sz="4" w:space="0"/>
            </w:tcBorders>
            <w:tcMar>
              <w:top w:w="12" w:type="dxa"/>
              <w:left w:w="12" w:type="dxa"/>
              <w:right w:w="12" w:type="dxa"/>
            </w:tcMar>
            <w:vAlign w:val="center"/>
          </w:tcPr>
          <w:p>
            <w:pPr>
              <w:adjustRightInd w:val="0"/>
              <w:snapToGrid w:val="0"/>
              <w:jc w:val="center"/>
              <w:rPr>
                <w:rFonts w:hint="eastAsia" w:ascii="宋体" w:hAnsi="宋体" w:eastAsia="宋体" w:cs="宋体"/>
                <w:color w:val="auto"/>
                <w:sz w:val="21"/>
                <w:szCs w:val="21"/>
                <w:highlight w:val="none"/>
              </w:rPr>
            </w:pPr>
          </w:p>
        </w:tc>
        <w:tc>
          <w:tcPr>
            <w:tcW w:w="310" w:type="pct"/>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adjustRightInd w:val="0"/>
              <w:snapToGrid w:val="0"/>
              <w:jc w:val="center"/>
              <w:rPr>
                <w:rFonts w:hint="eastAsia" w:ascii="宋体" w:hAnsi="宋体" w:eastAsia="宋体" w:cs="宋体"/>
                <w:color w:val="auto"/>
                <w:sz w:val="21"/>
                <w:szCs w:val="21"/>
                <w:highlight w:val="none"/>
              </w:rPr>
            </w:pPr>
          </w:p>
        </w:tc>
        <w:tc>
          <w:tcPr>
            <w:tcW w:w="2448" w:type="pct"/>
            <w:gridSpan w:val="2"/>
            <w:tcBorders>
              <w:top w:val="nil"/>
              <w:left w:val="single" w:color="auto" w:sz="4" w:space="0"/>
              <w:bottom w:val="single" w:color="000000" w:sz="8" w:space="0"/>
              <w:right w:val="single" w:color="000000" w:sz="8" w:space="0"/>
            </w:tcBorders>
            <w:tcMar>
              <w:top w:w="12" w:type="dxa"/>
              <w:left w:w="12" w:type="dxa"/>
              <w:right w:w="12" w:type="dxa"/>
            </w:tcMar>
            <w:vAlign w:val="center"/>
          </w:tcPr>
          <w:p>
            <w:pPr>
              <w:widowControl/>
              <w:adjustRightInd w:val="0"/>
              <w:snapToGrid w:val="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费用控制情况</w:t>
            </w:r>
          </w:p>
        </w:tc>
        <w:tc>
          <w:tcPr>
            <w:tcW w:w="374" w:type="pct"/>
            <w:tcBorders>
              <w:top w:val="nil"/>
              <w:left w:val="nil"/>
              <w:bottom w:val="single" w:color="000000" w:sz="8" w:space="0"/>
              <w:right w:val="single" w:color="000000" w:sz="8" w:space="0"/>
            </w:tcBorders>
            <w:tcMar>
              <w:top w:w="12" w:type="dxa"/>
              <w:left w:w="12" w:type="dxa"/>
              <w:right w:w="12" w:type="dxa"/>
            </w:tcMar>
            <w:vAlign w:val="center"/>
          </w:tcPr>
          <w:p>
            <w:pPr>
              <w:widowControl/>
              <w:adjustRightInd w:val="0"/>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w:t>
            </w:r>
          </w:p>
        </w:tc>
        <w:tc>
          <w:tcPr>
            <w:tcW w:w="390" w:type="pct"/>
            <w:gridSpan w:val="2"/>
            <w:tcBorders>
              <w:top w:val="nil"/>
              <w:left w:val="nil"/>
              <w:bottom w:val="single" w:color="000000" w:sz="8" w:space="0"/>
              <w:right w:val="single" w:color="000000" w:sz="8" w:space="0"/>
            </w:tcBorders>
            <w:tcMar>
              <w:top w:w="12" w:type="dxa"/>
              <w:left w:w="12" w:type="dxa"/>
              <w:right w:w="12" w:type="dxa"/>
            </w:tcMar>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c>
          <w:tcPr>
            <w:tcW w:w="1192" w:type="pct"/>
            <w:gridSpan w:val="2"/>
            <w:tcBorders>
              <w:top w:val="single" w:color="000000" w:sz="8" w:space="0"/>
              <w:left w:val="nil"/>
              <w:bottom w:val="single" w:color="000000" w:sz="8" w:space="0"/>
              <w:right w:val="single" w:color="000000" w:sz="8" w:space="0"/>
            </w:tcBorders>
            <w:tcMar>
              <w:top w:w="12" w:type="dxa"/>
              <w:left w:w="12" w:type="dxa"/>
              <w:right w:w="12" w:type="dxa"/>
            </w:tcMar>
            <w:vAlign w:val="center"/>
          </w:tcPr>
          <w:p>
            <w:pPr>
              <w:adjustRightInd w:val="0"/>
              <w:snapToGrid w:val="0"/>
              <w:jc w:val="cente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484" w:hRule="atLeast"/>
          <w:jc w:val="center"/>
        </w:trPr>
        <w:tc>
          <w:tcPr>
            <w:tcW w:w="283" w:type="pct"/>
            <w:vMerge w:val="continue"/>
            <w:tcBorders>
              <w:left w:val="single" w:color="auto" w:sz="4" w:space="0"/>
              <w:right w:val="single" w:color="auto" w:sz="4" w:space="0"/>
            </w:tcBorders>
            <w:tcMar>
              <w:top w:w="12" w:type="dxa"/>
              <w:left w:w="12" w:type="dxa"/>
              <w:right w:w="12" w:type="dxa"/>
            </w:tcMar>
            <w:vAlign w:val="center"/>
          </w:tcPr>
          <w:p>
            <w:pPr>
              <w:adjustRightInd w:val="0"/>
              <w:snapToGrid w:val="0"/>
              <w:jc w:val="center"/>
              <w:rPr>
                <w:rFonts w:hint="eastAsia" w:ascii="宋体" w:hAnsi="宋体" w:eastAsia="宋体" w:cs="宋体"/>
                <w:color w:val="auto"/>
                <w:sz w:val="21"/>
                <w:szCs w:val="21"/>
                <w:highlight w:val="none"/>
              </w:rPr>
            </w:pPr>
          </w:p>
        </w:tc>
        <w:tc>
          <w:tcPr>
            <w:tcW w:w="310" w:type="pct"/>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adjustRightInd w:val="0"/>
              <w:snapToGrid w:val="0"/>
              <w:jc w:val="center"/>
              <w:rPr>
                <w:rFonts w:hint="eastAsia" w:ascii="宋体" w:hAnsi="宋体" w:eastAsia="宋体" w:cs="宋体"/>
                <w:color w:val="auto"/>
                <w:sz w:val="21"/>
                <w:szCs w:val="21"/>
                <w:highlight w:val="none"/>
              </w:rPr>
            </w:pPr>
          </w:p>
        </w:tc>
        <w:tc>
          <w:tcPr>
            <w:tcW w:w="2448" w:type="pct"/>
            <w:gridSpan w:val="2"/>
            <w:tcBorders>
              <w:top w:val="nil"/>
              <w:left w:val="single" w:color="auto" w:sz="4" w:space="0"/>
              <w:bottom w:val="single" w:color="000000" w:sz="8" w:space="0"/>
              <w:right w:val="single" w:color="000000" w:sz="8" w:space="0"/>
            </w:tcBorders>
            <w:tcMar>
              <w:top w:w="12" w:type="dxa"/>
              <w:left w:w="12" w:type="dxa"/>
              <w:right w:w="12" w:type="dxa"/>
            </w:tcMar>
            <w:vAlign w:val="center"/>
          </w:tcPr>
          <w:p>
            <w:pPr>
              <w:widowControl/>
              <w:adjustRightInd w:val="0"/>
              <w:snapToGrid w:val="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合同执行过程中主动沟通情况</w:t>
            </w:r>
          </w:p>
        </w:tc>
        <w:tc>
          <w:tcPr>
            <w:tcW w:w="374" w:type="pct"/>
            <w:tcBorders>
              <w:top w:val="nil"/>
              <w:left w:val="nil"/>
              <w:bottom w:val="single" w:color="000000" w:sz="8" w:space="0"/>
              <w:right w:val="single" w:color="000000" w:sz="8" w:space="0"/>
            </w:tcBorders>
            <w:tcMar>
              <w:top w:w="12" w:type="dxa"/>
              <w:left w:w="12" w:type="dxa"/>
              <w:right w:w="12" w:type="dxa"/>
            </w:tcMar>
            <w:vAlign w:val="center"/>
          </w:tcPr>
          <w:p>
            <w:pPr>
              <w:widowControl/>
              <w:adjustRightInd w:val="0"/>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w:t>
            </w:r>
          </w:p>
        </w:tc>
        <w:tc>
          <w:tcPr>
            <w:tcW w:w="390" w:type="pct"/>
            <w:gridSpan w:val="2"/>
            <w:tcBorders>
              <w:top w:val="nil"/>
              <w:left w:val="nil"/>
              <w:bottom w:val="single" w:color="000000" w:sz="8" w:space="0"/>
              <w:right w:val="single" w:color="000000" w:sz="8" w:space="0"/>
            </w:tcBorders>
            <w:tcMar>
              <w:top w:w="12" w:type="dxa"/>
              <w:left w:w="12" w:type="dxa"/>
              <w:right w:w="12" w:type="dxa"/>
            </w:tcMar>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c>
          <w:tcPr>
            <w:tcW w:w="1192" w:type="pct"/>
            <w:gridSpan w:val="2"/>
            <w:tcBorders>
              <w:top w:val="single" w:color="000000" w:sz="8" w:space="0"/>
              <w:left w:val="nil"/>
              <w:bottom w:val="single" w:color="000000" w:sz="8" w:space="0"/>
              <w:right w:val="single" w:color="000000" w:sz="8" w:space="0"/>
            </w:tcBorders>
            <w:tcMar>
              <w:top w:w="12" w:type="dxa"/>
              <w:left w:w="12" w:type="dxa"/>
              <w:right w:w="12" w:type="dxa"/>
            </w:tcMar>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r>
      <w:tr>
        <w:tblPrEx>
          <w:tblCellMar>
            <w:top w:w="0" w:type="dxa"/>
            <w:left w:w="0" w:type="dxa"/>
            <w:bottom w:w="0" w:type="dxa"/>
            <w:right w:w="0" w:type="dxa"/>
          </w:tblCellMar>
        </w:tblPrEx>
        <w:trPr>
          <w:trHeight w:val="484" w:hRule="atLeast"/>
          <w:jc w:val="center"/>
        </w:trPr>
        <w:tc>
          <w:tcPr>
            <w:tcW w:w="283" w:type="pct"/>
            <w:vMerge w:val="continue"/>
            <w:tcBorders>
              <w:left w:val="single" w:color="auto" w:sz="4" w:space="0"/>
              <w:bottom w:val="single" w:color="auto" w:sz="4" w:space="0"/>
              <w:right w:val="single" w:color="auto" w:sz="4" w:space="0"/>
            </w:tcBorders>
            <w:tcMar>
              <w:top w:w="12" w:type="dxa"/>
              <w:left w:w="12" w:type="dxa"/>
              <w:right w:w="12" w:type="dxa"/>
            </w:tcMar>
            <w:vAlign w:val="center"/>
          </w:tcPr>
          <w:p>
            <w:pPr>
              <w:adjustRightInd w:val="0"/>
              <w:snapToGrid w:val="0"/>
              <w:jc w:val="center"/>
              <w:rPr>
                <w:rFonts w:hint="eastAsia" w:ascii="宋体" w:hAnsi="宋体" w:eastAsia="宋体" w:cs="宋体"/>
                <w:color w:val="auto"/>
                <w:sz w:val="21"/>
                <w:szCs w:val="21"/>
                <w:highlight w:val="none"/>
              </w:rPr>
            </w:pPr>
          </w:p>
        </w:tc>
        <w:tc>
          <w:tcPr>
            <w:tcW w:w="310" w:type="pct"/>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adjustRightInd w:val="0"/>
              <w:snapToGrid w:val="0"/>
              <w:jc w:val="center"/>
              <w:rPr>
                <w:rFonts w:hint="eastAsia" w:ascii="宋体" w:hAnsi="宋体" w:eastAsia="宋体" w:cs="宋体"/>
                <w:color w:val="auto"/>
                <w:sz w:val="21"/>
                <w:szCs w:val="21"/>
                <w:highlight w:val="none"/>
              </w:rPr>
            </w:pPr>
          </w:p>
        </w:tc>
        <w:tc>
          <w:tcPr>
            <w:tcW w:w="2448" w:type="pct"/>
            <w:gridSpan w:val="2"/>
            <w:tcBorders>
              <w:top w:val="nil"/>
              <w:left w:val="single" w:color="auto" w:sz="4" w:space="0"/>
              <w:bottom w:val="single" w:color="000000" w:sz="8" w:space="0"/>
              <w:right w:val="single" w:color="000000" w:sz="8" w:space="0"/>
            </w:tcBorders>
            <w:tcMar>
              <w:top w:w="12" w:type="dxa"/>
              <w:left w:w="12" w:type="dxa"/>
              <w:right w:w="12" w:type="dxa"/>
            </w:tcMar>
            <w:vAlign w:val="center"/>
          </w:tcPr>
          <w:p>
            <w:pPr>
              <w:widowControl/>
              <w:adjustRightInd w:val="0"/>
              <w:snapToGrid w:val="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违约情况</w:t>
            </w:r>
          </w:p>
        </w:tc>
        <w:tc>
          <w:tcPr>
            <w:tcW w:w="374" w:type="pct"/>
            <w:tcBorders>
              <w:top w:val="nil"/>
              <w:left w:val="nil"/>
              <w:bottom w:val="single" w:color="000000" w:sz="8" w:space="0"/>
              <w:right w:val="single" w:color="000000" w:sz="8" w:space="0"/>
            </w:tcBorders>
            <w:tcMar>
              <w:top w:w="12" w:type="dxa"/>
              <w:left w:w="12" w:type="dxa"/>
              <w:right w:w="12" w:type="dxa"/>
            </w:tcMar>
            <w:vAlign w:val="center"/>
          </w:tcPr>
          <w:p>
            <w:pPr>
              <w:widowControl/>
              <w:adjustRightInd w:val="0"/>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w:t>
            </w:r>
          </w:p>
        </w:tc>
        <w:tc>
          <w:tcPr>
            <w:tcW w:w="390" w:type="pct"/>
            <w:gridSpan w:val="2"/>
            <w:tcBorders>
              <w:top w:val="nil"/>
              <w:left w:val="nil"/>
              <w:bottom w:val="single" w:color="000000" w:sz="8" w:space="0"/>
              <w:right w:val="single" w:color="000000" w:sz="8" w:space="0"/>
            </w:tcBorders>
            <w:tcMar>
              <w:top w:w="12" w:type="dxa"/>
              <w:left w:w="12" w:type="dxa"/>
              <w:right w:w="12" w:type="dxa"/>
            </w:tcMar>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c>
          <w:tcPr>
            <w:tcW w:w="1192" w:type="pct"/>
            <w:gridSpan w:val="2"/>
            <w:tcBorders>
              <w:top w:val="single" w:color="000000" w:sz="8" w:space="0"/>
              <w:left w:val="nil"/>
              <w:bottom w:val="single" w:color="000000" w:sz="8" w:space="0"/>
              <w:right w:val="single" w:color="000000" w:sz="8" w:space="0"/>
            </w:tcBorders>
            <w:tcMar>
              <w:top w:w="12" w:type="dxa"/>
              <w:left w:w="12" w:type="dxa"/>
              <w:right w:w="12" w:type="dxa"/>
            </w:tcMar>
            <w:vAlign w:val="center"/>
          </w:tcPr>
          <w:p>
            <w:pPr>
              <w:adjustRightInd w:val="0"/>
              <w:snapToGrid w:val="0"/>
              <w:jc w:val="cente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671" w:hRule="atLeast"/>
          <w:jc w:val="center"/>
        </w:trPr>
        <w:tc>
          <w:tcPr>
            <w:tcW w:w="283" w:type="pct"/>
            <w:vMerge w:val="restart"/>
            <w:tcBorders>
              <w:top w:val="single" w:color="auto" w:sz="4" w:space="0"/>
              <w:left w:val="single" w:color="000000" w:sz="8" w:space="0"/>
              <w:right w:val="single" w:color="auto" w:sz="4" w:space="0"/>
            </w:tcBorders>
            <w:tcMar>
              <w:top w:w="12" w:type="dxa"/>
              <w:left w:w="12" w:type="dxa"/>
              <w:right w:w="12" w:type="dxa"/>
            </w:tcMar>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10" w:type="pct"/>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服务效率</w:t>
            </w:r>
          </w:p>
          <w:p>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（20）</w:t>
            </w:r>
          </w:p>
        </w:tc>
        <w:tc>
          <w:tcPr>
            <w:tcW w:w="2448" w:type="pct"/>
            <w:gridSpan w:val="2"/>
            <w:tcBorders>
              <w:top w:val="nil"/>
              <w:left w:val="single" w:color="auto" w:sz="4" w:space="0"/>
              <w:bottom w:val="single" w:color="000000" w:sz="8" w:space="0"/>
              <w:right w:val="single" w:color="000000" w:sz="8" w:space="0"/>
            </w:tcBorders>
            <w:tcMar>
              <w:top w:w="12" w:type="dxa"/>
              <w:left w:w="12" w:type="dxa"/>
              <w:right w:w="12" w:type="dxa"/>
            </w:tcMar>
            <w:vAlign w:val="center"/>
          </w:tcPr>
          <w:p>
            <w:pPr>
              <w:widowControl/>
              <w:adjustRightInd w:val="0"/>
              <w:snapToGrid w:val="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（1）按合同要求完成委托</w:t>
            </w:r>
            <w:r>
              <w:rPr>
                <w:rFonts w:hint="eastAsia" w:ascii="宋体" w:hAnsi="宋体" w:eastAsia="宋体" w:cs="宋体"/>
                <w:color w:val="auto"/>
                <w:kern w:val="0"/>
                <w:sz w:val="21"/>
                <w:szCs w:val="21"/>
                <w:highlight w:val="none"/>
                <w:lang w:val="en-US" w:eastAsia="zh-CN"/>
              </w:rPr>
              <w:t>项目各时间节点</w:t>
            </w:r>
            <w:r>
              <w:rPr>
                <w:rFonts w:hint="eastAsia" w:ascii="宋体" w:hAnsi="宋体" w:eastAsia="宋体" w:cs="宋体"/>
                <w:color w:val="auto"/>
                <w:kern w:val="0"/>
                <w:sz w:val="21"/>
                <w:szCs w:val="21"/>
                <w:highlight w:val="none"/>
              </w:rPr>
              <w:t>，每延误1天扣3分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扣满为止</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w:t>
            </w:r>
          </w:p>
        </w:tc>
        <w:tc>
          <w:tcPr>
            <w:tcW w:w="374" w:type="pct"/>
            <w:tcBorders>
              <w:top w:val="nil"/>
              <w:left w:val="nil"/>
              <w:bottom w:val="single" w:color="000000" w:sz="8" w:space="0"/>
              <w:right w:val="single" w:color="000000" w:sz="8" w:space="0"/>
            </w:tcBorders>
            <w:tcMar>
              <w:top w:w="12" w:type="dxa"/>
              <w:left w:w="12" w:type="dxa"/>
              <w:right w:w="12" w:type="dxa"/>
            </w:tcMar>
            <w:vAlign w:val="center"/>
          </w:tcPr>
          <w:p>
            <w:pPr>
              <w:widowControl/>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390" w:type="pct"/>
            <w:gridSpan w:val="2"/>
            <w:tcBorders>
              <w:top w:val="nil"/>
              <w:left w:val="nil"/>
              <w:bottom w:val="single" w:color="000000" w:sz="8" w:space="0"/>
              <w:right w:val="single" w:color="000000" w:sz="8" w:space="0"/>
            </w:tcBorders>
            <w:tcMar>
              <w:top w:w="12" w:type="dxa"/>
              <w:left w:w="12" w:type="dxa"/>
              <w:right w:w="12" w:type="dxa"/>
            </w:tcMar>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c>
          <w:tcPr>
            <w:tcW w:w="1192" w:type="pct"/>
            <w:gridSpan w:val="2"/>
            <w:tcBorders>
              <w:top w:val="single" w:color="000000" w:sz="8" w:space="0"/>
              <w:left w:val="nil"/>
              <w:bottom w:val="single" w:color="000000" w:sz="8" w:space="0"/>
              <w:right w:val="single" w:color="000000" w:sz="8" w:space="0"/>
            </w:tcBorders>
            <w:tcMar>
              <w:top w:w="12" w:type="dxa"/>
              <w:left w:w="12" w:type="dxa"/>
              <w:right w:w="12" w:type="dxa"/>
            </w:tcMar>
            <w:vAlign w:val="center"/>
          </w:tcPr>
          <w:p>
            <w:pPr>
              <w:adjustRightInd w:val="0"/>
              <w:snapToGrid w:val="0"/>
              <w:jc w:val="cente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671" w:hRule="atLeast"/>
          <w:jc w:val="center"/>
        </w:trPr>
        <w:tc>
          <w:tcPr>
            <w:tcW w:w="283" w:type="pct"/>
            <w:vMerge w:val="continue"/>
            <w:tcBorders>
              <w:left w:val="single" w:color="000000" w:sz="8" w:space="0"/>
              <w:bottom w:val="single" w:color="auto" w:sz="4" w:space="0"/>
              <w:right w:val="single" w:color="auto" w:sz="4" w:space="0"/>
            </w:tcBorders>
            <w:tcMar>
              <w:top w:w="12" w:type="dxa"/>
              <w:left w:w="12" w:type="dxa"/>
              <w:right w:w="12" w:type="dxa"/>
            </w:tcMar>
            <w:vAlign w:val="center"/>
          </w:tcPr>
          <w:p>
            <w:pPr>
              <w:adjustRightInd w:val="0"/>
              <w:snapToGrid w:val="0"/>
              <w:jc w:val="center"/>
              <w:rPr>
                <w:rFonts w:hint="eastAsia" w:ascii="宋体" w:hAnsi="宋体" w:eastAsia="宋体" w:cs="宋体"/>
                <w:color w:val="auto"/>
                <w:sz w:val="21"/>
                <w:szCs w:val="21"/>
                <w:highlight w:val="none"/>
              </w:rPr>
            </w:pPr>
          </w:p>
        </w:tc>
        <w:tc>
          <w:tcPr>
            <w:tcW w:w="310" w:type="pct"/>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adjustRightInd w:val="0"/>
              <w:snapToGrid w:val="0"/>
              <w:jc w:val="center"/>
              <w:rPr>
                <w:rFonts w:hint="eastAsia" w:ascii="宋体" w:hAnsi="宋体" w:eastAsia="宋体" w:cs="宋体"/>
                <w:color w:val="auto"/>
                <w:sz w:val="21"/>
                <w:szCs w:val="21"/>
                <w:highlight w:val="none"/>
              </w:rPr>
            </w:pPr>
          </w:p>
        </w:tc>
        <w:tc>
          <w:tcPr>
            <w:tcW w:w="2448" w:type="pct"/>
            <w:gridSpan w:val="2"/>
            <w:tcBorders>
              <w:top w:val="nil"/>
              <w:left w:val="single" w:color="auto" w:sz="4" w:space="0"/>
              <w:bottom w:val="single" w:color="auto" w:sz="4" w:space="0"/>
              <w:right w:val="single" w:color="000000" w:sz="8" w:space="0"/>
            </w:tcBorders>
            <w:tcMar>
              <w:top w:w="12" w:type="dxa"/>
              <w:left w:w="12" w:type="dxa"/>
              <w:right w:w="12" w:type="dxa"/>
            </w:tcMar>
            <w:vAlign w:val="center"/>
          </w:tcPr>
          <w:p>
            <w:pPr>
              <w:widowControl/>
              <w:adjustRightInd w:val="0"/>
              <w:snapToGrid w:val="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按甲方开工通知时间</w:t>
            </w:r>
            <w:r>
              <w:rPr>
                <w:rFonts w:hint="eastAsia" w:ascii="宋体" w:hAnsi="宋体" w:eastAsia="宋体" w:cs="宋体"/>
                <w:color w:val="auto"/>
                <w:sz w:val="21"/>
                <w:szCs w:val="21"/>
                <w:highlight w:val="none"/>
              </w:rPr>
              <w:t>，每延误1天扣3分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扣满为止</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w:t>
            </w:r>
          </w:p>
        </w:tc>
        <w:tc>
          <w:tcPr>
            <w:tcW w:w="374" w:type="pct"/>
            <w:tcBorders>
              <w:top w:val="nil"/>
              <w:left w:val="nil"/>
              <w:bottom w:val="single" w:color="auto" w:sz="4" w:space="0"/>
              <w:right w:val="single" w:color="000000" w:sz="8" w:space="0"/>
            </w:tcBorders>
            <w:tcMar>
              <w:top w:w="12" w:type="dxa"/>
              <w:left w:w="12" w:type="dxa"/>
              <w:right w:w="12" w:type="dxa"/>
            </w:tcMar>
            <w:vAlign w:val="center"/>
          </w:tcPr>
          <w:p>
            <w:pPr>
              <w:widowControl/>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390" w:type="pct"/>
            <w:gridSpan w:val="2"/>
            <w:tcBorders>
              <w:top w:val="nil"/>
              <w:left w:val="nil"/>
              <w:bottom w:val="single" w:color="auto" w:sz="4" w:space="0"/>
              <w:right w:val="single" w:color="000000" w:sz="8" w:space="0"/>
            </w:tcBorders>
            <w:tcMar>
              <w:top w:w="12" w:type="dxa"/>
              <w:left w:w="12" w:type="dxa"/>
              <w:right w:w="12" w:type="dxa"/>
            </w:tcMar>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c>
          <w:tcPr>
            <w:tcW w:w="1192" w:type="pct"/>
            <w:gridSpan w:val="2"/>
            <w:tcBorders>
              <w:top w:val="single" w:color="000000" w:sz="8" w:space="0"/>
              <w:left w:val="nil"/>
              <w:bottom w:val="single" w:color="auto" w:sz="4" w:space="0"/>
              <w:right w:val="single" w:color="000000" w:sz="8" w:space="0"/>
            </w:tcBorders>
            <w:tcMar>
              <w:top w:w="12" w:type="dxa"/>
              <w:left w:w="12" w:type="dxa"/>
              <w:right w:w="12" w:type="dxa"/>
            </w:tcMar>
            <w:vAlign w:val="center"/>
          </w:tcPr>
          <w:p>
            <w:pPr>
              <w:adjustRightInd w:val="0"/>
              <w:snapToGrid w:val="0"/>
              <w:jc w:val="cente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392" w:hRule="atLeast"/>
          <w:jc w:val="center"/>
        </w:trPr>
        <w:tc>
          <w:tcPr>
            <w:tcW w:w="283" w:type="pct"/>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adjustRightInd w:val="0"/>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w:t>
            </w:r>
          </w:p>
        </w:tc>
        <w:tc>
          <w:tcPr>
            <w:tcW w:w="310" w:type="pct"/>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adjustRightInd w:val="0"/>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其它</w:t>
            </w:r>
          </w:p>
        </w:tc>
        <w:tc>
          <w:tcPr>
            <w:tcW w:w="2448" w:type="pct"/>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（1）非法分包、转让业务。</w:t>
            </w:r>
          </w:p>
        </w:tc>
        <w:tc>
          <w:tcPr>
            <w:tcW w:w="374" w:type="pct"/>
            <w:tcBorders>
              <w:top w:val="single" w:color="auto" w:sz="4" w:space="0"/>
              <w:left w:val="single" w:color="auto" w:sz="4" w:space="0"/>
              <w:bottom w:val="single" w:color="auto" w:sz="4" w:space="0"/>
              <w:right w:val="single" w:color="auto" w:sz="4" w:space="0"/>
            </w:tcBorders>
            <w:tcMar>
              <w:top w:w="12" w:type="dxa"/>
              <w:left w:w="12" w:type="dxa"/>
              <w:right w:w="12" w:type="dxa"/>
            </w:tcMar>
          </w:tcPr>
          <w:p>
            <w:pPr>
              <w:adjustRightInd w:val="0"/>
              <w:snapToGrid w:val="0"/>
              <w:rPr>
                <w:rFonts w:hint="eastAsia" w:ascii="宋体" w:hAnsi="宋体" w:eastAsia="宋体" w:cs="宋体"/>
                <w:color w:val="auto"/>
                <w:sz w:val="21"/>
                <w:szCs w:val="21"/>
                <w:highlight w:val="none"/>
              </w:rPr>
            </w:pPr>
          </w:p>
        </w:tc>
        <w:tc>
          <w:tcPr>
            <w:tcW w:w="390" w:type="pct"/>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adjustRightInd w:val="0"/>
              <w:snapToGrid w:val="0"/>
              <w:jc w:val="center"/>
              <w:rPr>
                <w:rFonts w:hint="eastAsia" w:ascii="宋体" w:hAnsi="宋体" w:eastAsia="宋体" w:cs="宋体"/>
                <w:color w:val="auto"/>
                <w:sz w:val="21"/>
                <w:szCs w:val="21"/>
                <w:highlight w:val="none"/>
              </w:rPr>
            </w:pPr>
          </w:p>
        </w:tc>
        <w:tc>
          <w:tcPr>
            <w:tcW w:w="614" w:type="pct"/>
            <w:tcBorders>
              <w:top w:val="single" w:color="auto" w:sz="4" w:space="0"/>
              <w:left w:val="single" w:color="auto" w:sz="4" w:space="0"/>
              <w:bottom w:val="single" w:color="auto" w:sz="4" w:space="0"/>
              <w:right w:val="single" w:color="auto" w:sz="4" w:space="0"/>
            </w:tcBorders>
            <w:tcMar>
              <w:top w:w="12" w:type="dxa"/>
              <w:left w:w="12" w:type="dxa"/>
              <w:right w:w="12" w:type="dxa"/>
            </w:tcMar>
          </w:tcPr>
          <w:p>
            <w:pPr>
              <w:adjustRightInd w:val="0"/>
              <w:snapToGrid w:val="0"/>
              <w:rPr>
                <w:rFonts w:hint="eastAsia" w:ascii="宋体" w:hAnsi="宋体" w:eastAsia="宋体" w:cs="宋体"/>
                <w:color w:val="auto"/>
                <w:sz w:val="21"/>
                <w:szCs w:val="21"/>
                <w:highlight w:val="none"/>
              </w:rPr>
            </w:pPr>
          </w:p>
        </w:tc>
        <w:tc>
          <w:tcPr>
            <w:tcW w:w="577" w:type="pct"/>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adjustRightInd w:val="0"/>
              <w:snapToGrid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出现任何一项时，评价总得分为零，并</w:t>
            </w:r>
            <w:r>
              <w:rPr>
                <w:rFonts w:hint="eastAsia" w:ascii="宋体" w:hAnsi="宋体" w:eastAsia="宋体" w:cs="宋体"/>
                <w:color w:val="auto"/>
                <w:kern w:val="0"/>
                <w:sz w:val="21"/>
                <w:szCs w:val="21"/>
                <w:highlight w:val="none"/>
                <w:lang w:val="en-US" w:eastAsia="zh-CN"/>
              </w:rPr>
              <w:t>有权解除合同</w:t>
            </w:r>
          </w:p>
        </w:tc>
      </w:tr>
      <w:tr>
        <w:tblPrEx>
          <w:tblCellMar>
            <w:top w:w="0" w:type="dxa"/>
            <w:left w:w="0" w:type="dxa"/>
            <w:bottom w:w="0" w:type="dxa"/>
            <w:right w:w="0" w:type="dxa"/>
          </w:tblCellMar>
        </w:tblPrEx>
        <w:trPr>
          <w:trHeight w:val="392" w:hRule="atLeast"/>
          <w:jc w:val="center"/>
        </w:trPr>
        <w:tc>
          <w:tcPr>
            <w:tcW w:w="283" w:type="pct"/>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adjustRightInd w:val="0"/>
              <w:snapToGrid w:val="0"/>
              <w:jc w:val="center"/>
              <w:textAlignment w:val="center"/>
              <w:rPr>
                <w:rFonts w:hint="eastAsia" w:ascii="宋体" w:hAnsi="宋体" w:eastAsia="宋体" w:cs="宋体"/>
                <w:color w:val="auto"/>
                <w:sz w:val="21"/>
                <w:szCs w:val="21"/>
                <w:highlight w:val="none"/>
              </w:rPr>
            </w:pPr>
          </w:p>
        </w:tc>
        <w:tc>
          <w:tcPr>
            <w:tcW w:w="310" w:type="pct"/>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adjustRightInd w:val="0"/>
              <w:snapToGrid w:val="0"/>
              <w:jc w:val="center"/>
              <w:rPr>
                <w:rFonts w:hint="eastAsia" w:ascii="宋体" w:hAnsi="宋体" w:eastAsia="宋体" w:cs="宋体"/>
                <w:color w:val="auto"/>
                <w:sz w:val="21"/>
                <w:szCs w:val="21"/>
                <w:highlight w:val="none"/>
              </w:rPr>
            </w:pPr>
          </w:p>
        </w:tc>
        <w:tc>
          <w:tcPr>
            <w:tcW w:w="2448" w:type="pct"/>
            <w:gridSpan w:val="2"/>
            <w:tcBorders>
              <w:top w:val="single" w:color="auto" w:sz="4" w:space="0"/>
              <w:left w:val="single" w:color="auto" w:sz="4" w:space="0"/>
              <w:bottom w:val="single" w:color="000000" w:sz="8" w:space="0"/>
              <w:right w:val="single" w:color="000000" w:sz="8" w:space="0"/>
            </w:tcBorders>
            <w:tcMar>
              <w:top w:w="12" w:type="dxa"/>
              <w:left w:w="12" w:type="dxa"/>
              <w:right w:w="12" w:type="dxa"/>
            </w:tcMar>
            <w:vAlign w:val="center"/>
          </w:tcPr>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（2）拒绝承接任务。</w:t>
            </w:r>
          </w:p>
        </w:tc>
        <w:tc>
          <w:tcPr>
            <w:tcW w:w="374" w:type="pct"/>
            <w:tcBorders>
              <w:top w:val="single" w:color="auto" w:sz="4" w:space="0"/>
              <w:left w:val="nil"/>
              <w:bottom w:val="single" w:color="000000" w:sz="8" w:space="0"/>
              <w:right w:val="single" w:color="000000" w:sz="8" w:space="0"/>
            </w:tcBorders>
            <w:tcMar>
              <w:top w:w="12" w:type="dxa"/>
              <w:left w:w="12" w:type="dxa"/>
              <w:right w:w="12" w:type="dxa"/>
            </w:tcMar>
          </w:tcPr>
          <w:p>
            <w:pPr>
              <w:adjustRightInd w:val="0"/>
              <w:snapToGrid w:val="0"/>
              <w:rPr>
                <w:rFonts w:hint="eastAsia" w:ascii="宋体" w:hAnsi="宋体" w:eastAsia="宋体" w:cs="宋体"/>
                <w:color w:val="auto"/>
                <w:sz w:val="21"/>
                <w:szCs w:val="21"/>
                <w:highlight w:val="none"/>
              </w:rPr>
            </w:pPr>
          </w:p>
        </w:tc>
        <w:tc>
          <w:tcPr>
            <w:tcW w:w="390" w:type="pct"/>
            <w:gridSpan w:val="2"/>
            <w:tcBorders>
              <w:top w:val="single" w:color="auto" w:sz="4" w:space="0"/>
              <w:left w:val="nil"/>
              <w:bottom w:val="single" w:color="000000" w:sz="8" w:space="0"/>
              <w:right w:val="single" w:color="000000" w:sz="8" w:space="0"/>
            </w:tcBorders>
            <w:tcMar>
              <w:top w:w="12" w:type="dxa"/>
              <w:left w:w="12" w:type="dxa"/>
              <w:right w:w="12" w:type="dxa"/>
            </w:tcMar>
          </w:tcPr>
          <w:p>
            <w:pPr>
              <w:adjustRightInd w:val="0"/>
              <w:snapToGrid w:val="0"/>
              <w:jc w:val="center"/>
              <w:rPr>
                <w:rFonts w:hint="eastAsia" w:ascii="宋体" w:hAnsi="宋体" w:eastAsia="宋体" w:cs="宋体"/>
                <w:color w:val="auto"/>
                <w:sz w:val="21"/>
                <w:szCs w:val="21"/>
                <w:highlight w:val="none"/>
              </w:rPr>
            </w:pPr>
          </w:p>
        </w:tc>
        <w:tc>
          <w:tcPr>
            <w:tcW w:w="614" w:type="pct"/>
            <w:tcBorders>
              <w:top w:val="single" w:color="auto" w:sz="4" w:space="0"/>
              <w:left w:val="nil"/>
              <w:bottom w:val="single" w:color="000000" w:sz="8" w:space="0"/>
              <w:right w:val="single" w:color="000000" w:sz="8" w:space="0"/>
            </w:tcBorders>
            <w:tcMar>
              <w:top w:w="12" w:type="dxa"/>
              <w:left w:w="12" w:type="dxa"/>
              <w:right w:w="12" w:type="dxa"/>
            </w:tcMar>
          </w:tcPr>
          <w:p>
            <w:pPr>
              <w:adjustRightInd w:val="0"/>
              <w:snapToGrid w:val="0"/>
              <w:rPr>
                <w:rFonts w:hint="eastAsia" w:ascii="宋体" w:hAnsi="宋体" w:eastAsia="宋体" w:cs="宋体"/>
                <w:color w:val="auto"/>
                <w:sz w:val="21"/>
                <w:szCs w:val="21"/>
                <w:highlight w:val="none"/>
              </w:rPr>
            </w:pPr>
          </w:p>
        </w:tc>
        <w:tc>
          <w:tcPr>
            <w:tcW w:w="577" w:type="pct"/>
            <w:vMerge w:val="continue"/>
            <w:tcBorders>
              <w:top w:val="single" w:color="auto" w:sz="4" w:space="0"/>
              <w:left w:val="nil"/>
              <w:right w:val="single" w:color="000000" w:sz="8" w:space="0"/>
            </w:tcBorders>
            <w:tcMar>
              <w:top w:w="12" w:type="dxa"/>
              <w:left w:w="12" w:type="dxa"/>
              <w:right w:w="12" w:type="dxa"/>
            </w:tcMar>
            <w:vAlign w:val="center"/>
          </w:tcPr>
          <w:p>
            <w:pPr>
              <w:adjustRightInd w:val="0"/>
              <w:snapToGrid w:val="0"/>
              <w:jc w:val="cente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579" w:hRule="atLeast"/>
          <w:jc w:val="center"/>
        </w:trPr>
        <w:tc>
          <w:tcPr>
            <w:tcW w:w="283" w:type="pct"/>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adjustRightInd w:val="0"/>
              <w:snapToGrid w:val="0"/>
              <w:jc w:val="center"/>
              <w:textAlignment w:val="center"/>
              <w:rPr>
                <w:rFonts w:hint="eastAsia" w:ascii="宋体" w:hAnsi="宋体" w:eastAsia="宋体" w:cs="宋体"/>
                <w:color w:val="auto"/>
                <w:sz w:val="21"/>
                <w:szCs w:val="21"/>
                <w:highlight w:val="none"/>
              </w:rPr>
            </w:pPr>
          </w:p>
        </w:tc>
        <w:tc>
          <w:tcPr>
            <w:tcW w:w="310" w:type="pct"/>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adjustRightInd w:val="0"/>
              <w:snapToGrid w:val="0"/>
              <w:jc w:val="center"/>
              <w:rPr>
                <w:rFonts w:hint="eastAsia" w:ascii="宋体" w:hAnsi="宋体" w:eastAsia="宋体" w:cs="宋体"/>
                <w:color w:val="auto"/>
                <w:sz w:val="21"/>
                <w:szCs w:val="21"/>
                <w:highlight w:val="none"/>
              </w:rPr>
            </w:pPr>
          </w:p>
        </w:tc>
        <w:tc>
          <w:tcPr>
            <w:tcW w:w="2448" w:type="pct"/>
            <w:gridSpan w:val="2"/>
            <w:tcBorders>
              <w:top w:val="nil"/>
              <w:left w:val="single" w:color="auto" w:sz="4" w:space="0"/>
              <w:bottom w:val="single" w:color="000000" w:sz="8" w:space="0"/>
              <w:right w:val="single" w:color="000000" w:sz="8" w:space="0"/>
            </w:tcBorders>
            <w:tcMar>
              <w:top w:w="12" w:type="dxa"/>
              <w:left w:w="12" w:type="dxa"/>
              <w:right w:w="12" w:type="dxa"/>
            </w:tcMar>
            <w:vAlign w:val="center"/>
          </w:tcPr>
          <w:p>
            <w:pPr>
              <w:widowControl/>
              <w:adjustRightInd w:val="0"/>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Style w:val="37"/>
                <w:rFonts w:hint="eastAsia" w:ascii="宋体" w:hAnsi="宋体" w:eastAsia="宋体" w:cs="宋体"/>
                <w:color w:val="auto"/>
                <w:highlight w:val="none"/>
              </w:rPr>
              <w:t>3</w:t>
            </w:r>
            <w:r>
              <w:rPr>
                <w:rStyle w:val="38"/>
                <w:color w:val="auto"/>
                <w:highlight w:val="none"/>
              </w:rPr>
              <w:t>）</w:t>
            </w:r>
            <w:r>
              <w:rPr>
                <w:rStyle w:val="38"/>
                <w:rFonts w:hint="eastAsia" w:eastAsia="宋体"/>
                <w:color w:val="auto"/>
                <w:highlight w:val="none"/>
                <w:lang w:val="en-US" w:eastAsia="zh-CN"/>
              </w:rPr>
              <w:t>施工</w:t>
            </w:r>
            <w:r>
              <w:rPr>
                <w:rStyle w:val="38"/>
                <w:color w:val="auto"/>
                <w:highlight w:val="none"/>
              </w:rPr>
              <w:t>存在重大质量问题，因</w:t>
            </w:r>
            <w:r>
              <w:rPr>
                <w:rStyle w:val="38"/>
                <w:rFonts w:hint="eastAsia" w:eastAsia="宋体"/>
                <w:color w:val="auto"/>
                <w:highlight w:val="none"/>
                <w:lang w:val="en-US" w:eastAsia="zh-CN"/>
              </w:rPr>
              <w:t>质量问题</w:t>
            </w:r>
            <w:r>
              <w:rPr>
                <w:rStyle w:val="38"/>
                <w:color w:val="auto"/>
                <w:highlight w:val="none"/>
              </w:rPr>
              <w:t>引起诉讼和纠纷的。</w:t>
            </w:r>
          </w:p>
        </w:tc>
        <w:tc>
          <w:tcPr>
            <w:tcW w:w="374" w:type="pct"/>
            <w:tcBorders>
              <w:top w:val="nil"/>
              <w:left w:val="nil"/>
              <w:bottom w:val="single" w:color="000000" w:sz="8" w:space="0"/>
              <w:right w:val="single" w:color="000000" w:sz="8" w:space="0"/>
            </w:tcBorders>
            <w:tcMar>
              <w:top w:w="12" w:type="dxa"/>
              <w:left w:w="12" w:type="dxa"/>
              <w:right w:w="12" w:type="dxa"/>
            </w:tcMar>
          </w:tcPr>
          <w:p>
            <w:pPr>
              <w:adjustRightInd w:val="0"/>
              <w:snapToGrid w:val="0"/>
              <w:rPr>
                <w:rFonts w:hint="eastAsia" w:ascii="宋体" w:hAnsi="宋体" w:eastAsia="宋体" w:cs="宋体"/>
                <w:color w:val="auto"/>
                <w:sz w:val="21"/>
                <w:szCs w:val="21"/>
                <w:highlight w:val="none"/>
              </w:rPr>
            </w:pPr>
          </w:p>
        </w:tc>
        <w:tc>
          <w:tcPr>
            <w:tcW w:w="390" w:type="pct"/>
            <w:gridSpan w:val="2"/>
            <w:tcBorders>
              <w:top w:val="nil"/>
              <w:left w:val="nil"/>
              <w:bottom w:val="single" w:color="000000" w:sz="8" w:space="0"/>
              <w:right w:val="single" w:color="000000" w:sz="8" w:space="0"/>
            </w:tcBorders>
            <w:tcMar>
              <w:top w:w="12" w:type="dxa"/>
              <w:left w:w="12" w:type="dxa"/>
              <w:right w:w="12" w:type="dxa"/>
            </w:tcMar>
          </w:tcPr>
          <w:p>
            <w:pPr>
              <w:adjustRightInd w:val="0"/>
              <w:snapToGrid w:val="0"/>
              <w:jc w:val="center"/>
              <w:rPr>
                <w:rFonts w:hint="eastAsia" w:ascii="宋体" w:hAnsi="宋体" w:eastAsia="宋体" w:cs="宋体"/>
                <w:color w:val="auto"/>
                <w:sz w:val="21"/>
                <w:szCs w:val="21"/>
                <w:highlight w:val="none"/>
              </w:rPr>
            </w:pPr>
          </w:p>
        </w:tc>
        <w:tc>
          <w:tcPr>
            <w:tcW w:w="614" w:type="pct"/>
            <w:tcBorders>
              <w:top w:val="nil"/>
              <w:left w:val="nil"/>
              <w:bottom w:val="single" w:color="000000" w:sz="8" w:space="0"/>
              <w:right w:val="single" w:color="000000" w:sz="8" w:space="0"/>
            </w:tcBorders>
            <w:tcMar>
              <w:top w:w="12" w:type="dxa"/>
              <w:left w:w="12" w:type="dxa"/>
              <w:right w:w="12" w:type="dxa"/>
            </w:tcMar>
          </w:tcPr>
          <w:p>
            <w:pPr>
              <w:adjustRightInd w:val="0"/>
              <w:snapToGrid w:val="0"/>
              <w:rPr>
                <w:rFonts w:hint="eastAsia" w:ascii="宋体" w:hAnsi="宋体" w:eastAsia="宋体" w:cs="宋体"/>
                <w:color w:val="auto"/>
                <w:sz w:val="21"/>
                <w:szCs w:val="21"/>
                <w:highlight w:val="none"/>
              </w:rPr>
            </w:pPr>
          </w:p>
        </w:tc>
        <w:tc>
          <w:tcPr>
            <w:tcW w:w="577" w:type="pct"/>
            <w:vMerge w:val="continue"/>
            <w:tcBorders>
              <w:left w:val="nil"/>
              <w:right w:val="single" w:color="000000" w:sz="8" w:space="0"/>
            </w:tcBorders>
            <w:tcMar>
              <w:top w:w="12" w:type="dxa"/>
              <w:left w:w="12" w:type="dxa"/>
              <w:right w:w="12" w:type="dxa"/>
            </w:tcMar>
            <w:vAlign w:val="center"/>
          </w:tcPr>
          <w:p>
            <w:pPr>
              <w:adjustRightInd w:val="0"/>
              <w:snapToGrid w:val="0"/>
              <w:jc w:val="cente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579" w:hRule="atLeast"/>
          <w:jc w:val="center"/>
        </w:trPr>
        <w:tc>
          <w:tcPr>
            <w:tcW w:w="283" w:type="pct"/>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adjustRightInd w:val="0"/>
              <w:snapToGrid w:val="0"/>
              <w:jc w:val="center"/>
              <w:textAlignment w:val="center"/>
              <w:rPr>
                <w:rFonts w:hint="eastAsia" w:ascii="宋体" w:hAnsi="宋体" w:eastAsia="宋体" w:cs="宋体"/>
                <w:color w:val="auto"/>
                <w:kern w:val="0"/>
                <w:sz w:val="21"/>
                <w:szCs w:val="21"/>
                <w:highlight w:val="none"/>
              </w:rPr>
            </w:pPr>
          </w:p>
        </w:tc>
        <w:tc>
          <w:tcPr>
            <w:tcW w:w="310" w:type="pct"/>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adjustRightInd w:val="0"/>
              <w:snapToGrid w:val="0"/>
              <w:jc w:val="center"/>
              <w:textAlignment w:val="center"/>
              <w:rPr>
                <w:rFonts w:hint="eastAsia" w:ascii="宋体" w:hAnsi="宋体" w:eastAsia="宋体" w:cs="宋体"/>
                <w:color w:val="auto"/>
                <w:kern w:val="0"/>
                <w:sz w:val="21"/>
                <w:szCs w:val="21"/>
                <w:highlight w:val="none"/>
              </w:rPr>
            </w:pPr>
          </w:p>
        </w:tc>
        <w:tc>
          <w:tcPr>
            <w:tcW w:w="2448" w:type="pct"/>
            <w:gridSpan w:val="2"/>
            <w:tcBorders>
              <w:top w:val="nil"/>
              <w:left w:val="single" w:color="auto" w:sz="4" w:space="0"/>
              <w:bottom w:val="single" w:color="000000" w:sz="8" w:space="0"/>
              <w:right w:val="single" w:color="000000" w:sz="8" w:space="0"/>
            </w:tcBorders>
            <w:tcMar>
              <w:top w:w="12" w:type="dxa"/>
              <w:left w:w="12" w:type="dxa"/>
              <w:right w:w="12" w:type="dxa"/>
            </w:tcMar>
            <w:vAlign w:val="center"/>
          </w:tcPr>
          <w:p>
            <w:pPr>
              <w:widowControl/>
              <w:adjustRightInd w:val="0"/>
              <w:snapToGrid w:val="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（4）其他违法违规行为或因未履行合同条款约定对公司造成损失的</w:t>
            </w:r>
            <w:r>
              <w:rPr>
                <w:rStyle w:val="38"/>
                <w:color w:val="auto"/>
                <w:highlight w:val="none"/>
              </w:rPr>
              <w:t>。</w:t>
            </w:r>
          </w:p>
        </w:tc>
        <w:tc>
          <w:tcPr>
            <w:tcW w:w="374" w:type="pct"/>
            <w:tcBorders>
              <w:top w:val="nil"/>
              <w:left w:val="nil"/>
              <w:bottom w:val="single" w:color="000000" w:sz="8" w:space="0"/>
              <w:right w:val="single" w:color="000000" w:sz="8" w:space="0"/>
            </w:tcBorders>
            <w:tcMar>
              <w:top w:w="12" w:type="dxa"/>
              <w:left w:w="12" w:type="dxa"/>
              <w:right w:w="12" w:type="dxa"/>
            </w:tcMar>
            <w:vAlign w:val="center"/>
          </w:tcPr>
          <w:p>
            <w:pPr>
              <w:widowControl/>
              <w:adjustRightInd w:val="0"/>
              <w:snapToGrid w:val="0"/>
              <w:jc w:val="center"/>
              <w:textAlignment w:val="center"/>
              <w:rPr>
                <w:rFonts w:hint="eastAsia" w:ascii="宋体" w:hAnsi="宋体" w:eastAsia="宋体" w:cs="宋体"/>
                <w:color w:val="auto"/>
                <w:kern w:val="0"/>
                <w:sz w:val="21"/>
                <w:szCs w:val="21"/>
                <w:highlight w:val="none"/>
              </w:rPr>
            </w:pPr>
          </w:p>
        </w:tc>
        <w:tc>
          <w:tcPr>
            <w:tcW w:w="390" w:type="pct"/>
            <w:gridSpan w:val="2"/>
            <w:tcBorders>
              <w:top w:val="nil"/>
              <w:left w:val="nil"/>
              <w:bottom w:val="single" w:color="000000" w:sz="8" w:space="0"/>
              <w:right w:val="single" w:color="000000" w:sz="8" w:space="0"/>
            </w:tcBorders>
            <w:tcMar>
              <w:top w:w="12" w:type="dxa"/>
              <w:left w:w="12" w:type="dxa"/>
              <w:right w:w="12" w:type="dxa"/>
            </w:tcMar>
            <w:vAlign w:val="center"/>
          </w:tcPr>
          <w:p>
            <w:pPr>
              <w:adjustRightInd w:val="0"/>
              <w:snapToGrid w:val="0"/>
              <w:jc w:val="center"/>
              <w:rPr>
                <w:rFonts w:hint="eastAsia" w:ascii="宋体" w:hAnsi="宋体" w:eastAsia="宋体" w:cs="宋体"/>
                <w:color w:val="auto"/>
                <w:sz w:val="21"/>
                <w:szCs w:val="21"/>
                <w:highlight w:val="none"/>
              </w:rPr>
            </w:pPr>
          </w:p>
        </w:tc>
        <w:tc>
          <w:tcPr>
            <w:tcW w:w="614" w:type="pct"/>
            <w:tcBorders>
              <w:top w:val="nil"/>
              <w:left w:val="nil"/>
              <w:bottom w:val="single" w:color="000000" w:sz="8" w:space="0"/>
              <w:right w:val="single" w:color="000000" w:sz="8" w:space="0"/>
            </w:tcBorders>
            <w:noWrap/>
            <w:tcMar>
              <w:top w:w="12" w:type="dxa"/>
              <w:left w:w="12" w:type="dxa"/>
              <w:right w:w="12" w:type="dxa"/>
            </w:tcMar>
            <w:vAlign w:val="center"/>
          </w:tcPr>
          <w:p>
            <w:pPr>
              <w:adjustRightInd w:val="0"/>
              <w:snapToGrid w:val="0"/>
              <w:jc w:val="center"/>
              <w:rPr>
                <w:rFonts w:hint="eastAsia" w:ascii="宋体" w:hAnsi="宋体" w:eastAsia="宋体" w:cs="宋体"/>
                <w:color w:val="auto"/>
                <w:sz w:val="21"/>
                <w:szCs w:val="21"/>
                <w:highlight w:val="none"/>
              </w:rPr>
            </w:pPr>
          </w:p>
        </w:tc>
        <w:tc>
          <w:tcPr>
            <w:tcW w:w="577" w:type="pct"/>
            <w:vMerge w:val="continue"/>
            <w:tcBorders>
              <w:left w:val="nil"/>
              <w:bottom w:val="single" w:color="000000" w:sz="8" w:space="0"/>
              <w:right w:val="single" w:color="000000" w:sz="8" w:space="0"/>
            </w:tcBorders>
            <w:vAlign w:val="center"/>
          </w:tcPr>
          <w:p>
            <w:pPr>
              <w:adjustRightInd w:val="0"/>
              <w:snapToGrid w:val="0"/>
              <w:jc w:val="cente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375" w:hRule="atLeast"/>
          <w:jc w:val="center"/>
        </w:trPr>
        <w:tc>
          <w:tcPr>
            <w:tcW w:w="3042" w:type="pct"/>
            <w:gridSpan w:val="4"/>
            <w:tcBorders>
              <w:top w:val="nil"/>
              <w:left w:val="single" w:color="auto" w:sz="4" w:space="0"/>
              <w:bottom w:val="single" w:color="auto" w:sz="4" w:space="0"/>
              <w:right w:val="single" w:color="000000" w:sz="8" w:space="0"/>
            </w:tcBorders>
            <w:tcMar>
              <w:top w:w="12" w:type="dxa"/>
              <w:left w:w="12" w:type="dxa"/>
              <w:right w:w="12" w:type="dxa"/>
            </w:tcMar>
            <w:vAlign w:val="center"/>
          </w:tcPr>
          <w:p>
            <w:pPr>
              <w:widowControl/>
              <w:adjustRightInd w:val="0"/>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合计</w:t>
            </w:r>
          </w:p>
        </w:tc>
        <w:tc>
          <w:tcPr>
            <w:tcW w:w="374" w:type="pct"/>
            <w:tcBorders>
              <w:top w:val="nil"/>
              <w:left w:val="nil"/>
              <w:bottom w:val="single" w:color="auto" w:sz="4" w:space="0"/>
              <w:right w:val="single" w:color="000000" w:sz="8" w:space="0"/>
            </w:tcBorders>
            <w:tcMar>
              <w:top w:w="12" w:type="dxa"/>
              <w:left w:w="12" w:type="dxa"/>
              <w:right w:w="12" w:type="dxa"/>
            </w:tcMar>
            <w:vAlign w:val="center"/>
          </w:tcPr>
          <w:p>
            <w:pPr>
              <w:widowControl/>
              <w:adjustRightInd w:val="0"/>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100</w:t>
            </w:r>
          </w:p>
        </w:tc>
        <w:tc>
          <w:tcPr>
            <w:tcW w:w="390" w:type="pct"/>
            <w:gridSpan w:val="2"/>
            <w:tcBorders>
              <w:top w:val="nil"/>
              <w:left w:val="nil"/>
              <w:bottom w:val="single" w:color="auto" w:sz="4" w:space="0"/>
              <w:right w:val="single" w:color="000000" w:sz="8" w:space="0"/>
            </w:tcBorders>
            <w:tcMar>
              <w:top w:w="12" w:type="dxa"/>
              <w:left w:w="12" w:type="dxa"/>
              <w:right w:w="12" w:type="dxa"/>
            </w:tcMar>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c>
          <w:tcPr>
            <w:tcW w:w="1192" w:type="pct"/>
            <w:gridSpan w:val="2"/>
            <w:tcBorders>
              <w:top w:val="nil"/>
              <w:left w:val="nil"/>
              <w:bottom w:val="single" w:color="auto" w:sz="4" w:space="0"/>
              <w:right w:val="single" w:color="000000" w:sz="8" w:space="0"/>
            </w:tcBorders>
            <w:noWrap/>
            <w:tcMar>
              <w:top w:w="12" w:type="dxa"/>
              <w:left w:w="12" w:type="dxa"/>
              <w:right w:w="12" w:type="dxa"/>
            </w:tcMar>
            <w:vAlign w:val="center"/>
          </w:tcPr>
          <w:p>
            <w:pPr>
              <w:adjustRightInd w:val="0"/>
              <w:snapToGrid w:val="0"/>
              <w:jc w:val="cente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576" w:hRule="atLeast"/>
          <w:jc w:val="center"/>
        </w:trPr>
        <w:tc>
          <w:tcPr>
            <w:tcW w:w="5000" w:type="pct"/>
            <w:gridSpan w:val="9"/>
            <w:tcBorders>
              <w:top w:val="single" w:color="auto" w:sz="4" w:space="0"/>
              <w:left w:val="single" w:color="000000" w:sz="8" w:space="0"/>
              <w:bottom w:val="single" w:color="000000" w:sz="8" w:space="0"/>
              <w:right w:val="single" w:color="000000" w:sz="8" w:space="0"/>
            </w:tcBorders>
            <w:tcMar>
              <w:top w:w="12" w:type="dxa"/>
              <w:left w:w="12" w:type="dxa"/>
              <w:right w:w="12" w:type="dxa"/>
            </w:tcMar>
          </w:tcPr>
          <w:p>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其他意见及建议：</w:t>
            </w:r>
          </w:p>
        </w:tc>
      </w:tr>
    </w:tbl>
    <w:p>
      <w:pPr>
        <w:pStyle w:val="8"/>
        <w:ind w:firstLine="540" w:firstLineChars="300"/>
        <w:jc w:val="left"/>
        <w:rPr>
          <w:rFonts w:hint="eastAsia" w:ascii="宋体" w:hAnsi="宋体" w:eastAsia="宋体" w:cs="宋体"/>
          <w:color w:val="auto"/>
          <w:sz w:val="24"/>
          <w:szCs w:val="24"/>
          <w:highlight w:val="none"/>
        </w:rPr>
      </w:pPr>
      <w:r>
        <w:rPr>
          <w:rFonts w:hint="eastAsia"/>
          <w:color w:val="auto"/>
          <w:sz w:val="18"/>
          <w:szCs w:val="18"/>
          <w:highlight w:val="none"/>
        </w:rPr>
        <w:t>备注：</w:t>
      </w:r>
      <w:r>
        <w:rPr>
          <w:rFonts w:hint="eastAsia" w:cs="宋体"/>
          <w:color w:val="auto"/>
          <w:kern w:val="0"/>
          <w:sz w:val="18"/>
          <w:highlight w:val="none"/>
        </w:rPr>
        <w:t>.总分合计80分合格。</w:t>
      </w:r>
    </w:p>
    <w:sectPr>
      <w:headerReference r:id="rId5" w:type="default"/>
      <w:footerReference r:id="rId6" w:type="default"/>
      <w:pgSz w:w="11906" w:h="16838"/>
      <w:pgMar w:top="1644" w:right="1588" w:bottom="1644" w:left="1588" w:header="851" w:footer="992" w:gutter="0"/>
      <w:pgNumType w:fmt="numberInDash"/>
      <w:cols w:space="708" w:num="1"/>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Wingdings 2">
    <w:altName w:val="Wingdings"/>
    <w:panose1 w:val="05020102010507070707"/>
    <w:charset w:val="02"/>
    <w:family w:val="auto"/>
    <w:pitch w:val="default"/>
    <w:sig w:usb0="00000000" w:usb1="00000000" w:usb2="00000000" w:usb3="00000000" w:csb0="80000000" w:csb1="00000000"/>
  </w:font>
  <w:font w:name="Batang">
    <w:altName w:val="Malgun Gothic"/>
    <w:panose1 w:val="02030600000101010101"/>
    <w:charset w:val="81"/>
    <w:family w:val="auto"/>
    <w:pitch w:val="default"/>
    <w:sig w:usb0="00000000" w:usb1="00000000" w:usb2="00000030" w:usb3="00000000" w:csb0="4008009F" w:csb1="DFD7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2" name="文本框 3"/>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a:noFill/>
                      </a:ln>
                    </wps:spPr>
                    <wps:txbx>
                      <w:txbxContent>
                        <w:p>
                          <w:pPr>
                            <w:pStyle w:val="1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bziEn0QAAAAMBAAAPAAAAAAAAAAEAIAAAACIAAABkcnMvZG93&#10;bnJldi54bWxQSwECFAAUAAAACACHTuJAHSmmnc4BAACXAwAADgAAAAAAAAABACAAAAAgAQAAZHJz&#10;L2Uyb0RvYy54bWxQSwUGAAAAAAYABgBZAQAAYAUAAAAA&#10;">
              <v:fill on="f" focussize="0,0"/>
              <v:stroke on="f"/>
              <v:imagedata o:title=""/>
              <o:lock v:ext="edit" aspectratio="f"/>
              <v:textbox inset="0mm,0mm,0mm,0mm" style="mso-fit-shape-to-text:t;">
                <w:txbxContent>
                  <w:p>
                    <w:pPr>
                      <w:pStyle w:val="1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0B0A23"/>
    <w:multiLevelType w:val="multilevel"/>
    <w:tmpl w:val="060B0A23"/>
    <w:lvl w:ilvl="0" w:tentative="0">
      <w:start w:val="1"/>
      <w:numFmt w:val="decimal"/>
      <w:pStyle w:val="4"/>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A90D308"/>
    <w:multiLevelType w:val="singleLevel"/>
    <w:tmpl w:val="5A90D30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forms" w:enforcement="0"/>
  <w:defaultTabStop w:val="420"/>
  <w:drawingGridVerticalSpacing w:val="224"/>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lMzA2ZDAzMjI2Mzg3ZDdjN2IzMmRjNmU0OWIyNGIifQ=="/>
  </w:docVars>
  <w:rsids>
    <w:rsidRoot w:val="00366268"/>
    <w:rsid w:val="00000143"/>
    <w:rsid w:val="00014BF4"/>
    <w:rsid w:val="00014E06"/>
    <w:rsid w:val="00030D2F"/>
    <w:rsid w:val="00031923"/>
    <w:rsid w:val="00035D45"/>
    <w:rsid w:val="00043469"/>
    <w:rsid w:val="0004564A"/>
    <w:rsid w:val="000456B0"/>
    <w:rsid w:val="00047C5C"/>
    <w:rsid w:val="000649C1"/>
    <w:rsid w:val="0006725F"/>
    <w:rsid w:val="0007084E"/>
    <w:rsid w:val="00073C5F"/>
    <w:rsid w:val="0008071C"/>
    <w:rsid w:val="0008133D"/>
    <w:rsid w:val="00084EA6"/>
    <w:rsid w:val="00093A28"/>
    <w:rsid w:val="000970AE"/>
    <w:rsid w:val="000A2A84"/>
    <w:rsid w:val="000B1F97"/>
    <w:rsid w:val="000B6660"/>
    <w:rsid w:val="000B7939"/>
    <w:rsid w:val="000C6BE0"/>
    <w:rsid w:val="000D6D89"/>
    <w:rsid w:val="000E111D"/>
    <w:rsid w:val="000F032A"/>
    <w:rsid w:val="000F519F"/>
    <w:rsid w:val="00110CD5"/>
    <w:rsid w:val="00111D71"/>
    <w:rsid w:val="00126981"/>
    <w:rsid w:val="001352A9"/>
    <w:rsid w:val="0014036A"/>
    <w:rsid w:val="00140378"/>
    <w:rsid w:val="001438E1"/>
    <w:rsid w:val="00143A7C"/>
    <w:rsid w:val="00144884"/>
    <w:rsid w:val="00145B34"/>
    <w:rsid w:val="00157C80"/>
    <w:rsid w:val="001759B2"/>
    <w:rsid w:val="0018019B"/>
    <w:rsid w:val="001918F4"/>
    <w:rsid w:val="001A1469"/>
    <w:rsid w:val="001A29BF"/>
    <w:rsid w:val="001A5639"/>
    <w:rsid w:val="001B11BA"/>
    <w:rsid w:val="001B18AA"/>
    <w:rsid w:val="001B1EFD"/>
    <w:rsid w:val="001C04D1"/>
    <w:rsid w:val="001C180C"/>
    <w:rsid w:val="001C3A7C"/>
    <w:rsid w:val="001D13AE"/>
    <w:rsid w:val="001D1596"/>
    <w:rsid w:val="001D4CD7"/>
    <w:rsid w:val="001D6E3C"/>
    <w:rsid w:val="001F14ED"/>
    <w:rsid w:val="001F68BD"/>
    <w:rsid w:val="00217BFC"/>
    <w:rsid w:val="00222565"/>
    <w:rsid w:val="0023197D"/>
    <w:rsid w:val="00236FAA"/>
    <w:rsid w:val="0025251C"/>
    <w:rsid w:val="00266AF0"/>
    <w:rsid w:val="00270B6B"/>
    <w:rsid w:val="0029385B"/>
    <w:rsid w:val="00297420"/>
    <w:rsid w:val="002A018C"/>
    <w:rsid w:val="002A125C"/>
    <w:rsid w:val="002A1FE5"/>
    <w:rsid w:val="002A2B54"/>
    <w:rsid w:val="002B6028"/>
    <w:rsid w:val="002C0533"/>
    <w:rsid w:val="002C48CF"/>
    <w:rsid w:val="002C70B8"/>
    <w:rsid w:val="002D2FE1"/>
    <w:rsid w:val="002D7C49"/>
    <w:rsid w:val="002E7C80"/>
    <w:rsid w:val="003002F1"/>
    <w:rsid w:val="0030587A"/>
    <w:rsid w:val="00315D89"/>
    <w:rsid w:val="003167A9"/>
    <w:rsid w:val="00336278"/>
    <w:rsid w:val="00352B4D"/>
    <w:rsid w:val="00356989"/>
    <w:rsid w:val="00360E30"/>
    <w:rsid w:val="0036238B"/>
    <w:rsid w:val="003628B3"/>
    <w:rsid w:val="003644EC"/>
    <w:rsid w:val="00366268"/>
    <w:rsid w:val="003672FD"/>
    <w:rsid w:val="00395044"/>
    <w:rsid w:val="00395453"/>
    <w:rsid w:val="003A1842"/>
    <w:rsid w:val="003A42C3"/>
    <w:rsid w:val="003B292B"/>
    <w:rsid w:val="003E1EED"/>
    <w:rsid w:val="003E1F4E"/>
    <w:rsid w:val="003E690E"/>
    <w:rsid w:val="004100F6"/>
    <w:rsid w:val="00411E73"/>
    <w:rsid w:val="00426CCD"/>
    <w:rsid w:val="0043605E"/>
    <w:rsid w:val="00437533"/>
    <w:rsid w:val="00455837"/>
    <w:rsid w:val="004636E0"/>
    <w:rsid w:val="004707F5"/>
    <w:rsid w:val="00484E65"/>
    <w:rsid w:val="0049220A"/>
    <w:rsid w:val="00492659"/>
    <w:rsid w:val="00495400"/>
    <w:rsid w:val="004B7463"/>
    <w:rsid w:val="004E2108"/>
    <w:rsid w:val="004F3D25"/>
    <w:rsid w:val="0050151C"/>
    <w:rsid w:val="00501B9D"/>
    <w:rsid w:val="00515ECB"/>
    <w:rsid w:val="00522EA3"/>
    <w:rsid w:val="00532686"/>
    <w:rsid w:val="00533219"/>
    <w:rsid w:val="005420C2"/>
    <w:rsid w:val="005424F7"/>
    <w:rsid w:val="00544702"/>
    <w:rsid w:val="00577FFA"/>
    <w:rsid w:val="005811C9"/>
    <w:rsid w:val="0058743E"/>
    <w:rsid w:val="00592652"/>
    <w:rsid w:val="00595D54"/>
    <w:rsid w:val="00596ED5"/>
    <w:rsid w:val="005A1663"/>
    <w:rsid w:val="005A768C"/>
    <w:rsid w:val="005B2AEF"/>
    <w:rsid w:val="005B558A"/>
    <w:rsid w:val="005C4048"/>
    <w:rsid w:val="005C5516"/>
    <w:rsid w:val="005C7191"/>
    <w:rsid w:val="005C7816"/>
    <w:rsid w:val="005E1E3D"/>
    <w:rsid w:val="005E1F98"/>
    <w:rsid w:val="005E2206"/>
    <w:rsid w:val="005E2224"/>
    <w:rsid w:val="005F3A5D"/>
    <w:rsid w:val="005F4737"/>
    <w:rsid w:val="00601AB0"/>
    <w:rsid w:val="006045E1"/>
    <w:rsid w:val="006103FF"/>
    <w:rsid w:val="00612FBC"/>
    <w:rsid w:val="00623E86"/>
    <w:rsid w:val="006326F7"/>
    <w:rsid w:val="00637724"/>
    <w:rsid w:val="006416B5"/>
    <w:rsid w:val="00645130"/>
    <w:rsid w:val="00645FD2"/>
    <w:rsid w:val="00654A19"/>
    <w:rsid w:val="00657A2E"/>
    <w:rsid w:val="0066048A"/>
    <w:rsid w:val="00683329"/>
    <w:rsid w:val="00684688"/>
    <w:rsid w:val="00687AFE"/>
    <w:rsid w:val="00693AD4"/>
    <w:rsid w:val="0069464B"/>
    <w:rsid w:val="006B7E36"/>
    <w:rsid w:val="006C206B"/>
    <w:rsid w:val="006D1992"/>
    <w:rsid w:val="006D3664"/>
    <w:rsid w:val="006F065E"/>
    <w:rsid w:val="006F1993"/>
    <w:rsid w:val="006F687D"/>
    <w:rsid w:val="006F7F16"/>
    <w:rsid w:val="00702F0F"/>
    <w:rsid w:val="00710D27"/>
    <w:rsid w:val="007207DB"/>
    <w:rsid w:val="0072416F"/>
    <w:rsid w:val="007271D8"/>
    <w:rsid w:val="0073123E"/>
    <w:rsid w:val="00742B22"/>
    <w:rsid w:val="007539A0"/>
    <w:rsid w:val="00761BBE"/>
    <w:rsid w:val="007622BF"/>
    <w:rsid w:val="00763187"/>
    <w:rsid w:val="00764135"/>
    <w:rsid w:val="00764CB6"/>
    <w:rsid w:val="00776928"/>
    <w:rsid w:val="00781C8E"/>
    <w:rsid w:val="007943A9"/>
    <w:rsid w:val="007975D0"/>
    <w:rsid w:val="007A1802"/>
    <w:rsid w:val="007A7B6A"/>
    <w:rsid w:val="007B0D8A"/>
    <w:rsid w:val="007C047A"/>
    <w:rsid w:val="007C4FF0"/>
    <w:rsid w:val="007D5191"/>
    <w:rsid w:val="007E09E2"/>
    <w:rsid w:val="007F45F8"/>
    <w:rsid w:val="00800309"/>
    <w:rsid w:val="0081226F"/>
    <w:rsid w:val="00813365"/>
    <w:rsid w:val="00825594"/>
    <w:rsid w:val="00827652"/>
    <w:rsid w:val="00843CAD"/>
    <w:rsid w:val="0084718F"/>
    <w:rsid w:val="00874131"/>
    <w:rsid w:val="00885CB0"/>
    <w:rsid w:val="00892132"/>
    <w:rsid w:val="008A178D"/>
    <w:rsid w:val="008A443C"/>
    <w:rsid w:val="008A6E0E"/>
    <w:rsid w:val="008B3155"/>
    <w:rsid w:val="008B5B77"/>
    <w:rsid w:val="008C17E8"/>
    <w:rsid w:val="008D6EB6"/>
    <w:rsid w:val="008E0CAE"/>
    <w:rsid w:val="008F3564"/>
    <w:rsid w:val="00900876"/>
    <w:rsid w:val="009024F3"/>
    <w:rsid w:val="00902CBA"/>
    <w:rsid w:val="0092190B"/>
    <w:rsid w:val="00921DCD"/>
    <w:rsid w:val="009230C8"/>
    <w:rsid w:val="00924A95"/>
    <w:rsid w:val="009257C5"/>
    <w:rsid w:val="009326D3"/>
    <w:rsid w:val="00933B07"/>
    <w:rsid w:val="00941BE8"/>
    <w:rsid w:val="00942734"/>
    <w:rsid w:val="00943440"/>
    <w:rsid w:val="0094537C"/>
    <w:rsid w:val="00975D0F"/>
    <w:rsid w:val="009844A0"/>
    <w:rsid w:val="0098563F"/>
    <w:rsid w:val="009870E9"/>
    <w:rsid w:val="00990739"/>
    <w:rsid w:val="0099297F"/>
    <w:rsid w:val="009A1717"/>
    <w:rsid w:val="009A181A"/>
    <w:rsid w:val="009A2F4D"/>
    <w:rsid w:val="009A440A"/>
    <w:rsid w:val="009B1194"/>
    <w:rsid w:val="009C5961"/>
    <w:rsid w:val="009D310A"/>
    <w:rsid w:val="009F0355"/>
    <w:rsid w:val="009F29DE"/>
    <w:rsid w:val="00A071F3"/>
    <w:rsid w:val="00A14CA2"/>
    <w:rsid w:val="00A17350"/>
    <w:rsid w:val="00A2097B"/>
    <w:rsid w:val="00A21A77"/>
    <w:rsid w:val="00A24333"/>
    <w:rsid w:val="00A33416"/>
    <w:rsid w:val="00A409EA"/>
    <w:rsid w:val="00A4511B"/>
    <w:rsid w:val="00A471AB"/>
    <w:rsid w:val="00A67572"/>
    <w:rsid w:val="00A80494"/>
    <w:rsid w:val="00A91E5A"/>
    <w:rsid w:val="00AA1A47"/>
    <w:rsid w:val="00AB07AD"/>
    <w:rsid w:val="00AB7A3C"/>
    <w:rsid w:val="00AC1D73"/>
    <w:rsid w:val="00AC2367"/>
    <w:rsid w:val="00AD17CC"/>
    <w:rsid w:val="00AD3CA0"/>
    <w:rsid w:val="00AD58E4"/>
    <w:rsid w:val="00AE3DBF"/>
    <w:rsid w:val="00B0495D"/>
    <w:rsid w:val="00B069A9"/>
    <w:rsid w:val="00B1295C"/>
    <w:rsid w:val="00B140AE"/>
    <w:rsid w:val="00B30DE3"/>
    <w:rsid w:val="00B36591"/>
    <w:rsid w:val="00B42317"/>
    <w:rsid w:val="00B443E2"/>
    <w:rsid w:val="00B47639"/>
    <w:rsid w:val="00B4775B"/>
    <w:rsid w:val="00B67D05"/>
    <w:rsid w:val="00B9338C"/>
    <w:rsid w:val="00B95424"/>
    <w:rsid w:val="00BA192C"/>
    <w:rsid w:val="00BA3E13"/>
    <w:rsid w:val="00BB0E34"/>
    <w:rsid w:val="00BB398D"/>
    <w:rsid w:val="00BB4432"/>
    <w:rsid w:val="00BC6B4D"/>
    <w:rsid w:val="00BD1147"/>
    <w:rsid w:val="00BD1954"/>
    <w:rsid w:val="00BE73ED"/>
    <w:rsid w:val="00BE7C50"/>
    <w:rsid w:val="00BF0C40"/>
    <w:rsid w:val="00BF7A1F"/>
    <w:rsid w:val="00C151B9"/>
    <w:rsid w:val="00C2285A"/>
    <w:rsid w:val="00C24462"/>
    <w:rsid w:val="00C30DFC"/>
    <w:rsid w:val="00C31835"/>
    <w:rsid w:val="00C3380B"/>
    <w:rsid w:val="00C52DBC"/>
    <w:rsid w:val="00C716DB"/>
    <w:rsid w:val="00C7196B"/>
    <w:rsid w:val="00C72A3F"/>
    <w:rsid w:val="00C7519A"/>
    <w:rsid w:val="00C76B58"/>
    <w:rsid w:val="00C77B8B"/>
    <w:rsid w:val="00C91FA3"/>
    <w:rsid w:val="00CA2412"/>
    <w:rsid w:val="00CA3751"/>
    <w:rsid w:val="00CB0A75"/>
    <w:rsid w:val="00CB49A0"/>
    <w:rsid w:val="00CC4F1A"/>
    <w:rsid w:val="00CD0467"/>
    <w:rsid w:val="00CD0F78"/>
    <w:rsid w:val="00CD18D0"/>
    <w:rsid w:val="00CE0724"/>
    <w:rsid w:val="00CE690D"/>
    <w:rsid w:val="00CE6B83"/>
    <w:rsid w:val="00CF6700"/>
    <w:rsid w:val="00CF673E"/>
    <w:rsid w:val="00D0799E"/>
    <w:rsid w:val="00D12881"/>
    <w:rsid w:val="00D12E5F"/>
    <w:rsid w:val="00D12EFF"/>
    <w:rsid w:val="00D15F1D"/>
    <w:rsid w:val="00D17F29"/>
    <w:rsid w:val="00D20BF7"/>
    <w:rsid w:val="00D24A09"/>
    <w:rsid w:val="00D275C5"/>
    <w:rsid w:val="00D32130"/>
    <w:rsid w:val="00D40A0E"/>
    <w:rsid w:val="00D442E1"/>
    <w:rsid w:val="00D5296F"/>
    <w:rsid w:val="00D53A10"/>
    <w:rsid w:val="00D64720"/>
    <w:rsid w:val="00D678F1"/>
    <w:rsid w:val="00D74AAB"/>
    <w:rsid w:val="00D7631E"/>
    <w:rsid w:val="00D80BC6"/>
    <w:rsid w:val="00D83D02"/>
    <w:rsid w:val="00D90AF4"/>
    <w:rsid w:val="00D94401"/>
    <w:rsid w:val="00D95A33"/>
    <w:rsid w:val="00D96817"/>
    <w:rsid w:val="00DD103A"/>
    <w:rsid w:val="00DD1965"/>
    <w:rsid w:val="00DD2E05"/>
    <w:rsid w:val="00DD5A32"/>
    <w:rsid w:val="00DE4858"/>
    <w:rsid w:val="00DF0A3A"/>
    <w:rsid w:val="00E12419"/>
    <w:rsid w:val="00E2076A"/>
    <w:rsid w:val="00E33790"/>
    <w:rsid w:val="00E34CE1"/>
    <w:rsid w:val="00E4600E"/>
    <w:rsid w:val="00E52C45"/>
    <w:rsid w:val="00E65545"/>
    <w:rsid w:val="00E66AB9"/>
    <w:rsid w:val="00E77A83"/>
    <w:rsid w:val="00E82054"/>
    <w:rsid w:val="00E8349A"/>
    <w:rsid w:val="00E835F4"/>
    <w:rsid w:val="00E83E26"/>
    <w:rsid w:val="00E91E99"/>
    <w:rsid w:val="00E92056"/>
    <w:rsid w:val="00E96701"/>
    <w:rsid w:val="00EA1070"/>
    <w:rsid w:val="00EB493B"/>
    <w:rsid w:val="00EC75BF"/>
    <w:rsid w:val="00ED7155"/>
    <w:rsid w:val="00EE1603"/>
    <w:rsid w:val="00EE2925"/>
    <w:rsid w:val="00EE3DDA"/>
    <w:rsid w:val="00EF6B5C"/>
    <w:rsid w:val="00F1326B"/>
    <w:rsid w:val="00F204F6"/>
    <w:rsid w:val="00F24DA6"/>
    <w:rsid w:val="00F34179"/>
    <w:rsid w:val="00F373C2"/>
    <w:rsid w:val="00F62479"/>
    <w:rsid w:val="00F62BDD"/>
    <w:rsid w:val="00F67BB9"/>
    <w:rsid w:val="00F7295E"/>
    <w:rsid w:val="00F73183"/>
    <w:rsid w:val="00F76DB9"/>
    <w:rsid w:val="00F81B8F"/>
    <w:rsid w:val="00F846F4"/>
    <w:rsid w:val="00F85D3F"/>
    <w:rsid w:val="00F94A0F"/>
    <w:rsid w:val="00FB05FF"/>
    <w:rsid w:val="00FB5D38"/>
    <w:rsid w:val="00FD3CC5"/>
    <w:rsid w:val="00FD7647"/>
    <w:rsid w:val="00FD764D"/>
    <w:rsid w:val="00FE5928"/>
    <w:rsid w:val="00FF2D1B"/>
    <w:rsid w:val="01461447"/>
    <w:rsid w:val="01EB6738"/>
    <w:rsid w:val="024D569E"/>
    <w:rsid w:val="02A943C5"/>
    <w:rsid w:val="02FA1B6E"/>
    <w:rsid w:val="03463B42"/>
    <w:rsid w:val="038E49D9"/>
    <w:rsid w:val="045A3A99"/>
    <w:rsid w:val="057C58A0"/>
    <w:rsid w:val="08886830"/>
    <w:rsid w:val="08B01B3C"/>
    <w:rsid w:val="08C021A9"/>
    <w:rsid w:val="0903104B"/>
    <w:rsid w:val="09235FD0"/>
    <w:rsid w:val="09504E3B"/>
    <w:rsid w:val="0AFC5791"/>
    <w:rsid w:val="0C56537A"/>
    <w:rsid w:val="0D293501"/>
    <w:rsid w:val="0D2A3B71"/>
    <w:rsid w:val="0E2F1654"/>
    <w:rsid w:val="0E5B4F55"/>
    <w:rsid w:val="0F8F6DF5"/>
    <w:rsid w:val="0FCF00A9"/>
    <w:rsid w:val="111843D3"/>
    <w:rsid w:val="112A30E0"/>
    <w:rsid w:val="11476B31"/>
    <w:rsid w:val="11B61715"/>
    <w:rsid w:val="1229411D"/>
    <w:rsid w:val="12671ADF"/>
    <w:rsid w:val="12B46304"/>
    <w:rsid w:val="13116BD7"/>
    <w:rsid w:val="13895353"/>
    <w:rsid w:val="1398442B"/>
    <w:rsid w:val="14744FCB"/>
    <w:rsid w:val="14DB3BDA"/>
    <w:rsid w:val="14DD57CF"/>
    <w:rsid w:val="15261ADB"/>
    <w:rsid w:val="15A4727D"/>
    <w:rsid w:val="16DB5802"/>
    <w:rsid w:val="17F30CF2"/>
    <w:rsid w:val="184557A2"/>
    <w:rsid w:val="18731BD9"/>
    <w:rsid w:val="19762565"/>
    <w:rsid w:val="19C3368D"/>
    <w:rsid w:val="1A697C6E"/>
    <w:rsid w:val="1AF24CAE"/>
    <w:rsid w:val="1B9C038B"/>
    <w:rsid w:val="1BA85274"/>
    <w:rsid w:val="1BAF3882"/>
    <w:rsid w:val="1BC90FA3"/>
    <w:rsid w:val="1BD715A3"/>
    <w:rsid w:val="1BFC32C9"/>
    <w:rsid w:val="1DD71011"/>
    <w:rsid w:val="1DD80AB8"/>
    <w:rsid w:val="1E4B740E"/>
    <w:rsid w:val="1E8A3A8B"/>
    <w:rsid w:val="1E9104ED"/>
    <w:rsid w:val="1F616696"/>
    <w:rsid w:val="1FFD672F"/>
    <w:rsid w:val="207A0B6D"/>
    <w:rsid w:val="2101113A"/>
    <w:rsid w:val="21511C93"/>
    <w:rsid w:val="21D94837"/>
    <w:rsid w:val="220D713A"/>
    <w:rsid w:val="22523B0E"/>
    <w:rsid w:val="234C7F06"/>
    <w:rsid w:val="23683C34"/>
    <w:rsid w:val="23A22E69"/>
    <w:rsid w:val="23C41FBC"/>
    <w:rsid w:val="249C6D64"/>
    <w:rsid w:val="26AC2187"/>
    <w:rsid w:val="272B78BB"/>
    <w:rsid w:val="27FA04F1"/>
    <w:rsid w:val="2B3F3EE0"/>
    <w:rsid w:val="2BB03514"/>
    <w:rsid w:val="2BE47891"/>
    <w:rsid w:val="2C36311A"/>
    <w:rsid w:val="2CFC3AA3"/>
    <w:rsid w:val="2D504B53"/>
    <w:rsid w:val="2D8C5ECA"/>
    <w:rsid w:val="2EB07E70"/>
    <w:rsid w:val="2ED66F4A"/>
    <w:rsid w:val="30FB0D4E"/>
    <w:rsid w:val="319475D5"/>
    <w:rsid w:val="32A71B85"/>
    <w:rsid w:val="32EE5508"/>
    <w:rsid w:val="333247A2"/>
    <w:rsid w:val="337E06B1"/>
    <w:rsid w:val="34C44E39"/>
    <w:rsid w:val="34E64E5F"/>
    <w:rsid w:val="3525407A"/>
    <w:rsid w:val="352E33BF"/>
    <w:rsid w:val="355846D8"/>
    <w:rsid w:val="35B2271F"/>
    <w:rsid w:val="367A7E08"/>
    <w:rsid w:val="36B57FAB"/>
    <w:rsid w:val="376E6569"/>
    <w:rsid w:val="380D1E8F"/>
    <w:rsid w:val="38482EC7"/>
    <w:rsid w:val="38C2546E"/>
    <w:rsid w:val="38C74642"/>
    <w:rsid w:val="39735998"/>
    <w:rsid w:val="39C940DD"/>
    <w:rsid w:val="3A7D5803"/>
    <w:rsid w:val="3A847BD6"/>
    <w:rsid w:val="3AAE23F1"/>
    <w:rsid w:val="3ACB005C"/>
    <w:rsid w:val="3B046FAB"/>
    <w:rsid w:val="3B157451"/>
    <w:rsid w:val="3B6F1959"/>
    <w:rsid w:val="3CC91725"/>
    <w:rsid w:val="3EF4291E"/>
    <w:rsid w:val="40180480"/>
    <w:rsid w:val="40722420"/>
    <w:rsid w:val="40FA0A23"/>
    <w:rsid w:val="419E71A4"/>
    <w:rsid w:val="41B30848"/>
    <w:rsid w:val="41FC3C78"/>
    <w:rsid w:val="44017ED6"/>
    <w:rsid w:val="454937BA"/>
    <w:rsid w:val="46174D5B"/>
    <w:rsid w:val="46935C55"/>
    <w:rsid w:val="46CD1F9B"/>
    <w:rsid w:val="46F6472D"/>
    <w:rsid w:val="47A214F9"/>
    <w:rsid w:val="47B63409"/>
    <w:rsid w:val="47F372EB"/>
    <w:rsid w:val="48FB6489"/>
    <w:rsid w:val="4B2340D6"/>
    <w:rsid w:val="4B5D353D"/>
    <w:rsid w:val="4BBC79AB"/>
    <w:rsid w:val="4C5F0F07"/>
    <w:rsid w:val="4C63426E"/>
    <w:rsid w:val="4C975564"/>
    <w:rsid w:val="4D28299B"/>
    <w:rsid w:val="4D654866"/>
    <w:rsid w:val="4D7E05F7"/>
    <w:rsid w:val="4DC64B62"/>
    <w:rsid w:val="4DDF4F31"/>
    <w:rsid w:val="4DFA0000"/>
    <w:rsid w:val="4E5A270E"/>
    <w:rsid w:val="4EB028F1"/>
    <w:rsid w:val="50722BD9"/>
    <w:rsid w:val="517D36FC"/>
    <w:rsid w:val="52483412"/>
    <w:rsid w:val="52750727"/>
    <w:rsid w:val="532A49EC"/>
    <w:rsid w:val="53C952F1"/>
    <w:rsid w:val="53D41456"/>
    <w:rsid w:val="55971A99"/>
    <w:rsid w:val="56BD5B96"/>
    <w:rsid w:val="575C69E3"/>
    <w:rsid w:val="586A2285"/>
    <w:rsid w:val="58E60491"/>
    <w:rsid w:val="595A33B1"/>
    <w:rsid w:val="5A6A4DB1"/>
    <w:rsid w:val="5B29175E"/>
    <w:rsid w:val="5C1F5A28"/>
    <w:rsid w:val="5C492D6C"/>
    <w:rsid w:val="5CC777CB"/>
    <w:rsid w:val="5E6C7060"/>
    <w:rsid w:val="5ED74655"/>
    <w:rsid w:val="5EF713CD"/>
    <w:rsid w:val="5EFF11A5"/>
    <w:rsid w:val="5F65360C"/>
    <w:rsid w:val="5FA66D73"/>
    <w:rsid w:val="5FBB44E8"/>
    <w:rsid w:val="60F65F38"/>
    <w:rsid w:val="61697D25"/>
    <w:rsid w:val="619A463E"/>
    <w:rsid w:val="61DE1E6C"/>
    <w:rsid w:val="62754389"/>
    <w:rsid w:val="63DB6C8F"/>
    <w:rsid w:val="63E95395"/>
    <w:rsid w:val="64931D8E"/>
    <w:rsid w:val="653C6B86"/>
    <w:rsid w:val="659C6A54"/>
    <w:rsid w:val="66053903"/>
    <w:rsid w:val="66D44B9A"/>
    <w:rsid w:val="66E225B5"/>
    <w:rsid w:val="66F33CE5"/>
    <w:rsid w:val="674C3122"/>
    <w:rsid w:val="67611A2F"/>
    <w:rsid w:val="682E4E87"/>
    <w:rsid w:val="68BE7601"/>
    <w:rsid w:val="696E4CF2"/>
    <w:rsid w:val="698D316B"/>
    <w:rsid w:val="6A294430"/>
    <w:rsid w:val="6A951A1E"/>
    <w:rsid w:val="6B410DD9"/>
    <w:rsid w:val="6C535AC3"/>
    <w:rsid w:val="6CF26D04"/>
    <w:rsid w:val="6DBD740C"/>
    <w:rsid w:val="6E5F4023"/>
    <w:rsid w:val="6EC36FCC"/>
    <w:rsid w:val="6EC730C9"/>
    <w:rsid w:val="6EEC1689"/>
    <w:rsid w:val="6F7A65AC"/>
    <w:rsid w:val="6FF62004"/>
    <w:rsid w:val="700E51B1"/>
    <w:rsid w:val="71142CD4"/>
    <w:rsid w:val="711F0FD4"/>
    <w:rsid w:val="723D3944"/>
    <w:rsid w:val="72904D02"/>
    <w:rsid w:val="73727EC0"/>
    <w:rsid w:val="7395275D"/>
    <w:rsid w:val="742D58ED"/>
    <w:rsid w:val="74396A19"/>
    <w:rsid w:val="74D36C7C"/>
    <w:rsid w:val="762635E5"/>
    <w:rsid w:val="76CE0B19"/>
    <w:rsid w:val="7737124A"/>
    <w:rsid w:val="77A000D3"/>
    <w:rsid w:val="77C34622"/>
    <w:rsid w:val="78A1670B"/>
    <w:rsid w:val="78AA2807"/>
    <w:rsid w:val="79C96060"/>
    <w:rsid w:val="7A410131"/>
    <w:rsid w:val="7A6656E3"/>
    <w:rsid w:val="7AC04FBB"/>
    <w:rsid w:val="7B1A70FD"/>
    <w:rsid w:val="7B303ED3"/>
    <w:rsid w:val="7B4E3866"/>
    <w:rsid w:val="7C176401"/>
    <w:rsid w:val="7C2D4F23"/>
    <w:rsid w:val="7C36642D"/>
    <w:rsid w:val="7C9342D6"/>
    <w:rsid w:val="7D380CD5"/>
    <w:rsid w:val="7D7163B0"/>
    <w:rsid w:val="7DF21869"/>
    <w:rsid w:val="7DFB5D0A"/>
    <w:rsid w:val="7E8B17AA"/>
    <w:rsid w:val="7EB7779D"/>
    <w:rsid w:val="7F0E2B3F"/>
    <w:rsid w:val="7F1A2E26"/>
    <w:rsid w:val="7FCA2B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99"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3">
    <w:name w:val="heading 1"/>
    <w:basedOn w:val="1"/>
    <w:next w:val="1"/>
    <w:qFormat/>
    <w:uiPriority w:val="0"/>
    <w:pPr>
      <w:jc w:val="left"/>
      <w:outlineLvl w:val="0"/>
    </w:pPr>
    <w:rPr>
      <w:rFonts w:ascii="黑体" w:hAnsi="黑体" w:eastAsia="黑体" w:cs="Times New Roman"/>
      <w:kern w:val="0"/>
      <w:sz w:val="44"/>
      <w:szCs w:val="44"/>
      <w:lang w:eastAsia="en-US"/>
    </w:rPr>
  </w:style>
  <w:style w:type="paragraph" w:styleId="4">
    <w:name w:val="heading 2"/>
    <w:basedOn w:val="1"/>
    <w:next w:val="5"/>
    <w:autoRedefine/>
    <w:qFormat/>
    <w:uiPriority w:val="0"/>
    <w:pPr>
      <w:keepNext/>
      <w:keepLines/>
      <w:numPr>
        <w:ilvl w:val="0"/>
        <w:numId w:val="1"/>
      </w:numPr>
      <w:spacing w:before="260" w:after="260" w:line="415" w:lineRule="auto"/>
      <w:outlineLvl w:val="1"/>
    </w:pPr>
    <w:rPr>
      <w:rFonts w:ascii="黑体" w:hAnsi="黑体" w:eastAsia="黑体" w:cs="宋体"/>
      <w:sz w:val="30"/>
      <w:szCs w:val="30"/>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customStyle="1" w:styleId="2">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styleId="5">
    <w:name w:val="Normal Indent"/>
    <w:basedOn w:val="1"/>
    <w:autoRedefine/>
    <w:qFormat/>
    <w:uiPriority w:val="0"/>
    <w:pPr>
      <w:ind w:firstLine="420"/>
    </w:pPr>
    <w:rPr>
      <w:rFonts w:ascii="Times New Roman" w:hAnsi="Times New Roman" w:eastAsia="楷体_GB2312" w:cs="Times New Roman"/>
      <w:sz w:val="21"/>
      <w:szCs w:val="20"/>
    </w:rPr>
  </w:style>
  <w:style w:type="paragraph" w:styleId="6">
    <w:name w:val="annotation text"/>
    <w:basedOn w:val="1"/>
    <w:link w:val="26"/>
    <w:autoRedefine/>
    <w:qFormat/>
    <w:uiPriority w:val="0"/>
    <w:pPr>
      <w:jc w:val="left"/>
    </w:pPr>
  </w:style>
  <w:style w:type="paragraph" w:styleId="7">
    <w:name w:val="Body Text"/>
    <w:basedOn w:val="1"/>
    <w:next w:val="8"/>
    <w:autoRedefine/>
    <w:qFormat/>
    <w:uiPriority w:val="0"/>
    <w:rPr>
      <w:rFonts w:ascii="Arial" w:hAnsi="Arial"/>
      <w:color w:val="000000"/>
    </w:rPr>
  </w:style>
  <w:style w:type="paragraph" w:styleId="8">
    <w:name w:val="Body Text 2"/>
    <w:basedOn w:val="1"/>
    <w:autoRedefine/>
    <w:qFormat/>
    <w:uiPriority w:val="0"/>
    <w:pPr>
      <w:spacing w:after="120" w:line="480" w:lineRule="auto"/>
    </w:pPr>
  </w:style>
  <w:style w:type="paragraph" w:styleId="9">
    <w:name w:val="Body Text Indent"/>
    <w:basedOn w:val="1"/>
    <w:next w:val="10"/>
    <w:autoRedefine/>
    <w:qFormat/>
    <w:uiPriority w:val="0"/>
    <w:pPr>
      <w:spacing w:after="120"/>
      <w:ind w:left="420" w:leftChars="200"/>
    </w:pPr>
    <w:rPr>
      <w:rFonts w:ascii="Times New Roman" w:hAnsi="Times New Roman" w:eastAsia="宋体" w:cs="Times New Roman"/>
      <w:sz w:val="21"/>
      <w:szCs w:val="24"/>
    </w:rPr>
  </w:style>
  <w:style w:type="paragraph" w:styleId="10">
    <w:name w:val="envelope return"/>
    <w:basedOn w:val="1"/>
    <w:autoRedefine/>
    <w:qFormat/>
    <w:uiPriority w:val="0"/>
    <w:pPr>
      <w:snapToGrid w:val="0"/>
    </w:pPr>
    <w:rPr>
      <w:rFonts w:ascii="Arial" w:hAnsi="Arial"/>
      <w:szCs w:val="24"/>
    </w:rPr>
  </w:style>
  <w:style w:type="paragraph" w:styleId="11">
    <w:name w:val="Plain Text"/>
    <w:basedOn w:val="1"/>
    <w:link w:val="27"/>
    <w:autoRedefine/>
    <w:qFormat/>
    <w:uiPriority w:val="0"/>
    <w:rPr>
      <w:rFonts w:ascii="宋体" w:hAnsi="Courier New" w:eastAsia="楷体_GB2312" w:cs="Times New Roman"/>
      <w:sz w:val="21"/>
      <w:szCs w:val="24"/>
    </w:rPr>
  </w:style>
  <w:style w:type="paragraph" w:styleId="12">
    <w:name w:val="Body Text Indent 2"/>
    <w:basedOn w:val="1"/>
    <w:autoRedefine/>
    <w:unhideWhenUsed/>
    <w:qFormat/>
    <w:uiPriority w:val="99"/>
    <w:pPr>
      <w:spacing w:after="120" w:line="480" w:lineRule="auto"/>
      <w:ind w:left="420" w:leftChars="200"/>
    </w:pPr>
  </w:style>
  <w:style w:type="paragraph" w:styleId="13">
    <w:name w:val="Balloon Text"/>
    <w:basedOn w:val="1"/>
    <w:autoRedefine/>
    <w:semiHidden/>
    <w:qFormat/>
    <w:uiPriority w:val="0"/>
    <w:rPr>
      <w:sz w:val="18"/>
      <w:szCs w:val="18"/>
    </w:rPr>
  </w:style>
  <w:style w:type="paragraph" w:styleId="14">
    <w:name w:val="footer"/>
    <w:basedOn w:val="1"/>
    <w:link w:val="28"/>
    <w:autoRedefine/>
    <w:qFormat/>
    <w:uiPriority w:val="99"/>
    <w:pPr>
      <w:tabs>
        <w:tab w:val="center" w:pos="4153"/>
        <w:tab w:val="right" w:pos="8306"/>
      </w:tabs>
      <w:snapToGrid w:val="0"/>
      <w:jc w:val="left"/>
    </w:pPr>
    <w:rPr>
      <w:sz w:val="18"/>
      <w:szCs w:val="18"/>
    </w:rPr>
  </w:style>
  <w:style w:type="paragraph" w:styleId="15">
    <w:name w:val="header"/>
    <w:basedOn w:val="1"/>
    <w:link w:val="29"/>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autoRedefine/>
    <w:qFormat/>
    <w:uiPriority w:val="0"/>
    <w:pPr>
      <w:spacing w:after="120"/>
      <w:ind w:left="420" w:leftChars="200"/>
    </w:pPr>
    <w:rPr>
      <w:sz w:val="16"/>
      <w:szCs w:val="16"/>
    </w:rPr>
  </w:style>
  <w:style w:type="paragraph" w:styleId="17">
    <w:name w:val="Normal (Web)"/>
    <w:basedOn w:val="1"/>
    <w:autoRedefine/>
    <w:qFormat/>
    <w:uiPriority w:val="99"/>
    <w:pPr>
      <w:spacing w:before="100" w:beforeAutospacing="1" w:after="100" w:afterAutospacing="1"/>
    </w:pPr>
    <w:rPr>
      <w:rFonts w:ascii="宋体" w:hAnsi="宋体"/>
      <w:kern w:val="0"/>
      <w:sz w:val="24"/>
    </w:rPr>
  </w:style>
  <w:style w:type="paragraph" w:styleId="18">
    <w:name w:val="annotation subject"/>
    <w:basedOn w:val="6"/>
    <w:next w:val="6"/>
    <w:link w:val="30"/>
    <w:autoRedefine/>
    <w:qFormat/>
    <w:uiPriority w:val="0"/>
    <w:rPr>
      <w:b/>
      <w:bCs/>
    </w:rPr>
  </w:style>
  <w:style w:type="paragraph" w:styleId="19">
    <w:name w:val="Body Text First Indent 2"/>
    <w:basedOn w:val="9"/>
    <w:autoRedefine/>
    <w:qFormat/>
    <w:uiPriority w:val="0"/>
    <w:pPr>
      <w:adjustRightInd w:val="0"/>
      <w:spacing w:line="360" w:lineRule="auto"/>
      <w:ind w:left="0" w:leftChars="0" w:firstLine="420"/>
      <w:textAlignment w:val="baseline"/>
    </w:pPr>
    <w:rPr>
      <w:rFonts w:eastAsia="等线" w:cs="Times New Roman"/>
      <w:color w:val="000000"/>
      <w:szCs w:val="24"/>
    </w:rPr>
  </w:style>
  <w:style w:type="table" w:styleId="21">
    <w:name w:val="Table Grid"/>
    <w:basedOn w:val="20"/>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basedOn w:val="22"/>
    <w:autoRedefine/>
    <w:qFormat/>
    <w:uiPriority w:val="22"/>
    <w:rPr>
      <w:b/>
      <w:bCs/>
    </w:rPr>
  </w:style>
  <w:style w:type="character" w:styleId="24">
    <w:name w:val="page number"/>
    <w:basedOn w:val="22"/>
    <w:autoRedefine/>
    <w:qFormat/>
    <w:uiPriority w:val="0"/>
  </w:style>
  <w:style w:type="character" w:styleId="25">
    <w:name w:val="annotation reference"/>
    <w:autoRedefine/>
    <w:qFormat/>
    <w:uiPriority w:val="0"/>
    <w:rPr>
      <w:rFonts w:ascii="Times New Roman" w:hAnsi="Times New Roman" w:eastAsia="宋体" w:cs="Times New Roman"/>
      <w:sz w:val="21"/>
      <w:szCs w:val="21"/>
    </w:rPr>
  </w:style>
  <w:style w:type="character" w:customStyle="1" w:styleId="26">
    <w:name w:val="批注文字 Char"/>
    <w:link w:val="6"/>
    <w:autoRedefine/>
    <w:qFormat/>
    <w:uiPriority w:val="0"/>
    <w:rPr>
      <w:rFonts w:ascii="仿宋_GB2312" w:eastAsia="仿宋_GB2312"/>
      <w:kern w:val="2"/>
      <w:sz w:val="32"/>
      <w:szCs w:val="32"/>
    </w:rPr>
  </w:style>
  <w:style w:type="character" w:customStyle="1" w:styleId="27">
    <w:name w:val="纯文本 Char"/>
    <w:link w:val="11"/>
    <w:autoRedefine/>
    <w:qFormat/>
    <w:locked/>
    <w:uiPriority w:val="0"/>
    <w:rPr>
      <w:rFonts w:ascii="宋体" w:hAnsi="Courier New" w:eastAsia="楷体_GB2312"/>
      <w:kern w:val="2"/>
      <w:sz w:val="21"/>
      <w:szCs w:val="24"/>
    </w:rPr>
  </w:style>
  <w:style w:type="character" w:customStyle="1" w:styleId="28">
    <w:name w:val="页脚 Char"/>
    <w:link w:val="14"/>
    <w:autoRedefine/>
    <w:qFormat/>
    <w:uiPriority w:val="99"/>
    <w:rPr>
      <w:rFonts w:ascii="仿宋_GB2312" w:eastAsia="仿宋_GB2312"/>
      <w:kern w:val="2"/>
      <w:sz w:val="18"/>
      <w:szCs w:val="18"/>
    </w:rPr>
  </w:style>
  <w:style w:type="character" w:customStyle="1" w:styleId="29">
    <w:name w:val="页眉 Char"/>
    <w:link w:val="15"/>
    <w:autoRedefine/>
    <w:qFormat/>
    <w:uiPriority w:val="0"/>
    <w:rPr>
      <w:rFonts w:ascii="仿宋_GB2312" w:eastAsia="仿宋_GB2312"/>
      <w:kern w:val="2"/>
      <w:sz w:val="18"/>
      <w:szCs w:val="18"/>
    </w:rPr>
  </w:style>
  <w:style w:type="character" w:customStyle="1" w:styleId="30">
    <w:name w:val="批注主题 Char"/>
    <w:link w:val="18"/>
    <w:autoRedefine/>
    <w:qFormat/>
    <w:uiPriority w:val="0"/>
    <w:rPr>
      <w:rFonts w:ascii="仿宋_GB2312" w:eastAsia="仿宋_GB2312"/>
      <w:b/>
      <w:bCs/>
      <w:kern w:val="2"/>
      <w:sz w:val="32"/>
      <w:szCs w:val="32"/>
    </w:rPr>
  </w:style>
  <w:style w:type="paragraph" w:customStyle="1" w:styleId="31">
    <w:name w:val="Blockquote"/>
    <w:basedOn w:val="1"/>
    <w:autoRedefine/>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32">
    <w:name w:val="章节一"/>
    <w:basedOn w:val="1"/>
    <w:next w:val="1"/>
    <w:autoRedefine/>
    <w:qFormat/>
    <w:uiPriority w:val="0"/>
    <w:pPr>
      <w:topLinePunct/>
      <w:adjustRightInd w:val="0"/>
      <w:snapToGrid w:val="0"/>
      <w:spacing w:beforeLines="50" w:afterLines="50"/>
      <w:jc w:val="center"/>
      <w:outlineLvl w:val="0"/>
    </w:pPr>
    <w:rPr>
      <w:rFonts w:eastAsia="黑体"/>
      <w:b/>
      <w:spacing w:val="4"/>
      <w:kern w:val="0"/>
      <w:sz w:val="36"/>
      <w:szCs w:val="36"/>
    </w:rPr>
  </w:style>
  <w:style w:type="paragraph" w:customStyle="1" w:styleId="33">
    <w:name w:val="Default1"/>
    <w:autoRedefine/>
    <w:qFormat/>
    <w:uiPriority w:val="0"/>
    <w:pPr>
      <w:widowControl w:val="0"/>
      <w:autoSpaceDE w:val="0"/>
      <w:autoSpaceDN w:val="0"/>
      <w:adjustRightInd w:val="0"/>
    </w:pPr>
    <w:rPr>
      <w:rFonts w:ascii="宋体" w:hAnsi="Times New Roman" w:eastAsia="仿宋_GB2312" w:cs="宋体"/>
      <w:color w:val="000000"/>
      <w:sz w:val="24"/>
      <w:szCs w:val="24"/>
      <w:lang w:val="en-US" w:eastAsia="zh-CN" w:bidi="ar-SA"/>
    </w:rPr>
  </w:style>
  <w:style w:type="paragraph" w:styleId="34">
    <w:name w:val="List Paragraph"/>
    <w:basedOn w:val="1"/>
    <w:autoRedefine/>
    <w:qFormat/>
    <w:uiPriority w:val="99"/>
    <w:pPr>
      <w:ind w:firstLine="420" w:firstLineChars="200"/>
    </w:pPr>
    <w:rPr>
      <w:rFonts w:ascii="Calibri" w:hAnsi="Calibri"/>
      <w:szCs w:val="22"/>
    </w:rPr>
  </w:style>
  <w:style w:type="paragraph" w:customStyle="1" w:styleId="35">
    <w:name w:val="_Style 4"/>
    <w:basedOn w:val="3"/>
    <w:next w:val="1"/>
    <w:autoRedefine/>
    <w:qFormat/>
    <w:uiPriority w:val="0"/>
    <w:pPr>
      <w:spacing w:line="576" w:lineRule="auto"/>
      <w:outlineLvl w:val="9"/>
    </w:pPr>
    <w:rPr>
      <w:rFonts w:ascii="Calibri" w:hAnsi="Calibri"/>
    </w:rPr>
  </w:style>
  <w:style w:type="paragraph" w:styleId="36">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font11"/>
    <w:basedOn w:val="22"/>
    <w:autoRedefine/>
    <w:qFormat/>
    <w:uiPriority w:val="0"/>
    <w:rPr>
      <w:rFonts w:hint="default" w:ascii="Times New Roman" w:hAnsi="Times New Roman" w:cs="Times New Roman"/>
      <w:color w:val="000000"/>
      <w:sz w:val="21"/>
      <w:szCs w:val="21"/>
      <w:u w:val="none"/>
    </w:rPr>
  </w:style>
  <w:style w:type="character" w:customStyle="1" w:styleId="38">
    <w:name w:val="font21"/>
    <w:basedOn w:val="22"/>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47</Pages>
  <Words>2646</Words>
  <Characters>15088</Characters>
  <Lines>125</Lines>
  <Paragraphs>35</Paragraphs>
  <TotalTime>64</TotalTime>
  <ScaleCrop>false</ScaleCrop>
  <LinksUpToDate>false</LinksUpToDate>
  <CharactersWithSpaces>17699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2019-03-11T00:59:00Z</dcterms:created>
  <dc:creator>test1</dc:creator>
  <cp:lastModifiedBy>◕‿◕ 丁﹏]</cp:lastModifiedBy>
  <cp:lastPrinted>2024-01-22T06:29:00Z</cp:lastPrinted>
  <dcterms:modified xsi:type="dcterms:W3CDTF">2024-04-29T08:58:09Z</dcterms:modified>
  <dc:title>广州市自来水公司文件</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64B32A3D54504F61A7D5778620816AA7_13</vt:lpwstr>
  </property>
  <property fmtid="{D5CDD505-2E9C-101B-9397-08002B2CF9AE}" pid="3" name="KSOProductBuildVer">
    <vt:lpwstr>2052-12.1.0.16417</vt:lpwstr>
  </property>
</Properties>
</file>