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24"/>
          <w:highlight w:val="none"/>
        </w:rPr>
      </w:pPr>
    </w:p>
    <w:p>
      <w:pPr>
        <w:jc w:val="center"/>
        <w:rPr>
          <w:rFonts w:ascii="宋体" w:hAnsi="宋体"/>
          <w:b/>
          <w:sz w:val="32"/>
          <w:szCs w:val="24"/>
          <w:highlight w:val="none"/>
        </w:rPr>
      </w:pPr>
    </w:p>
    <w:p>
      <w:pPr>
        <w:pStyle w:val="3"/>
        <w:jc w:val="center"/>
        <w:rPr>
          <w:rFonts w:hint="eastAsia" w:ascii="仿宋" w:hAnsi="仿宋" w:eastAsia="宋体"/>
          <w:b w:val="0"/>
          <w:color w:val="000000"/>
          <w:sz w:val="28"/>
          <w:szCs w:val="28"/>
          <w:highlight w:val="none"/>
          <w:lang w:eastAsia="zh-CN"/>
        </w:rPr>
      </w:pPr>
      <w:r>
        <w:rPr>
          <w:rFonts w:hint="eastAsia" w:ascii="宋体" w:hAnsi="宋体" w:eastAsia="宋体"/>
          <w:szCs w:val="24"/>
          <w:highlight w:val="none"/>
        </w:rPr>
        <w:t>鱼珠隧道、会展西路过江隧道、车陂路-新滘东路隧道工程（二期）</w:t>
      </w:r>
      <w:r>
        <w:rPr>
          <w:rFonts w:hint="eastAsia" w:ascii="宋体" w:hAnsi="宋体" w:eastAsia="宋体"/>
          <w:szCs w:val="24"/>
          <w:highlight w:val="none"/>
          <w:lang w:eastAsia="zh-CN"/>
        </w:rPr>
        <w:t>三项目BIM管理咨询服务</w:t>
      </w:r>
    </w:p>
    <w:p>
      <w:pPr>
        <w:jc w:val="center"/>
        <w:rPr>
          <w:rFonts w:ascii="宋体" w:hAnsi="宋体"/>
          <w:b/>
          <w:sz w:val="72"/>
          <w:szCs w:val="52"/>
          <w:highlight w:val="none"/>
        </w:rPr>
      </w:pPr>
    </w:p>
    <w:p>
      <w:pPr>
        <w:jc w:val="center"/>
        <w:rPr>
          <w:rFonts w:ascii="宋体" w:hAnsi="宋体"/>
          <w:b/>
          <w:sz w:val="72"/>
          <w:szCs w:val="52"/>
          <w:highlight w:val="none"/>
        </w:rPr>
      </w:pPr>
    </w:p>
    <w:p>
      <w:pPr>
        <w:jc w:val="center"/>
        <w:rPr>
          <w:highlight w:val="none"/>
        </w:rPr>
      </w:pPr>
      <w:r>
        <w:rPr>
          <w:rFonts w:hint="eastAsia" w:ascii="宋体" w:hAnsi="宋体"/>
          <w:b/>
          <w:sz w:val="72"/>
          <w:szCs w:val="52"/>
          <w:highlight w:val="none"/>
        </w:rPr>
        <w:t>招标公告</w:t>
      </w:r>
    </w:p>
    <w:p>
      <w:pPr>
        <w:jc w:val="center"/>
        <w:rPr>
          <w:rFonts w:ascii="宋体" w:hAnsi="宋体"/>
          <w:b/>
          <w:sz w:val="28"/>
          <w:highlight w:val="none"/>
        </w:rPr>
      </w:pPr>
    </w:p>
    <w:p>
      <w:pPr>
        <w:jc w:val="center"/>
        <w:rPr>
          <w:rFonts w:ascii="宋体" w:hAnsi="宋体"/>
          <w:b/>
          <w:sz w:val="28"/>
          <w:highlight w:val="none"/>
        </w:rPr>
      </w:pPr>
    </w:p>
    <w:p>
      <w:pPr>
        <w:jc w:val="center"/>
        <w:rPr>
          <w:rFonts w:ascii="宋体" w:hAnsi="宋体"/>
          <w:b/>
          <w:sz w:val="28"/>
          <w:highlight w:val="none"/>
        </w:rPr>
      </w:pPr>
    </w:p>
    <w:p>
      <w:pPr>
        <w:jc w:val="center"/>
        <w:rPr>
          <w:rFonts w:ascii="宋体" w:hAnsi="宋体"/>
          <w:b/>
          <w:sz w:val="28"/>
          <w:highlight w:val="none"/>
        </w:rPr>
      </w:pPr>
    </w:p>
    <w:p>
      <w:pPr>
        <w:jc w:val="center"/>
        <w:rPr>
          <w:rFonts w:ascii="宋体" w:hAnsi="宋体"/>
          <w:b/>
          <w:sz w:val="28"/>
          <w:highlight w:val="none"/>
        </w:rPr>
      </w:pPr>
    </w:p>
    <w:p>
      <w:pPr>
        <w:jc w:val="center"/>
        <w:rPr>
          <w:rFonts w:ascii="宋体" w:hAnsi="宋体"/>
          <w:b/>
          <w:sz w:val="28"/>
          <w:highlight w:val="none"/>
        </w:rPr>
      </w:pPr>
    </w:p>
    <w:p>
      <w:pPr>
        <w:jc w:val="center"/>
        <w:rPr>
          <w:rFonts w:ascii="宋体" w:hAnsi="宋体"/>
          <w:b/>
          <w:sz w:val="28"/>
          <w:highlight w:val="none"/>
        </w:rPr>
      </w:pPr>
    </w:p>
    <w:p>
      <w:pPr>
        <w:spacing w:line="360" w:lineRule="auto"/>
        <w:jc w:val="both"/>
        <w:rPr>
          <w:rFonts w:ascii="宋体" w:hAnsi="宋体"/>
          <w:b/>
          <w:sz w:val="28"/>
          <w:highlight w:val="none"/>
        </w:rPr>
      </w:pPr>
    </w:p>
    <w:p>
      <w:pPr>
        <w:spacing w:line="360" w:lineRule="auto"/>
        <w:jc w:val="center"/>
        <w:rPr>
          <w:rFonts w:hint="eastAsia" w:ascii="宋体" w:hAnsi="宋体"/>
          <w:b/>
          <w:sz w:val="28"/>
          <w:highlight w:val="none"/>
        </w:rPr>
      </w:pPr>
      <w:r>
        <w:rPr>
          <w:rFonts w:ascii="宋体" w:hAnsi="宋体"/>
          <w:b/>
          <w:sz w:val="28"/>
          <w:highlight w:val="none"/>
        </w:rPr>
        <w:t>招</w:t>
      </w:r>
      <w:r>
        <w:rPr>
          <w:rFonts w:hint="eastAsia" w:ascii="宋体" w:hAnsi="宋体"/>
          <w:b/>
          <w:sz w:val="28"/>
          <w:highlight w:val="none"/>
        </w:rPr>
        <w:t xml:space="preserve"> </w:t>
      </w:r>
      <w:r>
        <w:rPr>
          <w:rFonts w:ascii="宋体" w:hAnsi="宋体"/>
          <w:b/>
          <w:sz w:val="28"/>
          <w:highlight w:val="none"/>
        </w:rPr>
        <w:t>标</w:t>
      </w:r>
      <w:r>
        <w:rPr>
          <w:rFonts w:hint="eastAsia" w:ascii="宋体" w:hAnsi="宋体"/>
          <w:b/>
          <w:sz w:val="28"/>
          <w:highlight w:val="none"/>
        </w:rPr>
        <w:t xml:space="preserve"> </w:t>
      </w:r>
      <w:r>
        <w:rPr>
          <w:rFonts w:ascii="宋体" w:hAnsi="宋体"/>
          <w:b/>
          <w:sz w:val="28"/>
          <w:highlight w:val="none"/>
        </w:rPr>
        <w:t>人：</w:t>
      </w:r>
      <w:r>
        <w:rPr>
          <w:rFonts w:hint="eastAsia" w:ascii="宋体" w:hAnsi="宋体"/>
          <w:b/>
          <w:sz w:val="28"/>
          <w:highlight w:val="none"/>
        </w:rPr>
        <w:t>广州市中心区交通项目管理中心</w:t>
      </w:r>
    </w:p>
    <w:p>
      <w:pPr>
        <w:spacing w:line="360" w:lineRule="auto"/>
        <w:jc w:val="center"/>
        <w:rPr>
          <w:rFonts w:eastAsia="Times New Roman"/>
          <w:sz w:val="22"/>
          <w:szCs w:val="24"/>
          <w:highlight w:val="none"/>
        </w:rPr>
      </w:pPr>
      <w:r>
        <w:rPr>
          <w:rFonts w:hint="eastAsia" w:ascii="宋体" w:hAnsi="宋体"/>
          <w:b/>
          <w:sz w:val="28"/>
          <w:highlight w:val="none"/>
          <w:lang w:val="en-US" w:eastAsia="zh-CN"/>
        </w:rPr>
        <w:t xml:space="preserve">    </w:t>
      </w:r>
      <w:r>
        <w:rPr>
          <w:rFonts w:hint="eastAsia" w:ascii="宋体" w:hAnsi="宋体"/>
          <w:b/>
          <w:sz w:val="28"/>
          <w:highlight w:val="none"/>
        </w:rPr>
        <w:t>招标代理</w:t>
      </w:r>
      <w:r>
        <w:rPr>
          <w:rFonts w:hint="eastAsia" w:ascii="宋体" w:hAnsi="宋体"/>
          <w:b/>
          <w:sz w:val="28"/>
          <w:highlight w:val="none"/>
          <w:lang w:val="en-US" w:eastAsia="zh-CN"/>
        </w:rPr>
        <w:t>单位</w:t>
      </w:r>
      <w:r>
        <w:rPr>
          <w:rFonts w:hint="eastAsia" w:ascii="宋体" w:hAnsi="宋体"/>
          <w:b/>
          <w:sz w:val="28"/>
          <w:highlight w:val="none"/>
        </w:rPr>
        <w:t>：谷德中交咨询（广州）有限公司</w:t>
      </w:r>
    </w:p>
    <w:p>
      <w:pPr>
        <w:spacing w:line="360" w:lineRule="auto"/>
        <w:ind w:firstLine="0" w:firstLineChars="0"/>
        <w:jc w:val="both"/>
        <w:rPr>
          <w:rFonts w:ascii="宋体" w:hAnsi="宋体"/>
          <w:b/>
          <w:sz w:val="28"/>
          <w:szCs w:val="28"/>
          <w:highlight w:val="none"/>
        </w:rPr>
      </w:pPr>
      <w:r>
        <w:rPr>
          <w:rFonts w:hint="eastAsia"/>
          <w:sz w:val="22"/>
          <w:szCs w:val="24"/>
          <w:highlight w:val="none"/>
          <w:lang w:val="en-US" w:eastAsia="zh-CN"/>
        </w:rPr>
        <w:t xml:space="preserve">              </w:t>
      </w:r>
      <w:r>
        <w:rPr>
          <w:rFonts w:hint="eastAsia" w:ascii="宋体" w:hAnsi="宋体"/>
          <w:b/>
          <w:sz w:val="28"/>
          <w:szCs w:val="28"/>
          <w:highlight w:val="none"/>
          <w:lang w:val="en-US" w:eastAsia="zh-CN"/>
        </w:rPr>
        <w:t>日    期：</w:t>
      </w:r>
      <w:r>
        <w:rPr>
          <w:rFonts w:hint="eastAsia" w:ascii="宋体" w:hAnsi="宋体"/>
          <w:b/>
          <w:sz w:val="28"/>
          <w:szCs w:val="28"/>
          <w:highlight w:val="none"/>
        </w:rPr>
        <w:t>202</w:t>
      </w:r>
      <w:r>
        <w:rPr>
          <w:rFonts w:hint="eastAsia" w:ascii="宋体" w:hAnsi="宋体"/>
          <w:b/>
          <w:sz w:val="28"/>
          <w:szCs w:val="28"/>
          <w:highlight w:val="none"/>
          <w:lang w:val="en-US" w:eastAsia="zh-CN"/>
        </w:rPr>
        <w:t>2</w:t>
      </w:r>
      <w:r>
        <w:rPr>
          <w:rFonts w:ascii="宋体" w:hAnsi="宋体"/>
          <w:b/>
          <w:sz w:val="28"/>
          <w:szCs w:val="28"/>
          <w:highlight w:val="none"/>
        </w:rPr>
        <w:t>年</w:t>
      </w:r>
      <w:r>
        <w:rPr>
          <w:rFonts w:hint="eastAsia" w:ascii="宋体" w:hAnsi="宋体"/>
          <w:b/>
          <w:sz w:val="28"/>
          <w:szCs w:val="28"/>
          <w:highlight w:val="none"/>
          <w:lang w:val="en-US" w:eastAsia="zh-CN"/>
        </w:rPr>
        <w:t>2</w:t>
      </w:r>
      <w:r>
        <w:rPr>
          <w:rFonts w:ascii="宋体" w:hAnsi="宋体"/>
          <w:b/>
          <w:sz w:val="28"/>
          <w:szCs w:val="28"/>
          <w:highlight w:val="none"/>
        </w:rPr>
        <w:t>月</w:t>
      </w:r>
    </w:p>
    <w:p>
      <w:pPr>
        <w:pStyle w:val="12"/>
        <w:ind w:firstLine="210"/>
        <w:rPr>
          <w:highlight w:val="none"/>
        </w:rPr>
      </w:pPr>
    </w:p>
    <w:p>
      <w:pPr>
        <w:pStyle w:val="12"/>
        <w:ind w:firstLine="210"/>
        <w:rPr>
          <w:highlight w:val="none"/>
        </w:rPr>
      </w:pPr>
    </w:p>
    <w:p>
      <w:pPr>
        <w:snapToGrid w:val="0"/>
        <w:spacing w:line="360" w:lineRule="auto"/>
        <w:jc w:val="center"/>
        <w:rPr>
          <w:rFonts w:hint="eastAsia" w:ascii="宋体" w:hAnsi="宋体"/>
          <w:b/>
          <w:sz w:val="32"/>
          <w:szCs w:val="32"/>
          <w:highlight w:val="none"/>
        </w:rPr>
        <w:sectPr>
          <w:footerReference r:id="rId3" w:type="default"/>
          <w:pgSz w:w="11906" w:h="16838"/>
          <w:pgMar w:top="1440" w:right="1800" w:bottom="1440" w:left="1800" w:header="851" w:footer="992" w:gutter="0"/>
          <w:pgNumType w:fmt="decimal" w:start="0"/>
          <w:cols w:space="0" w:num="1"/>
          <w:titlePg/>
          <w:rtlGutter w:val="0"/>
          <w:docGrid w:type="lines" w:linePitch="312" w:charSpace="0"/>
        </w:sectPr>
      </w:pPr>
    </w:p>
    <w:p>
      <w:pPr>
        <w:snapToGrid w:val="0"/>
        <w:spacing w:line="36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rPr>
        <w:t>鱼珠隧道、会展西路过江隧道、车陂路-新滘东路隧道工程（二期）</w:t>
      </w:r>
      <w:r>
        <w:rPr>
          <w:rFonts w:hint="eastAsia" w:ascii="宋体" w:hAnsi="宋体"/>
          <w:b/>
          <w:sz w:val="32"/>
          <w:szCs w:val="32"/>
          <w:highlight w:val="none"/>
          <w:lang w:eastAsia="zh-CN"/>
        </w:rPr>
        <w:t>三项目BIM管理咨询服务</w:t>
      </w:r>
    </w:p>
    <w:p>
      <w:pPr>
        <w:adjustRightInd/>
        <w:snapToGrid w:val="0"/>
        <w:spacing w:line="360" w:lineRule="auto"/>
        <w:jc w:val="center"/>
        <w:rPr>
          <w:rFonts w:ascii="宋体" w:hAnsi="宋体"/>
          <w:sz w:val="32"/>
          <w:szCs w:val="32"/>
          <w:highlight w:val="none"/>
          <w:u w:val="single"/>
        </w:rPr>
      </w:pPr>
      <w:r>
        <w:rPr>
          <w:rFonts w:hint="eastAsia" w:ascii="宋体" w:hAnsi="宋体"/>
          <w:b/>
          <w:sz w:val="32"/>
          <w:szCs w:val="32"/>
          <w:highlight w:val="none"/>
        </w:rPr>
        <w:t>招标公告</w:t>
      </w:r>
    </w:p>
    <w:p>
      <w:pPr>
        <w:numPr>
          <w:ilvl w:val="0"/>
          <w:numId w:val="1"/>
        </w:numPr>
        <w:tabs>
          <w:tab w:val="left" w:pos="360"/>
          <w:tab w:val="left" w:pos="760"/>
        </w:tabs>
        <w:spacing w:line="360" w:lineRule="auto"/>
        <w:rPr>
          <w:rFonts w:eastAsia="Times New Roman"/>
          <w:b/>
          <w:sz w:val="32"/>
          <w:szCs w:val="24"/>
          <w:highlight w:val="none"/>
        </w:rPr>
      </w:pPr>
      <w:r>
        <w:rPr>
          <w:rFonts w:hint="eastAsia" w:ascii="黑体" w:hAnsi="黑体" w:eastAsia="黑体"/>
          <w:b/>
          <w:sz w:val="32"/>
          <w:szCs w:val="24"/>
          <w:highlight w:val="none"/>
        </w:rPr>
        <w:t>招标条件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鱼珠隧道工程、车陂路-新滘东路隧道（二期）工程、会展西路过江隧道工程</w:t>
      </w:r>
      <w:r>
        <w:rPr>
          <w:rFonts w:hint="eastAsia" w:ascii="宋体" w:hAnsi="宋体" w:cs="宋体"/>
          <w:kern w:val="0"/>
          <w:sz w:val="24"/>
          <w:szCs w:val="24"/>
          <w:highlight w:val="none"/>
        </w:rPr>
        <w:t>已由</w:t>
      </w:r>
      <w:r>
        <w:rPr>
          <w:rFonts w:hint="eastAsia" w:ascii="宋体" w:hAnsi="宋体" w:cs="宋体"/>
          <w:kern w:val="0"/>
          <w:sz w:val="24"/>
          <w:szCs w:val="24"/>
          <w:highlight w:val="none"/>
          <w:u w:val="single"/>
        </w:rPr>
        <w:t>广州市发展和改革委员会</w:t>
      </w:r>
      <w:r>
        <w:rPr>
          <w:rFonts w:hint="eastAsia" w:ascii="宋体" w:hAnsi="宋体" w:cs="宋体"/>
          <w:kern w:val="0"/>
          <w:sz w:val="24"/>
          <w:szCs w:val="24"/>
          <w:highlight w:val="none"/>
        </w:rPr>
        <w:t>以</w:t>
      </w:r>
      <w:r>
        <w:rPr>
          <w:rFonts w:hint="eastAsia" w:ascii="宋体" w:hAnsi="宋体"/>
          <w:sz w:val="24"/>
          <w:szCs w:val="24"/>
          <w:highlight w:val="none"/>
          <w:u w:val="single"/>
        </w:rPr>
        <w:t>穗发改批〔2021〕2号、穗发改投批〔2021〕61号、</w:t>
      </w:r>
      <w:r>
        <w:rPr>
          <w:rFonts w:hint="eastAsia" w:ascii="宋体" w:hAnsi="宋体" w:cs="宋体"/>
          <w:color w:val="000000"/>
          <w:sz w:val="24"/>
          <w:highlight w:val="none"/>
          <w:u w:val="single"/>
        </w:rPr>
        <w:t>穗发改批〔2020〕140号</w:t>
      </w:r>
      <w:r>
        <w:rPr>
          <w:rFonts w:hint="eastAsia" w:ascii="宋体" w:hAnsi="宋体" w:cs="宋体"/>
          <w:kern w:val="0"/>
          <w:sz w:val="24"/>
          <w:szCs w:val="24"/>
          <w:highlight w:val="none"/>
        </w:rPr>
        <w:t>批准建设，</w:t>
      </w:r>
      <w:r>
        <w:rPr>
          <w:rFonts w:hint="eastAsia" w:ascii="宋体" w:hAnsi="宋体"/>
          <w:sz w:val="24"/>
          <w:szCs w:val="24"/>
          <w:highlight w:val="none"/>
        </w:rPr>
        <w:t>建设资金来自市财政资金</w:t>
      </w:r>
      <w:r>
        <w:rPr>
          <w:rFonts w:ascii="宋体" w:hAnsi="宋体"/>
          <w:sz w:val="24"/>
          <w:szCs w:val="24"/>
          <w:highlight w:val="none"/>
        </w:rPr>
        <w:t>,</w:t>
      </w:r>
      <w:r>
        <w:rPr>
          <w:rFonts w:hint="eastAsia" w:ascii="宋体" w:hAnsi="宋体"/>
          <w:sz w:val="24"/>
          <w:szCs w:val="24"/>
          <w:highlight w:val="none"/>
        </w:rPr>
        <w:t>出资比例为</w:t>
      </w:r>
      <w:r>
        <w:rPr>
          <w:rFonts w:hint="eastAsia" w:ascii="宋体" w:hAnsi="宋体"/>
          <w:sz w:val="24"/>
          <w:szCs w:val="24"/>
          <w:highlight w:val="none"/>
          <w:u w:val="single"/>
        </w:rPr>
        <w:t>100%</w:t>
      </w:r>
      <w:r>
        <w:rPr>
          <w:rFonts w:hint="eastAsia" w:ascii="宋体" w:hAnsi="宋体"/>
          <w:sz w:val="24"/>
          <w:szCs w:val="24"/>
          <w:highlight w:val="none"/>
        </w:rPr>
        <w:t>,招标人为</w:t>
      </w:r>
      <w:r>
        <w:rPr>
          <w:rFonts w:hint="eastAsia" w:ascii="宋体" w:hAnsi="宋体"/>
          <w:sz w:val="24"/>
          <w:szCs w:val="24"/>
          <w:highlight w:val="none"/>
          <w:u w:val="single"/>
          <w:lang w:bidi="ar"/>
        </w:rPr>
        <w:t>广州市中心区交通项目管理中心</w:t>
      </w:r>
      <w:r>
        <w:rPr>
          <w:rFonts w:hint="eastAsia" w:ascii="宋体" w:hAnsi="宋体"/>
          <w:sz w:val="24"/>
          <w:szCs w:val="24"/>
          <w:highlight w:val="none"/>
        </w:rPr>
        <w:t>。</w:t>
      </w:r>
      <w:r>
        <w:rPr>
          <w:rFonts w:hint="eastAsia" w:ascii="宋体" w:hAnsi="宋体" w:cs="宋体"/>
          <w:kern w:val="0"/>
          <w:sz w:val="24"/>
          <w:szCs w:val="24"/>
          <w:highlight w:val="none"/>
        </w:rPr>
        <w:t>项目已具备招标条件，现对该项目的</w:t>
      </w:r>
      <w:r>
        <w:rPr>
          <w:rFonts w:hint="eastAsia" w:ascii="宋体" w:hAnsi="宋体"/>
          <w:sz w:val="24"/>
          <w:szCs w:val="24"/>
          <w:highlight w:val="none"/>
          <w:u w:val="single"/>
          <w:lang w:eastAsia="zh-CN"/>
        </w:rPr>
        <w:t>BIM管理咨询服务</w:t>
      </w:r>
      <w:r>
        <w:rPr>
          <w:rFonts w:hint="eastAsia" w:ascii="宋体" w:hAnsi="宋体"/>
          <w:sz w:val="24"/>
          <w:szCs w:val="24"/>
          <w:highlight w:val="none"/>
        </w:rPr>
        <w:t>进行公开招标。</w:t>
      </w:r>
    </w:p>
    <w:p>
      <w:pPr>
        <w:spacing w:line="360" w:lineRule="auto"/>
        <w:ind w:firstLine="420" w:firstLineChars="200"/>
        <w:rPr>
          <w:rFonts w:ascii="宋体" w:hAnsi="宋体"/>
          <w:sz w:val="21"/>
          <w:szCs w:val="21"/>
          <w:highlight w:val="none"/>
        </w:rPr>
      </w:pPr>
    </w:p>
    <w:p>
      <w:pPr>
        <w:numPr>
          <w:ilvl w:val="0"/>
          <w:numId w:val="2"/>
        </w:numPr>
        <w:tabs>
          <w:tab w:val="left" w:pos="360"/>
        </w:tabs>
        <w:spacing w:line="360" w:lineRule="auto"/>
        <w:rPr>
          <w:rFonts w:eastAsia="Times New Roman"/>
          <w:b/>
          <w:sz w:val="32"/>
          <w:szCs w:val="24"/>
          <w:highlight w:val="none"/>
        </w:rPr>
      </w:pPr>
      <w:r>
        <w:rPr>
          <w:rFonts w:hint="eastAsia" w:ascii="黑体" w:hAnsi="黑体" w:eastAsia="黑体"/>
          <w:b/>
          <w:sz w:val="32"/>
          <w:szCs w:val="24"/>
          <w:highlight w:val="none"/>
        </w:rPr>
        <w:t>项目概况与招标范围</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2.1 项目名称：</w:t>
      </w:r>
      <w:r>
        <w:rPr>
          <w:rFonts w:hint="eastAsia" w:ascii="宋体" w:hAnsi="宋体" w:cs="宋体"/>
          <w:sz w:val="24"/>
          <w:szCs w:val="24"/>
          <w:highlight w:val="none"/>
          <w:u w:val="single"/>
        </w:rPr>
        <w:t>鱼珠隧道、会展西路过江隧道、车陂路-新滘东路隧道工程（二期）</w:t>
      </w:r>
      <w:r>
        <w:rPr>
          <w:rFonts w:hint="eastAsia" w:ascii="宋体" w:hAnsi="宋体" w:cs="宋体"/>
          <w:sz w:val="24"/>
          <w:szCs w:val="24"/>
          <w:highlight w:val="none"/>
          <w:u w:val="single"/>
          <w:lang w:eastAsia="zh-CN"/>
        </w:rPr>
        <w:t>三项目</w:t>
      </w:r>
      <w:r>
        <w:rPr>
          <w:rFonts w:hint="eastAsia" w:ascii="宋体" w:hAnsi="宋体" w:cs="宋体"/>
          <w:sz w:val="24"/>
          <w:szCs w:val="24"/>
          <w:highlight w:val="none"/>
          <w:u w:val="single"/>
        </w:rPr>
        <w:t>BIM管理咨询服务</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2.2建设地点：</w:t>
      </w:r>
      <w:r>
        <w:rPr>
          <w:rFonts w:hint="eastAsia" w:ascii="宋体" w:hAnsi="宋体"/>
          <w:sz w:val="24"/>
          <w:szCs w:val="24"/>
          <w:highlight w:val="none"/>
          <w:u w:val="single"/>
        </w:rPr>
        <w:t>广州市</w:t>
      </w:r>
      <w:r>
        <w:rPr>
          <w:rFonts w:hint="eastAsia" w:ascii="宋体" w:hAnsi="宋体" w:cs="宋体"/>
          <w:sz w:val="24"/>
          <w:szCs w:val="24"/>
          <w:highlight w:val="none"/>
          <w:u w:val="single"/>
        </w:rPr>
        <w:t>。</w:t>
      </w:r>
    </w:p>
    <w:p>
      <w:pPr>
        <w:pStyle w:val="13"/>
        <w:spacing w:line="360" w:lineRule="auto"/>
        <w:ind w:left="0" w:leftChars="0" w:firstLine="480"/>
        <w:rPr>
          <w:rFonts w:ascii="宋体" w:hAnsi="宋体" w:cs="宋体"/>
          <w:sz w:val="24"/>
          <w:szCs w:val="24"/>
          <w:highlight w:val="none"/>
          <w:u w:val="single"/>
        </w:rPr>
      </w:pPr>
      <w:r>
        <w:rPr>
          <w:rFonts w:hint="eastAsia" w:ascii="宋体" w:hAnsi="宋体" w:cs="宋体"/>
          <w:sz w:val="24"/>
          <w:szCs w:val="24"/>
          <w:highlight w:val="none"/>
        </w:rPr>
        <w:t>2.3建设规模：</w:t>
      </w:r>
    </w:p>
    <w:p>
      <w:pPr>
        <w:adjustRightInd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highlight w:val="none"/>
          <w:u w:val="single"/>
        </w:rPr>
        <w:t>①鱼珠隧道连接海珠琶洲岛东部片区、黄埔临港经济区与天河金融城东区。本项目南起海珠新港东路，向北下穿珠江接入规划珠吉路走廊，向北下穿黄埔大道后接地，继续向北以路基形式穿过莲溪村，设置跨线桥跨过中山大道后与现状珠吉路相接。道路等级为城市主干路，道路红线宽60m，设计车速为60km/h（局部采用50km/h），过江采用双向六车道沉管隧道，项目全长约4.104km，其中隧道段长约2.461km（江中沉管段长997m）。与本项目相关的节点有：新港东路节点、黄埔大道节点和中山大道节点，共3处节点。工程主要实施新港东路节点、过江隧道及黄埔大道立交节点（实施主线深涌以南路段及东南往返、西南往返4条匝道）。</w:t>
      </w:r>
    </w:p>
    <w:p>
      <w:pPr>
        <w:pStyle w:val="12"/>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②会展西路过江隧道位于广州市中心城区，南起海珠区新港东路，北接天河区规划员村大道。本次设计起点位于新港东路，设计止点位于临江大道南侧，采用隧道形式下穿拟建会展四期、阅江路、珠江前航道、临江大道。道路等级为城市次干路，道路红线宽 40-60m，设计速度为 40km/h，双向6~8 车道，过江段采用双向六车道沉管隧道，设计范围主线全长约 1.24km，其中隧道段长约 1.112km（江中沉管段长 407m），路基段长 0.168km。全线自南向北设置 2 处立交节点：阅江路节点和临江大道节点。</w:t>
      </w:r>
    </w:p>
    <w:p>
      <w:pPr>
        <w:pStyle w:val="12"/>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③车陂路～新滘东路隧道工程南起新滘东路与科韵路交叉口，北至车陂路与黄埔大道交叉口，全长约 4.3 公里。其中新港东路至车陂路、黄埔大道交叉口段（K2+200～K4+330.941）为一期实施范围，新滘东路、科韵路交叉口至新港东路段（K0+000～K2+200）为二期实施范围。本项目路线南北走向，起点科韵路，终点至新港东路，位于广州市海珠区，属于海珠区与天河区、番禺区联系的重要道路。本项目全长约 2.5km，设计线路起点位于规划新港东路与科韵路相交路口西，里程K0+050，设计止点位于新港东路以东，里程 K2+550。沿线经过万亩果园、黄埔涌及万胜围地块，全线含 3 处立交节点：科韵路、黄埔涌（会展大道、凤浦路）、新港东路。</w:t>
      </w:r>
    </w:p>
    <w:p>
      <w:pPr>
        <w:spacing w:line="360" w:lineRule="auto"/>
        <w:ind w:firstLine="540" w:firstLineChars="225"/>
        <w:jc w:val="left"/>
        <w:rPr>
          <w:rFonts w:ascii="宋体" w:hAnsi="宋体"/>
          <w:sz w:val="24"/>
          <w:szCs w:val="24"/>
          <w:highlight w:val="none"/>
        </w:rPr>
      </w:pPr>
      <w:r>
        <w:rPr>
          <w:rFonts w:hint="eastAsia" w:ascii="宋体" w:hAnsi="宋体" w:cs="宋体"/>
          <w:sz w:val="24"/>
          <w:szCs w:val="24"/>
          <w:highlight w:val="none"/>
          <w:u w:val="single"/>
        </w:rPr>
        <w:t>2.4本项目最高投标限价总价为人民币</w:t>
      </w:r>
      <w:r>
        <w:rPr>
          <w:rFonts w:hint="eastAsia" w:ascii="宋体" w:hAnsi="宋体" w:cs="宋体"/>
          <w:sz w:val="24"/>
          <w:highlight w:val="none"/>
          <w:u w:val="single"/>
          <w:lang w:val="en-US" w:eastAsia="zh-CN"/>
        </w:rPr>
        <w:t>2404880.00</w:t>
      </w:r>
      <w:r>
        <w:rPr>
          <w:rFonts w:hint="eastAsia" w:ascii="宋体" w:hAnsi="宋体" w:cs="宋体"/>
          <w:sz w:val="24"/>
          <w:szCs w:val="24"/>
          <w:highlight w:val="none"/>
          <w:u w:val="single"/>
        </w:rPr>
        <w:t>元，其中：</w:t>
      </w:r>
      <w:r>
        <w:rPr>
          <w:rFonts w:hint="eastAsia" w:ascii="宋体" w:hAnsi="宋体"/>
          <w:sz w:val="24"/>
          <w:szCs w:val="24"/>
          <w:highlight w:val="none"/>
          <w:u w:val="single"/>
        </w:rPr>
        <w:t>鱼珠隧道工程</w:t>
      </w:r>
      <w:r>
        <w:rPr>
          <w:rFonts w:hint="eastAsia" w:ascii="宋体" w:hAnsi="宋体" w:cs="宋体"/>
          <w:sz w:val="24"/>
          <w:szCs w:val="24"/>
          <w:highlight w:val="none"/>
          <w:u w:val="single"/>
        </w:rPr>
        <w:t>最高投标限价为人民币</w:t>
      </w:r>
      <w:r>
        <w:rPr>
          <w:rFonts w:hint="eastAsia" w:ascii="宋体" w:hAnsi="宋体" w:cs="宋体"/>
          <w:sz w:val="24"/>
          <w:highlight w:val="none"/>
          <w:u w:val="single"/>
          <w:lang w:val="en-US" w:eastAsia="zh-CN"/>
        </w:rPr>
        <w:t>1308550.00</w:t>
      </w:r>
      <w:r>
        <w:rPr>
          <w:rFonts w:hint="eastAsia" w:ascii="宋体" w:hAnsi="宋体" w:cs="宋体"/>
          <w:sz w:val="24"/>
          <w:szCs w:val="24"/>
          <w:highlight w:val="none"/>
          <w:u w:val="single"/>
        </w:rPr>
        <w:t>元</w:t>
      </w:r>
      <w:r>
        <w:rPr>
          <w:rFonts w:hint="eastAsia" w:ascii="宋体" w:hAnsi="宋体"/>
          <w:sz w:val="24"/>
          <w:szCs w:val="24"/>
          <w:highlight w:val="none"/>
          <w:u w:val="single"/>
        </w:rPr>
        <w:t>、车陂路-新滘东路隧道（二期）工程</w:t>
      </w:r>
      <w:r>
        <w:rPr>
          <w:rFonts w:hint="eastAsia" w:ascii="宋体" w:hAnsi="宋体" w:cs="宋体"/>
          <w:sz w:val="24"/>
          <w:szCs w:val="24"/>
          <w:highlight w:val="none"/>
          <w:u w:val="single"/>
        </w:rPr>
        <w:t>最高投标限价为人民币</w:t>
      </w:r>
      <w:r>
        <w:rPr>
          <w:rFonts w:hint="eastAsia" w:ascii="宋体" w:hAnsi="宋体" w:cs="宋体"/>
          <w:sz w:val="24"/>
          <w:highlight w:val="none"/>
          <w:u w:val="single"/>
          <w:lang w:val="en-US" w:eastAsia="zh-CN"/>
        </w:rPr>
        <w:t>166210.00</w:t>
      </w:r>
      <w:r>
        <w:rPr>
          <w:rFonts w:hint="eastAsia" w:ascii="宋体" w:hAnsi="宋体" w:cs="宋体"/>
          <w:sz w:val="24"/>
          <w:szCs w:val="24"/>
          <w:highlight w:val="none"/>
          <w:u w:val="single"/>
        </w:rPr>
        <w:t>元</w:t>
      </w:r>
      <w:r>
        <w:rPr>
          <w:rFonts w:hint="eastAsia" w:ascii="宋体" w:hAnsi="宋体"/>
          <w:sz w:val="24"/>
          <w:szCs w:val="24"/>
          <w:highlight w:val="none"/>
          <w:u w:val="single"/>
        </w:rPr>
        <w:t>、会展西路过江隧道工程</w:t>
      </w:r>
      <w:r>
        <w:rPr>
          <w:rFonts w:hint="eastAsia" w:ascii="宋体" w:hAnsi="宋体" w:cs="宋体"/>
          <w:sz w:val="24"/>
          <w:szCs w:val="24"/>
          <w:highlight w:val="none"/>
          <w:u w:val="single"/>
        </w:rPr>
        <w:t>最高投标限价为人民币</w:t>
      </w:r>
      <w:r>
        <w:rPr>
          <w:rFonts w:hint="eastAsia" w:ascii="宋体" w:hAnsi="宋体" w:cs="宋体"/>
          <w:sz w:val="24"/>
          <w:highlight w:val="none"/>
          <w:u w:val="single"/>
          <w:lang w:val="en-US" w:eastAsia="zh-CN"/>
        </w:rPr>
        <w:t>930120.00</w:t>
      </w:r>
      <w:r>
        <w:rPr>
          <w:rFonts w:hint="eastAsia" w:ascii="宋体" w:hAnsi="宋体" w:cs="宋体"/>
          <w:sz w:val="24"/>
          <w:szCs w:val="24"/>
          <w:highlight w:val="none"/>
          <w:u w:val="single"/>
        </w:rPr>
        <w:t>元</w:t>
      </w:r>
      <w:r>
        <w:rPr>
          <w:rFonts w:hint="eastAsia" w:ascii="宋体" w:hAnsi="宋体"/>
          <w:sz w:val="24"/>
          <w:szCs w:val="24"/>
          <w:highlight w:val="none"/>
          <w:u w:val="single"/>
        </w:rPr>
        <w:t>。</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2.5服务期限：</w:t>
      </w:r>
      <w:r>
        <w:rPr>
          <w:rFonts w:hint="eastAsia" w:ascii="宋体" w:hAnsi="宋体" w:cs="宋体"/>
          <w:sz w:val="24"/>
          <w:szCs w:val="24"/>
          <w:highlight w:val="none"/>
          <w:u w:val="single"/>
          <w:lang w:val="en-US" w:eastAsia="zh-CN"/>
        </w:rPr>
        <w:t>具体以</w:t>
      </w:r>
      <w:r>
        <w:rPr>
          <w:rFonts w:hint="eastAsia" w:ascii="宋体" w:hAnsi="宋体" w:cs="宋体"/>
          <w:sz w:val="24"/>
          <w:szCs w:val="24"/>
          <w:highlight w:val="none"/>
          <w:u w:val="single"/>
        </w:rPr>
        <w:t>鱼珠隧道、会展西路过江隧道、车陂路-新滘东路隧道工程（二期）</w:t>
      </w:r>
      <w:r>
        <w:rPr>
          <w:rFonts w:hint="eastAsia" w:ascii="宋体" w:hAnsi="宋体" w:cs="宋体"/>
          <w:sz w:val="24"/>
          <w:szCs w:val="24"/>
          <w:highlight w:val="none"/>
          <w:u w:val="single"/>
          <w:lang w:eastAsia="zh-CN"/>
        </w:rPr>
        <w:t>三项目</w:t>
      </w:r>
      <w:r>
        <w:rPr>
          <w:rFonts w:hint="eastAsia" w:ascii="宋体" w:hAnsi="宋体" w:cs="宋体"/>
          <w:sz w:val="24"/>
          <w:szCs w:val="24"/>
          <w:highlight w:val="none"/>
          <w:u w:val="single"/>
          <w:lang w:val="en-US" w:eastAsia="zh-CN"/>
        </w:rPr>
        <w:t>服务</w:t>
      </w:r>
      <w:r>
        <w:rPr>
          <w:rFonts w:hint="eastAsia" w:ascii="宋体" w:hAnsi="宋体" w:cs="宋体"/>
          <w:sz w:val="24"/>
          <w:szCs w:val="24"/>
          <w:highlight w:val="none"/>
          <w:u w:val="single"/>
        </w:rPr>
        <w:t>合同</w:t>
      </w:r>
      <w:r>
        <w:rPr>
          <w:rFonts w:hint="eastAsia" w:ascii="宋体" w:hAnsi="宋体" w:cs="宋体"/>
          <w:sz w:val="24"/>
          <w:szCs w:val="24"/>
          <w:highlight w:val="none"/>
          <w:u w:val="single"/>
          <w:lang w:val="en-US" w:eastAsia="zh-CN"/>
        </w:rPr>
        <w:t>中</w:t>
      </w:r>
      <w:r>
        <w:rPr>
          <w:rFonts w:hint="eastAsia" w:ascii="宋体" w:hAnsi="宋体" w:cs="宋体"/>
          <w:sz w:val="24"/>
          <w:szCs w:val="24"/>
          <w:highlight w:val="none"/>
          <w:u w:val="single"/>
        </w:rPr>
        <w:t>约定</w:t>
      </w:r>
      <w:r>
        <w:rPr>
          <w:rFonts w:hint="eastAsia" w:ascii="宋体" w:hAnsi="宋体" w:cs="宋体"/>
          <w:sz w:val="24"/>
          <w:szCs w:val="24"/>
          <w:highlight w:val="none"/>
          <w:u w:val="single"/>
          <w:lang w:val="en-US" w:eastAsia="zh-CN"/>
        </w:rPr>
        <w:t>的服务期限</w:t>
      </w:r>
      <w:r>
        <w:rPr>
          <w:rFonts w:hint="eastAsia" w:ascii="宋体" w:hAnsi="宋体" w:cs="宋体"/>
          <w:sz w:val="24"/>
          <w:szCs w:val="24"/>
          <w:highlight w:val="none"/>
          <w:u w:val="single"/>
        </w:rPr>
        <w:t>为准</w:t>
      </w:r>
      <w:r>
        <w:rPr>
          <w:rFonts w:hint="eastAsia"/>
          <w:sz w:val="24"/>
          <w:highlight w:val="none"/>
          <w:u w:val="single"/>
        </w:rPr>
        <w:t>。</w:t>
      </w:r>
    </w:p>
    <w:p>
      <w:pPr>
        <w:spacing w:line="360" w:lineRule="auto"/>
        <w:ind w:left="-4" w:leftChars="-2" w:firstLine="480" w:firstLineChars="200"/>
        <w:rPr>
          <w:rFonts w:ascii="宋体" w:hAnsi="宋体" w:cs="宋体"/>
          <w:sz w:val="24"/>
          <w:szCs w:val="24"/>
          <w:highlight w:val="none"/>
          <w:u w:val="single"/>
        </w:rPr>
      </w:pPr>
      <w:r>
        <w:rPr>
          <w:rFonts w:hint="eastAsia" w:ascii="宋体" w:hAnsi="宋体" w:cs="宋体"/>
          <w:sz w:val="24"/>
          <w:szCs w:val="24"/>
          <w:highlight w:val="none"/>
        </w:rPr>
        <w:t>2.6招标范围及招标内容：</w:t>
      </w:r>
      <w:r>
        <w:rPr>
          <w:rFonts w:hint="eastAsia" w:ascii="宋体" w:hAnsi="宋体" w:cs="宋体"/>
          <w:sz w:val="24"/>
          <w:szCs w:val="24"/>
          <w:highlight w:val="none"/>
          <w:lang w:eastAsia="zh-CN"/>
        </w:rPr>
        <w:t>负责</w:t>
      </w:r>
      <w:r>
        <w:rPr>
          <w:rFonts w:hint="eastAsia" w:ascii="宋体" w:hAnsi="宋体" w:cs="宋体"/>
          <w:sz w:val="24"/>
          <w:szCs w:val="24"/>
          <w:highlight w:val="none"/>
          <w:u w:val="single"/>
        </w:rPr>
        <w:t>鱼珠隧道、会展西路过江隧道、车陂路-新滘东路隧道工程（二期）</w:t>
      </w:r>
      <w:r>
        <w:rPr>
          <w:rFonts w:hint="eastAsia" w:ascii="宋体" w:hAnsi="宋体" w:cs="宋体"/>
          <w:sz w:val="24"/>
          <w:szCs w:val="24"/>
          <w:highlight w:val="none"/>
          <w:u w:val="single"/>
          <w:lang w:eastAsia="zh-CN"/>
        </w:rPr>
        <w:t>三项目</w:t>
      </w:r>
      <w:r>
        <w:rPr>
          <w:rFonts w:hint="eastAsia" w:ascii="宋体" w:hAnsi="宋体" w:cs="宋体"/>
          <w:sz w:val="24"/>
          <w:szCs w:val="24"/>
          <w:highlight w:val="none"/>
          <w:u w:val="single"/>
          <w:lang w:val="en-US" w:eastAsia="zh-CN"/>
        </w:rPr>
        <w:t>施工及运维阶段</w:t>
      </w:r>
      <w:r>
        <w:rPr>
          <w:rFonts w:hint="eastAsia" w:ascii="宋体" w:hAnsi="宋体" w:cs="宋体"/>
          <w:sz w:val="24"/>
          <w:szCs w:val="24"/>
          <w:highlight w:val="none"/>
          <w:u w:val="single"/>
        </w:rPr>
        <w:t>BIM</w:t>
      </w:r>
      <w:r>
        <w:rPr>
          <w:rFonts w:hint="eastAsia" w:ascii="宋体" w:hAnsi="宋体" w:cs="宋体"/>
          <w:sz w:val="24"/>
          <w:szCs w:val="24"/>
          <w:highlight w:val="none"/>
          <w:u w:val="single"/>
          <w:lang w:eastAsia="zh-CN"/>
        </w:rPr>
        <w:t>技术应用工作全过程中的</w:t>
      </w:r>
      <w:r>
        <w:rPr>
          <w:rFonts w:hint="eastAsia" w:ascii="宋体" w:hAnsi="宋体" w:cs="宋体"/>
          <w:sz w:val="24"/>
          <w:szCs w:val="24"/>
          <w:highlight w:val="none"/>
          <w:u w:val="single"/>
          <w:lang w:val="en-US" w:eastAsia="zh-CN"/>
        </w:rPr>
        <w:t>技术管理、技术咨询、项目间协调、配合建设业主监督、指导</w:t>
      </w:r>
      <w:r>
        <w:rPr>
          <w:rFonts w:hint="eastAsia" w:ascii="宋体" w:hAnsi="宋体" w:cs="宋体"/>
          <w:sz w:val="24"/>
          <w:szCs w:val="24"/>
          <w:highlight w:val="none"/>
          <w:u w:val="single"/>
          <w:lang w:eastAsia="zh-CN"/>
        </w:rPr>
        <w:t>和检查</w:t>
      </w:r>
      <w:r>
        <w:rPr>
          <w:rFonts w:hint="eastAsia" w:ascii="宋体" w:hAnsi="宋体" w:cs="宋体"/>
          <w:sz w:val="24"/>
          <w:szCs w:val="24"/>
          <w:highlight w:val="none"/>
          <w:u w:val="single"/>
          <w:lang w:val="en-US" w:eastAsia="zh-CN"/>
        </w:rPr>
        <w:t>等</w:t>
      </w:r>
      <w:r>
        <w:rPr>
          <w:rFonts w:hint="eastAsia" w:ascii="宋体" w:hAnsi="宋体" w:cs="宋体"/>
          <w:sz w:val="24"/>
          <w:szCs w:val="24"/>
          <w:highlight w:val="none"/>
          <w:u w:val="single"/>
          <w:lang w:eastAsia="zh-CN"/>
        </w:rPr>
        <w:t>工作，并为建设</w:t>
      </w:r>
      <w:r>
        <w:rPr>
          <w:rFonts w:hint="eastAsia" w:ascii="宋体" w:hAnsi="宋体" w:cs="宋体"/>
          <w:sz w:val="24"/>
          <w:szCs w:val="24"/>
          <w:highlight w:val="none"/>
          <w:u w:val="single"/>
          <w:lang w:val="en-US" w:eastAsia="zh-CN"/>
        </w:rPr>
        <w:t>业主</w:t>
      </w:r>
      <w:r>
        <w:rPr>
          <w:rFonts w:hint="eastAsia" w:ascii="宋体" w:hAnsi="宋体" w:cs="宋体"/>
          <w:sz w:val="24"/>
          <w:szCs w:val="24"/>
          <w:highlight w:val="none"/>
          <w:u w:val="single"/>
          <w:lang w:eastAsia="zh-CN"/>
        </w:rPr>
        <w:t>提供全面的技术</w:t>
      </w:r>
      <w:r>
        <w:rPr>
          <w:rFonts w:hint="eastAsia" w:ascii="宋体" w:hAnsi="宋体" w:cs="宋体"/>
          <w:sz w:val="24"/>
          <w:szCs w:val="24"/>
          <w:highlight w:val="none"/>
          <w:u w:val="single"/>
          <w:lang w:val="en-US" w:eastAsia="zh-CN"/>
        </w:rPr>
        <w:t>咨询服务</w:t>
      </w:r>
      <w:r>
        <w:rPr>
          <w:rFonts w:hint="eastAsia" w:ascii="宋体" w:hAnsi="宋体" w:cs="宋体"/>
          <w:sz w:val="24"/>
          <w:szCs w:val="24"/>
          <w:highlight w:val="none"/>
          <w:u w:val="single"/>
        </w:rPr>
        <w:t>。具体以《鱼珠隧道、会展西路过江隧道、车陂路-新滘东路隧道工程（二期）施工运维阶段BIM咨询工作要求》为准。</w:t>
      </w:r>
    </w:p>
    <w:p>
      <w:pPr>
        <w:spacing w:line="360" w:lineRule="auto"/>
        <w:ind w:firstLine="480"/>
        <w:rPr>
          <w:rFonts w:ascii="宋体" w:hAnsi="宋体" w:cs="宋体"/>
          <w:sz w:val="24"/>
          <w:szCs w:val="24"/>
          <w:highlight w:val="none"/>
          <w:u w:val="single"/>
        </w:rPr>
      </w:pPr>
      <w:r>
        <w:rPr>
          <w:rFonts w:hint="eastAsia" w:ascii="宋体" w:hAnsi="宋体" w:cs="宋体"/>
          <w:sz w:val="24"/>
          <w:szCs w:val="24"/>
          <w:highlight w:val="none"/>
          <w:u w:val="single"/>
        </w:rPr>
        <w:t>2.7 标段划分：本项目划分为一个标段。</w:t>
      </w:r>
    </w:p>
    <w:p>
      <w:pPr>
        <w:shd w:val="clear" w:color="auto" w:fill="FFFFFF"/>
        <w:adjustRightInd w:val="0"/>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sz w:val="24"/>
          <w:szCs w:val="24"/>
          <w:highlight w:val="none"/>
          <w:u w:val="single"/>
          <w:lang w:val="en-US" w:eastAsia="zh-CN"/>
        </w:rPr>
        <w:t>2.8招标人负责组织招标的两个招标项目：①鱼珠隧道、会展西路过江隧道、车陂路-新滘东路隧道工程（二期）三项目BIM管理咨询服务，②鱼珠隧道、会展西路过江隧道、车陂路-新滘东路隧道工程（二期）三项目BIM技术应用服务，投标人（含联合体成员方）可以参加两个招标项目的投标，但不能兼中，只能中其中一个招标项目。已成为“鱼珠隧道、会展西路过江隧道、车陂路-新滘东路隧道工程（二期）三项目BIM管理咨询服务”招标项目第一中标候选人或中标人的投标人，视为自动放弃“鱼珠隧道、会展西路过江隧道、车陂路-新滘东路隧道工程（二期）三项目BIM技术应用服务”的中标资格，但仍可以参与评标招标项目投标和评审。</w:t>
      </w:r>
    </w:p>
    <w:p>
      <w:pPr>
        <w:adjustRightInd w:val="0"/>
        <w:snapToGrid w:val="0"/>
        <w:spacing w:line="360" w:lineRule="auto"/>
        <w:ind w:firstLine="0" w:firstLineChars="0"/>
        <w:rPr>
          <w:rFonts w:ascii="宋体" w:hAnsi="宋体" w:cs="宋体"/>
          <w:szCs w:val="21"/>
          <w:highlight w:val="none"/>
          <w:u w:val="single"/>
        </w:rPr>
      </w:pPr>
    </w:p>
    <w:p>
      <w:pPr>
        <w:numPr>
          <w:ilvl w:val="0"/>
          <w:numId w:val="3"/>
        </w:numPr>
        <w:tabs>
          <w:tab w:val="left" w:pos="540"/>
        </w:tabs>
        <w:spacing w:line="360" w:lineRule="auto"/>
        <w:rPr>
          <w:rFonts w:eastAsia="Times New Roman"/>
          <w:b/>
          <w:sz w:val="32"/>
          <w:szCs w:val="24"/>
          <w:highlight w:val="none"/>
        </w:rPr>
      </w:pPr>
      <w:r>
        <w:rPr>
          <w:rFonts w:hint="eastAsia" w:ascii="黑体" w:hAnsi="黑体" w:eastAsia="黑体"/>
          <w:b/>
          <w:sz w:val="32"/>
          <w:szCs w:val="24"/>
          <w:highlight w:val="none"/>
        </w:rPr>
        <w:t>投标人资格要求</w:t>
      </w:r>
    </w:p>
    <w:p>
      <w:pPr>
        <w:spacing w:line="360" w:lineRule="auto"/>
        <w:ind w:firstLine="480"/>
        <w:rPr>
          <w:rFonts w:ascii="宋体" w:hAnsi="宋体"/>
          <w:sz w:val="24"/>
          <w:szCs w:val="24"/>
          <w:highlight w:val="none"/>
          <w:u w:val="single"/>
        </w:rPr>
      </w:pPr>
      <w:r>
        <w:rPr>
          <w:rFonts w:hint="eastAsia" w:ascii="宋体" w:hAnsi="宋体"/>
          <w:sz w:val="24"/>
          <w:szCs w:val="24"/>
          <w:highlight w:val="none"/>
        </w:rPr>
        <w:t>3.1</w:t>
      </w:r>
      <w:r>
        <w:rPr>
          <w:rFonts w:hint="eastAsia" w:ascii="宋体" w:hAnsi="宋体" w:cs="宋体"/>
          <w:sz w:val="24"/>
          <w:highlight w:val="none"/>
        </w:rPr>
        <w:t>投标人参加投标的意思表达清楚，投标人代表被授权有效；</w:t>
      </w:r>
    </w:p>
    <w:p>
      <w:pPr>
        <w:spacing w:line="360" w:lineRule="auto"/>
        <w:ind w:firstLine="480"/>
        <w:rPr>
          <w:rFonts w:hint="eastAsia" w:ascii="宋体" w:hAnsi="宋体" w:cs="宋体"/>
          <w:sz w:val="24"/>
          <w:highlight w:val="none"/>
        </w:rPr>
      </w:pPr>
      <w:r>
        <w:rPr>
          <w:rFonts w:hint="eastAsia" w:ascii="宋体" w:hAnsi="宋体"/>
          <w:sz w:val="24"/>
          <w:szCs w:val="24"/>
          <w:highlight w:val="none"/>
        </w:rPr>
        <w:t>3.2</w:t>
      </w:r>
      <w:r>
        <w:rPr>
          <w:rFonts w:hint="eastAsia" w:ascii="宋体" w:hAnsi="宋体" w:cs="宋体"/>
          <w:sz w:val="24"/>
          <w:highlight w:val="none"/>
        </w:rPr>
        <w:t>投标人</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或联合体各方）</w:t>
      </w:r>
      <w:r>
        <w:rPr>
          <w:rFonts w:hint="eastAsia" w:ascii="宋体" w:hAnsi="宋体" w:cs="宋体"/>
          <w:sz w:val="24"/>
          <w:highlight w:val="none"/>
        </w:rPr>
        <w:t>必须是在中华人民共和国注册的独立法人，持有工商行政管理部门核发的法人营业执照或各级登记管理机关颁发的事业单位法人证书，按国家法律经营；</w:t>
      </w:r>
    </w:p>
    <w:p>
      <w:pPr>
        <w:spacing w:line="360" w:lineRule="auto"/>
        <w:ind w:firstLine="480"/>
        <w:rPr>
          <w:rFonts w:hint="eastAsia" w:ascii="宋体" w:hAnsi="宋体"/>
          <w:color w:val="auto"/>
          <w:sz w:val="24"/>
          <w:szCs w:val="24"/>
          <w:highlight w:val="none"/>
          <w:u w:val="single"/>
        </w:rPr>
      </w:pPr>
      <w:r>
        <w:rPr>
          <w:rFonts w:hint="eastAsia" w:ascii="宋体" w:hAnsi="宋体"/>
          <w:sz w:val="24"/>
          <w:szCs w:val="24"/>
          <w:highlight w:val="none"/>
        </w:rPr>
        <w:t>3.3</w:t>
      </w:r>
      <w:r>
        <w:rPr>
          <w:rFonts w:hint="eastAsia" w:ascii="宋体" w:hAnsi="宋体"/>
          <w:sz w:val="24"/>
          <w:szCs w:val="24"/>
          <w:highlight w:val="none"/>
          <w:u w:val="single"/>
        </w:rPr>
        <w:t>业绩要求：投标人</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或联合体各方）</w:t>
      </w:r>
      <w:r>
        <w:rPr>
          <w:rFonts w:hint="eastAsia" w:ascii="宋体" w:hAnsi="宋体"/>
          <w:sz w:val="24"/>
          <w:szCs w:val="24"/>
          <w:highlight w:val="none"/>
          <w:u w:val="single"/>
        </w:rPr>
        <w:t>自201</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年1月1日起至今承接过</w:t>
      </w:r>
      <w:r>
        <w:rPr>
          <w:rFonts w:hint="eastAsia" w:ascii="宋体" w:hAnsi="宋体"/>
          <w:sz w:val="24"/>
          <w:szCs w:val="24"/>
          <w:highlight w:val="none"/>
          <w:u w:val="single"/>
          <w:lang w:val="en-US" w:eastAsia="zh-CN"/>
        </w:rPr>
        <w:t>专项</w:t>
      </w:r>
      <w:r>
        <w:rPr>
          <w:rFonts w:hint="eastAsia" w:ascii="宋体" w:hAnsi="宋体"/>
          <w:sz w:val="24"/>
          <w:szCs w:val="24"/>
          <w:highlight w:val="none"/>
          <w:u w:val="single"/>
        </w:rPr>
        <w:t>BIM</w:t>
      </w:r>
      <w:r>
        <w:rPr>
          <w:rFonts w:hint="eastAsia" w:ascii="宋体" w:hAnsi="宋体"/>
          <w:sz w:val="24"/>
          <w:szCs w:val="24"/>
          <w:highlight w:val="none"/>
          <w:u w:val="single"/>
          <w:lang w:eastAsia="zh-CN"/>
        </w:rPr>
        <w:t>服务</w:t>
      </w:r>
      <w:r>
        <w:rPr>
          <w:rFonts w:hint="eastAsia" w:ascii="宋体" w:hAnsi="宋体"/>
          <w:sz w:val="24"/>
          <w:szCs w:val="24"/>
          <w:highlight w:val="none"/>
          <w:u w:val="single"/>
        </w:rPr>
        <w:t>项目。</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备注：</w:t>
      </w:r>
      <w:r>
        <w:rPr>
          <w:rFonts w:hint="eastAsia" w:ascii="宋体" w:hAnsi="宋体"/>
          <w:sz w:val="24"/>
          <w:szCs w:val="24"/>
          <w:highlight w:val="none"/>
          <w:u w:val="single"/>
        </w:rPr>
        <w:t>业绩证明文件包括合同关键页（包括体现合同工作内容、标的、签字盖章页</w:t>
      </w:r>
      <w:r>
        <w:rPr>
          <w:rFonts w:hint="eastAsia" w:ascii="宋体" w:hAnsi="宋体"/>
          <w:color w:val="auto"/>
          <w:sz w:val="24"/>
          <w:szCs w:val="24"/>
          <w:highlight w:val="none"/>
          <w:u w:val="single"/>
        </w:rPr>
        <w:t>、签署日期等）以及成果文件（或验收文件）扫描件加盖投标人电子印章，业绩日期以合同签署日期为准。</w:t>
      </w:r>
      <w:r>
        <w:rPr>
          <w:rFonts w:hint="eastAsia" w:ascii="宋体" w:hAnsi="宋体"/>
          <w:color w:val="auto"/>
          <w:sz w:val="24"/>
          <w:szCs w:val="24"/>
          <w:highlight w:val="none"/>
          <w:u w:val="single"/>
          <w:lang w:eastAsia="zh-CN"/>
        </w:rPr>
        <w:t>】</w:t>
      </w:r>
    </w:p>
    <w:p>
      <w:pPr>
        <w:spacing w:line="360" w:lineRule="auto"/>
        <w:ind w:firstLine="0"/>
        <w:rPr>
          <w:rFonts w:ascii="宋体" w:hAnsi="宋体"/>
          <w:strike/>
          <w:color w:val="auto"/>
          <w:sz w:val="24"/>
          <w:szCs w:val="24"/>
          <w:highlight w:val="none"/>
          <w:u w:val="single"/>
        </w:rPr>
      </w:pP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rPr>
        <w:t>3.4</w:t>
      </w:r>
      <w:r>
        <w:rPr>
          <w:rFonts w:hint="eastAsia" w:ascii="宋体" w:hAnsi="宋体"/>
          <w:color w:val="auto"/>
          <w:sz w:val="24"/>
          <w:szCs w:val="24"/>
          <w:highlight w:val="none"/>
          <w:u w:val="single"/>
        </w:rPr>
        <w:t>投标人拟担任本工程项目负责人为具有</w:t>
      </w:r>
      <w:r>
        <w:rPr>
          <w:rFonts w:hint="eastAsia" w:ascii="宋体" w:hAnsi="宋体"/>
          <w:color w:val="auto"/>
          <w:sz w:val="24"/>
          <w:szCs w:val="24"/>
          <w:highlight w:val="none"/>
          <w:u w:val="single"/>
          <w:lang w:eastAsia="zh-CN"/>
        </w:rPr>
        <w:t>工程类相关专业</w:t>
      </w:r>
      <w:r>
        <w:rPr>
          <w:rFonts w:hint="eastAsia" w:ascii="宋体" w:hAnsi="宋体"/>
          <w:color w:val="auto"/>
          <w:sz w:val="24"/>
          <w:szCs w:val="24"/>
          <w:highlight w:val="none"/>
          <w:u w:val="single"/>
        </w:rPr>
        <w:t>高级工程师（或以上）职称。</w:t>
      </w:r>
    </w:p>
    <w:p>
      <w:pPr>
        <w:spacing w:line="360" w:lineRule="auto"/>
        <w:ind w:firstLine="480"/>
        <w:rPr>
          <w:rFonts w:ascii="宋体" w:hAnsi="宋体"/>
          <w:color w:val="auto"/>
          <w:sz w:val="24"/>
          <w:szCs w:val="24"/>
          <w:highlight w:val="none"/>
          <w:u w:val="single"/>
        </w:rPr>
      </w:pPr>
      <w:r>
        <w:rPr>
          <w:rFonts w:hint="eastAsia" w:ascii="宋体" w:hAnsi="宋体"/>
          <w:color w:val="auto"/>
          <w:sz w:val="24"/>
          <w:highlight w:val="none"/>
        </w:rPr>
        <w:t>3.5</w:t>
      </w:r>
      <w:r>
        <w:rPr>
          <w:rFonts w:hint="eastAsia" w:ascii="宋体" w:hAnsi="宋体"/>
          <w:color w:val="auto"/>
          <w:sz w:val="24"/>
          <w:highlight w:val="none"/>
          <w:u w:val="none"/>
        </w:rPr>
        <w:t>本项目</w:t>
      </w:r>
      <w:r>
        <w:rPr>
          <w:rFonts w:hint="eastAsia" w:ascii="宋体" w:hAnsi="宋体" w:cs="宋体"/>
          <w:color w:val="auto"/>
          <w:sz w:val="24"/>
          <w:highlight w:val="none"/>
          <w:u w:val="none"/>
        </w:rPr>
        <w:t>招标</w:t>
      </w:r>
      <w:r>
        <w:rPr>
          <w:rFonts w:hint="eastAsia" w:ascii="宋体" w:hAnsi="宋体"/>
          <w:color w:val="auto"/>
          <w:sz w:val="24"/>
          <w:highlight w:val="none"/>
          <w:u w:val="single"/>
        </w:rPr>
        <w:t>接受</w:t>
      </w:r>
      <w:r>
        <w:rPr>
          <w:rFonts w:hint="eastAsia" w:ascii="宋体" w:hAnsi="宋体"/>
          <w:color w:val="auto"/>
          <w:sz w:val="24"/>
          <w:highlight w:val="none"/>
          <w:u w:val="none"/>
        </w:rPr>
        <w:t>联合体投标。</w:t>
      </w:r>
    </w:p>
    <w:p>
      <w:pPr>
        <w:spacing w:line="360" w:lineRule="auto"/>
        <w:ind w:firstLine="480" w:firstLineChars="20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.1允许联合体投标</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只接受</w:t>
      </w:r>
      <w:r>
        <w:rPr>
          <w:rFonts w:hint="eastAsia" w:ascii="宋体" w:hAnsi="宋体" w:cs="宋体"/>
          <w:color w:val="auto"/>
          <w:kern w:val="0"/>
          <w:sz w:val="24"/>
          <w:szCs w:val="24"/>
          <w:highlight w:val="none"/>
          <w:u w:val="single"/>
          <w:lang w:eastAsia="zh-CN"/>
        </w:rPr>
        <w:t>最多</w:t>
      </w:r>
      <w:r>
        <w:rPr>
          <w:rFonts w:hint="eastAsia" w:ascii="宋体" w:hAnsi="宋体" w:cs="宋体"/>
          <w:color w:val="auto"/>
          <w:kern w:val="0"/>
          <w:sz w:val="24"/>
          <w:szCs w:val="24"/>
          <w:highlight w:val="none"/>
          <w:u w:val="single"/>
        </w:rPr>
        <w:t>2家单位组成的联合体，</w:t>
      </w:r>
      <w:r>
        <w:rPr>
          <w:rFonts w:hint="eastAsia" w:ascii="宋体" w:hAnsi="宋体" w:cs="宋体"/>
          <w:color w:val="auto"/>
          <w:kern w:val="0"/>
          <w:sz w:val="24"/>
          <w:szCs w:val="24"/>
          <w:highlight w:val="none"/>
        </w:rPr>
        <w:t>应明确主办方</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如投标人组成联合体，联合体应当在投标登记前组成，并按要求签定联合体协议（格式参考本招标公告附件</w:t>
      </w:r>
      <w:r>
        <w:rPr>
          <w:rFonts w:hint="eastAsia" w:ascii="宋体" w:hAnsi="宋体" w:cs="宋体"/>
          <w:color w:val="auto"/>
          <w:kern w:val="0"/>
          <w:sz w:val="24"/>
          <w:szCs w:val="24"/>
          <w:highlight w:val="none"/>
          <w:u w:val="single"/>
          <w:lang w:val="en-US" w:eastAsia="zh-CN"/>
        </w:rPr>
        <w:t>二</w:t>
      </w:r>
      <w:r>
        <w:rPr>
          <w:rFonts w:hint="eastAsia" w:ascii="宋体" w:hAnsi="宋体" w:cs="宋体"/>
          <w:color w:val="auto"/>
          <w:kern w:val="0"/>
          <w:sz w:val="24"/>
          <w:szCs w:val="24"/>
          <w:highlight w:val="none"/>
          <w:u w:val="single"/>
        </w:rPr>
        <w:t>）。投标人拟任本工程项目负责人应为主办方正式员工。联合体协议应明确约定各方拟承担的工作和责任。投标截止后联合体增减、更换成员的，其投标无效。</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.2联合体各方（包括主办方及联合体成员）不得再单独或与其他单位组成联合体参与本项目投标。出现上述情况者，其投标和与此有关的联合体的投标将被拒绝。</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联合体投标人，除联合体协议需由联合体各方分别按要求进行签字或盖章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3.6其他要求：</w:t>
      </w:r>
    </w:p>
    <w:p>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①投标人已按照附件一的内容签署盖章《投标人声明》；</w:t>
      </w:r>
    </w:p>
    <w:p>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②单位负责人为同一人或者存在控股、管理关系的不同单位，不得同时参加同一项目的投标。违反规定的，相关投标均无效（按投标人提供的《投标人声明》第七条内容进行评审）；</w:t>
      </w:r>
    </w:p>
    <w:p>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③未在以往工程中因不诚信行为或不充分履约行为被本项目招标人书面拒绝投标（无）；</w:t>
      </w:r>
    </w:p>
    <w:p>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④投标人</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或联合体各方）</w:t>
      </w:r>
      <w:r>
        <w:rPr>
          <w:rFonts w:hint="eastAsia" w:ascii="宋体" w:hAnsi="宋体" w:cs="宋体"/>
          <w:sz w:val="24"/>
          <w:highlight w:val="none"/>
          <w:u w:val="single"/>
        </w:rPr>
        <w:t>在广州公共资源交易中心办理企业信息登记。</w:t>
      </w:r>
    </w:p>
    <w:p>
      <w:pPr>
        <w:snapToGrid w:val="0"/>
        <w:spacing w:line="360" w:lineRule="auto"/>
        <w:ind w:firstLine="480" w:firstLineChars="200"/>
        <w:rPr>
          <w:rFonts w:hint="eastAsia" w:ascii="宋体" w:hAnsi="宋体" w:eastAsia="宋体"/>
          <w:sz w:val="24"/>
          <w:highlight w:val="none"/>
          <w:u w:val="single"/>
          <w:lang w:eastAsia="zh-CN"/>
        </w:rPr>
      </w:pPr>
      <w:r>
        <w:rPr>
          <w:rFonts w:hint="eastAsia" w:ascii="宋体" w:hAnsi="宋体" w:cs="宋体"/>
          <w:sz w:val="24"/>
          <w:highlight w:val="none"/>
          <w:u w:val="single"/>
        </w:rPr>
        <w:t>⑤投标人</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或联合体各方）</w:t>
      </w:r>
      <w:r>
        <w:rPr>
          <w:rFonts w:hint="eastAsia" w:ascii="宋体" w:hAnsi="宋体" w:cs="宋体"/>
          <w:sz w:val="24"/>
          <w:highlight w:val="none"/>
          <w:u w:val="single"/>
        </w:rPr>
        <w:t>未被纳入国家、市、区的失信联合惩戒名单的（按广州公共资源交易中心交易系统比对结果进行评审）</w:t>
      </w:r>
      <w:r>
        <w:rPr>
          <w:rFonts w:hint="eastAsia" w:ascii="宋体" w:hAnsi="宋体" w:cs="宋体"/>
          <w:sz w:val="24"/>
          <w:highlight w:val="none"/>
          <w:u w:val="single"/>
          <w:lang w:eastAsia="zh-CN"/>
        </w:rPr>
        <w:t>。</w:t>
      </w:r>
    </w:p>
    <w:p>
      <w:pPr>
        <w:spacing w:line="360" w:lineRule="auto"/>
        <w:rPr>
          <w:rFonts w:ascii="宋体" w:hAnsi="宋体"/>
          <w:szCs w:val="21"/>
          <w:highlight w:val="none"/>
          <w:u w:val="single"/>
        </w:rPr>
      </w:pPr>
    </w:p>
    <w:p>
      <w:pPr>
        <w:spacing w:line="360" w:lineRule="auto"/>
        <w:rPr>
          <w:rFonts w:ascii="宋体" w:hAnsi="宋体"/>
          <w:szCs w:val="21"/>
          <w:highlight w:val="none"/>
        </w:rPr>
      </w:pPr>
      <w:r>
        <w:rPr>
          <w:rFonts w:hint="eastAsia" w:ascii="黑体" w:hAnsi="黑体" w:eastAsia="黑体"/>
          <w:b/>
          <w:sz w:val="32"/>
          <w:szCs w:val="24"/>
          <w:highlight w:val="none"/>
        </w:rPr>
        <w:t>4．招标文件的获取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4.1凡有意参加投标者，请于202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分至202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45</w:t>
      </w:r>
      <w:r>
        <w:rPr>
          <w:rFonts w:hint="eastAsia" w:ascii="宋体" w:hAnsi="宋体" w:cs="宋体"/>
          <w:sz w:val="24"/>
          <w:highlight w:val="none"/>
          <w:u w:val="single"/>
        </w:rPr>
        <w:t xml:space="preserve"> </w:t>
      </w:r>
      <w:r>
        <w:rPr>
          <w:rFonts w:hint="eastAsia" w:ascii="宋体" w:hAnsi="宋体" w:cs="宋体"/>
          <w:sz w:val="24"/>
          <w:highlight w:val="none"/>
        </w:rPr>
        <w:t>分(北京时间，下同)，登录广州公共资源交易中心网站（</w:t>
      </w:r>
      <w:r>
        <w:rPr>
          <w:rFonts w:hint="eastAsia" w:ascii="宋体" w:hAnsi="宋体" w:eastAsia="宋体" w:cs="宋体"/>
          <w:color w:val="auto"/>
          <w:kern w:val="2"/>
          <w:sz w:val="24"/>
          <w:szCs w:val="22"/>
          <w:highlight w:val="none"/>
          <w:lang w:val="en-US" w:eastAsia="zh-CN" w:bidi="ar"/>
        </w:rPr>
        <w:t>http://ggzy.gz.gov.cn</w:t>
      </w:r>
      <w:r>
        <w:rPr>
          <w:rFonts w:hint="eastAsia" w:ascii="宋体" w:hAnsi="宋体" w:cs="宋体"/>
          <w:sz w:val="24"/>
          <w:highlight w:val="none"/>
        </w:rPr>
        <w:t>）下载电子招标文件。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 发布招标公告时间（含本日）：202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12</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分至202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45</w:t>
      </w:r>
      <w:r>
        <w:rPr>
          <w:rFonts w:hint="eastAsia" w:ascii="宋体" w:hAnsi="宋体" w:cs="宋体"/>
          <w:sz w:val="24"/>
          <w:highlight w:val="none"/>
          <w:u w:val="single"/>
        </w:rPr>
        <w:t xml:space="preserve"> </w:t>
      </w:r>
      <w:r>
        <w:rPr>
          <w:rFonts w:hint="eastAsia" w:ascii="宋体" w:hAnsi="宋体" w:cs="宋体"/>
          <w:sz w:val="24"/>
          <w:highlight w:val="none"/>
        </w:rPr>
        <w:t>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注：发布招标公告的时间为招标公告发出之日起至递交投标文件截止时间止。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4.2.2开标时间：202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45</w:t>
      </w:r>
      <w:r>
        <w:rPr>
          <w:rFonts w:hint="eastAsia" w:ascii="宋体" w:hAnsi="宋体" w:cs="宋体"/>
          <w:sz w:val="24"/>
          <w:highlight w:val="none"/>
          <w:u w:val="single"/>
        </w:rPr>
        <w:t xml:space="preserve"> </w:t>
      </w:r>
      <w:r>
        <w:rPr>
          <w:rFonts w:hint="eastAsia" w:ascii="宋体" w:hAnsi="宋体" w:cs="宋体"/>
          <w:sz w:val="24"/>
          <w:highlight w:val="none"/>
        </w:rPr>
        <w:t>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 本项目采用资格后审方式。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注：（1）电子招投标操作流程详见广州公共资源交易中心网站发布的最新版操作指引。</w:t>
      </w:r>
    </w:p>
    <w:p>
      <w:pPr>
        <w:numPr>
          <w:ilvl w:val="0"/>
          <w:numId w:val="4"/>
        </w:numPr>
        <w:spacing w:line="360" w:lineRule="auto"/>
        <w:ind w:firstLine="480" w:firstLineChars="200"/>
        <w:rPr>
          <w:rFonts w:ascii="宋体" w:hAnsi="宋体" w:cs="宋体"/>
          <w:sz w:val="24"/>
          <w:highlight w:val="none"/>
        </w:rPr>
      </w:pPr>
      <w:r>
        <w:rPr>
          <w:rFonts w:hint="eastAsia" w:ascii="宋体" w:hAnsi="宋体" w:cs="宋体"/>
          <w:sz w:val="24"/>
          <w:highlight w:val="none"/>
        </w:rPr>
        <w:t>本公告发布之日起开始计算备标时间。</w:t>
      </w:r>
    </w:p>
    <w:p>
      <w:pPr>
        <w:spacing w:line="360" w:lineRule="auto"/>
        <w:ind w:firstLine="480" w:firstLineChars="200"/>
        <w:rPr>
          <w:color w:val="auto"/>
          <w:highlight w:val="none"/>
        </w:rPr>
      </w:pPr>
      <w:r>
        <w:rPr>
          <w:rFonts w:hint="eastAsia" w:ascii="宋体" w:hAnsi="宋体" w:cs="宋体"/>
          <w:color w:val="auto"/>
          <w:sz w:val="24"/>
          <w:highlight w:val="none"/>
        </w:rPr>
        <w:t>（3）投标申请人必须在办理投标登记前在广州公共资源交易中心办理完毕企业信息登记（具体请登陆广州公共资源交易中心网站→服务指南→办事指引→企业信息登记）。否则由此导致无法在广州公共资源交易中心系统登记的后果由投标人自行承担。具体企业信息登记办理手续请登录广州公共资源交易中心网查询（或咨询020-28866000）。</w:t>
      </w:r>
    </w:p>
    <w:p>
      <w:pPr>
        <w:spacing w:line="360" w:lineRule="auto"/>
        <w:ind w:firstLine="480" w:firstLineChars="200"/>
        <w:rPr>
          <w:rFonts w:ascii="宋体" w:hAnsi="宋体"/>
          <w:szCs w:val="21"/>
          <w:highlight w:val="none"/>
          <w:u w:val="single"/>
        </w:rPr>
      </w:pPr>
      <w:r>
        <w:rPr>
          <w:rFonts w:hint="eastAsia" w:ascii="宋体" w:hAnsi="宋体" w:cs="宋体"/>
          <w:sz w:val="24"/>
          <w:highlight w:val="none"/>
        </w:rPr>
        <w:t>4.4 潜在投标人或利害关系人对本招标公告及招标内容异议的，可向招标人书面提出。</w:t>
      </w:r>
    </w:p>
    <w:p>
      <w:pPr>
        <w:spacing w:line="360" w:lineRule="auto"/>
        <w:rPr>
          <w:rFonts w:hint="eastAsia" w:ascii="黑体" w:hAnsi="黑体" w:eastAsia="黑体"/>
          <w:b/>
          <w:sz w:val="21"/>
          <w:szCs w:val="21"/>
          <w:highlight w:val="none"/>
        </w:rPr>
      </w:pPr>
    </w:p>
    <w:p>
      <w:pPr>
        <w:spacing w:line="360" w:lineRule="auto"/>
        <w:rPr>
          <w:rFonts w:ascii="黑体" w:hAnsi="黑体" w:eastAsia="黑体"/>
          <w:b/>
          <w:sz w:val="32"/>
          <w:szCs w:val="24"/>
          <w:highlight w:val="none"/>
        </w:rPr>
      </w:pPr>
      <w:r>
        <w:rPr>
          <w:rFonts w:hint="eastAsia" w:ascii="黑体" w:hAnsi="黑体" w:eastAsia="黑体"/>
          <w:b/>
          <w:sz w:val="32"/>
          <w:szCs w:val="24"/>
          <w:highlight w:val="none"/>
        </w:rPr>
        <w:t>5.投标文件的递交</w:t>
      </w:r>
    </w:p>
    <w:p>
      <w:pPr>
        <w:tabs>
          <w:tab w:val="left" w:pos="360"/>
        </w:tabs>
        <w:spacing w:line="360" w:lineRule="auto"/>
        <w:ind w:left="239" w:leftChars="114" w:firstLine="240" w:firstLineChars="100"/>
        <w:rPr>
          <w:rFonts w:ascii="宋体" w:hAnsi="宋体" w:cs="宋体"/>
          <w:sz w:val="24"/>
          <w:highlight w:val="none"/>
        </w:rPr>
      </w:pPr>
      <w:r>
        <w:rPr>
          <w:rFonts w:hint="eastAsia" w:ascii="宋体" w:hAnsi="宋体" w:cs="宋体"/>
          <w:sz w:val="24"/>
          <w:highlight w:val="none"/>
        </w:rPr>
        <w:t>5.1投标文件递交的截止时间（投标截止时间，下同）为</w:t>
      </w:r>
      <w:r>
        <w:rPr>
          <w:rFonts w:hint="eastAsia" w:ascii="宋体" w:hAnsi="宋体" w:cs="宋体"/>
          <w:sz w:val="24"/>
          <w:highlight w:val="none"/>
          <w:lang w:eastAsia="zh-CN"/>
        </w:rPr>
        <w:t>2022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r>
        <w:rPr>
          <w:rFonts w:hint="eastAsia" w:ascii="宋体" w:hAnsi="宋体" w:cs="宋体"/>
          <w:sz w:val="24"/>
          <w:highlight w:val="none"/>
          <w:u w:val="single"/>
          <w:lang w:val="en-US" w:eastAsia="zh-CN"/>
        </w:rPr>
        <w:t>9</w:t>
      </w:r>
      <w:r>
        <w:rPr>
          <w:rFonts w:hint="eastAsia" w:ascii="宋体" w:hAnsi="宋体" w:cs="宋体"/>
          <w:sz w:val="24"/>
          <w:highlight w:val="none"/>
        </w:rPr>
        <w:t>时</w:t>
      </w:r>
      <w:r>
        <w:rPr>
          <w:rFonts w:hint="eastAsia" w:ascii="宋体" w:hAnsi="宋体" w:cs="宋体"/>
          <w:sz w:val="24"/>
          <w:highlight w:val="none"/>
          <w:u w:val="single"/>
          <w:lang w:val="en-US" w:eastAsia="zh-CN"/>
        </w:rPr>
        <w:t>45</w:t>
      </w:r>
      <w:r>
        <w:rPr>
          <w:rFonts w:hint="eastAsia" w:ascii="宋体" w:hAnsi="宋体" w:cs="宋体"/>
          <w:sz w:val="24"/>
          <w:highlight w:val="none"/>
        </w:rPr>
        <w:t>分，投标人应在截止时间前通过</w:t>
      </w:r>
      <w:r>
        <w:rPr>
          <w:rFonts w:hint="eastAsia" w:ascii="宋体" w:hAnsi="宋体" w:cs="宋体"/>
          <w:sz w:val="24"/>
          <w:highlight w:val="none"/>
          <w:u w:val="single"/>
        </w:rPr>
        <w:t>广州公共资源交易中心网站（</w:t>
      </w:r>
      <w:r>
        <w:rPr>
          <w:rFonts w:hint="eastAsia" w:ascii="宋体" w:hAnsi="宋体" w:eastAsia="宋体" w:cs="宋体"/>
          <w:color w:val="auto"/>
          <w:kern w:val="2"/>
          <w:sz w:val="24"/>
          <w:szCs w:val="22"/>
          <w:highlight w:val="none"/>
          <w:u w:val="single"/>
          <w:lang w:val="en-US" w:eastAsia="zh-CN" w:bidi="ar"/>
        </w:rPr>
        <w:t>http://ggzy.gz.gov.cn</w:t>
      </w:r>
      <w:r>
        <w:rPr>
          <w:rFonts w:hint="eastAsia" w:ascii="宋体" w:hAnsi="宋体" w:cs="宋体"/>
          <w:sz w:val="24"/>
          <w:highlight w:val="none"/>
          <w:u w:val="single"/>
        </w:rPr>
        <w:t>）</w:t>
      </w:r>
      <w:r>
        <w:rPr>
          <w:rFonts w:hint="eastAsia" w:ascii="宋体" w:hAnsi="宋体" w:cs="宋体"/>
          <w:sz w:val="24"/>
          <w:highlight w:val="none"/>
        </w:rPr>
        <w:t>递交电子投标文件。</w:t>
      </w:r>
    </w:p>
    <w:p>
      <w:pPr>
        <w:tabs>
          <w:tab w:val="left" w:pos="360"/>
        </w:tabs>
        <w:spacing w:line="360" w:lineRule="auto"/>
        <w:ind w:left="10" w:firstLine="468" w:firstLineChars="195"/>
        <w:rPr>
          <w:rFonts w:ascii="宋体" w:hAnsi="宋体" w:cs="宋体"/>
          <w:sz w:val="24"/>
          <w:highlight w:val="none"/>
        </w:rPr>
      </w:pPr>
      <w:r>
        <w:rPr>
          <w:rFonts w:hint="eastAsia" w:ascii="宋体" w:hAnsi="宋体" w:cs="宋体"/>
          <w:sz w:val="24"/>
          <w:highlight w:val="none"/>
        </w:rPr>
        <w:t>递交备用投标文件电子光盘的规定：时间为：</w:t>
      </w:r>
      <w:r>
        <w:rPr>
          <w:rFonts w:hint="eastAsia" w:ascii="宋体" w:hAnsi="宋体" w:cs="宋体"/>
          <w:sz w:val="24"/>
          <w:highlight w:val="none"/>
          <w:lang w:eastAsia="zh-CN"/>
        </w:rPr>
        <w:t>2022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lang w:val="en-US" w:eastAsia="zh-CN"/>
        </w:rPr>
        <w:t>9</w:t>
      </w:r>
      <w:r>
        <w:rPr>
          <w:rFonts w:hint="eastAsia" w:ascii="宋体" w:hAnsi="宋体" w:cs="宋体"/>
          <w:sz w:val="24"/>
          <w:highlight w:val="none"/>
        </w:rPr>
        <w:t>时</w:t>
      </w:r>
      <w:r>
        <w:rPr>
          <w:rFonts w:hint="eastAsia" w:ascii="宋体" w:hAnsi="宋体" w:cs="宋体"/>
          <w:sz w:val="24"/>
          <w:highlight w:val="none"/>
          <w:u w:val="single"/>
          <w:lang w:val="en-US" w:eastAsia="zh-CN"/>
        </w:rPr>
        <w:t>30</w:t>
      </w:r>
      <w:r>
        <w:rPr>
          <w:rFonts w:hint="eastAsia" w:ascii="宋体" w:hAnsi="宋体" w:cs="宋体"/>
          <w:sz w:val="24"/>
          <w:highlight w:val="none"/>
        </w:rPr>
        <w:t>分至</w:t>
      </w:r>
      <w:r>
        <w:rPr>
          <w:rFonts w:hint="eastAsia" w:ascii="宋体" w:hAnsi="宋体" w:cs="宋体"/>
          <w:sz w:val="24"/>
          <w:highlight w:val="none"/>
          <w:lang w:eastAsia="zh-CN"/>
        </w:rPr>
        <w:t>2022</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lang w:val="en-US" w:eastAsia="zh-CN"/>
        </w:rPr>
        <w:t>9</w:t>
      </w:r>
      <w:r>
        <w:rPr>
          <w:rFonts w:hint="eastAsia" w:ascii="宋体" w:hAnsi="宋体" w:cs="宋体"/>
          <w:sz w:val="24"/>
          <w:highlight w:val="none"/>
        </w:rPr>
        <w:t>时</w:t>
      </w:r>
      <w:r>
        <w:rPr>
          <w:rFonts w:hint="eastAsia" w:ascii="宋体" w:hAnsi="宋体" w:cs="宋体"/>
          <w:sz w:val="24"/>
          <w:highlight w:val="none"/>
          <w:u w:val="single"/>
          <w:lang w:val="en-US" w:eastAsia="zh-CN"/>
        </w:rPr>
        <w:t>45</w:t>
      </w:r>
      <w:r>
        <w:rPr>
          <w:rFonts w:hint="eastAsia" w:ascii="宋体" w:hAnsi="宋体" w:cs="宋体"/>
          <w:sz w:val="24"/>
          <w:highlight w:val="none"/>
        </w:rPr>
        <w:t>分；地点</w:t>
      </w:r>
      <w:bookmarkStart w:id="18" w:name="_GoBack"/>
      <w:bookmarkEnd w:id="18"/>
      <w:r>
        <w:rPr>
          <w:rFonts w:hint="eastAsia" w:ascii="宋体" w:hAnsi="宋体" w:cs="宋体"/>
          <w:sz w:val="24"/>
          <w:highlight w:val="none"/>
        </w:rPr>
        <w:t>：</w:t>
      </w:r>
      <w:r>
        <w:rPr>
          <w:rFonts w:hint="eastAsia" w:ascii="宋体" w:hAnsi="宋体" w:cs="宋体"/>
          <w:sz w:val="24"/>
          <w:highlight w:val="none"/>
          <w:u w:val="single"/>
        </w:rPr>
        <w:t>广州公共资源交易中心</w:t>
      </w:r>
      <w:r>
        <w:rPr>
          <w:rFonts w:hint="eastAsia" w:ascii="宋体" w:hAnsi="宋体" w:cs="宋体"/>
          <w:sz w:val="24"/>
          <w:highlight w:val="none"/>
          <w:u w:val="single"/>
          <w:lang w:val="en-US" w:eastAsia="zh-CN"/>
        </w:rPr>
        <w:t>06</w:t>
      </w:r>
      <w:r>
        <w:rPr>
          <w:rFonts w:hint="eastAsia" w:ascii="宋体" w:hAnsi="宋体" w:cs="宋体"/>
          <w:sz w:val="24"/>
          <w:highlight w:val="none"/>
          <w:u w:val="single"/>
        </w:rPr>
        <w:t>开标室</w:t>
      </w:r>
      <w:r>
        <w:rPr>
          <w:rFonts w:hint="eastAsia" w:ascii="宋体" w:hAnsi="宋体" w:cs="宋体"/>
          <w:sz w:val="24"/>
          <w:highlight w:val="none"/>
        </w:rPr>
        <w:t>。（电子光盘需按规定封装。投标人将数据刻录到光盘之后，投标前自行检查文件是否可以读取。）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5.2  采取电子投标时，逾期送达的投标文件，电子招标投标交易平台将予以拒收。逾期未上传成功的电子投标文件，招标人拒绝接收。</w:t>
      </w:r>
    </w:p>
    <w:p>
      <w:pPr>
        <w:tabs>
          <w:tab w:val="left" w:pos="760"/>
        </w:tabs>
        <w:spacing w:line="360" w:lineRule="auto"/>
        <w:rPr>
          <w:rFonts w:hint="eastAsia" w:ascii="黑体" w:hAnsi="黑体" w:eastAsia="黑体"/>
          <w:b/>
          <w:sz w:val="21"/>
          <w:szCs w:val="21"/>
          <w:highlight w:val="none"/>
        </w:rPr>
      </w:pPr>
    </w:p>
    <w:p>
      <w:pPr>
        <w:tabs>
          <w:tab w:val="left" w:pos="760"/>
        </w:tabs>
        <w:spacing w:line="360" w:lineRule="auto"/>
        <w:rPr>
          <w:b/>
          <w:sz w:val="32"/>
          <w:szCs w:val="24"/>
          <w:highlight w:val="none"/>
        </w:rPr>
      </w:pPr>
      <w:r>
        <w:rPr>
          <w:rFonts w:hint="eastAsia" w:ascii="黑体" w:hAnsi="黑体" w:eastAsia="黑体"/>
          <w:b/>
          <w:sz w:val="32"/>
          <w:szCs w:val="24"/>
          <w:highlight w:val="none"/>
        </w:rPr>
        <w:t>6. 发布公告的媒介</w:t>
      </w:r>
    </w:p>
    <w:p>
      <w:pPr>
        <w:spacing w:line="360" w:lineRule="auto"/>
        <w:ind w:firstLine="480" w:firstLineChars="200"/>
        <w:rPr>
          <w:rFonts w:ascii="黑体" w:hAnsi="黑体" w:eastAsia="黑体"/>
          <w:b/>
          <w:sz w:val="32"/>
          <w:szCs w:val="24"/>
          <w:highlight w:val="none"/>
        </w:rPr>
      </w:pPr>
      <w:r>
        <w:rPr>
          <w:rFonts w:hint="eastAsia" w:ascii="宋体" w:hAnsi="宋体" w:cs="宋体"/>
          <w:sz w:val="24"/>
          <w:highlight w:val="none"/>
        </w:rPr>
        <w:t>本次招标公告同时在</w:t>
      </w:r>
      <w:r>
        <w:rPr>
          <w:rFonts w:hint="eastAsia" w:ascii="宋体" w:hAnsi="宋体" w:cs="宋体"/>
          <w:sz w:val="24"/>
          <w:highlight w:val="none"/>
          <w:u w:val="single"/>
        </w:rPr>
        <w:t>广州公共资源交易中心网站</w:t>
      </w:r>
      <w:r>
        <w:rPr>
          <w:rFonts w:hint="eastAsia" w:ascii="宋体" w:hAnsi="宋体" w:cs="宋体"/>
          <w:sz w:val="24"/>
          <w:highlight w:val="none"/>
          <w:u w:val="none"/>
        </w:rPr>
        <w:t>（</w:t>
      </w:r>
      <w:r>
        <w:rPr>
          <w:rFonts w:hint="eastAsia" w:ascii="宋体" w:hAnsi="宋体" w:eastAsia="宋体" w:cs="宋体"/>
          <w:color w:val="auto"/>
          <w:kern w:val="2"/>
          <w:sz w:val="24"/>
          <w:szCs w:val="22"/>
          <w:highlight w:val="none"/>
          <w:lang w:val="en-US" w:eastAsia="zh-CN" w:bidi="ar"/>
        </w:rPr>
        <w:t>http://ggzy.gz.gov.cn</w:t>
      </w:r>
      <w:r>
        <w:rPr>
          <w:rFonts w:hint="eastAsia" w:ascii="宋体" w:hAnsi="宋体" w:cs="宋体"/>
          <w:sz w:val="24"/>
          <w:highlight w:val="none"/>
          <w:u w:val="single"/>
        </w:rPr>
        <w:t>）、广东省招标投标监管网（http://zbtb.gd.gov.cn）和中国招标投标公共服务平台（http：//www.cebpubservice.com/）等媒体发布</w:t>
      </w:r>
      <w:r>
        <w:rPr>
          <w:rFonts w:hint="eastAsia" w:ascii="宋体" w:hAnsi="宋体" w:cs="宋体"/>
          <w:sz w:val="24"/>
          <w:highlight w:val="none"/>
        </w:rPr>
        <w:t>上发布，本公告的修改、补充，在广州公共资源交易中心网站发布。本公告在各媒体发布的文本如有不同之处，以在广州公共资源交易中心网站发布的文本为准。</w:t>
      </w:r>
    </w:p>
    <w:p>
      <w:pPr>
        <w:tabs>
          <w:tab w:val="left" w:pos="760"/>
        </w:tabs>
        <w:spacing w:line="360" w:lineRule="auto"/>
        <w:rPr>
          <w:rFonts w:hint="eastAsia" w:ascii="黑体" w:hAnsi="黑体" w:eastAsia="黑体"/>
          <w:b/>
          <w:sz w:val="32"/>
          <w:szCs w:val="24"/>
          <w:highlight w:val="none"/>
        </w:rPr>
      </w:pPr>
    </w:p>
    <w:p>
      <w:pPr>
        <w:tabs>
          <w:tab w:val="left" w:pos="760"/>
        </w:tabs>
        <w:spacing w:line="360" w:lineRule="auto"/>
        <w:rPr>
          <w:rFonts w:ascii="黑体" w:hAnsi="黑体" w:eastAsia="黑体"/>
          <w:b/>
          <w:sz w:val="32"/>
          <w:szCs w:val="24"/>
          <w:highlight w:val="none"/>
        </w:rPr>
      </w:pPr>
      <w:r>
        <w:rPr>
          <w:rFonts w:hint="eastAsia" w:ascii="黑体" w:hAnsi="黑体" w:eastAsia="黑体"/>
          <w:b/>
          <w:sz w:val="32"/>
          <w:szCs w:val="24"/>
          <w:highlight w:val="none"/>
        </w:rPr>
        <w:t>7. 联系方式</w:t>
      </w:r>
    </w:p>
    <w:tbl>
      <w:tblPr>
        <w:tblStyle w:val="14"/>
        <w:tblW w:w="10449" w:type="dxa"/>
        <w:jc w:val="center"/>
        <w:tblLayout w:type="fixed"/>
        <w:tblCellMar>
          <w:top w:w="0" w:type="dxa"/>
          <w:left w:w="108" w:type="dxa"/>
          <w:bottom w:w="0" w:type="dxa"/>
          <w:right w:w="108" w:type="dxa"/>
        </w:tblCellMar>
      </w:tblPr>
      <w:tblGrid>
        <w:gridCol w:w="5212"/>
        <w:gridCol w:w="5237"/>
      </w:tblGrid>
      <w:tr>
        <w:tblPrEx>
          <w:tblCellMar>
            <w:top w:w="0" w:type="dxa"/>
            <w:left w:w="108" w:type="dxa"/>
            <w:bottom w:w="0" w:type="dxa"/>
            <w:right w:w="108" w:type="dxa"/>
          </w:tblCellMar>
        </w:tblPrEx>
        <w:trPr>
          <w:trHeight w:val="564" w:hRule="atLeast"/>
          <w:jc w:val="center"/>
        </w:trPr>
        <w:tc>
          <w:tcPr>
            <w:tcW w:w="5212" w:type="dxa"/>
          </w:tcPr>
          <w:p>
            <w:pPr>
              <w:spacing w:line="360" w:lineRule="auto"/>
              <w:rPr>
                <w:rFonts w:ascii="宋体" w:hAnsi="宋体" w:cs="宋体"/>
                <w:sz w:val="24"/>
                <w:highlight w:val="none"/>
              </w:rPr>
            </w:pPr>
            <w:bookmarkStart w:id="0" w:name="_Toc10785"/>
            <w:bookmarkEnd w:id="0"/>
            <w:bookmarkStart w:id="1" w:name="_Toc369531497"/>
            <w:bookmarkEnd w:id="1"/>
            <w:bookmarkStart w:id="2" w:name="_Toc30817"/>
            <w:bookmarkEnd w:id="2"/>
            <w:bookmarkStart w:id="3" w:name="_Toc384308185"/>
            <w:bookmarkEnd w:id="3"/>
            <w:bookmarkStart w:id="4" w:name="_Toc247513935"/>
            <w:bookmarkEnd w:id="4"/>
            <w:bookmarkStart w:id="5" w:name="_Toc144974480"/>
            <w:bookmarkEnd w:id="5"/>
            <w:bookmarkStart w:id="6" w:name="_Toc300834930"/>
            <w:bookmarkEnd w:id="6"/>
            <w:bookmarkStart w:id="7" w:name="_Toc152045513"/>
            <w:bookmarkEnd w:id="7"/>
            <w:bookmarkStart w:id="8" w:name="_Toc247527535"/>
            <w:bookmarkEnd w:id="8"/>
            <w:bookmarkStart w:id="9" w:name="_Toc247527536"/>
            <w:bookmarkEnd w:id="9"/>
            <w:bookmarkStart w:id="10" w:name="_Toc361508562"/>
            <w:bookmarkEnd w:id="10"/>
            <w:bookmarkStart w:id="11" w:name="_Toc247513934"/>
            <w:bookmarkEnd w:id="11"/>
            <w:bookmarkStart w:id="12" w:name="_Toc300834927"/>
            <w:bookmarkEnd w:id="12"/>
            <w:bookmarkStart w:id="13" w:name="_Toc361508563"/>
            <w:bookmarkEnd w:id="13"/>
            <w:bookmarkStart w:id="14" w:name="_Toc369531495"/>
            <w:bookmarkEnd w:id="14"/>
            <w:bookmarkStart w:id="15" w:name="_Toc384308188"/>
            <w:bookmarkEnd w:id="15"/>
            <w:bookmarkStart w:id="16" w:name="_Toc369531498"/>
            <w:bookmarkEnd w:id="16"/>
            <w:bookmarkStart w:id="17" w:name="_Toc352691453"/>
            <w:bookmarkEnd w:id="17"/>
            <w:r>
              <w:rPr>
                <w:rFonts w:hint="eastAsia" w:ascii="宋体" w:hAnsi="宋体" w:cs="宋体"/>
                <w:sz w:val="24"/>
                <w:highlight w:val="none"/>
              </w:rPr>
              <w:t>招标人：</w:t>
            </w:r>
            <w:r>
              <w:rPr>
                <w:rFonts w:hint="eastAsia" w:ascii="宋体" w:hAnsi="宋体" w:cs="宋体"/>
                <w:sz w:val="24"/>
                <w:szCs w:val="24"/>
                <w:highlight w:val="none"/>
                <w:u w:val="single"/>
              </w:rPr>
              <w:t>广州市中心区交通项目管理中心</w:t>
            </w:r>
          </w:p>
        </w:tc>
        <w:tc>
          <w:tcPr>
            <w:tcW w:w="5237" w:type="dxa"/>
          </w:tcPr>
          <w:p>
            <w:pPr>
              <w:spacing w:line="360" w:lineRule="auto"/>
              <w:ind w:left="2880" w:hanging="2880" w:hangingChars="1200"/>
              <w:jc w:val="left"/>
              <w:rPr>
                <w:rFonts w:ascii="宋体" w:hAnsi="宋体" w:cs="宋体"/>
                <w:sz w:val="24"/>
                <w:highlight w:val="none"/>
              </w:rPr>
            </w:pPr>
            <w:r>
              <w:rPr>
                <w:rFonts w:hint="eastAsia" w:ascii="宋体" w:hAnsi="宋体" w:cs="宋体"/>
                <w:sz w:val="24"/>
                <w:szCs w:val="24"/>
                <w:highlight w:val="none"/>
              </w:rPr>
              <w:t>招标代理机构：</w:t>
            </w:r>
            <w:r>
              <w:rPr>
                <w:rFonts w:hint="eastAsia" w:ascii="宋体" w:hAnsi="宋体" w:cs="宋体"/>
                <w:sz w:val="24"/>
                <w:szCs w:val="24"/>
                <w:highlight w:val="none"/>
                <w:u w:val="single"/>
              </w:rPr>
              <w:t>谷德中交咨询（广州）有限公司</w:t>
            </w:r>
          </w:p>
        </w:tc>
      </w:tr>
      <w:tr>
        <w:tblPrEx>
          <w:tblCellMar>
            <w:top w:w="0" w:type="dxa"/>
            <w:left w:w="108" w:type="dxa"/>
            <w:bottom w:w="0" w:type="dxa"/>
            <w:right w:w="108" w:type="dxa"/>
          </w:tblCellMar>
        </w:tblPrEx>
        <w:trPr>
          <w:trHeight w:val="508" w:hRule="atLeast"/>
          <w:jc w:val="center"/>
        </w:trPr>
        <w:tc>
          <w:tcPr>
            <w:tcW w:w="5212" w:type="dxa"/>
          </w:tcPr>
          <w:p>
            <w:pPr>
              <w:spacing w:line="360" w:lineRule="auto"/>
              <w:ind w:left="0" w:firstLine="0" w:firstLineChars="0"/>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广州市</w:t>
            </w:r>
            <w:r>
              <w:rPr>
                <w:rFonts w:hint="eastAsia" w:ascii="宋体" w:hAnsi="宋体" w:cs="宋体"/>
                <w:snapToGrid w:val="0"/>
                <w:kern w:val="0"/>
                <w:sz w:val="24"/>
                <w:szCs w:val="24"/>
                <w:highlight w:val="none"/>
                <w:u w:val="single"/>
              </w:rPr>
              <w:t>越秀区</w:t>
            </w:r>
            <w:r>
              <w:rPr>
                <w:rFonts w:hint="eastAsia" w:ascii="宋体" w:hAnsi="宋体" w:cs="宋体"/>
                <w:sz w:val="24"/>
                <w:highlight w:val="none"/>
                <w:u w:val="single"/>
              </w:rPr>
              <w:t>东风中路318号15-16楼</w:t>
            </w:r>
          </w:p>
        </w:tc>
        <w:tc>
          <w:tcPr>
            <w:tcW w:w="5237" w:type="dxa"/>
          </w:tcPr>
          <w:p>
            <w:pPr>
              <w:spacing w:line="360" w:lineRule="auto"/>
              <w:ind w:left="1200" w:hanging="1200" w:hangingChars="500"/>
              <w:rPr>
                <w:rFonts w:ascii="宋体" w:hAnsi="宋体" w:cs="宋体"/>
                <w:sz w:val="24"/>
                <w:highlight w:val="none"/>
              </w:rPr>
            </w:pPr>
            <w:r>
              <w:rPr>
                <w:rFonts w:hint="eastAsia" w:ascii="宋体" w:hAnsi="宋体" w:cs="宋体"/>
                <w:sz w:val="24"/>
                <w:szCs w:val="24"/>
                <w:highlight w:val="none"/>
              </w:rPr>
              <w:t>地址：</w:t>
            </w:r>
            <w:r>
              <w:rPr>
                <w:rFonts w:hint="eastAsia" w:ascii="宋体" w:hAnsi="宋体" w:cs="宋体"/>
                <w:sz w:val="24"/>
                <w:highlight w:val="none"/>
                <w:u w:val="single"/>
              </w:rPr>
              <w:t>广州市天河区黄埔大道西159号西</w:t>
            </w:r>
            <w:r>
              <w:rPr>
                <w:rFonts w:hint="eastAsia" w:ascii="宋体" w:hAnsi="宋体" w:cs="宋体"/>
                <w:sz w:val="24"/>
                <w:highlight w:val="none"/>
                <w:u w:val="single"/>
                <w:lang w:val="en-US" w:eastAsia="zh-CN"/>
              </w:rPr>
              <w:t>塔</w:t>
            </w:r>
            <w:r>
              <w:rPr>
                <w:rFonts w:hint="eastAsia" w:ascii="宋体" w:hAnsi="宋体" w:cs="宋体"/>
                <w:sz w:val="24"/>
                <w:highlight w:val="none"/>
                <w:u w:val="single"/>
              </w:rPr>
              <w:t>7</w:t>
            </w:r>
            <w:r>
              <w:rPr>
                <w:rFonts w:hint="eastAsia" w:ascii="宋体" w:hAnsi="宋体" w:cs="宋体"/>
                <w:sz w:val="24"/>
                <w:highlight w:val="none"/>
                <w:u w:val="single"/>
                <w:lang w:val="en-US" w:eastAsia="zh-CN"/>
              </w:rPr>
              <w:t>楼</w:t>
            </w:r>
          </w:p>
        </w:tc>
      </w:tr>
      <w:tr>
        <w:tblPrEx>
          <w:tblCellMar>
            <w:top w:w="0" w:type="dxa"/>
            <w:left w:w="108" w:type="dxa"/>
            <w:bottom w:w="0" w:type="dxa"/>
            <w:right w:w="108" w:type="dxa"/>
          </w:tblCellMar>
        </w:tblPrEx>
        <w:trPr>
          <w:trHeight w:val="525" w:hRule="atLeast"/>
          <w:jc w:val="center"/>
        </w:trPr>
        <w:tc>
          <w:tcPr>
            <w:tcW w:w="5212" w:type="dxa"/>
          </w:tcPr>
          <w:p>
            <w:pPr>
              <w:spacing w:line="360" w:lineRule="auto"/>
              <w:rPr>
                <w:rFonts w:ascii="宋体" w:hAnsi="宋体" w:cs="宋体"/>
                <w:sz w:val="24"/>
                <w:highlight w:val="none"/>
              </w:rPr>
            </w:pPr>
            <w:r>
              <w:rPr>
                <w:rFonts w:hint="eastAsia" w:ascii="宋体" w:hAnsi="宋体" w:cs="宋体"/>
                <w:sz w:val="24"/>
                <w:highlight w:val="none"/>
              </w:rPr>
              <w:t>邮    编：</w:t>
            </w:r>
            <w:r>
              <w:rPr>
                <w:rFonts w:hint="eastAsia" w:ascii="宋体" w:hAnsi="宋体" w:cs="宋体"/>
                <w:sz w:val="24"/>
                <w:highlight w:val="none"/>
                <w:u w:val="single"/>
              </w:rPr>
              <w:t>510006</w:t>
            </w:r>
          </w:p>
        </w:tc>
        <w:tc>
          <w:tcPr>
            <w:tcW w:w="5237" w:type="dxa"/>
          </w:tcPr>
          <w:p>
            <w:pPr>
              <w:spacing w:line="360" w:lineRule="auto"/>
              <w:rPr>
                <w:rFonts w:ascii="宋体" w:hAnsi="宋体" w:cs="宋体"/>
                <w:sz w:val="24"/>
                <w:highlight w:val="none"/>
              </w:rPr>
            </w:pPr>
            <w:r>
              <w:rPr>
                <w:rFonts w:hint="eastAsia" w:ascii="宋体" w:hAnsi="宋体" w:cs="宋体"/>
                <w:sz w:val="24"/>
                <w:szCs w:val="24"/>
                <w:highlight w:val="none"/>
              </w:rPr>
              <w:t>邮    编：510030</w:t>
            </w:r>
          </w:p>
        </w:tc>
      </w:tr>
      <w:tr>
        <w:tblPrEx>
          <w:tblCellMar>
            <w:top w:w="0" w:type="dxa"/>
            <w:left w:w="108" w:type="dxa"/>
            <w:bottom w:w="0" w:type="dxa"/>
            <w:right w:w="108" w:type="dxa"/>
          </w:tblCellMar>
        </w:tblPrEx>
        <w:trPr>
          <w:trHeight w:val="525" w:hRule="atLeast"/>
          <w:jc w:val="center"/>
        </w:trPr>
        <w:tc>
          <w:tcPr>
            <w:tcW w:w="5212" w:type="dxa"/>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联 系 人：</w:t>
            </w:r>
            <w:r>
              <w:rPr>
                <w:rFonts w:hint="eastAsia" w:ascii="宋体" w:hAnsi="宋体" w:cs="宋体"/>
                <w:sz w:val="24"/>
                <w:highlight w:val="none"/>
                <w:u w:val="single"/>
                <w:lang w:eastAsia="zh-CN"/>
              </w:rPr>
              <w:t>杨工</w:t>
            </w:r>
          </w:p>
        </w:tc>
        <w:tc>
          <w:tcPr>
            <w:tcW w:w="5237" w:type="dxa"/>
          </w:tcPr>
          <w:p>
            <w:pPr>
              <w:spacing w:line="360" w:lineRule="auto"/>
              <w:rPr>
                <w:rFonts w:ascii="宋体" w:hAnsi="宋体" w:cs="宋体"/>
                <w:sz w:val="24"/>
                <w:highlight w:val="none"/>
              </w:rPr>
            </w:pPr>
            <w:r>
              <w:rPr>
                <w:rFonts w:hint="eastAsia" w:ascii="宋体" w:hAnsi="宋体" w:cs="宋体"/>
                <w:sz w:val="24"/>
                <w:szCs w:val="24"/>
                <w:highlight w:val="none"/>
              </w:rPr>
              <w:t>联 系 人：</w:t>
            </w:r>
            <w:r>
              <w:rPr>
                <w:rFonts w:hint="eastAsia" w:ascii="宋体" w:hAnsi="宋体" w:cs="宋体"/>
                <w:sz w:val="24"/>
                <w:highlight w:val="none"/>
                <w:u w:val="single"/>
              </w:rPr>
              <w:t>李工、胡工</w:t>
            </w:r>
          </w:p>
        </w:tc>
      </w:tr>
      <w:tr>
        <w:tblPrEx>
          <w:tblCellMar>
            <w:top w:w="0" w:type="dxa"/>
            <w:left w:w="108" w:type="dxa"/>
            <w:bottom w:w="0" w:type="dxa"/>
            <w:right w:w="108" w:type="dxa"/>
          </w:tblCellMar>
        </w:tblPrEx>
        <w:trPr>
          <w:trHeight w:val="525" w:hRule="atLeast"/>
          <w:jc w:val="center"/>
        </w:trPr>
        <w:tc>
          <w:tcPr>
            <w:tcW w:w="5212" w:type="dxa"/>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电    话：</w:t>
            </w:r>
            <w:r>
              <w:rPr>
                <w:rFonts w:hint="eastAsia" w:ascii="宋体" w:hAnsi="宋体"/>
                <w:sz w:val="24"/>
                <w:szCs w:val="24"/>
                <w:highlight w:val="none"/>
                <w:u w:val="single"/>
              </w:rPr>
              <w:t>020-8329305</w:t>
            </w:r>
            <w:r>
              <w:rPr>
                <w:rFonts w:hint="eastAsia" w:ascii="宋体" w:hAnsi="宋体"/>
                <w:sz w:val="24"/>
                <w:szCs w:val="24"/>
                <w:highlight w:val="none"/>
                <w:u w:val="single"/>
                <w:lang w:val="en-US" w:eastAsia="zh-CN"/>
              </w:rPr>
              <w:t>2</w:t>
            </w:r>
          </w:p>
        </w:tc>
        <w:tc>
          <w:tcPr>
            <w:tcW w:w="5237" w:type="dxa"/>
          </w:tcPr>
          <w:p>
            <w:pPr>
              <w:spacing w:line="360" w:lineRule="auto"/>
              <w:rPr>
                <w:rFonts w:ascii="宋体" w:hAnsi="宋体" w:cs="宋体"/>
                <w:sz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020-85262454-859</w:t>
            </w:r>
          </w:p>
        </w:tc>
      </w:tr>
      <w:tr>
        <w:tblPrEx>
          <w:tblCellMar>
            <w:top w:w="0" w:type="dxa"/>
            <w:left w:w="108" w:type="dxa"/>
            <w:bottom w:w="0" w:type="dxa"/>
            <w:right w:w="108" w:type="dxa"/>
          </w:tblCellMar>
        </w:tblPrEx>
        <w:trPr>
          <w:trHeight w:val="525" w:hRule="atLeast"/>
          <w:jc w:val="center"/>
        </w:trPr>
        <w:tc>
          <w:tcPr>
            <w:tcW w:w="5212" w:type="dxa"/>
          </w:tcPr>
          <w:p>
            <w:pPr>
              <w:spacing w:line="360" w:lineRule="auto"/>
              <w:rPr>
                <w:rFonts w:ascii="宋体" w:hAnsi="宋体" w:cs="宋体"/>
                <w:sz w:val="24"/>
                <w:highlight w:val="none"/>
              </w:rPr>
            </w:pPr>
            <w:r>
              <w:rPr>
                <w:rFonts w:hint="eastAsia" w:ascii="宋体" w:hAnsi="宋体" w:cs="宋体"/>
                <w:sz w:val="24"/>
                <w:szCs w:val="24"/>
                <w:highlight w:val="none"/>
              </w:rPr>
              <w:t>电子邮件：/</w:t>
            </w:r>
          </w:p>
        </w:tc>
        <w:tc>
          <w:tcPr>
            <w:tcW w:w="5237" w:type="dxa"/>
          </w:tcPr>
          <w:p>
            <w:pPr>
              <w:spacing w:line="360" w:lineRule="auto"/>
              <w:rPr>
                <w:rFonts w:ascii="宋体" w:hAnsi="宋体" w:cs="宋体"/>
                <w:sz w:val="24"/>
                <w:highlight w:val="none"/>
              </w:rPr>
            </w:pPr>
            <w:r>
              <w:rPr>
                <w:rFonts w:hint="eastAsia" w:ascii="宋体" w:hAnsi="宋体" w:cs="宋体"/>
                <w:sz w:val="24"/>
                <w:szCs w:val="24"/>
                <w:highlight w:val="none"/>
              </w:rPr>
              <w:t>电子邮件：</w:t>
            </w:r>
            <w:r>
              <w:rPr>
                <w:rFonts w:hint="eastAsia" w:ascii="宋体" w:hAnsi="宋体" w:cs="宋体"/>
                <w:sz w:val="24"/>
                <w:szCs w:val="24"/>
                <w:highlight w:val="none"/>
                <w:u w:val="single"/>
              </w:rPr>
              <w:t>guangzhougude@</w:t>
            </w:r>
            <w:r>
              <w:rPr>
                <w:rFonts w:hint="eastAsia" w:ascii="宋体" w:hAnsi="宋体" w:cs="宋体"/>
                <w:sz w:val="24"/>
                <w:szCs w:val="24"/>
                <w:highlight w:val="none"/>
                <w:u w:val="single"/>
                <w:lang w:val="en-US" w:eastAsia="zh-CN"/>
              </w:rPr>
              <w:t>163</w:t>
            </w:r>
            <w:r>
              <w:rPr>
                <w:rFonts w:hint="eastAsia" w:ascii="宋体" w:hAnsi="宋体" w:cs="宋体"/>
                <w:sz w:val="24"/>
                <w:szCs w:val="24"/>
                <w:highlight w:val="none"/>
                <w:u w:val="single"/>
              </w:rPr>
              <w:t xml:space="preserve">.com </w:t>
            </w:r>
          </w:p>
        </w:tc>
      </w:tr>
    </w:tbl>
    <w:p>
      <w:pPr>
        <w:widowControl/>
        <w:snapToGrid w:val="0"/>
        <w:spacing w:line="360" w:lineRule="auto"/>
        <w:jc w:val="left"/>
        <w:rPr>
          <w:rFonts w:ascii="宋体" w:hAnsi="宋体" w:cs="宋体"/>
          <w:b/>
          <w:bCs/>
          <w:kern w:val="0"/>
          <w:sz w:val="24"/>
          <w:highlight w:val="none"/>
          <w:shd w:val="clear" w:color="auto" w:fill="FFFFFF"/>
        </w:rPr>
      </w:pPr>
    </w:p>
    <w:p>
      <w:pPr>
        <w:widowControl/>
        <w:snapToGrid w:val="0"/>
        <w:spacing w:line="360" w:lineRule="auto"/>
        <w:jc w:val="left"/>
        <w:rPr>
          <w:rFonts w:hint="eastAsia" w:ascii="宋体" w:hAnsi="宋体" w:cs="宋体"/>
          <w:b/>
          <w:bCs/>
          <w:kern w:val="0"/>
          <w:sz w:val="21"/>
          <w:szCs w:val="21"/>
          <w:highlight w:val="none"/>
          <w:shd w:val="clear" w:color="auto" w:fill="FFFFFF"/>
        </w:rPr>
      </w:pPr>
    </w:p>
    <w:p>
      <w:pPr>
        <w:widowControl/>
        <w:tabs>
          <w:tab w:val="left" w:pos="760"/>
        </w:tabs>
        <w:snapToGrid/>
        <w:spacing w:line="360" w:lineRule="auto"/>
        <w:jc w:val="left"/>
        <w:rPr>
          <w:rFonts w:hint="eastAsia" w:ascii="黑体" w:hAnsi="黑体" w:eastAsia="黑体" w:cs="Times New Roman"/>
          <w:b/>
          <w:bCs w:val="0"/>
          <w:sz w:val="32"/>
          <w:szCs w:val="24"/>
          <w:highlight w:val="none"/>
          <w:shd w:val="clear" w:color="auto" w:fill="auto"/>
        </w:rPr>
      </w:pPr>
      <w:r>
        <w:rPr>
          <w:rFonts w:hint="eastAsia" w:ascii="黑体" w:hAnsi="黑体" w:eastAsia="黑体" w:cs="Times New Roman"/>
          <w:b/>
          <w:bCs w:val="0"/>
          <w:kern w:val="2"/>
          <w:sz w:val="32"/>
          <w:szCs w:val="24"/>
          <w:highlight w:val="none"/>
          <w:shd w:val="clear" w:color="auto" w:fill="auto"/>
        </w:rPr>
        <w:t>8.潜在投标人或利害关系人对本招标公告及招标文件内容异议的，向招标人书面提出。</w:t>
      </w:r>
    </w:p>
    <w:p>
      <w:pPr>
        <w:spacing w:line="360" w:lineRule="auto"/>
        <w:rPr>
          <w:rFonts w:hint="eastAsia" w:ascii="宋体" w:hAnsi="宋体" w:cs="宋体"/>
          <w:sz w:val="24"/>
          <w:highlight w:val="none"/>
        </w:rPr>
      </w:pPr>
      <w:r>
        <w:rPr>
          <w:rFonts w:hint="eastAsia" w:ascii="宋体" w:hAnsi="宋体" w:cs="宋体"/>
          <w:sz w:val="24"/>
          <w:highlight w:val="none"/>
        </w:rPr>
        <w:t xml:space="preserve"> </w:t>
      </w:r>
    </w:p>
    <w:p>
      <w:pPr>
        <w:pStyle w:val="13"/>
        <w:rPr>
          <w:highlight w:val="none"/>
        </w:rPr>
      </w:pPr>
    </w:p>
    <w:p>
      <w:pPr>
        <w:spacing w:line="360" w:lineRule="auto"/>
        <w:ind w:firstLine="360" w:firstLineChars="150"/>
        <w:rPr>
          <w:rFonts w:ascii="宋体" w:hAnsi="宋体" w:cs="宋体"/>
          <w:sz w:val="24"/>
          <w:highlight w:val="none"/>
          <w:u w:val="single"/>
        </w:rPr>
      </w:pPr>
      <w:r>
        <w:rPr>
          <w:rFonts w:hint="eastAsia" w:ascii="宋体" w:hAnsi="宋体" w:cs="宋体"/>
          <w:sz w:val="24"/>
          <w:highlight w:val="none"/>
          <w:u w:val="single"/>
        </w:rPr>
        <w:t>异议受理部门：</w:t>
      </w:r>
      <w:r>
        <w:rPr>
          <w:rFonts w:hint="eastAsia" w:ascii="宋体" w:hAnsi="宋体"/>
          <w:sz w:val="24"/>
          <w:szCs w:val="24"/>
          <w:highlight w:val="none"/>
          <w:u w:val="single"/>
        </w:rPr>
        <w:t>广州市中心区交通项目管理中心</w:t>
      </w:r>
      <w:r>
        <w:rPr>
          <w:rFonts w:hint="eastAsia" w:ascii="宋体" w:hAnsi="宋体" w:cs="宋体"/>
          <w:sz w:val="24"/>
          <w:highlight w:val="none"/>
          <w:u w:val="single"/>
        </w:rPr>
        <w:t xml:space="preserve"> </w:t>
      </w:r>
    </w:p>
    <w:p>
      <w:pPr>
        <w:spacing w:line="360" w:lineRule="auto"/>
        <w:ind w:firstLine="360" w:firstLineChars="150"/>
        <w:rPr>
          <w:rFonts w:ascii="宋体" w:hAnsi="宋体" w:cs="宋体"/>
          <w:sz w:val="24"/>
          <w:highlight w:val="none"/>
          <w:u w:val="single"/>
        </w:rPr>
      </w:pPr>
      <w:r>
        <w:rPr>
          <w:rFonts w:hint="eastAsia" w:ascii="宋体" w:hAnsi="宋体" w:cs="宋体"/>
          <w:sz w:val="24"/>
          <w:highlight w:val="none"/>
          <w:u w:val="single"/>
        </w:rPr>
        <w:t>地址：</w:t>
      </w:r>
      <w:r>
        <w:rPr>
          <w:rFonts w:hint="eastAsia" w:ascii="宋体" w:hAnsi="宋体" w:cs="宋体"/>
          <w:snapToGrid w:val="0"/>
          <w:kern w:val="0"/>
          <w:sz w:val="24"/>
          <w:szCs w:val="24"/>
          <w:highlight w:val="none"/>
          <w:u w:val="single"/>
        </w:rPr>
        <w:t>广州市越秀区东风中路318号15-16楼</w:t>
      </w:r>
    </w:p>
    <w:p>
      <w:pPr>
        <w:spacing w:line="360" w:lineRule="auto"/>
        <w:ind w:firstLine="360" w:firstLineChars="150"/>
        <w:rPr>
          <w:rFonts w:hint="eastAsia" w:ascii="宋体" w:hAnsi="宋体" w:eastAsia="宋体" w:cs="宋体"/>
          <w:sz w:val="24"/>
          <w:highlight w:val="none"/>
          <w:u w:val="single"/>
          <w:lang w:val="en-US" w:eastAsia="zh-CN"/>
        </w:rPr>
      </w:pPr>
      <w:r>
        <w:rPr>
          <w:rFonts w:hint="eastAsia" w:ascii="宋体" w:hAnsi="宋体" w:cs="宋体"/>
          <w:sz w:val="24"/>
          <w:highlight w:val="none"/>
          <w:u w:val="single"/>
        </w:rPr>
        <w:t>电话：</w:t>
      </w:r>
      <w:r>
        <w:rPr>
          <w:rFonts w:hint="eastAsia" w:ascii="宋体" w:hAnsi="宋体"/>
          <w:sz w:val="24"/>
          <w:szCs w:val="24"/>
          <w:highlight w:val="none"/>
          <w:u w:val="single"/>
        </w:rPr>
        <w:t>020-8329305</w:t>
      </w:r>
      <w:r>
        <w:rPr>
          <w:rFonts w:hint="eastAsia" w:ascii="宋体" w:hAnsi="宋体"/>
          <w:sz w:val="24"/>
          <w:szCs w:val="24"/>
          <w:highlight w:val="none"/>
          <w:u w:val="single"/>
          <w:lang w:val="en-US" w:eastAsia="zh-CN"/>
        </w:rPr>
        <w:t>2</w:t>
      </w:r>
    </w:p>
    <w:p>
      <w:pPr>
        <w:widowControl/>
        <w:snapToGrid w:val="0"/>
        <w:spacing w:line="360" w:lineRule="auto"/>
        <w:ind w:firstLine="360" w:firstLineChars="150"/>
        <w:jc w:val="left"/>
        <w:rPr>
          <w:rFonts w:ascii="宋体" w:hAnsi="宋体" w:cs="宋体"/>
          <w:sz w:val="24"/>
          <w:highlight w:val="none"/>
          <w:u w:val="single"/>
        </w:rPr>
      </w:pPr>
    </w:p>
    <w:p>
      <w:pPr>
        <w:spacing w:before="156" w:beforeLines="50" w:line="360" w:lineRule="auto"/>
        <w:ind w:firstLine="360" w:firstLineChars="150"/>
        <w:rPr>
          <w:rFonts w:ascii="宋体" w:hAnsi="宋体"/>
          <w:sz w:val="24"/>
          <w:highlight w:val="none"/>
          <w:u w:val="single"/>
        </w:rPr>
      </w:pPr>
      <w:r>
        <w:rPr>
          <w:rFonts w:hint="eastAsia" w:ascii="宋体" w:hAnsi="宋体"/>
          <w:sz w:val="24"/>
          <w:highlight w:val="none"/>
          <w:u w:val="single"/>
        </w:rPr>
        <w:t>招标监督机构：广州市交通运输局建设管理处</w:t>
      </w:r>
    </w:p>
    <w:p>
      <w:pPr>
        <w:spacing w:line="360" w:lineRule="auto"/>
        <w:ind w:firstLine="360" w:firstLineChars="150"/>
        <w:rPr>
          <w:rFonts w:ascii="宋体" w:hAnsi="宋体"/>
          <w:sz w:val="24"/>
          <w:highlight w:val="none"/>
          <w:u w:val="single"/>
        </w:rPr>
      </w:pPr>
      <w:r>
        <w:rPr>
          <w:rFonts w:hint="eastAsia" w:ascii="宋体" w:hAnsi="宋体"/>
          <w:sz w:val="24"/>
          <w:highlight w:val="none"/>
          <w:u w:val="single"/>
        </w:rPr>
        <w:t>监督电话：020-38180053</w:t>
      </w:r>
    </w:p>
    <w:p>
      <w:pPr>
        <w:spacing w:line="360" w:lineRule="auto"/>
        <w:ind w:firstLine="360" w:firstLineChars="150"/>
        <w:rPr>
          <w:rFonts w:ascii="宋体" w:hAnsi="宋体"/>
          <w:sz w:val="24"/>
          <w:szCs w:val="24"/>
          <w:highlight w:val="none"/>
        </w:rPr>
      </w:pPr>
      <w:r>
        <w:rPr>
          <w:rFonts w:hint="eastAsia" w:ascii="宋体" w:hAnsi="宋体"/>
          <w:sz w:val="24"/>
          <w:highlight w:val="none"/>
          <w:u w:val="single"/>
        </w:rPr>
        <w:t>地址：广州市天河南二路1号17楼（建设管理处）</w:t>
      </w:r>
    </w:p>
    <w:p>
      <w:pPr>
        <w:spacing w:line="360" w:lineRule="auto"/>
        <w:rPr>
          <w:rFonts w:ascii="宋体" w:hAnsi="宋体"/>
          <w:szCs w:val="21"/>
          <w:highlight w:val="none"/>
        </w:rPr>
      </w:pPr>
      <w:r>
        <w:rPr>
          <w:rFonts w:ascii="宋体" w:hAnsi="宋体"/>
          <w:szCs w:val="21"/>
          <w:highlight w:val="none"/>
        </w:rPr>
        <w:br w:type="page"/>
      </w: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一</w:t>
      </w:r>
      <w:r>
        <w:rPr>
          <w:rFonts w:hint="eastAsia" w:ascii="宋体" w:hAnsi="宋体" w:cs="宋体"/>
          <w:color w:val="auto"/>
          <w:kern w:val="0"/>
          <w:sz w:val="24"/>
          <w:szCs w:val="24"/>
          <w:highlight w:val="none"/>
        </w:rPr>
        <w:t>：</w:t>
      </w:r>
    </w:p>
    <w:p>
      <w:pPr>
        <w:shd w:val="clear" w:color="auto" w:fill="FFFFFF"/>
        <w:spacing w:line="360" w:lineRule="auto"/>
        <w:jc w:val="center"/>
        <w:rPr>
          <w:rFonts w:ascii="宋体" w:hAnsi="宋体"/>
          <w:b/>
          <w:bCs/>
          <w:sz w:val="32"/>
          <w:szCs w:val="28"/>
          <w:highlight w:val="none"/>
        </w:rPr>
      </w:pPr>
      <w:r>
        <w:rPr>
          <w:rFonts w:hint="eastAsia" w:ascii="宋体" w:hAnsi="宋体"/>
          <w:b/>
          <w:bCs/>
          <w:sz w:val="32"/>
          <w:szCs w:val="28"/>
          <w:highlight w:val="none"/>
        </w:rPr>
        <w:t>投标人声明</w:t>
      </w:r>
    </w:p>
    <w:p>
      <w:pPr>
        <w:pStyle w:val="21"/>
        <w:spacing w:before="156" w:beforeLines="50"/>
        <w:ind w:firstLine="567"/>
        <w:jc w:val="left"/>
        <w:rPr>
          <w:rFonts w:ascii="Times New Roman" w:hAnsi="Times New Roman" w:eastAsia="宋体" w:cs="Times New Roman"/>
          <w:color w:val="auto"/>
          <w:sz w:val="24"/>
          <w:szCs w:val="24"/>
          <w:highlight w:val="none"/>
        </w:rPr>
      </w:pPr>
      <w:r>
        <w:rPr>
          <w:rFonts w:hint="eastAsia" w:ascii="宋体" w:hAnsi="宋体" w:eastAsia="宋体"/>
          <w:color w:val="auto"/>
          <w:sz w:val="24"/>
          <w:szCs w:val="24"/>
          <w:highlight w:val="none"/>
        </w:rPr>
        <w:t>本招标项目招标人及招标监管机构：</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Times New Roman" w:hAnsi="Times New Roman"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四、本公司不存在招标文件第二章投标人须知第1.4.3项所规定的任何一种情形。</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六、本公司及其有隶属关系的机构，没有参加本招标项目招标文件的编写工作；本公司与本次招标的招标代理机构没有隶属关系或其他利害关系；本公司与本工程的承包单位以及建筑材料、建筑构配件和设备供应单位没有隶属关系或其他利害关系。</w:t>
      </w:r>
    </w:p>
    <w:p>
      <w:pPr>
        <w:pStyle w:val="21"/>
        <w:ind w:firstLine="567"/>
        <w:jc w:val="left"/>
        <w:rPr>
          <w:rFonts w:ascii="Times New Roman" w:hAnsi="Times New Roman" w:eastAsia="宋体"/>
          <w:b/>
          <w:bCs/>
          <w:color w:val="auto"/>
          <w:sz w:val="24"/>
          <w:szCs w:val="24"/>
          <w:highlight w:val="none"/>
        </w:rPr>
      </w:pPr>
      <w:r>
        <w:rPr>
          <w:rFonts w:hint="eastAsia" w:ascii="宋体" w:hAnsi="宋体" w:eastAsia="宋体"/>
          <w:b/>
          <w:bCs/>
          <w:color w:val="auto"/>
          <w:sz w:val="24"/>
          <w:szCs w:val="24"/>
          <w:highlight w:val="none"/>
        </w:rPr>
        <w:t>七、与本公司单位负责人为同一人或者与本公司存在控股、管理关系的其他单位包括</w:t>
      </w:r>
      <w:r>
        <w:rPr>
          <w:rFonts w:hint="eastAsia" w:ascii="Times New Roman" w:hAnsi="Times New Roman" w:eastAsia="宋体"/>
          <w:b/>
          <w:bCs/>
          <w:color w:val="auto"/>
          <w:sz w:val="24"/>
          <w:szCs w:val="24"/>
          <w:highlight w:val="none"/>
          <w:u w:val="single"/>
        </w:rPr>
        <w:t xml:space="preserve">                </w:t>
      </w:r>
      <w:r>
        <w:rPr>
          <w:rFonts w:hint="eastAsia" w:ascii="宋体" w:hAnsi="宋体" w:eastAsia="宋体"/>
          <w:b/>
          <w:bCs/>
          <w:color w:val="auto"/>
          <w:sz w:val="24"/>
          <w:szCs w:val="24"/>
          <w:highlight w:val="none"/>
        </w:rPr>
        <w:t>。（注：本条由投标人如实填写，如有，应列出全部满足招标公告资质要求的相关单位的名称；如无，则填写</w:t>
      </w:r>
      <w:r>
        <w:rPr>
          <w:rFonts w:hint="eastAsia" w:ascii="Times New Roman" w:hAnsi="Times New Roman" w:eastAsia="宋体"/>
          <w:b/>
          <w:bCs/>
          <w:color w:val="auto"/>
          <w:sz w:val="24"/>
          <w:szCs w:val="24"/>
          <w:highlight w:val="none"/>
        </w:rPr>
        <w:t>“无”。）</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八、本公司承诺，中标后严格执行安全生产相关管理规定。</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九、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本公司违反上述承诺，或本声明陈述与事实不符，经查实，本公司愿意接受公开通报，愿意按照《广州市建筑市场信用管理办法》（穗建规字﹝20</w:t>
      </w:r>
      <w:r>
        <w:rPr>
          <w:rFonts w:hint="eastAsia" w:ascii="宋体" w:hAnsi="宋体" w:eastAsia="宋体"/>
          <w:color w:val="auto"/>
          <w:sz w:val="24"/>
          <w:szCs w:val="24"/>
          <w:highlight w:val="none"/>
          <w:lang w:val="en-US" w:eastAsia="zh-CN"/>
        </w:rPr>
        <w:t>19</w:t>
      </w:r>
      <w:r>
        <w:rPr>
          <w:rFonts w:hint="eastAsia" w:ascii="宋体" w:hAnsi="宋体" w:eastAsia="宋体"/>
          <w:color w:val="auto"/>
          <w:sz w:val="24"/>
          <w:szCs w:val="24"/>
          <w:highlight w:val="none"/>
        </w:rPr>
        <w:t>﹞16号）的规定被记录为失信信息，承担由此带来的法律后果，并自愿停止参加广州市行政辖区内的招标投标活动三个月。</w:t>
      </w:r>
    </w:p>
    <w:p>
      <w:pPr>
        <w:pStyle w:val="21"/>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特此声明。</w:t>
      </w:r>
    </w:p>
    <w:p>
      <w:pPr>
        <w:pStyle w:val="21"/>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1"/>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1"/>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1"/>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1"/>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声明企业：            (企业公章)</w:t>
      </w:r>
    </w:p>
    <w:p>
      <w:pPr>
        <w:pStyle w:val="21"/>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项目负责人：         （签字）</w:t>
      </w:r>
    </w:p>
    <w:p>
      <w:pPr>
        <w:pStyle w:val="21"/>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w:t>
      </w:r>
    </w:p>
    <w:p>
      <w:pPr>
        <w:pStyle w:val="21"/>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   月   日</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1"/>
        <w:spacing w:line="440" w:lineRule="exact"/>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附件二：（参考格式）</w:t>
      </w:r>
    </w:p>
    <w:p>
      <w:pPr>
        <w:spacing w:line="500" w:lineRule="exact"/>
        <w:jc w:val="center"/>
        <w:rPr>
          <w:rFonts w:ascii="宋体" w:hAnsi="宋体"/>
          <w:b/>
          <w:color w:val="auto"/>
          <w:kern w:val="0"/>
          <w:sz w:val="44"/>
          <w:szCs w:val="44"/>
          <w:highlight w:val="none"/>
        </w:rPr>
      </w:pPr>
      <w:r>
        <w:rPr>
          <w:rFonts w:hint="eastAsia" w:ascii="宋体" w:hAnsi="宋体"/>
          <w:b/>
          <w:color w:val="auto"/>
          <w:kern w:val="0"/>
          <w:sz w:val="44"/>
          <w:szCs w:val="44"/>
          <w:highlight w:val="none"/>
        </w:rPr>
        <w:t>联合体协议</w:t>
      </w:r>
    </w:p>
    <w:p>
      <w:pPr>
        <w:pStyle w:val="21"/>
        <w:spacing w:line="440" w:lineRule="exact"/>
        <w:jc w:val="left"/>
        <w:rPr>
          <w:rFonts w:ascii="宋体" w:hAnsi="宋体" w:eastAsia="宋体" w:cs="宋体"/>
          <w:color w:val="auto"/>
          <w:sz w:val="24"/>
          <w:szCs w:val="24"/>
          <w:highlight w:val="none"/>
        </w:rPr>
      </w:pPr>
    </w:p>
    <w:p>
      <w:pPr>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（所有成员单位名称）自愿组成联合体，共同参加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（项目名称）招标项目投标。现就联合体投标事宜订立如下协议。</w:t>
      </w:r>
    </w:p>
    <w:p>
      <w:pPr>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（某成员单位名称）为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（联合体名称）主办方。</w:t>
      </w:r>
    </w:p>
    <w:p>
      <w:pPr>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pPr>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3.联合体主办方在本项目中签署的一切文件和处理的一切事宜，联合体各成员均予以承认。联合体各成员将严格按照招标文件、投标文件和合同的要求全面履行义务，并向招标人承担连带责任。</w:t>
      </w:r>
    </w:p>
    <w:p>
      <w:pPr>
        <w:snapToGrid w:val="0"/>
        <w:spacing w:line="40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4.联合体各成员单位内部的职责分工如下：</w:t>
      </w:r>
    </w:p>
    <w:p>
      <w:pPr>
        <w:topLinePunct/>
        <w:spacing w:line="4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①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：为整个项目的主办方，具体负责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 xml:space="preserve"> 任务</w:t>
      </w:r>
      <w:r>
        <w:rPr>
          <w:rFonts w:hint="eastAsia" w:ascii="宋体" w:hAnsi="宋体" w:cs="宋体"/>
          <w:color w:val="auto"/>
          <w:sz w:val="24"/>
          <w:szCs w:val="24"/>
          <w:highlight w:val="none"/>
        </w:rPr>
        <w:t>，还负责管理的职责。若联合体成员方违约时，主办方应承担连带责任，具体按合同要求。</w:t>
      </w:r>
    </w:p>
    <w:p>
      <w:pPr>
        <w:topLinePunct/>
        <w:spacing w:line="4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②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：为整个项目的成员方，具体负责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 xml:space="preserve">  任务</w:t>
      </w:r>
      <w:r>
        <w:rPr>
          <w:rFonts w:hint="eastAsia" w:ascii="宋体" w:hAnsi="宋体" w:cs="宋体"/>
          <w:color w:val="auto"/>
          <w:sz w:val="24"/>
          <w:szCs w:val="24"/>
          <w:highlight w:val="none"/>
        </w:rPr>
        <w:t>，具体按合同要求。</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5.本协议书自所有成员单位法定代表人签字或盖单位章之日起生效，合同履行完毕后自动失效。</w:t>
      </w:r>
    </w:p>
    <w:p>
      <w:pPr>
        <w:snapToGrid w:val="0"/>
        <w:spacing w:line="400" w:lineRule="exact"/>
        <w:ind w:firstLine="480" w:firstLineChars="200"/>
        <w:jc w:val="left"/>
        <w:rPr>
          <w:rFonts w:hint="eastAsia" w:ascii="宋体" w:hAnsi="宋体"/>
          <w:color w:val="auto"/>
          <w:sz w:val="24"/>
          <w:szCs w:val="24"/>
          <w:highlight w:val="none"/>
        </w:rPr>
      </w:pPr>
    </w:p>
    <w:p>
      <w:pPr>
        <w:snapToGrid w:val="0"/>
        <w:spacing w:line="400" w:lineRule="exact"/>
        <w:ind w:firstLine="3158" w:firstLineChars="1316"/>
        <w:jc w:val="left"/>
        <w:rPr>
          <w:rFonts w:hint="eastAsia" w:ascii="宋体" w:hAnsi="宋体"/>
          <w:color w:val="auto"/>
          <w:sz w:val="24"/>
          <w:szCs w:val="24"/>
          <w:highlight w:val="none"/>
        </w:rPr>
      </w:pPr>
      <w:r>
        <w:rPr>
          <w:rFonts w:hint="eastAsia" w:ascii="宋体" w:hAnsi="宋体"/>
          <w:color w:val="auto"/>
          <w:sz w:val="24"/>
          <w:szCs w:val="24"/>
          <w:highlight w:val="none"/>
        </w:rPr>
        <w:t>联合体主办方名称：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hint="eastAsia" w:ascii="宋体" w:hAnsi="宋体"/>
          <w:color w:val="auto"/>
          <w:sz w:val="24"/>
          <w:szCs w:val="24"/>
          <w:highlight w:val="none"/>
        </w:rPr>
      </w:pPr>
      <w:r>
        <w:rPr>
          <w:rFonts w:hint="eastAsia" w:ascii="宋体" w:hAnsi="宋体"/>
          <w:color w:val="auto"/>
          <w:sz w:val="24"/>
          <w:szCs w:val="24"/>
          <w:highlight w:val="none"/>
        </w:rPr>
        <w:t>联合体成员名称：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hint="eastAsia" w:ascii="宋体" w:hAnsi="宋体"/>
          <w:color w:val="auto"/>
          <w:sz w:val="24"/>
          <w:szCs w:val="24"/>
          <w:highlight w:val="none"/>
        </w:rPr>
      </w:pPr>
    </w:p>
    <w:p>
      <w:pPr>
        <w:snapToGrid w:val="0"/>
        <w:spacing w:line="400" w:lineRule="exact"/>
        <w:ind w:firstLine="3158" w:firstLineChars="1316"/>
        <w:jc w:val="left"/>
        <w:rPr>
          <w:rFonts w:hint="eastAsia"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napToGrid w:val="0"/>
        <w:spacing w:line="400" w:lineRule="exact"/>
        <w:jc w:val="left"/>
        <w:rPr>
          <w:rFonts w:hint="eastAsia" w:ascii="宋体" w:hAnsi="宋体" w:cs="宋体"/>
          <w:b/>
          <w:bCs/>
          <w:color w:val="auto"/>
          <w:szCs w:val="21"/>
          <w:highlight w:val="none"/>
          <w:u w:val="single"/>
          <w:lang w:val="zh-CN"/>
        </w:rPr>
      </w:pPr>
    </w:p>
    <w:p>
      <w:pPr>
        <w:spacing w:line="400" w:lineRule="exact"/>
        <w:rPr>
          <w:highlight w:val="none"/>
        </w:rPr>
      </w:pPr>
      <w:r>
        <w:rPr>
          <w:rFonts w:hint="eastAsia" w:ascii="宋体" w:hAnsi="宋体" w:cs="宋体"/>
          <w:b/>
          <w:bCs/>
          <w:color w:val="auto"/>
          <w:szCs w:val="21"/>
          <w:highlight w:val="none"/>
          <w:lang w:val="zh-CN"/>
        </w:rPr>
        <w:t>注：非联合体投标的，无需提交本协议书。</w:t>
      </w:r>
    </w:p>
    <w:p>
      <w:pPr>
        <w:pStyle w:val="2"/>
        <w:rPr>
          <w:highlight w:val="none"/>
        </w:rPr>
      </w:pPr>
    </w:p>
    <w:sectPr>
      <w:footerReference r:id="rId5" w:type="first"/>
      <w:footerReference r:id="rId4" w:type="default"/>
      <w:pgSz w:w="11906" w:h="16838"/>
      <w:pgMar w:top="1440" w:right="1800"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75226A8C"/>
    <w:multiLevelType w:val="singleLevel"/>
    <w:tmpl w:val="75226A8C"/>
    <w:lvl w:ilvl="0" w:tentative="0">
      <w:start w:val="2"/>
      <w:numFmt w:val="decimal"/>
      <w:suff w:val="nothing"/>
      <w:lvlText w:val="（%1）"/>
      <w:lvlJc w:val="left"/>
    </w:lvl>
  </w:abstractNum>
  <w:num w:numId="1">
    <w:abstractNumId w:val="0"/>
    <w:lvlOverride w:ilvl="0">
      <w:startOverride w:val="1"/>
    </w:lvlOverride>
  </w:num>
  <w:num w:numId="2">
    <w:abstractNumId w:val="1"/>
    <w:lvlOverride w:ilvl="0">
      <w:startOverride w:val="2"/>
    </w:lvlOverride>
  </w:num>
  <w:num w:numId="3">
    <w:abstractNumId w:val="2"/>
    <w:lvlOverride w:ilvl="0">
      <w:startOverride w:val="3"/>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C4"/>
    <w:rsid w:val="000C0FFC"/>
    <w:rsid w:val="000F4262"/>
    <w:rsid w:val="0027111C"/>
    <w:rsid w:val="002D39D8"/>
    <w:rsid w:val="002F5879"/>
    <w:rsid w:val="002F7CA4"/>
    <w:rsid w:val="004835EA"/>
    <w:rsid w:val="00565C2D"/>
    <w:rsid w:val="006E4CFC"/>
    <w:rsid w:val="00724BAC"/>
    <w:rsid w:val="007A58D6"/>
    <w:rsid w:val="0086316B"/>
    <w:rsid w:val="00874C98"/>
    <w:rsid w:val="009C77AE"/>
    <w:rsid w:val="00AE5FC2"/>
    <w:rsid w:val="00B468CD"/>
    <w:rsid w:val="00B61EE7"/>
    <w:rsid w:val="00B64AD6"/>
    <w:rsid w:val="00B90B29"/>
    <w:rsid w:val="00C00EBD"/>
    <w:rsid w:val="00C21656"/>
    <w:rsid w:val="00C24CC6"/>
    <w:rsid w:val="00C37E28"/>
    <w:rsid w:val="00CC7E04"/>
    <w:rsid w:val="00D97554"/>
    <w:rsid w:val="00ED5FC4"/>
    <w:rsid w:val="00F1161D"/>
    <w:rsid w:val="00F14AA9"/>
    <w:rsid w:val="00F74513"/>
    <w:rsid w:val="00F86C4D"/>
    <w:rsid w:val="00F875E7"/>
    <w:rsid w:val="0B7C4779"/>
    <w:rsid w:val="0CE2200C"/>
    <w:rsid w:val="144D01F7"/>
    <w:rsid w:val="160D6E9D"/>
    <w:rsid w:val="177A2BCC"/>
    <w:rsid w:val="179F0BB9"/>
    <w:rsid w:val="1B224902"/>
    <w:rsid w:val="1B82626C"/>
    <w:rsid w:val="206F5F60"/>
    <w:rsid w:val="20D651A5"/>
    <w:rsid w:val="240E2F32"/>
    <w:rsid w:val="24A22A46"/>
    <w:rsid w:val="25502A72"/>
    <w:rsid w:val="265E1B4E"/>
    <w:rsid w:val="27DF22B7"/>
    <w:rsid w:val="27FE7C9C"/>
    <w:rsid w:val="2A457233"/>
    <w:rsid w:val="2B77735A"/>
    <w:rsid w:val="2BC929C8"/>
    <w:rsid w:val="2E757A74"/>
    <w:rsid w:val="30163145"/>
    <w:rsid w:val="302A69C4"/>
    <w:rsid w:val="3422645B"/>
    <w:rsid w:val="36A8019D"/>
    <w:rsid w:val="3AD77F22"/>
    <w:rsid w:val="3AF90D0A"/>
    <w:rsid w:val="3DDF346A"/>
    <w:rsid w:val="3E7D4D05"/>
    <w:rsid w:val="41522A51"/>
    <w:rsid w:val="42372387"/>
    <w:rsid w:val="450A1A5F"/>
    <w:rsid w:val="46CF373C"/>
    <w:rsid w:val="48332454"/>
    <w:rsid w:val="49DD384B"/>
    <w:rsid w:val="4A882321"/>
    <w:rsid w:val="4BC35BF1"/>
    <w:rsid w:val="4C7A54DF"/>
    <w:rsid w:val="4E704A57"/>
    <w:rsid w:val="4FAB7DC9"/>
    <w:rsid w:val="507E4AFC"/>
    <w:rsid w:val="50812A67"/>
    <w:rsid w:val="551929C6"/>
    <w:rsid w:val="58F94145"/>
    <w:rsid w:val="5D8A58E2"/>
    <w:rsid w:val="605F2D4C"/>
    <w:rsid w:val="63652A38"/>
    <w:rsid w:val="64674BCA"/>
    <w:rsid w:val="676579F9"/>
    <w:rsid w:val="679219FC"/>
    <w:rsid w:val="699D3AFC"/>
    <w:rsid w:val="6B1F583B"/>
    <w:rsid w:val="6DB9259D"/>
    <w:rsid w:val="749743A2"/>
    <w:rsid w:val="74C7299E"/>
    <w:rsid w:val="75305D20"/>
    <w:rsid w:val="755F5A83"/>
    <w:rsid w:val="77D061FB"/>
    <w:rsid w:val="7C425CEF"/>
    <w:rsid w:val="7DDF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4"/>
    <w:qFormat/>
    <w:uiPriority w:val="0"/>
    <w:pPr>
      <w:keepNext/>
      <w:keepLines/>
      <w:spacing w:before="260" w:after="260" w:line="412" w:lineRule="auto"/>
      <w:outlineLvl w:val="1"/>
    </w:pPr>
    <w:rPr>
      <w:rFonts w:ascii="Arial" w:hAnsi="Arial" w:eastAsia="黑体"/>
      <w:b/>
      <w:sz w:val="32"/>
      <w:szCs w:val="20"/>
    </w:rPr>
  </w:style>
  <w:style w:type="paragraph" w:styleId="2">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w:basedOn w:val="1"/>
    <w:next w:val="1"/>
    <w:link w:val="22"/>
    <w:semiHidden/>
    <w:unhideWhenUsed/>
    <w:qFormat/>
    <w:uiPriority w:val="99"/>
    <w:pPr>
      <w:spacing w:after="120"/>
    </w:pPr>
  </w:style>
  <w:style w:type="paragraph" w:styleId="6">
    <w:name w:val="Body Text Indent"/>
    <w:basedOn w:val="1"/>
    <w:link w:val="19"/>
    <w:semiHidden/>
    <w:unhideWhenUsed/>
    <w:qFormat/>
    <w:uiPriority w:val="99"/>
    <w:pPr>
      <w:spacing w:after="120"/>
      <w:ind w:left="420" w:leftChars="200"/>
    </w:p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1">
    <w:name w:val="annotation subject"/>
    <w:basedOn w:val="4"/>
    <w:next w:val="4"/>
    <w:link w:val="27"/>
    <w:semiHidden/>
    <w:unhideWhenUsed/>
    <w:qFormat/>
    <w:uiPriority w:val="99"/>
    <w:rPr>
      <w:b/>
      <w:bCs/>
    </w:rPr>
  </w:style>
  <w:style w:type="paragraph" w:styleId="12">
    <w:name w:val="Body Text First Indent"/>
    <w:basedOn w:val="5"/>
    <w:link w:val="23"/>
    <w:semiHidden/>
    <w:unhideWhenUsed/>
    <w:qFormat/>
    <w:uiPriority w:val="99"/>
    <w:pPr>
      <w:ind w:firstLine="420" w:firstLineChars="100"/>
    </w:pPr>
  </w:style>
  <w:style w:type="paragraph" w:styleId="13">
    <w:name w:val="Body Text First Indent 2"/>
    <w:basedOn w:val="6"/>
    <w:link w:val="20"/>
    <w:unhideWhenUsed/>
    <w:qFormat/>
    <w:uiPriority w:val="99"/>
    <w:pPr>
      <w:ind w:firstLine="420" w:firstLineChars="200"/>
    </w:p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正文文本缩进 Char"/>
    <w:basedOn w:val="15"/>
    <w:link w:val="6"/>
    <w:semiHidden/>
    <w:qFormat/>
    <w:uiPriority w:val="99"/>
    <w:rPr>
      <w:rFonts w:ascii="Calibri" w:hAnsi="Calibri" w:eastAsia="宋体" w:cs="Times New Roman"/>
    </w:rPr>
  </w:style>
  <w:style w:type="character" w:customStyle="1" w:styleId="20">
    <w:name w:val="正文首行缩进 2 Char"/>
    <w:basedOn w:val="19"/>
    <w:link w:val="13"/>
    <w:qFormat/>
    <w:uiPriority w:val="99"/>
    <w:rPr>
      <w:rFonts w:ascii="Calibri" w:hAnsi="Calibri" w:eastAsia="宋体" w:cs="Times New Roman"/>
    </w:rPr>
  </w:style>
  <w:style w:type="paragraph" w:customStyle="1" w:styleId="21">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character" w:customStyle="1" w:styleId="22">
    <w:name w:val="正文文本 Char"/>
    <w:basedOn w:val="15"/>
    <w:link w:val="5"/>
    <w:semiHidden/>
    <w:qFormat/>
    <w:uiPriority w:val="99"/>
    <w:rPr>
      <w:rFonts w:ascii="Calibri" w:hAnsi="Calibri" w:eastAsia="宋体" w:cs="Times New Roman"/>
    </w:rPr>
  </w:style>
  <w:style w:type="character" w:customStyle="1" w:styleId="23">
    <w:name w:val="正文首行缩进 Char"/>
    <w:basedOn w:val="22"/>
    <w:link w:val="12"/>
    <w:semiHidden/>
    <w:qFormat/>
    <w:uiPriority w:val="99"/>
    <w:rPr>
      <w:rFonts w:ascii="Calibri" w:hAnsi="Calibri" w:eastAsia="宋体" w:cs="Times New Roman"/>
    </w:rPr>
  </w:style>
  <w:style w:type="character" w:customStyle="1" w:styleId="24">
    <w:name w:val="标题 2 Char"/>
    <w:basedOn w:val="15"/>
    <w:link w:val="3"/>
    <w:qFormat/>
    <w:uiPriority w:val="0"/>
    <w:rPr>
      <w:rFonts w:ascii="Arial" w:hAnsi="Arial" w:eastAsia="黑体" w:cs="Times New Roman"/>
      <w:b/>
      <w:sz w:val="32"/>
      <w:szCs w:val="20"/>
    </w:rPr>
  </w:style>
  <w:style w:type="character" w:customStyle="1" w:styleId="25">
    <w:name w:val="批注框文本 Char"/>
    <w:basedOn w:val="15"/>
    <w:link w:val="7"/>
    <w:semiHidden/>
    <w:qFormat/>
    <w:uiPriority w:val="99"/>
    <w:rPr>
      <w:rFonts w:ascii="Calibri" w:hAnsi="Calibri" w:eastAsia="宋体" w:cs="Times New Roman"/>
      <w:sz w:val="18"/>
      <w:szCs w:val="18"/>
    </w:rPr>
  </w:style>
  <w:style w:type="character" w:customStyle="1" w:styleId="26">
    <w:name w:val="批注文字 Char"/>
    <w:basedOn w:val="15"/>
    <w:link w:val="4"/>
    <w:semiHidden/>
    <w:qFormat/>
    <w:uiPriority w:val="99"/>
    <w:rPr>
      <w:rFonts w:ascii="Calibri" w:hAnsi="Calibri" w:eastAsia="宋体" w:cs="Times New Roman"/>
    </w:rPr>
  </w:style>
  <w:style w:type="character" w:customStyle="1" w:styleId="27">
    <w:name w:val="批注主题 Char"/>
    <w:basedOn w:val="26"/>
    <w:link w:val="11"/>
    <w:semiHidden/>
    <w:qFormat/>
    <w:uiPriority w:val="99"/>
    <w:rPr>
      <w:rFonts w:ascii="Calibri" w:hAnsi="Calibri" w:eastAsia="宋体" w:cs="Times New Roman"/>
      <w:b/>
      <w:bCs/>
    </w:rPr>
  </w:style>
  <w:style w:type="paragraph" w:customStyle="1" w:styleId="28">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10</Pages>
  <Words>5391</Words>
  <Characters>5888</Characters>
  <Lines>39</Lines>
  <Paragraphs>11</Paragraphs>
  <TotalTime>25</TotalTime>
  <ScaleCrop>false</ScaleCrop>
  <LinksUpToDate>false</LinksUpToDate>
  <CharactersWithSpaces>6327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2021-10-19T04:29:00Z</dcterms:created>
  <dc:creator>NTKO</dc:creator>
  <cp:lastModifiedBy>ower</cp:lastModifiedBy>
  <cp:lastPrinted>2022-02-10T02:27:00Z</cp:lastPrinted>
  <dcterms:modified xsi:type="dcterms:W3CDTF">2022-02-11T01:51:39Z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798BAD92DFFE402EA39204C3F13BAAB0</vt:lpwstr>
  </property>
</Properties>
</file>