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24"/>
        </w:rPr>
      </w:pPr>
      <w:bookmarkStart w:id="138" w:name="_GoBack"/>
    </w:p>
    <w:p>
      <w:pPr>
        <w:spacing w:line="360" w:lineRule="auto"/>
        <w:jc w:val="both"/>
        <w:rPr>
          <w:rFonts w:ascii="宋体" w:hAnsi="宋体"/>
          <w:b/>
          <w:color w:val="auto"/>
          <w:sz w:val="32"/>
          <w:szCs w:val="24"/>
        </w:rPr>
      </w:pPr>
    </w:p>
    <w:p>
      <w:pPr>
        <w:pStyle w:val="6"/>
        <w:spacing w:line="360" w:lineRule="auto"/>
        <w:jc w:val="center"/>
        <w:rPr>
          <w:rFonts w:hint="eastAsia" w:ascii="宋体" w:hAnsi="宋体" w:eastAsia="宋体"/>
          <w:color w:val="auto"/>
          <w:szCs w:val="24"/>
        </w:rPr>
      </w:pPr>
      <w:r>
        <w:rPr>
          <w:rFonts w:hint="eastAsia" w:ascii="宋体" w:hAnsi="宋体" w:eastAsia="宋体"/>
          <w:color w:val="auto"/>
          <w:szCs w:val="24"/>
        </w:rPr>
        <w:t>鱼珠隧道、会展西路过江隧道、车陂路-新滘东路隧道工程</w:t>
      </w:r>
    </w:p>
    <w:p>
      <w:pPr>
        <w:pStyle w:val="6"/>
        <w:spacing w:line="360" w:lineRule="auto"/>
        <w:jc w:val="center"/>
        <w:rPr>
          <w:rFonts w:ascii="宋体" w:hAnsi="宋体"/>
          <w:b/>
          <w:color w:val="auto"/>
          <w:sz w:val="72"/>
          <w:szCs w:val="52"/>
        </w:rPr>
      </w:pPr>
      <w:r>
        <w:rPr>
          <w:rFonts w:hint="eastAsia" w:ascii="宋体" w:hAnsi="宋体" w:eastAsia="宋体"/>
          <w:color w:val="auto"/>
          <w:szCs w:val="24"/>
        </w:rPr>
        <w:t>（二期）</w:t>
      </w:r>
      <w:r>
        <w:rPr>
          <w:rFonts w:hint="eastAsia" w:ascii="宋体" w:hAnsi="宋体" w:eastAsia="宋体"/>
          <w:color w:val="auto"/>
          <w:szCs w:val="24"/>
          <w:lang w:eastAsia="zh-CN"/>
        </w:rPr>
        <w:t>三项目BIM管理咨询服务</w:t>
      </w:r>
    </w:p>
    <w:p>
      <w:pPr>
        <w:spacing w:line="360" w:lineRule="auto"/>
        <w:jc w:val="center"/>
        <w:rPr>
          <w:rFonts w:ascii="宋体" w:hAnsi="宋体"/>
          <w:b/>
          <w:color w:val="auto"/>
          <w:sz w:val="72"/>
          <w:szCs w:val="52"/>
        </w:rPr>
      </w:pPr>
    </w:p>
    <w:p>
      <w:pPr>
        <w:spacing w:line="360" w:lineRule="auto"/>
        <w:jc w:val="center"/>
        <w:rPr>
          <w:rFonts w:hint="eastAsia" w:eastAsia="宋体"/>
          <w:color w:val="auto"/>
          <w:lang w:eastAsia="zh-CN"/>
        </w:rPr>
      </w:pPr>
      <w:r>
        <w:rPr>
          <w:rFonts w:hint="eastAsia" w:ascii="宋体" w:hAnsi="宋体"/>
          <w:b/>
          <w:color w:val="auto"/>
          <w:sz w:val="72"/>
          <w:szCs w:val="52"/>
        </w:rPr>
        <w:t>招标</w:t>
      </w:r>
      <w:r>
        <w:rPr>
          <w:rFonts w:hint="eastAsia" w:ascii="宋体" w:hAnsi="宋体"/>
          <w:b/>
          <w:color w:val="auto"/>
          <w:sz w:val="72"/>
          <w:szCs w:val="52"/>
          <w:lang w:val="en-US" w:eastAsia="zh-CN"/>
        </w:rPr>
        <w:t>文件</w:t>
      </w:r>
    </w:p>
    <w:p>
      <w:pPr>
        <w:spacing w:line="360" w:lineRule="auto"/>
        <w:jc w:val="center"/>
        <w:rPr>
          <w:rFonts w:ascii="宋体" w:hAnsi="宋体"/>
          <w:b/>
          <w:color w:val="auto"/>
          <w:sz w:val="28"/>
        </w:rPr>
      </w:pPr>
    </w:p>
    <w:p>
      <w:pPr>
        <w:spacing w:line="360" w:lineRule="auto"/>
        <w:jc w:val="center"/>
        <w:rPr>
          <w:rFonts w:ascii="宋体" w:hAnsi="宋体"/>
          <w:b/>
          <w:color w:val="auto"/>
          <w:sz w:val="28"/>
        </w:rPr>
      </w:pPr>
    </w:p>
    <w:p>
      <w:pPr>
        <w:spacing w:line="360" w:lineRule="auto"/>
        <w:jc w:val="both"/>
        <w:rPr>
          <w:rFonts w:ascii="宋体" w:hAnsi="宋体"/>
          <w:b/>
          <w:color w:val="auto"/>
          <w:sz w:val="28"/>
        </w:rPr>
      </w:pPr>
    </w:p>
    <w:p>
      <w:pPr>
        <w:spacing w:line="360" w:lineRule="auto"/>
        <w:jc w:val="both"/>
        <w:rPr>
          <w:rFonts w:ascii="宋体" w:hAnsi="宋体"/>
          <w:b/>
          <w:color w:val="auto"/>
          <w:sz w:val="28"/>
        </w:rPr>
      </w:pPr>
    </w:p>
    <w:p>
      <w:pPr>
        <w:spacing w:line="360" w:lineRule="auto"/>
        <w:jc w:val="both"/>
        <w:rPr>
          <w:rFonts w:ascii="宋体" w:hAnsi="宋体"/>
          <w:b/>
          <w:color w:val="auto"/>
          <w:sz w:val="28"/>
        </w:rPr>
      </w:pPr>
    </w:p>
    <w:p>
      <w:pPr>
        <w:spacing w:line="360" w:lineRule="auto"/>
        <w:jc w:val="center"/>
        <w:rPr>
          <w:rFonts w:ascii="宋体" w:hAnsi="宋体"/>
          <w:b/>
          <w:color w:val="auto"/>
          <w:sz w:val="28"/>
        </w:rPr>
      </w:pPr>
    </w:p>
    <w:p>
      <w:pPr>
        <w:spacing w:line="360" w:lineRule="auto"/>
        <w:jc w:val="both"/>
        <w:rPr>
          <w:rFonts w:ascii="宋体" w:hAnsi="宋体"/>
          <w:b/>
          <w:color w:val="auto"/>
          <w:sz w:val="28"/>
        </w:rPr>
      </w:pPr>
    </w:p>
    <w:p>
      <w:pPr>
        <w:spacing w:line="360" w:lineRule="auto"/>
        <w:jc w:val="center"/>
        <w:rPr>
          <w:rFonts w:hint="eastAsia" w:ascii="宋体" w:hAnsi="宋体"/>
          <w:b/>
          <w:color w:val="auto"/>
          <w:sz w:val="28"/>
        </w:rPr>
      </w:pPr>
      <w:r>
        <w:rPr>
          <w:rFonts w:ascii="宋体" w:hAnsi="宋体"/>
          <w:b/>
          <w:color w:val="auto"/>
          <w:sz w:val="28"/>
        </w:rPr>
        <w:t>招</w:t>
      </w:r>
      <w:r>
        <w:rPr>
          <w:rFonts w:hint="eastAsia" w:ascii="宋体" w:hAnsi="宋体"/>
          <w:b/>
          <w:color w:val="auto"/>
          <w:sz w:val="28"/>
        </w:rPr>
        <w:t xml:space="preserve"> </w:t>
      </w:r>
      <w:r>
        <w:rPr>
          <w:rFonts w:ascii="宋体" w:hAnsi="宋体"/>
          <w:b/>
          <w:color w:val="auto"/>
          <w:sz w:val="28"/>
        </w:rPr>
        <w:t>标</w:t>
      </w:r>
      <w:r>
        <w:rPr>
          <w:rFonts w:hint="eastAsia" w:ascii="宋体" w:hAnsi="宋体"/>
          <w:b/>
          <w:color w:val="auto"/>
          <w:sz w:val="28"/>
        </w:rPr>
        <w:t xml:space="preserve"> </w:t>
      </w:r>
      <w:r>
        <w:rPr>
          <w:rFonts w:ascii="宋体" w:hAnsi="宋体"/>
          <w:b/>
          <w:color w:val="auto"/>
          <w:sz w:val="28"/>
        </w:rPr>
        <w:t>人：</w:t>
      </w:r>
      <w:r>
        <w:rPr>
          <w:rFonts w:hint="eastAsia" w:ascii="宋体" w:hAnsi="宋体"/>
          <w:b/>
          <w:color w:val="auto"/>
          <w:sz w:val="28"/>
        </w:rPr>
        <w:t>广州市中心区交通项目管理中心</w:t>
      </w:r>
    </w:p>
    <w:p>
      <w:pPr>
        <w:spacing w:line="360" w:lineRule="auto"/>
        <w:jc w:val="center"/>
        <w:rPr>
          <w:rFonts w:eastAsia="Times New Roman"/>
          <w:color w:val="auto"/>
          <w:sz w:val="22"/>
          <w:szCs w:val="24"/>
        </w:rPr>
      </w:pPr>
      <w:r>
        <w:rPr>
          <w:rFonts w:hint="eastAsia" w:ascii="宋体" w:hAnsi="宋体"/>
          <w:b/>
          <w:color w:val="auto"/>
          <w:sz w:val="28"/>
          <w:lang w:val="en-US" w:eastAsia="zh-CN"/>
        </w:rPr>
        <w:t xml:space="preserve">    </w:t>
      </w:r>
      <w:r>
        <w:rPr>
          <w:rFonts w:hint="eastAsia" w:ascii="宋体" w:hAnsi="宋体"/>
          <w:b/>
          <w:color w:val="auto"/>
          <w:sz w:val="28"/>
        </w:rPr>
        <w:t>招标代理</w:t>
      </w:r>
      <w:r>
        <w:rPr>
          <w:rFonts w:hint="eastAsia" w:ascii="宋体" w:hAnsi="宋体"/>
          <w:b/>
          <w:color w:val="auto"/>
          <w:sz w:val="28"/>
          <w:lang w:val="en-US" w:eastAsia="zh-CN"/>
        </w:rPr>
        <w:t>单位</w:t>
      </w:r>
      <w:r>
        <w:rPr>
          <w:rFonts w:hint="eastAsia" w:ascii="宋体" w:hAnsi="宋体"/>
          <w:b/>
          <w:color w:val="auto"/>
          <w:sz w:val="28"/>
        </w:rPr>
        <w:t>：谷德中交咨询（广州）有限公司</w:t>
      </w:r>
    </w:p>
    <w:p>
      <w:pPr>
        <w:spacing w:line="360" w:lineRule="auto"/>
        <w:ind w:firstLine="0" w:firstLineChars="0"/>
        <w:jc w:val="both"/>
        <w:rPr>
          <w:rFonts w:ascii="宋体" w:hAnsi="宋体"/>
          <w:b/>
          <w:color w:val="auto"/>
          <w:sz w:val="28"/>
          <w:szCs w:val="28"/>
        </w:rPr>
      </w:pPr>
      <w:r>
        <w:rPr>
          <w:rFonts w:hint="eastAsia"/>
          <w:color w:val="auto"/>
          <w:sz w:val="22"/>
          <w:szCs w:val="24"/>
          <w:lang w:val="en-US" w:eastAsia="zh-CN"/>
        </w:rPr>
        <w:t xml:space="preserve">               </w:t>
      </w:r>
      <w:r>
        <w:rPr>
          <w:rFonts w:hint="eastAsia" w:ascii="宋体" w:hAnsi="宋体"/>
          <w:b/>
          <w:color w:val="auto"/>
          <w:sz w:val="28"/>
          <w:szCs w:val="28"/>
          <w:lang w:val="en-US" w:eastAsia="zh-CN"/>
        </w:rPr>
        <w:t>日    期：</w:t>
      </w:r>
      <w:r>
        <w:rPr>
          <w:rFonts w:hint="eastAsia" w:ascii="宋体" w:hAnsi="宋体"/>
          <w:b/>
          <w:color w:val="auto"/>
          <w:sz w:val="28"/>
          <w:szCs w:val="28"/>
        </w:rPr>
        <w:t>202</w:t>
      </w:r>
      <w:r>
        <w:rPr>
          <w:rFonts w:hint="eastAsia" w:ascii="宋体" w:hAnsi="宋体"/>
          <w:b/>
          <w:color w:val="auto"/>
          <w:sz w:val="28"/>
          <w:szCs w:val="28"/>
          <w:lang w:val="en-US" w:eastAsia="zh-CN"/>
        </w:rPr>
        <w:t>2</w:t>
      </w:r>
      <w:r>
        <w:rPr>
          <w:rFonts w:ascii="宋体" w:hAnsi="宋体"/>
          <w:b/>
          <w:color w:val="auto"/>
          <w:sz w:val="28"/>
          <w:szCs w:val="28"/>
        </w:rPr>
        <w:t>年</w:t>
      </w:r>
      <w:r>
        <w:rPr>
          <w:rFonts w:hint="eastAsia" w:ascii="宋体" w:hAnsi="宋体"/>
          <w:b/>
          <w:color w:val="auto"/>
          <w:sz w:val="28"/>
          <w:szCs w:val="28"/>
          <w:lang w:val="en-US" w:eastAsia="zh-CN"/>
        </w:rPr>
        <w:t>2</w:t>
      </w:r>
      <w:r>
        <w:rPr>
          <w:rFonts w:ascii="宋体" w:hAnsi="宋体"/>
          <w:b/>
          <w:color w:val="auto"/>
          <w:sz w:val="28"/>
          <w:szCs w:val="28"/>
        </w:rPr>
        <w:t>月</w:t>
      </w:r>
    </w:p>
    <w:p>
      <w:pPr>
        <w:pStyle w:val="19"/>
        <w:spacing w:line="360" w:lineRule="auto"/>
        <w:ind w:firstLine="210"/>
        <w:rPr>
          <w:color w:val="auto"/>
        </w:rPr>
      </w:pPr>
    </w:p>
    <w:p>
      <w:pPr>
        <w:pStyle w:val="19"/>
        <w:spacing w:line="360" w:lineRule="auto"/>
        <w:ind w:firstLine="210"/>
        <w:rPr>
          <w:color w:val="auto"/>
        </w:rPr>
      </w:pPr>
    </w:p>
    <w:p>
      <w:pPr>
        <w:spacing w:line="360" w:lineRule="auto"/>
        <w:rPr>
          <w:rFonts w:ascii="宋体" w:hAnsi="宋体" w:cs="宋体"/>
          <w:bCs/>
          <w:color w:val="auto"/>
          <w:sz w:val="24"/>
        </w:rPr>
      </w:pPr>
    </w:p>
    <w:p>
      <w:pPr>
        <w:rPr>
          <w:rFonts w:hint="eastAsia" w:ascii="宋体" w:hAnsi="宋体" w:cs="宋体"/>
          <w:b/>
          <w:bCs/>
          <w:color w:val="auto"/>
          <w:sz w:val="24"/>
          <w:szCs w:val="24"/>
        </w:rPr>
        <w:sectPr>
          <w:footerReference r:id="rId3" w:type="default"/>
          <w:pgSz w:w="12240" w:h="15840"/>
          <w:pgMar w:top="1440" w:right="1800" w:bottom="1440" w:left="1800" w:header="720" w:footer="720" w:gutter="0"/>
          <w:pgNumType w:fmt="decimal" w:start="0"/>
          <w:cols w:space="0" w:num="1"/>
          <w:titlePg/>
          <w:rtlGutter w:val="0"/>
          <w:docGrid w:linePitch="285" w:charSpace="0"/>
        </w:sectPr>
      </w:pPr>
    </w:p>
    <w:p>
      <w:pPr>
        <w:rPr>
          <w:rFonts w:ascii="宋体" w:hAnsi="宋体" w:cs="宋体"/>
          <w:color w:val="auto"/>
        </w:rPr>
      </w:pPr>
      <w:r>
        <w:rPr>
          <w:rFonts w:hint="eastAsia" w:ascii="宋体" w:hAnsi="宋体" w:cs="宋体"/>
          <w:b/>
          <w:bCs/>
          <w:color w:val="auto"/>
          <w:sz w:val="24"/>
          <w:szCs w:val="24"/>
        </w:rPr>
        <w:t>注：本项目使用新建设工程交易平台办理，各投标单位按照交易中心操作指引（http://ggzy.gz.gov.cn/fwznxtbzczsc/699986.jhtml）进行自助培训，如有疑问，请拨打技术支持电话咨询（15919617989,020-28866176）。</w:t>
      </w:r>
      <w:r>
        <w:rPr>
          <w:rFonts w:hint="eastAsia" w:ascii="宋体" w:hAnsi="宋体" w:cs="宋体"/>
          <w:color w:val="auto"/>
        </w:rPr>
        <w:br w:type="page"/>
      </w:r>
    </w:p>
    <w:p>
      <w:pPr>
        <w:pStyle w:val="26"/>
        <w:spacing w:line="360" w:lineRule="auto"/>
        <w:jc w:val="center"/>
        <w:rPr>
          <w:rFonts w:ascii="宋体" w:hAnsi="宋体" w:cs="宋体"/>
          <w:color w:val="auto"/>
        </w:rPr>
      </w:pPr>
      <w:r>
        <w:rPr>
          <w:rFonts w:hint="eastAsia" w:ascii="宋体" w:hAnsi="宋体" w:cs="宋体"/>
          <w:color w:val="auto"/>
          <w:lang w:val="zh-CN"/>
        </w:rPr>
        <w:t>目  录</w:t>
      </w:r>
    </w:p>
    <w:p>
      <w:pPr>
        <w:pStyle w:val="16"/>
        <w:tabs>
          <w:tab w:val="right" w:leader="dot" w:pos="8630"/>
        </w:tabs>
        <w:spacing w:line="360" w:lineRule="auto"/>
        <w:jc w:val="center"/>
        <w:rPr>
          <w:rFonts w:ascii="宋体" w:hAnsi="宋体" w:cs="宋体"/>
          <w:color w:val="auto"/>
        </w:rPr>
      </w:pPr>
    </w:p>
    <w:p>
      <w:pPr>
        <w:pStyle w:val="16"/>
        <w:tabs>
          <w:tab w:val="right" w:leader="dot" w:pos="8630"/>
        </w:tabs>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\u </w:instrText>
      </w:r>
      <w:r>
        <w:rPr>
          <w:rFonts w:hint="eastAsia" w:ascii="宋体" w:hAnsi="宋体" w:cs="宋体"/>
          <w:color w:val="auto"/>
          <w:sz w:val="24"/>
          <w:szCs w:val="24"/>
        </w:rPr>
        <w:fldChar w:fldCharType="separate"/>
      </w:r>
      <w:r>
        <w:rPr>
          <w:color w:val="auto"/>
        </w:rPr>
        <w:fldChar w:fldCharType="begin"/>
      </w:r>
      <w:r>
        <w:rPr>
          <w:color w:val="auto"/>
        </w:rPr>
        <w:instrText xml:space="preserve"> HYPERLINK \l "_Toc520310849"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_Toc520310849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6"/>
        <w:tabs>
          <w:tab w:val="right" w:leader="dot" w:pos="8630"/>
        </w:tabs>
        <w:spacing w:line="360" w:lineRule="auto"/>
        <w:rPr>
          <w:rFonts w:ascii="宋体" w:hAnsi="宋体" w:cs="宋体"/>
          <w:color w:val="auto"/>
          <w:sz w:val="24"/>
          <w:szCs w:val="24"/>
        </w:rPr>
      </w:pPr>
      <w:r>
        <w:rPr>
          <w:color w:val="auto"/>
        </w:rPr>
        <w:fldChar w:fldCharType="begin"/>
      </w:r>
      <w:r>
        <w:rPr>
          <w:color w:val="auto"/>
        </w:rPr>
        <w:instrText xml:space="preserve"> HYPERLINK \l "_Toc520310851"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_Toc520310851 \h </w:instrText>
      </w:r>
      <w:r>
        <w:rPr>
          <w:rFonts w:hint="eastAsia" w:ascii="宋体" w:hAnsi="宋体" w:cs="宋体"/>
          <w:color w:val="auto"/>
          <w:sz w:val="24"/>
          <w:szCs w:val="24"/>
        </w:rPr>
        <w:fldChar w:fldCharType="separate"/>
      </w:r>
      <w:r>
        <w:rPr>
          <w:rFonts w:hint="eastAsia" w:ascii="宋体" w:hAnsi="宋体" w:cs="宋体"/>
          <w:color w:val="auto"/>
          <w:sz w:val="24"/>
          <w:szCs w:val="24"/>
        </w:rPr>
        <w:t>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6"/>
        <w:tabs>
          <w:tab w:val="right" w:leader="dot" w:pos="8630"/>
        </w:tabs>
        <w:spacing w:line="360" w:lineRule="auto"/>
        <w:rPr>
          <w:rFonts w:ascii="宋体" w:hAnsi="宋体" w:cs="宋体"/>
          <w:color w:val="auto"/>
          <w:sz w:val="24"/>
          <w:szCs w:val="24"/>
        </w:rPr>
      </w:pPr>
      <w:r>
        <w:rPr>
          <w:color w:val="auto"/>
        </w:rPr>
        <w:fldChar w:fldCharType="begin"/>
      </w:r>
      <w:r>
        <w:rPr>
          <w:color w:val="auto"/>
        </w:rPr>
        <w:instrText xml:space="preserve"> HYPERLINK \l "_Toc520310857" </w:instrText>
      </w:r>
      <w:r>
        <w:rPr>
          <w:color w:val="auto"/>
        </w:rPr>
        <w:fldChar w:fldCharType="separate"/>
      </w:r>
      <w:r>
        <w:rPr>
          <w:rFonts w:hint="eastAsia" w:ascii="宋体" w:hAnsi="宋体" w:cs="宋体"/>
          <w:color w:val="auto"/>
          <w:sz w:val="24"/>
          <w:szCs w:val="24"/>
        </w:rPr>
        <w:t>第三章 评标办法（综合评估法）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_Toc520310857 \h </w:instrText>
      </w:r>
      <w:r>
        <w:rPr>
          <w:rFonts w:hint="eastAsia" w:ascii="宋体" w:hAnsi="宋体" w:cs="宋体"/>
          <w:color w:val="auto"/>
          <w:sz w:val="24"/>
          <w:szCs w:val="24"/>
        </w:rPr>
        <w:fldChar w:fldCharType="separate"/>
      </w:r>
      <w:r>
        <w:rPr>
          <w:rFonts w:hint="eastAsia" w:ascii="宋体" w:hAnsi="宋体" w:cs="宋体"/>
          <w:color w:val="auto"/>
          <w:sz w:val="24"/>
          <w:szCs w:val="24"/>
        </w:rPr>
        <w:t>28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6"/>
        <w:tabs>
          <w:tab w:val="right" w:leader="dot" w:pos="8630"/>
        </w:tabs>
        <w:spacing w:line="360" w:lineRule="auto"/>
        <w:rPr>
          <w:rFonts w:ascii="宋体" w:hAnsi="宋体" w:cs="宋体"/>
          <w:color w:val="auto"/>
          <w:sz w:val="24"/>
          <w:szCs w:val="24"/>
        </w:rPr>
      </w:pPr>
      <w:r>
        <w:rPr>
          <w:color w:val="auto"/>
        </w:rPr>
        <w:fldChar w:fldCharType="begin"/>
      </w:r>
      <w:r>
        <w:rPr>
          <w:color w:val="auto"/>
        </w:rPr>
        <w:instrText xml:space="preserve"> HYPERLINK \l "_Toc520310859" </w:instrText>
      </w:r>
      <w:r>
        <w:rPr>
          <w:color w:val="auto"/>
        </w:rPr>
        <w:fldChar w:fldCharType="separate"/>
      </w:r>
      <w:r>
        <w:rPr>
          <w:rFonts w:hint="eastAsia" w:ascii="宋体" w:hAnsi="宋体" w:cs="宋体"/>
          <w:color w:val="auto"/>
          <w:sz w:val="24"/>
          <w:szCs w:val="24"/>
        </w:rPr>
        <w:t>第四章 合同条款及格式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_Toc520310859 \h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6"/>
        <w:tabs>
          <w:tab w:val="right" w:leader="dot" w:pos="8630"/>
        </w:tabs>
        <w:spacing w:line="360" w:lineRule="auto"/>
        <w:rPr>
          <w:rFonts w:ascii="宋体" w:hAnsi="宋体" w:cs="宋体"/>
          <w:color w:val="auto"/>
          <w:sz w:val="24"/>
          <w:szCs w:val="24"/>
        </w:rPr>
      </w:pPr>
      <w:r>
        <w:rPr>
          <w:color w:val="auto"/>
        </w:rPr>
        <w:fldChar w:fldCharType="begin"/>
      </w:r>
      <w:r>
        <w:rPr>
          <w:color w:val="auto"/>
        </w:rPr>
        <w:instrText xml:space="preserve"> HYPERLINK \l "_Toc520310861" </w:instrText>
      </w:r>
      <w:r>
        <w:rPr>
          <w:color w:val="auto"/>
        </w:rPr>
        <w:fldChar w:fldCharType="separate"/>
      </w:r>
      <w:r>
        <w:rPr>
          <w:rFonts w:hint="eastAsia" w:ascii="宋体" w:hAnsi="宋体" w:cs="宋体"/>
          <w:color w:val="auto"/>
          <w:sz w:val="24"/>
          <w:szCs w:val="24"/>
        </w:rPr>
        <w:t>第五章 委托人要求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_Toc520310861 \h </w:instrText>
      </w:r>
      <w:r>
        <w:rPr>
          <w:rFonts w:hint="eastAsia" w:ascii="宋体" w:hAnsi="宋体" w:cs="宋体"/>
          <w:color w:val="auto"/>
          <w:sz w:val="24"/>
          <w:szCs w:val="24"/>
        </w:rPr>
        <w:fldChar w:fldCharType="separate"/>
      </w:r>
      <w:r>
        <w:rPr>
          <w:rFonts w:hint="eastAsia" w:ascii="宋体" w:hAnsi="宋体" w:cs="宋体"/>
          <w:color w:val="auto"/>
          <w:sz w:val="24"/>
          <w:szCs w:val="24"/>
        </w:rPr>
        <w:t>37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6"/>
        <w:tabs>
          <w:tab w:val="right" w:leader="dot" w:pos="8630"/>
        </w:tabs>
        <w:spacing w:line="360" w:lineRule="auto"/>
        <w:rPr>
          <w:rFonts w:ascii="宋体" w:hAnsi="宋体" w:cs="宋体"/>
          <w:color w:val="auto"/>
          <w:sz w:val="24"/>
          <w:szCs w:val="24"/>
        </w:rPr>
      </w:pPr>
      <w:r>
        <w:rPr>
          <w:color w:val="auto"/>
        </w:rPr>
        <w:fldChar w:fldCharType="begin"/>
      </w:r>
      <w:r>
        <w:rPr>
          <w:color w:val="auto"/>
        </w:rPr>
        <w:instrText xml:space="preserve"> HYPERLINK \l "_Toc520310871" </w:instrText>
      </w:r>
      <w:r>
        <w:rPr>
          <w:color w:val="auto"/>
        </w:rPr>
        <w:fldChar w:fldCharType="separate"/>
      </w:r>
      <w:r>
        <w:rPr>
          <w:rFonts w:hint="eastAsia" w:ascii="宋体" w:hAnsi="宋体" w:cs="宋体"/>
          <w:color w:val="auto"/>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_Toc520310871 \h </w:instrText>
      </w:r>
      <w:r>
        <w:rPr>
          <w:rFonts w:hint="eastAsia" w:ascii="宋体" w:hAnsi="宋体" w:cs="宋体"/>
          <w:color w:val="auto"/>
          <w:sz w:val="24"/>
          <w:szCs w:val="24"/>
        </w:rPr>
        <w:fldChar w:fldCharType="separate"/>
      </w:r>
      <w:r>
        <w:rPr>
          <w:rFonts w:hint="eastAsia" w:ascii="宋体" w:hAnsi="宋体" w:cs="宋体"/>
          <w:color w:val="auto"/>
          <w:sz w:val="24"/>
          <w:szCs w:val="24"/>
        </w:rPr>
        <w:t>38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line="360" w:lineRule="auto"/>
        <w:rPr>
          <w:rFonts w:ascii="宋体" w:hAnsi="宋体" w:cs="宋体"/>
          <w:color w:val="auto"/>
        </w:rPr>
      </w:pPr>
      <w:r>
        <w:rPr>
          <w:rFonts w:hint="eastAsia" w:ascii="宋体" w:hAnsi="宋体" w:cs="宋体"/>
          <w:color w:val="auto"/>
          <w:sz w:val="24"/>
          <w:szCs w:val="24"/>
        </w:rPr>
        <w:fldChar w:fldCharType="end"/>
      </w:r>
    </w:p>
    <w:p>
      <w:pPr>
        <w:rPr>
          <w:rFonts w:ascii="宋体" w:hAnsi="宋体" w:cs="宋体"/>
          <w:color w:val="auto"/>
        </w:rPr>
        <w:sectPr>
          <w:footerReference r:id="rId5" w:type="first"/>
          <w:footerReference r:id="rId4" w:type="default"/>
          <w:pgSz w:w="12240" w:h="15840"/>
          <w:pgMar w:top="1440" w:right="1800" w:bottom="1440" w:left="1800" w:header="720" w:footer="720" w:gutter="0"/>
          <w:pgNumType w:fmt="decimal" w:start="1"/>
          <w:cols w:space="0" w:num="1"/>
          <w:rtlGutter w:val="0"/>
          <w:docGrid w:linePitch="285" w:charSpace="0"/>
        </w:sectPr>
      </w:pPr>
    </w:p>
    <w:p>
      <w:pPr>
        <w:pStyle w:val="5"/>
        <w:spacing w:line="240" w:lineRule="auto"/>
        <w:jc w:val="center"/>
        <w:rPr>
          <w:rFonts w:ascii="宋体" w:hAnsi="宋体" w:cs="宋体"/>
          <w:color w:val="auto"/>
        </w:rPr>
      </w:pPr>
      <w:bookmarkStart w:id="0" w:name="_Toc520310849"/>
      <w:r>
        <w:rPr>
          <w:rFonts w:hint="eastAsia" w:ascii="宋体" w:hAnsi="宋体" w:cs="宋体"/>
          <w:color w:val="auto"/>
        </w:rPr>
        <w:t>第一章招标公告</w:t>
      </w:r>
    </w:p>
    <w:p>
      <w:pPr>
        <w:pStyle w:val="19"/>
        <w:jc w:val="center"/>
        <w:rPr>
          <w:color w:val="auto"/>
        </w:rPr>
      </w:pPr>
      <w:r>
        <w:rPr>
          <w:rFonts w:hint="eastAsia"/>
          <w:color w:val="auto"/>
        </w:rPr>
        <w:t>（另册）</w:t>
      </w: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p>
      <w:pPr>
        <w:pStyle w:val="19"/>
        <w:rPr>
          <w:color w:val="auto"/>
        </w:rPr>
      </w:pPr>
    </w:p>
    <w:bookmarkEnd w:id="0"/>
    <w:p>
      <w:pPr>
        <w:rPr>
          <w:rFonts w:ascii="宋体" w:hAnsi="宋体" w:cs="宋体"/>
          <w:color w:val="auto"/>
        </w:rPr>
      </w:pPr>
      <w:bookmarkStart w:id="1" w:name="_Toc520310851"/>
      <w:r>
        <w:rPr>
          <w:rFonts w:hint="eastAsia" w:ascii="宋体" w:hAnsi="宋体" w:cs="宋体"/>
          <w:color w:val="auto"/>
        </w:rPr>
        <w:br w:type="page"/>
      </w:r>
    </w:p>
    <w:p>
      <w:pPr>
        <w:pStyle w:val="5"/>
        <w:spacing w:line="240" w:lineRule="auto"/>
        <w:jc w:val="center"/>
        <w:rPr>
          <w:rFonts w:ascii="宋体" w:hAnsi="宋体" w:cs="宋体"/>
          <w:color w:val="auto"/>
          <w:szCs w:val="44"/>
        </w:rPr>
      </w:pPr>
      <w:r>
        <w:rPr>
          <w:rFonts w:hint="eastAsia" w:ascii="宋体" w:hAnsi="宋体" w:cs="宋体"/>
          <w:color w:val="auto"/>
        </w:rPr>
        <w:t>第二章投标人须知</w:t>
      </w:r>
      <w:bookmarkEnd w:id="1"/>
    </w:p>
    <w:p>
      <w:pPr>
        <w:pStyle w:val="6"/>
        <w:jc w:val="center"/>
        <w:rPr>
          <w:rFonts w:ascii="宋体" w:hAnsi="宋体" w:eastAsia="宋体" w:cs="宋体"/>
          <w:color w:val="auto"/>
        </w:rPr>
      </w:pPr>
      <w:bookmarkStart w:id="2" w:name="_Toc520310852"/>
      <w:bookmarkStart w:id="3" w:name="_Toc492300563"/>
      <w:r>
        <w:rPr>
          <w:rFonts w:hint="eastAsia" w:ascii="宋体" w:hAnsi="宋体" w:eastAsia="宋体" w:cs="宋体"/>
          <w:color w:val="auto"/>
        </w:rPr>
        <w:t>投标人须知前附表</w:t>
      </w:r>
      <w:bookmarkEnd w:id="2"/>
      <w:bookmarkEnd w:id="3"/>
    </w:p>
    <w:tbl>
      <w:tblPr>
        <w:tblStyle w:val="20"/>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123"/>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Header/>
          <w:jc w:val="center"/>
        </w:trPr>
        <w:tc>
          <w:tcPr>
            <w:tcW w:w="1099" w:type="dxa"/>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条款号</w:t>
            </w:r>
          </w:p>
        </w:tc>
        <w:tc>
          <w:tcPr>
            <w:tcW w:w="2123" w:type="dxa"/>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6321" w:type="dxa"/>
            <w:vAlign w:val="center"/>
          </w:tcPr>
          <w:p>
            <w:pPr>
              <w:spacing w:line="440" w:lineRule="exact"/>
              <w:jc w:val="center"/>
              <w:rPr>
                <w:rFonts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招标人</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广州市中心区交通项目管理中心</w:t>
            </w:r>
          </w:p>
          <w:p>
            <w:pPr>
              <w:jc w:val="left"/>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广州市东风中路318号15楼</w:t>
            </w:r>
          </w:p>
          <w:p>
            <w:pPr>
              <w:jc w:val="left"/>
              <w:rPr>
                <w:rFonts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single"/>
                <w:lang w:val="en-US" w:eastAsia="zh-CN"/>
              </w:rPr>
              <w:t>杨</w:t>
            </w:r>
            <w:r>
              <w:rPr>
                <w:rFonts w:hint="eastAsia" w:ascii="宋体" w:hAnsi="宋体" w:cs="宋体"/>
                <w:color w:val="auto"/>
                <w:highlight w:val="none"/>
                <w:u w:val="single"/>
              </w:rPr>
              <w:t>工</w:t>
            </w:r>
          </w:p>
          <w:p>
            <w:pPr>
              <w:jc w:val="left"/>
              <w:rPr>
                <w:rFonts w:hint="eastAsia" w:ascii="宋体" w:hAnsi="宋体" w:eastAsia="宋体" w:cs="宋体"/>
                <w:color w:val="auto"/>
                <w:highlight w:val="none"/>
                <w:lang w:eastAsia="zh-CN"/>
              </w:rPr>
            </w:pPr>
            <w:r>
              <w:rPr>
                <w:rFonts w:hint="eastAsia" w:ascii="宋体" w:hAnsi="宋体" w:cs="宋体"/>
                <w:color w:val="auto"/>
                <w:highlight w:val="none"/>
              </w:rPr>
              <w:t>电话：</w:t>
            </w:r>
            <w:r>
              <w:rPr>
                <w:rFonts w:hint="eastAsia" w:ascii="宋体" w:hAnsi="宋体" w:cs="宋体"/>
                <w:color w:val="auto"/>
                <w:highlight w:val="none"/>
                <w:u w:val="single"/>
              </w:rPr>
              <w:t>020-8329305</w:t>
            </w:r>
            <w:r>
              <w:rPr>
                <w:rFonts w:hint="eastAsia" w:ascii="宋体" w:hAnsi="宋体" w:cs="宋体"/>
                <w:color w:val="auto"/>
                <w:highlight w:val="none"/>
                <w:u w:val="singl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招标代理机构</w:t>
            </w:r>
          </w:p>
        </w:tc>
        <w:tc>
          <w:tcPr>
            <w:tcW w:w="6321" w:type="dxa"/>
            <w:vAlign w:val="center"/>
          </w:tcPr>
          <w:p>
            <w:pPr>
              <w:jc w:val="left"/>
              <w:rPr>
                <w:rFonts w:ascii="宋体" w:hAnsi="宋体" w:cs="宋体"/>
                <w:color w:val="auto"/>
                <w:highlight w:val="none"/>
                <w:u w:val="single"/>
              </w:rPr>
            </w:pPr>
            <w:r>
              <w:rPr>
                <w:rFonts w:hint="eastAsia" w:ascii="宋体" w:hAnsi="宋体" w:cs="宋体"/>
                <w:color w:val="auto"/>
                <w:highlight w:val="none"/>
              </w:rPr>
              <w:t>名称：</w:t>
            </w:r>
            <w:r>
              <w:rPr>
                <w:rFonts w:hint="eastAsia" w:ascii="宋体" w:hAnsi="宋体" w:cs="宋体"/>
                <w:color w:val="auto"/>
                <w:highlight w:val="none"/>
                <w:u w:val="single"/>
              </w:rPr>
              <w:t>谷德中交咨询（广州）有限公司</w:t>
            </w:r>
          </w:p>
          <w:p>
            <w:pPr>
              <w:jc w:val="left"/>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广州市天河区黄埔大道西159号西</w:t>
            </w:r>
            <w:r>
              <w:rPr>
                <w:rFonts w:hint="eastAsia" w:ascii="宋体" w:hAnsi="宋体" w:cs="宋体"/>
                <w:color w:val="auto"/>
                <w:highlight w:val="none"/>
                <w:u w:val="single"/>
                <w:lang w:val="en-US" w:eastAsia="zh-CN"/>
              </w:rPr>
              <w:t>塔</w:t>
            </w:r>
            <w:r>
              <w:rPr>
                <w:rFonts w:hint="eastAsia" w:ascii="宋体" w:hAnsi="宋体" w:cs="宋体"/>
                <w:color w:val="auto"/>
                <w:highlight w:val="none"/>
                <w:u w:val="single"/>
              </w:rPr>
              <w:t>7</w:t>
            </w:r>
            <w:r>
              <w:rPr>
                <w:rFonts w:hint="eastAsia" w:ascii="宋体" w:hAnsi="宋体" w:cs="宋体"/>
                <w:color w:val="auto"/>
                <w:highlight w:val="none"/>
                <w:u w:val="single"/>
                <w:lang w:val="en-US" w:eastAsia="zh-CN"/>
              </w:rPr>
              <w:t>楼</w:t>
            </w:r>
          </w:p>
          <w:p>
            <w:pPr>
              <w:jc w:val="left"/>
              <w:rPr>
                <w:rFonts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single"/>
              </w:rPr>
              <w:t>李工、胡工</w:t>
            </w:r>
          </w:p>
          <w:p>
            <w:pPr>
              <w:jc w:val="left"/>
              <w:rPr>
                <w:rFonts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020-85262454-859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1.1.4</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招标项目名称</w:t>
            </w:r>
          </w:p>
        </w:tc>
        <w:tc>
          <w:tcPr>
            <w:tcW w:w="6321" w:type="dxa"/>
            <w:vAlign w:val="center"/>
          </w:tcPr>
          <w:p>
            <w:pPr>
              <w:spacing w:line="440" w:lineRule="exact"/>
              <w:jc w:val="left"/>
              <w:rPr>
                <w:rFonts w:hint="eastAsia" w:ascii="宋体" w:hAnsi="宋体" w:eastAsia="宋体" w:cs="宋体"/>
                <w:color w:val="auto"/>
                <w:highlight w:val="none"/>
                <w:lang w:eastAsia="zh-CN"/>
              </w:rPr>
            </w:pPr>
            <w:r>
              <w:rPr>
                <w:rFonts w:hint="eastAsia" w:ascii="宋体" w:hAnsi="宋体" w:cs="宋体"/>
                <w:color w:val="auto"/>
                <w:highlight w:val="none"/>
              </w:rPr>
              <w:t>鱼珠隧道、会展西路过江隧道、车陂路-新滘东路隧道工程（二期）</w:t>
            </w:r>
            <w:r>
              <w:rPr>
                <w:rFonts w:hint="eastAsia" w:ascii="宋体" w:hAnsi="宋体" w:cs="宋体"/>
                <w:color w:val="auto"/>
                <w:highlight w:val="none"/>
                <w:lang w:eastAsia="zh-CN"/>
              </w:rPr>
              <w:t>三项目BIM管理咨询服务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1.1.5</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项目建设地点</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1.1.6</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项目建设规模</w:t>
            </w:r>
          </w:p>
        </w:tc>
        <w:tc>
          <w:tcPr>
            <w:tcW w:w="6321" w:type="dxa"/>
            <w:vAlign w:val="center"/>
          </w:tcPr>
          <w:p>
            <w:pPr>
              <w:rPr>
                <w:rFonts w:ascii="宋体" w:hAnsi="宋体" w:cs="宋体"/>
                <w:color w:val="auto"/>
                <w:highlight w:val="none"/>
                <w:u w:val="singl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1.1.7</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工程项目施工预计开工日期和建设周期</w:t>
            </w:r>
          </w:p>
        </w:tc>
        <w:tc>
          <w:tcPr>
            <w:tcW w:w="6321" w:type="dxa"/>
            <w:vAlign w:val="center"/>
          </w:tcPr>
          <w:p>
            <w:pPr>
              <w:jc w:val="left"/>
              <w:rPr>
                <w:rFonts w:ascii="宋体" w:hAnsi="宋体" w:cs="宋体"/>
                <w:color w:val="auto"/>
                <w:highlight w:val="none"/>
              </w:rPr>
            </w:pPr>
            <w:r>
              <w:rPr>
                <w:rFonts w:hint="eastAsia"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1.1.8</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建筑安装工程费/工程估算</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资金来源及比例</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1.2.2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资金落实情况</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1.3.1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招标范围</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1.3.2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服务期限</w:t>
            </w:r>
          </w:p>
        </w:tc>
        <w:tc>
          <w:tcPr>
            <w:tcW w:w="6321" w:type="dxa"/>
            <w:vAlign w:val="center"/>
          </w:tcPr>
          <w:p>
            <w:pPr>
              <w:adjustRightInd/>
              <w:snapToGrid/>
              <w:spacing w:line="440" w:lineRule="exact"/>
              <w:jc w:val="left"/>
              <w:rPr>
                <w:rFonts w:ascii="宋体" w:hAnsi="宋体" w:cs="宋体"/>
                <w:color w:val="auto"/>
                <w:highlight w:val="none"/>
              </w:rPr>
            </w:pPr>
            <w:r>
              <w:rPr>
                <w:rFonts w:hint="eastAsia" w:ascii="宋体" w:hAnsi="宋体" w:cs="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1.3.3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snapToGrid/>
                <w:color w:val="auto"/>
                <w:szCs w:val="22"/>
                <w:highlight w:val="none"/>
              </w:rPr>
              <w:t>质量标准</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snapToGrid/>
                <w:color w:val="auto"/>
                <w:szCs w:val="22"/>
                <w:highlight w:val="none"/>
              </w:rPr>
              <w:t>按国家相关规定执行的合格标准。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1.4.1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投标人资质条件、能力、信誉</w:t>
            </w:r>
          </w:p>
        </w:tc>
        <w:tc>
          <w:tcPr>
            <w:tcW w:w="6321"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）财务要求：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w:t>
            </w:r>
            <w:r>
              <w:rPr>
                <w:rFonts w:hint="eastAsia" w:ascii="宋体" w:hAnsi="宋体"/>
                <w:color w:val="auto"/>
                <w:szCs w:val="21"/>
                <w:highlight w:val="none"/>
                <w:u w:val="single"/>
              </w:rPr>
              <w:t>见招标公告投标人业绩要求</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）信誉要求：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）项目负责人的资格要求：</w:t>
            </w:r>
            <w:r>
              <w:rPr>
                <w:rFonts w:hint="eastAsia" w:ascii="宋体" w:hAnsi="宋体"/>
                <w:color w:val="auto"/>
                <w:szCs w:val="21"/>
                <w:highlight w:val="none"/>
                <w:u w:val="single"/>
              </w:rPr>
              <w:t>见招标公告投标人资格要求</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）其他主要人员要求：</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）试验检测仪器设备要求：</w:t>
            </w:r>
            <w:r>
              <w:rPr>
                <w:rFonts w:hint="eastAsia" w:ascii="宋体" w:hAnsi="宋体"/>
                <w:color w:val="auto"/>
                <w:szCs w:val="21"/>
                <w:highlight w:val="none"/>
                <w:u w:val="single"/>
              </w:rPr>
              <w:t xml:space="preserve">   /   </w:t>
            </w:r>
          </w:p>
          <w:p>
            <w:pPr>
              <w:jc w:val="left"/>
              <w:rPr>
                <w:rFonts w:ascii="宋体" w:hAnsi="宋体" w:cs="宋体"/>
                <w:color w:val="auto"/>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）其他要求：</w:t>
            </w:r>
            <w:r>
              <w:rPr>
                <w:rFonts w:ascii="宋体" w:hAnsi="宋体"/>
                <w:color w:val="auto"/>
                <w:szCs w:val="21"/>
                <w:highlight w:val="none"/>
                <w:u w:val="single"/>
              </w:rPr>
              <w:t>见招标公告投标人资格要求</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1.4.2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是否接受联合体投标</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sym w:font="Wingdings 2" w:char="00A3"/>
            </w:r>
            <w:r>
              <w:rPr>
                <w:rFonts w:hint="eastAsia" w:ascii="宋体" w:hAnsi="宋体" w:cs="宋体"/>
                <w:color w:val="auto"/>
                <w:highlight w:val="none"/>
              </w:rPr>
              <w:t>不接受</w:t>
            </w:r>
          </w:p>
          <w:p>
            <w:pPr>
              <w:jc w:val="left"/>
              <w:rPr>
                <w:rFonts w:ascii="宋体" w:hAnsi="宋体" w:cs="宋体"/>
                <w:color w:val="auto"/>
                <w:sz w:val="32"/>
                <w:highlight w:val="none"/>
              </w:rPr>
            </w:pPr>
            <w:r>
              <w:rPr>
                <w:rFonts w:hint="eastAsia" w:ascii="宋体" w:hAnsi="宋体" w:cs="宋体"/>
                <w:color w:val="auto"/>
                <w:highlight w:val="none"/>
              </w:rPr>
              <w:t>■接受，应满足下列要求：</w:t>
            </w:r>
            <w:r>
              <w:rPr>
                <w:rFonts w:hint="eastAsia" w:ascii="宋体" w:hAnsi="宋体" w:cs="宋体"/>
                <w:color w:val="auto"/>
                <w:szCs w:val="21"/>
                <w:highlight w:val="none"/>
                <w:u w:val="single"/>
              </w:rPr>
              <w:t>按招标公告要求</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1.4.3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投标人不得存在的其他情形</w:t>
            </w:r>
          </w:p>
        </w:tc>
        <w:tc>
          <w:tcPr>
            <w:tcW w:w="6321" w:type="dxa"/>
            <w:vAlign w:val="center"/>
          </w:tcPr>
          <w:p>
            <w:pPr>
              <w:topLinePunct/>
              <w:spacing w:line="440" w:lineRule="exact"/>
              <w:jc w:val="left"/>
              <w:rPr>
                <w:rFonts w:ascii="宋体" w:hAnsi="宋体" w:cs="宋体"/>
                <w:color w:val="auto"/>
                <w:sz w:val="32"/>
                <w:highlight w:val="none"/>
              </w:rPr>
            </w:pPr>
            <w:r>
              <w:rPr>
                <w:rFonts w:hint="eastAsia" w:ascii="宋体" w:hAnsi="宋体" w:cs="宋体"/>
                <w:color w:val="auto"/>
                <w:highlight w:val="none"/>
                <w:u w:val="single"/>
              </w:rPr>
              <w:t>（16）在近三年内投标人或其法定代表人、拟委任的项目负责人有行贿犯罪行为的。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1.9.1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踏勘现场</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■不组织，本次招标项目不统一组织现场考察，各投标人可根据需要自行现场考察。</w:t>
            </w:r>
          </w:p>
          <w:p>
            <w:pPr>
              <w:jc w:val="left"/>
              <w:rPr>
                <w:rFonts w:ascii="宋体" w:hAnsi="宋体" w:cs="宋体"/>
                <w:color w:val="auto"/>
                <w:highlight w:val="none"/>
              </w:rPr>
            </w:pPr>
            <w:r>
              <w:rPr>
                <w:rFonts w:hint="eastAsia" w:ascii="宋体" w:hAnsi="宋体" w:cs="宋体"/>
                <w:color w:val="auto"/>
                <w:highlight w:val="none"/>
              </w:rPr>
              <w:t>□组织，踏勘时间：</w:t>
            </w:r>
          </w:p>
          <w:p>
            <w:pPr>
              <w:jc w:val="left"/>
              <w:rPr>
                <w:rFonts w:ascii="宋体" w:hAnsi="宋体" w:cs="宋体"/>
                <w:color w:val="auto"/>
                <w:szCs w:val="21"/>
                <w:highlight w:val="none"/>
              </w:rPr>
            </w:pPr>
            <w:r>
              <w:rPr>
                <w:rFonts w:hint="eastAsia" w:ascii="宋体" w:hAnsi="宋体" w:cs="宋体"/>
                <w:color w:val="auto"/>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1.10.1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投标预备会</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■不召开</w:t>
            </w:r>
          </w:p>
          <w:p>
            <w:pPr>
              <w:jc w:val="left"/>
              <w:rPr>
                <w:rFonts w:ascii="宋体" w:hAnsi="宋体" w:cs="宋体"/>
                <w:color w:val="auto"/>
                <w:highlight w:val="none"/>
              </w:rPr>
            </w:pPr>
            <w:r>
              <w:rPr>
                <w:rFonts w:hint="eastAsia" w:ascii="宋体" w:hAnsi="宋体" w:cs="宋体"/>
                <w:color w:val="auto"/>
                <w:highlight w:val="none"/>
              </w:rPr>
              <w:t>□召开，召开时间：</w:t>
            </w:r>
          </w:p>
          <w:p>
            <w:pPr>
              <w:jc w:val="left"/>
              <w:rPr>
                <w:rFonts w:ascii="宋体" w:hAnsi="宋体" w:cs="宋体"/>
                <w:color w:val="auto"/>
                <w:highlight w:val="none"/>
              </w:rPr>
            </w:pPr>
            <w:r>
              <w:rPr>
                <w:rFonts w:hint="eastAsia" w:ascii="宋体" w:hAnsi="宋体" w:cs="宋体"/>
                <w:color w:val="auto"/>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1.10.2</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投标人在投标预备会前提出问题</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本项目不召开投标预备会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1.10.3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招标文件澄清发出的形式</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在广州公共资源交易中心网站（</w:t>
            </w:r>
            <w:r>
              <w:rPr>
                <w:rFonts w:hint="eastAsia" w:ascii="宋体" w:hAnsi="宋体" w:cs="宋体"/>
                <w:color w:val="auto"/>
                <w:szCs w:val="21"/>
                <w:highlight w:val="none"/>
                <w:u w:val="single"/>
                <w:lang w:val="en-US" w:eastAsia="zh-CN"/>
              </w:rPr>
              <w:t>http://ggzy.gz.gov.cn</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“项目查询（日程安排、答疑纪要）”专区发布。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实质性要求和条件</w:t>
            </w:r>
          </w:p>
        </w:tc>
        <w:tc>
          <w:tcPr>
            <w:tcW w:w="6321" w:type="dxa"/>
            <w:vAlign w:val="center"/>
          </w:tcPr>
          <w:p>
            <w:pPr>
              <w:pStyle w:val="9"/>
              <w:topLinePunct/>
              <w:spacing w:line="400" w:lineRule="exact"/>
              <w:jc w:val="left"/>
              <w:rPr>
                <w:rFonts w:hAnsi="宋体" w:cs="宋体"/>
                <w:color w:val="auto"/>
                <w:sz w:val="21"/>
                <w:szCs w:val="22"/>
                <w:highlight w:val="none"/>
              </w:rPr>
            </w:pPr>
            <w:r>
              <w:rPr>
                <w:rFonts w:hint="eastAsia" w:hAnsi="宋体" w:cs="宋体"/>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1.12.3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偏差</w:t>
            </w:r>
          </w:p>
        </w:tc>
        <w:tc>
          <w:tcPr>
            <w:tcW w:w="6321" w:type="dxa"/>
          </w:tcPr>
          <w:p>
            <w:pPr>
              <w:jc w:val="left"/>
              <w:rPr>
                <w:rFonts w:ascii="宋体" w:hAnsi="宋体" w:cs="宋体"/>
                <w:color w:val="auto"/>
                <w:highlight w:val="none"/>
              </w:rPr>
            </w:pPr>
            <w:r>
              <w:rPr>
                <w:rFonts w:hint="eastAsia" w:ascii="宋体" w:hAnsi="宋体" w:cs="宋体"/>
                <w:color w:val="auto"/>
                <w:highlight w:val="none"/>
              </w:rPr>
              <w:t>■不允许</w:t>
            </w:r>
          </w:p>
          <w:p>
            <w:pPr>
              <w:jc w:val="left"/>
              <w:rPr>
                <w:rFonts w:ascii="宋体" w:hAnsi="宋体" w:cs="宋体"/>
                <w:color w:val="auto"/>
                <w:highlight w:val="none"/>
              </w:rPr>
            </w:pPr>
            <w:r>
              <w:rPr>
                <w:rFonts w:hint="eastAsia" w:ascii="宋体" w:hAnsi="宋体" w:cs="宋体"/>
                <w:color w:val="auto"/>
                <w:highlight w:val="none"/>
              </w:rPr>
              <w:t>□允许，偏差范围：</w:t>
            </w:r>
          </w:p>
          <w:p>
            <w:pPr>
              <w:jc w:val="left"/>
              <w:rPr>
                <w:rFonts w:ascii="宋体" w:hAnsi="宋体" w:cs="宋体"/>
                <w:color w:val="auto"/>
                <w:highlight w:val="none"/>
              </w:rPr>
            </w:pPr>
            <w:r>
              <w:rPr>
                <w:rFonts w:hint="eastAsia" w:ascii="宋体" w:hAnsi="宋体" w:cs="宋体"/>
                <w:color w:val="auto"/>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构成招标文件的其他资料</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b/>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Merge w:val="restart"/>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2.2.1</w:t>
            </w:r>
          </w:p>
        </w:tc>
        <w:tc>
          <w:tcPr>
            <w:tcW w:w="2123"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投标人要求澄清招标文件</w:t>
            </w:r>
          </w:p>
        </w:tc>
        <w:tc>
          <w:tcPr>
            <w:tcW w:w="6321" w:type="dxa"/>
            <w:vAlign w:val="center"/>
          </w:tcPr>
          <w:p>
            <w:pPr>
              <w:jc w:val="left"/>
              <w:rPr>
                <w:rFonts w:ascii="宋体" w:hAnsi="宋体" w:cs="宋体"/>
                <w:color w:val="auto"/>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在投标截止日期前18日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Merge w:val="continue"/>
            <w:vAlign w:val="center"/>
          </w:tcPr>
          <w:p>
            <w:pPr>
              <w:spacing w:line="440" w:lineRule="exact"/>
              <w:jc w:val="center"/>
              <w:rPr>
                <w:rFonts w:ascii="宋体" w:hAnsi="宋体" w:cs="宋体"/>
                <w:color w:val="auto"/>
                <w:highlight w:val="none"/>
              </w:rPr>
            </w:pPr>
          </w:p>
        </w:tc>
        <w:tc>
          <w:tcPr>
            <w:tcW w:w="2123" w:type="dxa"/>
            <w:vMerge w:val="continue"/>
            <w:vAlign w:val="center"/>
          </w:tcPr>
          <w:p>
            <w:pPr>
              <w:jc w:val="center"/>
              <w:rPr>
                <w:rFonts w:ascii="宋体" w:hAnsi="宋体" w:cs="宋体"/>
                <w:color w:val="auto"/>
                <w:highlight w:val="none"/>
              </w:rPr>
            </w:pPr>
          </w:p>
        </w:tc>
        <w:tc>
          <w:tcPr>
            <w:tcW w:w="6321" w:type="dxa"/>
            <w:vAlign w:val="center"/>
          </w:tcPr>
          <w:p>
            <w:pPr>
              <w:jc w:val="left"/>
              <w:rPr>
                <w:rFonts w:ascii="宋体" w:hAnsi="宋体" w:cs="宋体"/>
                <w:color w:val="auto"/>
                <w:highlight w:val="none"/>
              </w:rPr>
            </w:pPr>
            <w:r>
              <w:rPr>
                <w:rFonts w:hint="eastAsia" w:ascii="宋体" w:hAnsi="宋体"/>
                <w:color w:val="auto"/>
                <w:highlight w:val="none"/>
              </w:rPr>
              <w:t>形式：</w:t>
            </w:r>
            <w:r>
              <w:rPr>
                <w:rFonts w:hint="eastAsia" w:ascii="宋体" w:hAnsi="宋体"/>
                <w:color w:val="auto"/>
                <w:highlight w:val="none"/>
                <w:u w:val="single"/>
              </w:rPr>
              <w:t>招标答疑采用网上答疑方式进行。投标人若对招标文件（包括最高投标限价）有疑问的，可在规定的时间内通过广州公共资源交易中心网站进入提问区域将问题提交给招标人或招标代理人，提交问题时一律不得署名。</w:t>
            </w:r>
            <w:r>
              <w:rPr>
                <w:rFonts w:ascii="宋体" w:hAnsi="宋体"/>
                <w:color w:val="auto"/>
                <w:highlight w:val="none"/>
                <w:u w:val="single"/>
              </w:rPr>
              <w:t>具体操作方法详见《房屋建筑和市政基础设施工程全流程电子化项目专章》。</w:t>
            </w:r>
            <w:r>
              <w:rPr>
                <w:rFonts w:hint="eastAsia"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2.2.2</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招标文件澄清发出的形式</w:t>
            </w:r>
          </w:p>
        </w:tc>
        <w:tc>
          <w:tcPr>
            <w:tcW w:w="6321" w:type="dxa"/>
            <w:vAlign w:val="center"/>
          </w:tcPr>
          <w:p>
            <w:pPr>
              <w:jc w:val="left"/>
              <w:rPr>
                <w:rFonts w:ascii="宋体" w:hAnsi="宋体" w:cs="宋体"/>
                <w:color w:val="auto"/>
                <w:highlight w:val="none"/>
              </w:rPr>
            </w:pPr>
            <w:r>
              <w:rPr>
                <w:rFonts w:hint="eastAsia" w:ascii="宋体" w:hAnsi="宋体"/>
                <w:color w:val="auto"/>
                <w:highlight w:val="none"/>
              </w:rPr>
              <w:t>在递交投标文件截止时间</w:t>
            </w:r>
            <w:r>
              <w:rPr>
                <w:rFonts w:ascii="宋体" w:hAnsi="宋体" w:cs="宋体"/>
                <w:color w:val="auto"/>
                <w:highlight w:val="none"/>
              </w:rPr>
              <w:t>15</w:t>
            </w:r>
            <w:r>
              <w:rPr>
                <w:rFonts w:hint="eastAsia" w:ascii="宋体" w:hAnsi="宋体"/>
                <w:color w:val="auto"/>
                <w:highlight w:val="none"/>
              </w:rPr>
              <w:t>天前，在广州公共资源交易中心网站通过答疑纪要专区网上公开发布。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2.2.3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投标人确认收到招标文件澄清</w:t>
            </w:r>
          </w:p>
        </w:tc>
        <w:tc>
          <w:tcPr>
            <w:tcW w:w="6321" w:type="dxa"/>
            <w:vAlign w:val="center"/>
          </w:tcPr>
          <w:p>
            <w:pPr>
              <w:pStyle w:val="8"/>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发出即视作收到。</w:t>
            </w:r>
          </w:p>
          <w:p>
            <w:pPr>
              <w:jc w:val="left"/>
              <w:rPr>
                <w:rFonts w:ascii="宋体" w:hAnsi="宋体" w:cs="宋体"/>
                <w:color w:val="auto"/>
                <w:highlight w:val="none"/>
              </w:rPr>
            </w:pPr>
            <w:r>
              <w:rPr>
                <w:rFonts w:hint="eastAsia" w:ascii="宋体" w:hAnsi="宋体" w:cs="宋体"/>
                <w:color w:val="auto"/>
                <w:highlight w:val="none"/>
              </w:rPr>
              <w:t>形式：</w:t>
            </w:r>
            <w:r>
              <w:rPr>
                <w:rFonts w:hint="eastAsia" w:ascii="宋体" w:hAnsi="宋体"/>
                <w:color w:val="auto"/>
                <w:highlight w:val="none"/>
                <w:u w:val="single"/>
              </w:rPr>
              <w:t>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2.3.1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招标文件修改发出的形式</w:t>
            </w:r>
          </w:p>
        </w:tc>
        <w:tc>
          <w:tcPr>
            <w:tcW w:w="6321" w:type="dxa"/>
            <w:vAlign w:val="center"/>
          </w:tcPr>
          <w:p>
            <w:pPr>
              <w:jc w:val="left"/>
              <w:rPr>
                <w:rFonts w:ascii="宋体" w:hAnsi="宋体" w:cs="宋体"/>
                <w:color w:val="auto"/>
                <w:highlight w:val="none"/>
              </w:rPr>
            </w:pPr>
            <w:r>
              <w:rPr>
                <w:rFonts w:hint="eastAsia" w:ascii="宋体" w:hAnsi="宋体"/>
                <w:color w:val="auto"/>
                <w:highlight w:val="none"/>
                <w:u w:val="single"/>
              </w:rPr>
              <w:t>以补充公告或项目答疑澄清的方式在广州公共资源交易中心网站发布</w:t>
            </w:r>
            <w:r>
              <w:rPr>
                <w:rFonts w:hint="eastAsia" w:ascii="宋体" w:hAnsi="宋体" w:cs="宋体"/>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2.3.2</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投标人确认收到招标文件修改</w:t>
            </w:r>
          </w:p>
        </w:tc>
        <w:tc>
          <w:tcPr>
            <w:tcW w:w="6321" w:type="dxa"/>
            <w:vAlign w:val="center"/>
          </w:tcPr>
          <w:p>
            <w:pPr>
              <w:jc w:val="left"/>
              <w:rPr>
                <w:rFonts w:ascii="宋体" w:hAnsi="宋体" w:cs="宋体"/>
                <w:color w:val="auto"/>
                <w:highlight w:val="none"/>
              </w:rPr>
            </w:pPr>
            <w:r>
              <w:rPr>
                <w:rFonts w:hint="eastAsia" w:ascii="宋体" w:hAnsi="宋体" w:cs="宋体"/>
                <w:color w:val="auto"/>
                <w:szCs w:val="21"/>
                <w:highlight w:val="none"/>
              </w:rPr>
              <w:t>时间、形式：发出即视为收到。</w:t>
            </w:r>
            <w:r>
              <w:rPr>
                <w:rFonts w:hint="eastAsia" w:ascii="宋体" w:hAnsi="宋体"/>
                <w:color w:val="auto"/>
                <w:highlight w:val="none"/>
                <w:u w:val="single"/>
              </w:rPr>
              <w:t>招标文件修改一经在广州公共资源交易中心网站发布，视作已发放给所有投标人。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3.1.1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构成投标文件的其他资料</w:t>
            </w:r>
          </w:p>
        </w:tc>
        <w:tc>
          <w:tcPr>
            <w:tcW w:w="6321" w:type="dxa"/>
            <w:vAlign w:val="center"/>
          </w:tcPr>
          <w:p>
            <w:pPr>
              <w:spacing w:line="440" w:lineRule="exact"/>
              <w:jc w:val="left"/>
              <w:rPr>
                <w:rFonts w:ascii="宋体" w:hAnsi="宋体" w:cs="宋体"/>
                <w:color w:val="auto"/>
                <w:highlight w:val="none"/>
              </w:rPr>
            </w:pPr>
            <w:r>
              <w:rPr>
                <w:rFonts w:ascii="宋体" w:hAnsi="宋体"/>
                <w:color w:val="auto"/>
                <w:szCs w:val="21"/>
                <w:highlight w:val="non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增值税税金的计算方法</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szCs w:val="21"/>
                <w:highlight w:val="none"/>
                <w:u w:val="singl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报价方式</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rPr>
              <w:t>投标人根据企业自身情况进行报价，投标单位的报价不得超过最高投标限价，超过的投标将被否决。</w:t>
            </w:r>
          </w:p>
          <w:p>
            <w:pPr>
              <w:spacing w:line="440" w:lineRule="exact"/>
              <w:jc w:val="left"/>
              <w:rPr>
                <w:rFonts w:ascii="宋体" w:hAnsi="宋体" w:cs="宋体"/>
                <w:color w:val="auto"/>
                <w:highlight w:val="none"/>
              </w:rPr>
            </w:pPr>
            <w:r>
              <w:rPr>
                <w:rFonts w:hint="eastAsia" w:ascii="宋体" w:hAnsi="宋体" w:cs="宋体"/>
                <w:color w:val="auto"/>
                <w:highlight w:val="none"/>
              </w:rPr>
              <w:t>结算方式：按合同约定执行。</w:t>
            </w:r>
          </w:p>
          <w:p>
            <w:pPr>
              <w:spacing w:line="440" w:lineRule="exact"/>
              <w:jc w:val="left"/>
              <w:rPr>
                <w:rFonts w:ascii="宋体" w:hAnsi="宋体" w:cs="宋体"/>
                <w:color w:val="auto"/>
                <w:highlight w:val="none"/>
              </w:rPr>
            </w:pPr>
            <w:r>
              <w:rPr>
                <w:rFonts w:hint="eastAsia" w:ascii="宋体" w:hAnsi="宋体" w:cs="宋体"/>
                <w:color w:val="auto"/>
                <w:highlight w:val="none"/>
              </w:rPr>
              <w:t>（以“元”为单位，精确到小数位后2位）。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3.2.4</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最高投标限价</w:t>
            </w:r>
          </w:p>
        </w:tc>
        <w:tc>
          <w:tcPr>
            <w:tcW w:w="6321" w:type="dxa"/>
            <w:vAlign w:val="center"/>
          </w:tcPr>
          <w:p>
            <w:pPr>
              <w:jc w:val="left"/>
              <w:rPr>
                <w:rFonts w:ascii="宋体" w:hAnsi="宋体" w:cs="宋体"/>
                <w:color w:val="auto"/>
                <w:highlight w:val="none"/>
              </w:rPr>
            </w:pPr>
            <w:r>
              <w:rPr>
                <w:rFonts w:hint="eastAsia" w:ascii="宋体" w:hAnsi="宋体" w:cs="宋体"/>
                <w:color w:val="auto"/>
                <w:highlight w:val="none"/>
              </w:rPr>
              <w:t>□无</w:t>
            </w:r>
          </w:p>
          <w:p>
            <w:pPr>
              <w:jc w:val="left"/>
              <w:rPr>
                <w:rFonts w:ascii="宋体" w:hAnsi="宋体" w:cs="宋体"/>
                <w:color w:val="auto"/>
                <w:highlight w:val="none"/>
              </w:rPr>
            </w:pPr>
            <w:r>
              <w:rPr>
                <w:rFonts w:hint="eastAsia" w:ascii="宋体" w:hAnsi="宋体" w:cs="宋体"/>
                <w:color w:val="auto"/>
                <w:highlight w:val="none"/>
              </w:rPr>
              <w:t>■有</w:t>
            </w:r>
          </w:p>
          <w:p>
            <w:pPr>
              <w:jc w:val="left"/>
              <w:rPr>
                <w:rFonts w:ascii="宋体" w:hAnsi="宋体" w:cs="宋体"/>
                <w:color w:val="auto"/>
                <w:highlight w:val="none"/>
              </w:rPr>
            </w:pPr>
            <w:r>
              <w:rPr>
                <w:rFonts w:hint="eastAsia" w:ascii="宋体" w:hAnsi="宋体" w:cs="宋体"/>
                <w:color w:val="auto"/>
                <w:highlight w:val="none"/>
              </w:rPr>
              <w:t>本项目最高投标限价总价为人民币</w:t>
            </w:r>
            <w:r>
              <w:rPr>
                <w:rFonts w:hint="eastAsia" w:ascii="宋体" w:hAnsi="宋体" w:cs="宋体"/>
                <w:color w:val="auto"/>
                <w:highlight w:val="none"/>
                <w:u w:val="single"/>
                <w:lang w:val="en-US" w:eastAsia="zh-CN"/>
              </w:rPr>
              <w:t>2404880.00</w:t>
            </w:r>
            <w:r>
              <w:rPr>
                <w:rFonts w:hint="eastAsia" w:ascii="宋体" w:hAnsi="宋体" w:cs="宋体"/>
                <w:color w:val="auto"/>
                <w:highlight w:val="none"/>
              </w:rPr>
              <w:t>元，其中：鱼珠隧道工程最高投标限价为人民币</w:t>
            </w:r>
            <w:r>
              <w:rPr>
                <w:rFonts w:hint="eastAsia" w:ascii="宋体" w:hAnsi="宋体" w:cs="宋体"/>
                <w:color w:val="auto"/>
                <w:highlight w:val="none"/>
                <w:u w:val="single"/>
              </w:rPr>
              <w:t>1308550.00</w:t>
            </w:r>
            <w:r>
              <w:rPr>
                <w:rFonts w:hint="eastAsia" w:ascii="宋体" w:hAnsi="宋体" w:cs="宋体"/>
                <w:color w:val="auto"/>
                <w:highlight w:val="none"/>
              </w:rPr>
              <w:t>元、车陂路-新滘东路隧道（二期）工程最高投标限价为人民币</w:t>
            </w:r>
            <w:r>
              <w:rPr>
                <w:rFonts w:hint="eastAsia" w:ascii="宋体" w:hAnsi="宋体" w:cs="宋体"/>
                <w:color w:val="auto"/>
                <w:highlight w:val="none"/>
                <w:u w:val="single"/>
              </w:rPr>
              <w:t>166210.00</w:t>
            </w:r>
            <w:r>
              <w:rPr>
                <w:rFonts w:hint="eastAsia" w:ascii="宋体" w:hAnsi="宋体" w:cs="宋体"/>
                <w:color w:val="auto"/>
                <w:highlight w:val="none"/>
              </w:rPr>
              <w:t>元、会展西路过江隧道工程最高投标限价为人民币</w:t>
            </w:r>
            <w:r>
              <w:rPr>
                <w:rFonts w:hint="eastAsia" w:ascii="宋体" w:hAnsi="宋体" w:cs="宋体"/>
                <w:color w:val="auto"/>
                <w:highlight w:val="none"/>
                <w:u w:val="single"/>
              </w:rPr>
              <w:t>930120.00</w:t>
            </w:r>
            <w:r>
              <w:rPr>
                <w:rFonts w:hint="eastAsia" w:ascii="宋体" w:hAnsi="宋体" w:cs="宋体"/>
                <w:color w:val="auto"/>
                <w:highlight w:val="none"/>
              </w:rPr>
              <w:t>元。</w:t>
            </w:r>
          </w:p>
          <w:p>
            <w:pPr>
              <w:jc w:val="left"/>
              <w:rPr>
                <w:rFonts w:ascii="宋体" w:hAnsi="宋体" w:cs="宋体"/>
                <w:color w:val="auto"/>
                <w:highlight w:val="none"/>
              </w:rPr>
            </w:pPr>
            <w:r>
              <w:rPr>
                <w:rFonts w:hint="eastAsia" w:ascii="宋体" w:hAnsi="宋体" w:cs="宋体"/>
                <w:color w:val="auto"/>
                <w:highlight w:val="none"/>
              </w:rPr>
              <w:t>投标总报价不超过最高投标限价总价及各单个项目投标报价不超过单个项目最高投标限价。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3.2.5</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投标报价的其他要求</w:t>
            </w:r>
          </w:p>
        </w:tc>
        <w:tc>
          <w:tcPr>
            <w:tcW w:w="6321" w:type="dxa"/>
            <w:vAlign w:val="center"/>
          </w:tcPr>
          <w:p>
            <w:pPr>
              <w:spacing w:line="440" w:lineRule="exact"/>
              <w:jc w:val="left"/>
              <w:rPr>
                <w:rFonts w:ascii="宋体" w:hAnsi="宋体" w:cs="宋体"/>
                <w:color w:val="auto"/>
                <w:highlight w:val="none"/>
              </w:rPr>
            </w:pPr>
            <w:r>
              <w:rPr>
                <w:rFonts w:hint="eastAsia" w:ascii="宋体" w:hAnsi="宋体" w:cs="宋体"/>
                <w:color w:val="auto"/>
                <w:highlight w:val="none"/>
                <w:u w:val="single"/>
              </w:rPr>
              <w:t>投标人必须详细审阅全部招标文件及相关文件,充分考虑职责和义务,全面地理解招标文件对投标报价的要求,并按招标人提出的条件及内容进行报价。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3.3.1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投标有效期</w:t>
            </w:r>
          </w:p>
        </w:tc>
        <w:tc>
          <w:tcPr>
            <w:tcW w:w="6321" w:type="dxa"/>
            <w:vAlign w:val="center"/>
          </w:tcPr>
          <w:p>
            <w:pPr>
              <w:spacing w:line="440" w:lineRule="exact"/>
              <w:jc w:val="left"/>
              <w:rPr>
                <w:rFonts w:ascii="宋体" w:hAnsi="宋体" w:cs="宋体"/>
                <w:color w:val="auto"/>
                <w:highlight w:val="none"/>
              </w:rPr>
            </w:pPr>
            <w:bookmarkStart w:id="4" w:name="_Toc352691470"/>
            <w:bookmarkStart w:id="5" w:name="_Toc300834946"/>
            <w:bookmarkStart w:id="6" w:name="_Toc1789"/>
            <w:bookmarkStart w:id="7" w:name="_Toc369531512"/>
            <w:bookmarkStart w:id="8" w:name="_Toc384308207"/>
            <w:bookmarkStart w:id="9" w:name="_Toc361508582"/>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4"/>
      <w:bookmarkEnd w:id="5"/>
      <w:bookmarkEnd w:id="6"/>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3.4.1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投标保证金</w:t>
            </w:r>
          </w:p>
        </w:tc>
        <w:tc>
          <w:tcPr>
            <w:tcW w:w="6321" w:type="dxa"/>
            <w:vAlign w:val="center"/>
          </w:tcPr>
          <w:p>
            <w:pPr>
              <w:widowControl/>
              <w:ind w:firstLine="105" w:firstLineChars="50"/>
              <w:jc w:val="left"/>
              <w:rPr>
                <w:rFonts w:ascii="宋体" w:hAnsi="宋体" w:cs="宋体"/>
                <w:color w:val="auto"/>
                <w:highlight w:val="none"/>
              </w:rPr>
            </w:pPr>
            <w:r>
              <w:rPr>
                <w:rFonts w:hint="eastAsia" w:ascii="宋体" w:hAnsi="宋体" w:cs="宋体"/>
                <w:color w:val="auto"/>
                <w:highlight w:val="none"/>
              </w:rPr>
              <w:t>是否要求投标人递交投标保证金：</w:t>
            </w:r>
          </w:p>
          <w:p>
            <w:pPr>
              <w:widowControl/>
              <w:ind w:firstLine="105" w:firstLineChars="50"/>
              <w:jc w:val="left"/>
              <w:rPr>
                <w:rFonts w:ascii="宋体"/>
                <w:color w:val="auto"/>
                <w:highlight w:val="none"/>
              </w:rPr>
            </w:pPr>
            <w:r>
              <w:rPr>
                <w:rFonts w:hint="eastAsia" w:ascii="宋体" w:hAnsi="宋体" w:cs="宋体"/>
                <w:color w:val="auto"/>
                <w:highlight w:val="none"/>
              </w:rPr>
              <w:t>■要求，</w:t>
            </w:r>
            <w:r>
              <w:rPr>
                <w:rFonts w:hint="eastAsia" w:ascii="宋体" w:hAnsi="宋体" w:cs="宋体"/>
                <w:color w:val="auto"/>
                <w:highlight w:val="none"/>
                <w:u w:val="single"/>
              </w:rPr>
              <w:t>4</w:t>
            </w:r>
            <w:r>
              <w:rPr>
                <w:rFonts w:ascii="宋体" w:hAnsi="宋体" w:cs="宋体"/>
                <w:color w:val="auto"/>
                <w:highlight w:val="none"/>
                <w:u w:val="single"/>
              </w:rPr>
              <w:t xml:space="preserve"> </w:t>
            </w:r>
            <w:r>
              <w:rPr>
                <w:rFonts w:hint="eastAsia" w:ascii="宋体" w:hAnsi="宋体" w:cs="宋体"/>
                <w:color w:val="auto"/>
                <w:highlight w:val="none"/>
              </w:rPr>
              <w:t>万元人民币。</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投标保证金有效期：与投标有效期一致。</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 一、 投标保证金的形式：投标保证金可采用现金、银行汇票、银行本票、银行电汇、支票（现金支票、转账支票）、投标保证保险、投标保函（银行或专业担保公司出具）的形式，须在递交投标文件截止时间前完成缴纳。</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 xml:space="preserve"> 二、 投标保证金的提交方式：</w:t>
            </w:r>
          </w:p>
          <w:p>
            <w:pPr>
              <w:pStyle w:val="9"/>
              <w:topLinePunct/>
              <w:spacing w:line="360" w:lineRule="exact"/>
              <w:rPr>
                <w:rFonts w:hAnsi="宋体"/>
                <w:color w:val="auto"/>
                <w:sz w:val="21"/>
                <w:szCs w:val="21"/>
                <w:highlight w:val="none"/>
              </w:rPr>
            </w:pPr>
            <w:r>
              <w:rPr>
                <w:rFonts w:hint="eastAsia" w:hAnsi="宋体"/>
                <w:color w:val="auto"/>
                <w:sz w:val="21"/>
                <w:szCs w:val="21"/>
                <w:highlight w:val="none"/>
              </w:rPr>
              <w:t>（1）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网站查询为准。具体操作流程详见广州交易集团有限公司最新的投标保证金缴纳操作指引或自行咨询交易中心(咨询电话：020-28866000)。</w:t>
            </w:r>
          </w:p>
          <w:p>
            <w:pPr>
              <w:pStyle w:val="9"/>
              <w:topLinePunct/>
              <w:spacing w:line="400" w:lineRule="exact"/>
              <w:rPr>
                <w:rFonts w:hAnsi="宋体"/>
                <w:color w:val="auto"/>
                <w:sz w:val="21"/>
                <w:szCs w:val="21"/>
                <w:highlight w:val="none"/>
              </w:rPr>
            </w:pPr>
            <w:r>
              <w:rPr>
                <w:rFonts w:hint="eastAsia" w:hAnsi="宋体"/>
                <w:color w:val="auto"/>
                <w:sz w:val="21"/>
                <w:szCs w:val="21"/>
                <w:highlight w:val="none"/>
              </w:rPr>
              <w:t>（2）如采用投标保函、投标保证保险形式提交投标保证金的，投标保函或投标保证保险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pStyle w:val="28"/>
              <w:rPr>
                <w:rFonts w:hint="eastAsia" w:hAnsi="宋体"/>
                <w:b/>
                <w:color w:val="auto"/>
                <w:szCs w:val="21"/>
                <w:highlight w:val="none"/>
              </w:rPr>
            </w:pPr>
            <w:r>
              <w:rPr>
                <w:rFonts w:hint="eastAsia" w:hAnsi="宋体"/>
                <w:color w:val="auto"/>
                <w:szCs w:val="21"/>
                <w:highlight w:val="none"/>
              </w:rPr>
              <w:t>（3）</w:t>
            </w:r>
            <w:r>
              <w:rPr>
                <w:rFonts w:hint="eastAsia" w:hAnsi="宋体"/>
                <w:b/>
                <w:color w:val="auto"/>
                <w:szCs w:val="21"/>
                <w:highlight w:val="none"/>
              </w:rPr>
              <w:t>如为联合体投标，投标保证金可由主办方提交。</w:t>
            </w:r>
          </w:p>
          <w:p>
            <w:pPr>
              <w:pStyle w:val="28"/>
              <w:rPr>
                <w:rFonts w:cs="宋体"/>
                <w:color w:val="auto"/>
                <w:sz w:val="32"/>
                <w:highlight w:val="none"/>
              </w:rPr>
            </w:pPr>
            <w:r>
              <w:rPr>
                <w:rFonts w:hint="eastAsia" w:hAnsi="宋体"/>
                <w:color w:val="auto"/>
                <w:szCs w:val="21"/>
                <w:highlight w:val="none"/>
              </w:rPr>
              <w:sym w:font="Wingdings 2" w:char="00A3"/>
            </w:r>
            <w:r>
              <w:rPr>
                <w:rFonts w:hint="eastAsia" w:hAnsi="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3.4.4</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其他可以不予退还投标保证金的情形</w:t>
            </w:r>
          </w:p>
        </w:tc>
        <w:tc>
          <w:tcPr>
            <w:tcW w:w="6321" w:type="dxa"/>
            <w:vAlign w:val="center"/>
          </w:tcPr>
          <w:p>
            <w:pPr>
              <w:pStyle w:val="28"/>
              <w:rPr>
                <w:rFonts w:cs="宋体"/>
                <w:color w:val="auto"/>
                <w:highlight w:val="none"/>
              </w:rPr>
            </w:pPr>
            <w:r>
              <w:rPr>
                <w:rFonts w:hint="eastAsia" w:cs="宋体"/>
                <w:color w:val="auto"/>
                <w:highlight w:val="none"/>
              </w:rPr>
              <w:t>（4）存在串通投标、围标情况的；</w:t>
            </w:r>
          </w:p>
          <w:p>
            <w:pPr>
              <w:pStyle w:val="28"/>
              <w:rPr>
                <w:rFonts w:cs="宋体"/>
                <w:color w:val="auto"/>
                <w:highlight w:val="none"/>
              </w:rPr>
            </w:pPr>
            <w:r>
              <w:rPr>
                <w:rFonts w:hint="eastAsia" w:cs="宋体"/>
                <w:color w:val="auto"/>
                <w:highlight w:val="none"/>
              </w:rPr>
              <w:t>（5）投标人以他人名义投标或者允许他人挂靠投标或借用本公司名义投标的；</w:t>
            </w:r>
          </w:p>
          <w:p>
            <w:pPr>
              <w:pStyle w:val="28"/>
              <w:rPr>
                <w:rFonts w:cs="宋体"/>
                <w:color w:val="auto"/>
                <w:highlight w:val="none"/>
              </w:rPr>
            </w:pPr>
            <w:r>
              <w:rPr>
                <w:rFonts w:hint="eastAsia" w:cs="宋体"/>
                <w:color w:val="auto"/>
                <w:highlight w:val="none"/>
              </w:rPr>
              <w:t>（6）提供虚假投标文件、虚假证明、虚假承诺/声明/保证或者以其他方式弄虚作假的；</w:t>
            </w:r>
          </w:p>
          <w:p>
            <w:pPr>
              <w:pStyle w:val="28"/>
              <w:rPr>
                <w:rFonts w:cs="宋体"/>
                <w:color w:val="auto"/>
                <w:highlight w:val="none"/>
              </w:rPr>
            </w:pPr>
            <w:r>
              <w:rPr>
                <w:rFonts w:hint="eastAsia" w:cs="宋体"/>
                <w:color w:val="auto"/>
                <w:highlight w:val="none"/>
              </w:rPr>
              <w:t>（7）法律或者本招标文件规定的其他情形。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资格审查资料的特殊要求</w:t>
            </w:r>
          </w:p>
        </w:tc>
        <w:tc>
          <w:tcPr>
            <w:tcW w:w="6321" w:type="dxa"/>
            <w:vAlign w:val="center"/>
          </w:tcPr>
          <w:p>
            <w:pPr>
              <w:pStyle w:val="9"/>
              <w:topLinePunct/>
              <w:snapToGrid w:val="0"/>
              <w:spacing w:line="360" w:lineRule="auto"/>
              <w:rPr>
                <w:rFonts w:hAnsi="宋体"/>
                <w:color w:val="auto"/>
                <w:sz w:val="21"/>
                <w:szCs w:val="21"/>
                <w:highlight w:val="none"/>
              </w:rPr>
            </w:pPr>
            <w:r>
              <w:rPr>
                <w:rFonts w:hAnsi="宋体"/>
                <w:color w:val="auto"/>
                <w:sz w:val="21"/>
                <w:szCs w:val="21"/>
                <w:highlight w:val="none"/>
              </w:rPr>
              <w:t>■无</w:t>
            </w:r>
          </w:p>
          <w:p>
            <w:pPr>
              <w:pStyle w:val="9"/>
              <w:topLinePunct/>
              <w:snapToGrid w:val="0"/>
              <w:spacing w:line="360" w:lineRule="auto"/>
              <w:rPr>
                <w:rFonts w:cs="宋体"/>
                <w:color w:val="auto"/>
                <w:szCs w:val="22"/>
                <w:highlight w:val="none"/>
              </w:rPr>
            </w:pPr>
            <w:r>
              <w:rPr>
                <w:rFonts w:hint="eastAsia" w:cs="宋体"/>
                <w:color w:val="auto"/>
                <w:highlight w:val="none"/>
              </w:rPr>
              <w:t>□</w:t>
            </w:r>
            <w:r>
              <w:rPr>
                <w:rFonts w:hAnsi="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3.5.2</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近年财务状况的年份要求</w:t>
            </w:r>
          </w:p>
        </w:tc>
        <w:tc>
          <w:tcPr>
            <w:tcW w:w="6321" w:type="dxa"/>
            <w:vAlign w:val="center"/>
          </w:tcPr>
          <w:p>
            <w:pPr>
              <w:spacing w:line="440" w:lineRule="exact"/>
              <w:rPr>
                <w:rFonts w:ascii="宋体" w:hAnsi="宋体" w:cs="宋体"/>
                <w:color w:val="auto"/>
                <w:highlight w:val="none"/>
                <w:u w:val="single"/>
              </w:rPr>
            </w:pPr>
            <w:r>
              <w:rPr>
                <w:rFonts w:hint="eastAsia" w:ascii="宋体" w:hAnsi="宋体" w:cs="宋体"/>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3.5.3</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近年承担过的类似项目情况的时间要求</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highlight w:val="none"/>
                <w:u w:val="single"/>
              </w:rPr>
              <w:t>201</w:t>
            </w:r>
            <w:r>
              <w:rPr>
                <w:rFonts w:hint="eastAsia" w:ascii="宋体" w:hAnsi="宋体" w:cs="宋体"/>
                <w:color w:val="auto"/>
                <w:highlight w:val="none"/>
                <w:u w:val="single"/>
                <w:lang w:eastAsia="zh-CN"/>
              </w:rPr>
              <w:t>7</w:t>
            </w:r>
            <w:r>
              <w:rPr>
                <w:rFonts w:hint="eastAsia" w:ascii="宋体" w:hAnsi="宋体" w:cs="宋体"/>
                <w:color w:val="auto"/>
                <w:highlight w:val="none"/>
                <w:u w:val="single"/>
              </w:rPr>
              <w:t>年1月1日至今（时间以合同签订时间为准）。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3.5.5</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highlight w:val="none"/>
              </w:rPr>
              <w:t>近年发生的诉讼及仲裁情况的时间要求</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3.6.1</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是否允许递交备选投标方案</w:t>
            </w:r>
          </w:p>
        </w:tc>
        <w:tc>
          <w:tcPr>
            <w:tcW w:w="6321" w:type="dxa"/>
            <w:vAlign w:val="center"/>
          </w:tcPr>
          <w:p>
            <w:pPr>
              <w:pStyle w:val="28"/>
              <w:rPr>
                <w:rFonts w:cs="宋体"/>
                <w:color w:val="auto"/>
                <w:highlight w:val="none"/>
              </w:rPr>
            </w:pPr>
            <w:r>
              <w:rPr>
                <w:rFonts w:hint="eastAsia" w:cs="宋体"/>
                <w:color w:val="auto"/>
                <w:highlight w:val="none"/>
              </w:rPr>
              <w:t>■不允许</w:t>
            </w:r>
          </w:p>
          <w:p>
            <w:pPr>
              <w:pStyle w:val="28"/>
              <w:rPr>
                <w:rFonts w:cs="宋体"/>
                <w:color w:val="auto"/>
                <w:highlight w:val="none"/>
              </w:rPr>
            </w:pPr>
            <w:r>
              <w:rPr>
                <w:rFonts w:hint="eastAsia" w:cs="宋体"/>
                <w:color w:val="auto"/>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3.7.3</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投标文件所附证书证件要求</w:t>
            </w:r>
          </w:p>
        </w:tc>
        <w:tc>
          <w:tcPr>
            <w:tcW w:w="6321" w:type="dxa"/>
            <w:vAlign w:val="center"/>
          </w:tcPr>
          <w:p>
            <w:pPr>
              <w:pStyle w:val="9"/>
              <w:topLinePunct/>
              <w:snapToGrid w:val="0"/>
              <w:spacing w:line="360" w:lineRule="auto"/>
              <w:rPr>
                <w:rFonts w:hAnsi="宋体" w:cs="宋体"/>
                <w:color w:val="auto"/>
                <w:highlight w:val="none"/>
                <w:u w:val="single"/>
              </w:rPr>
            </w:pPr>
            <w:r>
              <w:rPr>
                <w:rFonts w:hint="eastAsia" w:hAnsi="宋体" w:cs="宋体"/>
                <w:color w:val="auto"/>
                <w:sz w:val="21"/>
                <w:szCs w:val="21"/>
                <w:highlight w:val="none"/>
                <w:u w:val="singl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jc w:val="center"/>
              <w:rPr>
                <w:rFonts w:ascii="宋体" w:hAnsi="宋体" w:cs="宋体"/>
                <w:color w:val="auto"/>
                <w:highlight w:val="none"/>
              </w:rPr>
            </w:pPr>
            <w:r>
              <w:rPr>
                <w:rFonts w:hint="eastAsia" w:ascii="宋体" w:hAnsi="宋体" w:cs="宋体"/>
                <w:color w:val="auto"/>
                <w:highlight w:val="none"/>
              </w:rPr>
              <w:t>3.7.3（A）</w:t>
            </w:r>
          </w:p>
        </w:tc>
        <w:tc>
          <w:tcPr>
            <w:tcW w:w="2123" w:type="dxa"/>
            <w:vAlign w:val="center"/>
          </w:tcPr>
          <w:p>
            <w:pPr>
              <w:jc w:val="center"/>
              <w:rPr>
                <w:rFonts w:ascii="宋体" w:hAnsi="宋体" w:cs="宋体"/>
                <w:color w:val="auto"/>
                <w:highlight w:val="none"/>
              </w:rPr>
            </w:pPr>
            <w:r>
              <w:rPr>
                <w:rFonts w:hint="eastAsia" w:ascii="宋体" w:hAnsi="宋体" w:cs="宋体"/>
                <w:color w:val="auto"/>
                <w:highlight w:val="none"/>
              </w:rPr>
              <w:t>投标文件签字或盖章要求</w:t>
            </w:r>
          </w:p>
        </w:tc>
        <w:tc>
          <w:tcPr>
            <w:tcW w:w="6321" w:type="dxa"/>
            <w:vAlign w:val="center"/>
          </w:tcPr>
          <w:p>
            <w:pPr>
              <w:pStyle w:val="9"/>
              <w:topLinePunct/>
              <w:adjustRightInd w:val="0"/>
              <w:snapToGrid w:val="0"/>
              <w:spacing w:line="360" w:lineRule="auto"/>
              <w:textAlignment w:val="baseline"/>
              <w:outlineLvl w:val="1"/>
              <w:rPr>
                <w:rFonts w:hAnsi="宋体" w:cs="宋体"/>
                <w:color w:val="auto"/>
                <w:highlight w:val="none"/>
                <w:u w:val="single"/>
              </w:rPr>
            </w:pPr>
            <w:r>
              <w:rPr>
                <w:rFonts w:hint="eastAsia" w:cs="宋体"/>
                <w:color w:val="auto"/>
                <w:sz w:val="21"/>
                <w:szCs w:val="21"/>
                <w:highlight w:val="none"/>
                <w:u w:val="single"/>
              </w:rPr>
              <w:t>投标文件全部采用电子文档，投标文件所附证书证件均为扫描件，并采用单位数字证书，按招标文件要求在相应位置加盖电子印章。投标文件中需个人签字或盖章的，应手签后扫描上传。具体操作详见广州公共资源交易中心网站发布的《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napToGrid w:val="0"/>
              <w:jc w:val="center"/>
              <w:rPr>
                <w:rFonts w:ascii="宋体" w:hAnsi="宋体" w:cs="宋体"/>
                <w:color w:val="auto"/>
                <w:sz w:val="24"/>
                <w:szCs w:val="24"/>
                <w:highlight w:val="none"/>
              </w:rPr>
            </w:pPr>
            <w:r>
              <w:rPr>
                <w:rFonts w:hint="eastAsia" w:ascii="宋体" w:hAnsi="宋体" w:cs="宋体"/>
                <w:color w:val="auto"/>
                <w:highlight w:val="none"/>
              </w:rPr>
              <w:t>4.1.1</w:t>
            </w:r>
          </w:p>
        </w:tc>
        <w:tc>
          <w:tcPr>
            <w:tcW w:w="2123"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投标文件加密要求</w:t>
            </w:r>
          </w:p>
        </w:tc>
        <w:tc>
          <w:tcPr>
            <w:tcW w:w="6321" w:type="dxa"/>
            <w:vAlign w:val="center"/>
          </w:tcPr>
          <w:p>
            <w:pPr>
              <w:pStyle w:val="9"/>
              <w:topLinePunct/>
              <w:adjustRightInd w:val="0"/>
              <w:snapToGrid w:val="0"/>
              <w:spacing w:line="360" w:lineRule="auto"/>
              <w:textAlignment w:val="baseline"/>
              <w:outlineLvl w:val="1"/>
              <w:rPr>
                <w:rFonts w:hAnsi="宋体" w:cs="宋体"/>
                <w:color w:val="auto"/>
                <w:sz w:val="21"/>
                <w:szCs w:val="22"/>
                <w:highlight w:val="none"/>
                <w:u w:val="single"/>
              </w:rPr>
            </w:pPr>
            <w:r>
              <w:rPr>
                <w:rFonts w:hint="eastAsia" w:cs="宋体"/>
                <w:color w:val="auto"/>
                <w:sz w:val="21"/>
                <w:szCs w:val="21"/>
                <w:highlight w:val="none"/>
                <w:u w:val="single"/>
              </w:rPr>
              <w:t>网上递交的电子投标文件须进行加密。具体操作详见附件《房屋建筑和市政基础设施工程全流程电子化项目专章》。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4.1.2</w:t>
            </w:r>
          </w:p>
        </w:tc>
        <w:tc>
          <w:tcPr>
            <w:tcW w:w="2123" w:type="dxa"/>
            <w:vAlign w:val="center"/>
          </w:tcPr>
          <w:p>
            <w:pPr>
              <w:spacing w:line="440" w:lineRule="exact"/>
              <w:jc w:val="center"/>
              <w:rPr>
                <w:rFonts w:ascii="宋体" w:hAnsi="宋体" w:cs="宋体"/>
                <w:color w:val="auto"/>
                <w:highlight w:val="none"/>
                <w:shd w:val="clear" w:color="FFFFFF" w:fill="D9D9D9"/>
              </w:rPr>
            </w:pPr>
            <w:r>
              <w:rPr>
                <w:rFonts w:hint="eastAsia" w:ascii="宋体" w:hAnsi="宋体" w:cs="宋体"/>
                <w:color w:val="auto"/>
                <w:highlight w:val="none"/>
              </w:rPr>
              <w:t>封套上应载明的信息</w:t>
            </w:r>
          </w:p>
        </w:tc>
        <w:tc>
          <w:tcPr>
            <w:tcW w:w="6321" w:type="dxa"/>
            <w:vAlign w:val="center"/>
          </w:tcPr>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如有提交投标文件光盘备用，封套上应注明如下信息：</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招标人名称：</w:t>
            </w:r>
            <w:r>
              <w:rPr>
                <w:rFonts w:hint="eastAsia" w:hAnsi="宋体" w:cs="宋体"/>
                <w:color w:val="auto"/>
                <w:sz w:val="21"/>
                <w:szCs w:val="21"/>
                <w:highlight w:val="none"/>
                <w:u w:val="single"/>
              </w:rPr>
              <w:t xml:space="preserve">          </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招标人地址：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（项目名称）招标项目投标文件</w:t>
            </w:r>
          </w:p>
          <w:p>
            <w:pPr>
              <w:spacing w:line="360" w:lineRule="auto"/>
              <w:rPr>
                <w:rFonts w:hAnsi="宋体" w:cs="宋体"/>
                <w:color w:val="auto"/>
                <w:szCs w:val="21"/>
                <w:highlight w:val="none"/>
              </w:rPr>
            </w:pPr>
            <w:r>
              <w:rPr>
                <w:rFonts w:hint="eastAsia" w:hAnsi="宋体" w:cs="宋体"/>
                <w:color w:val="auto"/>
                <w:szCs w:val="21"/>
                <w:highlight w:val="none"/>
              </w:rPr>
              <w:t>招标项目编号：</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投标人地址：</w:t>
            </w:r>
            <w:r>
              <w:rPr>
                <w:rFonts w:hint="eastAsia" w:ascii="宋体" w:hAnsi="宋体" w:cs="宋体"/>
                <w:color w:val="auto"/>
                <w:szCs w:val="21"/>
                <w:highlight w:val="none"/>
                <w:u w:val="single"/>
              </w:rPr>
              <w:t xml:space="preserve">                    </w:t>
            </w:r>
          </w:p>
          <w:p>
            <w:pPr>
              <w:pStyle w:val="9"/>
              <w:topLinePunct/>
              <w:spacing w:line="400" w:lineRule="exact"/>
              <w:rPr>
                <w:rFonts w:hAnsi="宋体" w:cs="宋体"/>
                <w:color w:val="auto"/>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4.2.1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投标截止时间</w:t>
            </w:r>
          </w:p>
        </w:tc>
        <w:tc>
          <w:tcPr>
            <w:tcW w:w="632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分(北京时间) </w:t>
            </w:r>
          </w:p>
          <w:p>
            <w:pPr>
              <w:spacing w:line="440" w:lineRule="exact"/>
              <w:rPr>
                <w:rFonts w:ascii="宋体" w:hAnsi="宋体" w:cs="宋体"/>
                <w:color w:val="auto"/>
                <w:highlight w:val="none"/>
              </w:rPr>
            </w:pPr>
            <w:r>
              <w:rPr>
                <w:rFonts w:hint="eastAsia" w:ascii="宋体" w:hAnsi="宋体" w:cs="宋体"/>
                <w:color w:val="auto"/>
                <w:szCs w:val="21"/>
                <w:highlight w:val="none"/>
                <w:u w:val="single"/>
              </w:rPr>
              <w:t>（详见广州公共资源交易中心网站信息）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4.2.2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szCs w:val="21"/>
                <w:highlight w:val="none"/>
              </w:rPr>
              <w:t>递交电子投标文件交易平台</w:t>
            </w:r>
          </w:p>
        </w:tc>
        <w:tc>
          <w:tcPr>
            <w:tcW w:w="6321" w:type="dxa"/>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2.递交投标文件的起始时间：（详见广州公共资源交易中心网站信息）。</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截止时间：（详见广州公共资源交易中心网站信息）</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3.地点：广州公共资源交易中心网站。 </w:t>
            </w:r>
          </w:p>
          <w:p>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4.</w:t>
            </w:r>
            <w:r>
              <w:rPr>
                <w:rFonts w:hint="eastAsia" w:ascii="宋体" w:hAnsi="宋体"/>
                <w:color w:val="auto"/>
                <w:highlight w:val="none"/>
                <w:u w:val="single"/>
              </w:rPr>
              <w:t>上述时间及地点是否有改变，请密切留意招标答疑纪要的相关信息。也可登录广州公共资源交易中心网站首页，点击“服务指南”专栏中的“交易活动安排”，输入项目编号或项目名称查询最新信息。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4.2.3</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投标文件是否退还</w:t>
            </w:r>
          </w:p>
        </w:tc>
        <w:tc>
          <w:tcPr>
            <w:tcW w:w="6321" w:type="dxa"/>
            <w:vAlign w:val="center"/>
          </w:tcPr>
          <w:p>
            <w:pPr>
              <w:pStyle w:val="9"/>
              <w:topLinePunct/>
              <w:spacing w:line="400" w:lineRule="exact"/>
              <w:rPr>
                <w:rFonts w:hAnsi="宋体" w:cs="宋体"/>
                <w:color w:val="auto"/>
                <w:szCs w:val="22"/>
                <w:highlight w:val="none"/>
              </w:rPr>
            </w:pPr>
            <w:r>
              <w:rPr>
                <w:rFonts w:hint="eastAsia" w:hAnsi="宋体" w:cs="宋体"/>
                <w:color w:val="auto"/>
                <w:sz w:val="21"/>
                <w:szCs w:val="21"/>
                <w:highlight w:val="none"/>
              </w:rPr>
              <w:t>■</w:t>
            </w:r>
            <w:r>
              <w:rPr>
                <w:rFonts w:hint="eastAsia" w:hAnsi="宋体" w:cs="宋体"/>
                <w:color w:val="auto"/>
                <w:sz w:val="21"/>
                <w:szCs w:val="22"/>
                <w:highlight w:val="none"/>
              </w:rPr>
              <w:t>否</w:t>
            </w:r>
          </w:p>
          <w:p>
            <w:pPr>
              <w:pStyle w:val="9"/>
              <w:topLinePunct/>
              <w:spacing w:line="400" w:lineRule="exact"/>
              <w:rPr>
                <w:rFonts w:hAnsi="宋体" w:cs="宋体"/>
                <w:color w:val="auto"/>
                <w:sz w:val="21"/>
                <w:szCs w:val="22"/>
                <w:highlight w:val="none"/>
              </w:rPr>
            </w:pPr>
            <w:r>
              <w:rPr>
                <w:rFonts w:hint="eastAsia" w:hAnsi="宋体" w:cs="宋体"/>
                <w:color w:val="auto"/>
                <w:sz w:val="21"/>
                <w:szCs w:val="22"/>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5.1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开标时间和地点</w:t>
            </w:r>
          </w:p>
        </w:tc>
        <w:tc>
          <w:tcPr>
            <w:tcW w:w="6321" w:type="dxa"/>
            <w:vAlign w:val="center"/>
          </w:tcPr>
          <w:p>
            <w:pPr>
              <w:spacing w:line="360" w:lineRule="auto"/>
              <w:rPr>
                <w:rFonts w:ascii="宋体" w:hAnsi="宋体"/>
                <w:color w:val="auto"/>
                <w:highlight w:val="none"/>
              </w:rPr>
            </w:pPr>
            <w:r>
              <w:rPr>
                <w:rFonts w:hint="eastAsia" w:ascii="宋体" w:hAnsi="宋体"/>
                <w:color w:val="auto"/>
                <w:highlight w:val="none"/>
              </w:rPr>
              <w:t>开标时间：同投标截止时间。</w:t>
            </w:r>
          </w:p>
          <w:p>
            <w:pPr>
              <w:rPr>
                <w:rFonts w:ascii="宋体" w:hAnsi="宋体" w:cs="宋体"/>
                <w:color w:val="auto"/>
                <w:highlight w:val="none"/>
              </w:rPr>
            </w:pPr>
            <w:r>
              <w:rPr>
                <w:rFonts w:hint="eastAsia" w:ascii="宋体" w:hAnsi="宋体"/>
                <w:color w:val="auto"/>
                <w:highlight w:val="none"/>
              </w:rPr>
              <w:t>开标地点：本项目具体的招投标活动日程安排及场地安排以</w:t>
            </w:r>
            <w:r>
              <w:rPr>
                <w:rFonts w:hint="eastAsia" w:ascii="宋体" w:hAnsi="宋体"/>
                <w:color w:val="auto"/>
                <w:highlight w:val="none"/>
                <w:u w:val="single"/>
              </w:rPr>
              <w:t>广州公共资源交易中心网站</w:t>
            </w:r>
            <w:r>
              <w:rPr>
                <w:rFonts w:hint="eastAsia" w:ascii="宋体" w:hAnsi="宋体"/>
                <w:color w:val="auto"/>
                <w:highlight w:val="none"/>
              </w:rPr>
              <w:t>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szCs w:val="21"/>
                <w:highlight w:val="none"/>
              </w:rPr>
              <w:t>5.2（新增）</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szCs w:val="21"/>
                <w:highlight w:val="none"/>
              </w:rPr>
              <w:t>开标程序</w:t>
            </w:r>
          </w:p>
        </w:tc>
        <w:tc>
          <w:tcPr>
            <w:tcW w:w="6321" w:type="dxa"/>
            <w:vAlign w:val="center"/>
          </w:tcPr>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5.2.1主持人按下列程序进行开标：</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（1）宣布开标纪律；</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（4）投标人通过电子招标投标交易平台对已递交的电子投标文件进行解密，公布招标项目名称、投标人名称、投标保证金的递交情况、投标报价、服务期限及其他内容，并记录在案；</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（5）投标人代表、招标人代表、监标人、记录人等有关人员在开标记录上签字确认；若有关人员不签字的，不影响开标程序；</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（6）开标结束。</w:t>
            </w:r>
          </w:p>
          <w:p>
            <w:pPr>
              <w:spacing w:line="360" w:lineRule="auto"/>
              <w:ind w:left="40" w:leftChars="19" w:right="107" w:rightChars="51"/>
              <w:rPr>
                <w:rFonts w:ascii="宋体" w:hAnsi="宋体" w:cs="宋体"/>
                <w:color w:val="auto"/>
                <w:szCs w:val="21"/>
                <w:highlight w:val="none"/>
              </w:rPr>
            </w:pPr>
            <w:r>
              <w:rPr>
                <w:rFonts w:hint="eastAsia" w:ascii="宋体" w:hAnsi="宋体" w:cs="宋体"/>
                <w:color w:val="auto"/>
                <w:szCs w:val="21"/>
                <w:highlight w:val="none"/>
              </w:rPr>
              <w:t>5.2.2投标截止时间前未完成投标文件传输的或因投标人之外的原因造成投标文件未解密的，视为投标人其撤回投标文件。因投标人原因造成投标文件未解密的或未在投标截止时间后半小时内解密的，视为撤销其投标文件。</w:t>
            </w:r>
          </w:p>
          <w:p>
            <w:pPr>
              <w:rPr>
                <w:rFonts w:ascii="宋体" w:hAnsi="宋体" w:cs="宋体"/>
                <w:color w:val="auto"/>
                <w:highlight w:val="none"/>
              </w:rPr>
            </w:pPr>
            <w:r>
              <w:rPr>
                <w:rFonts w:hint="eastAsia" w:ascii="宋体" w:hAnsi="宋体" w:cs="宋体"/>
                <w:color w:val="auto"/>
                <w:szCs w:val="21"/>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6.1.1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评标委员会的组建</w:t>
            </w:r>
          </w:p>
        </w:tc>
        <w:tc>
          <w:tcPr>
            <w:tcW w:w="6321" w:type="dxa"/>
            <w:vAlign w:val="center"/>
          </w:tcPr>
          <w:p>
            <w:pPr>
              <w:pStyle w:val="28"/>
              <w:rPr>
                <w:rFonts w:cs="宋体"/>
                <w:color w:val="auto"/>
                <w:highlight w:val="none"/>
              </w:rPr>
            </w:pPr>
            <w:r>
              <w:rPr>
                <w:rFonts w:hint="eastAsia"/>
                <w:color w:val="auto"/>
                <w:highlight w:val="none"/>
                <w:u w:val="single"/>
              </w:rPr>
              <w:t>由招标人依法组建</w:t>
            </w:r>
            <w:r>
              <w:rPr>
                <w:rFonts w:hint="eastAsia" w:cs="宋体"/>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6.3.2</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评标委员会推荐中标候选人的人数</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szCs w:val="21"/>
                <w:highlight w:val="none"/>
              </w:rPr>
              <w:t>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7.1</w:t>
            </w:r>
          </w:p>
        </w:tc>
        <w:tc>
          <w:tcPr>
            <w:tcW w:w="2123"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中标候选人公示媒介及期限</w:t>
            </w:r>
          </w:p>
        </w:tc>
        <w:tc>
          <w:tcPr>
            <w:tcW w:w="6321" w:type="dxa"/>
            <w:vAlign w:val="center"/>
          </w:tcPr>
          <w:p>
            <w:pPr>
              <w:pStyle w:val="28"/>
              <w:rPr>
                <w:rFonts w:cs="宋体"/>
                <w:bCs/>
                <w:color w:val="auto"/>
                <w:highlight w:val="none"/>
              </w:rPr>
            </w:pPr>
            <w:r>
              <w:rPr>
                <w:rFonts w:hint="eastAsia" w:cs="宋体"/>
                <w:bCs/>
                <w:color w:val="auto"/>
                <w:highlight w:val="none"/>
              </w:rPr>
              <w:t>公示媒介：</w:t>
            </w:r>
            <w:r>
              <w:rPr>
                <w:rFonts w:hint="eastAsia" w:ascii="宋体" w:hAnsi="宋体" w:cs="宋体"/>
                <w:color w:val="auto"/>
                <w:szCs w:val="21"/>
                <w:highlight w:val="none"/>
                <w:u w:val="single"/>
              </w:rPr>
              <w:t>中国招标投标公共服务平台、广东省招标投标监管网、广州公共资源交易网</w:t>
            </w:r>
          </w:p>
          <w:p>
            <w:pPr>
              <w:pStyle w:val="28"/>
              <w:rPr>
                <w:rFonts w:cs="宋体"/>
                <w:color w:val="auto"/>
                <w:sz w:val="32"/>
                <w:highlight w:val="none"/>
              </w:rPr>
            </w:pPr>
            <w:r>
              <w:rPr>
                <w:rFonts w:hint="eastAsia" w:cs="宋体"/>
                <w:bCs/>
                <w:color w:val="auto"/>
                <w:highlight w:val="none"/>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7.4</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是否授权评标委员会确定中标人</w:t>
            </w:r>
          </w:p>
        </w:tc>
        <w:tc>
          <w:tcPr>
            <w:tcW w:w="6321" w:type="dxa"/>
            <w:vAlign w:val="center"/>
          </w:tcPr>
          <w:p>
            <w:pPr>
              <w:spacing w:line="440" w:lineRule="exact"/>
              <w:rPr>
                <w:rFonts w:ascii="宋体" w:hAnsi="宋体" w:cs="宋体"/>
                <w:color w:val="auto"/>
                <w:highlight w:val="none"/>
              </w:rPr>
            </w:pPr>
            <w:r>
              <w:rPr>
                <w:rFonts w:hint="eastAsia" w:ascii="宋体" w:hAnsi="宋体" w:cs="宋体"/>
                <w:color w:val="auto"/>
                <w:highlight w:val="none"/>
              </w:rPr>
              <w:t>□是</w:t>
            </w:r>
          </w:p>
          <w:p>
            <w:pPr>
              <w:spacing w:line="440" w:lineRule="exact"/>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7.6.1</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履约保证金</w:t>
            </w:r>
          </w:p>
        </w:tc>
        <w:tc>
          <w:tcPr>
            <w:tcW w:w="6321" w:type="dxa"/>
            <w:vAlign w:val="center"/>
          </w:tcPr>
          <w:p>
            <w:pPr>
              <w:pStyle w:val="9"/>
              <w:topLinePunct/>
              <w:snapToGrid w:val="0"/>
              <w:spacing w:line="360" w:lineRule="auto"/>
              <w:rPr>
                <w:rFonts w:hAnsi="宋体"/>
                <w:color w:val="auto"/>
                <w:sz w:val="21"/>
                <w:szCs w:val="21"/>
                <w:highlight w:val="none"/>
              </w:rPr>
            </w:pPr>
            <w:r>
              <w:rPr>
                <w:rFonts w:hAnsi="宋体"/>
                <w:color w:val="auto"/>
                <w:sz w:val="21"/>
                <w:szCs w:val="21"/>
                <w:highlight w:val="none"/>
              </w:rPr>
              <w:t>是否要求中标人提交履约保证金：</w:t>
            </w:r>
          </w:p>
          <w:p>
            <w:pPr>
              <w:pStyle w:val="9"/>
              <w:topLinePunct/>
              <w:spacing w:line="360" w:lineRule="auto"/>
              <w:ind w:left="40" w:leftChars="19" w:right="107" w:rightChars="51"/>
              <w:rPr>
                <w:rFonts w:hAnsi="宋体" w:cs="宋体"/>
                <w:color w:val="auto"/>
                <w:sz w:val="21"/>
                <w:szCs w:val="21"/>
                <w:highlight w:val="none"/>
              </w:rPr>
            </w:pPr>
            <w:r>
              <w:rPr>
                <w:rFonts w:hint="eastAsia" w:hAnsi="宋体" w:cs="宋体"/>
                <w:color w:val="auto"/>
                <w:highlight w:val="none"/>
              </w:rPr>
              <w:t>□</w:t>
            </w:r>
            <w:r>
              <w:rPr>
                <w:rFonts w:hint="eastAsia" w:hAnsi="宋体" w:cs="宋体"/>
                <w:color w:val="auto"/>
                <w:sz w:val="21"/>
                <w:szCs w:val="21"/>
                <w:highlight w:val="none"/>
              </w:rPr>
              <w:t>履约保证金的形式：银行保函</w:t>
            </w:r>
          </w:p>
          <w:p>
            <w:pPr>
              <w:spacing w:line="360" w:lineRule="auto"/>
              <w:ind w:right="107" w:rightChars="51"/>
              <w:rPr>
                <w:rFonts w:hAnsi="宋体"/>
                <w:color w:val="auto"/>
                <w:szCs w:val="21"/>
                <w:highlight w:val="none"/>
              </w:rPr>
            </w:pPr>
            <w:r>
              <w:rPr>
                <w:rFonts w:hint="eastAsia" w:ascii="宋体" w:hAnsi="宋体" w:cs="宋体"/>
                <w:color w:val="auto"/>
                <w:szCs w:val="21"/>
                <w:highlight w:val="none"/>
              </w:rPr>
              <w:t>履约保证金的金额：</w:t>
            </w:r>
            <w:r>
              <w:rPr>
                <w:rFonts w:hint="eastAsia" w:ascii="宋体" w:hAnsi="宋体" w:cs="宋体"/>
                <w:color w:val="auto"/>
                <w:szCs w:val="21"/>
                <w:highlight w:val="none"/>
                <w:u w:val="single"/>
              </w:rPr>
              <w:t>中标金额的10%，须在中国境内银行开具的无条件、不可撤销、见索即付的保函。</w:t>
            </w:r>
          </w:p>
          <w:p>
            <w:pPr>
              <w:pStyle w:val="9"/>
              <w:topLinePunct/>
              <w:rPr>
                <w:rFonts w:hAnsi="宋体" w:cs="宋体"/>
                <w:color w:val="auto"/>
                <w:sz w:val="21"/>
                <w:szCs w:val="22"/>
                <w:highlight w:val="none"/>
              </w:rPr>
            </w:pPr>
            <w:r>
              <w:rPr>
                <w:rFonts w:hAnsi="宋体"/>
                <w:color w:val="auto"/>
                <w:spacing w:val="-1"/>
                <w:sz w:val="21"/>
                <w:szCs w:val="21"/>
                <w:highlight w:val="none"/>
              </w:rPr>
              <w:t>■</w:t>
            </w:r>
            <w:r>
              <w:rPr>
                <w:rFonts w:hAnsi="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9</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是否采用电子招标投标</w:t>
            </w:r>
          </w:p>
        </w:tc>
        <w:tc>
          <w:tcPr>
            <w:tcW w:w="6321" w:type="dxa"/>
            <w:vAlign w:val="center"/>
          </w:tcPr>
          <w:p>
            <w:pPr>
              <w:rPr>
                <w:rFonts w:ascii="宋体" w:hAnsi="宋体" w:cs="宋体"/>
                <w:color w:val="auto"/>
                <w:highlight w:val="none"/>
              </w:rPr>
            </w:pPr>
            <w:r>
              <w:rPr>
                <w:rFonts w:hint="eastAsia" w:ascii="宋体" w:hAnsi="宋体" w:cs="宋体"/>
                <w:color w:val="auto"/>
                <w:highlight w:val="none"/>
              </w:rPr>
              <w:t>□否</w:t>
            </w:r>
          </w:p>
          <w:p>
            <w:pPr>
              <w:rPr>
                <w:rFonts w:ascii="宋体" w:hAnsi="宋体" w:cs="宋体"/>
                <w:color w:val="auto"/>
                <w:highlight w:val="none"/>
              </w:rPr>
            </w:pPr>
            <w:r>
              <w:rPr>
                <w:rFonts w:hint="eastAsia" w:ascii="宋体" w:hAnsi="宋体" w:cs="宋体"/>
                <w:color w:val="auto"/>
                <w:highlight w:val="none"/>
              </w:rPr>
              <w:t>■是，具体要求：</w:t>
            </w:r>
          </w:p>
          <w:p>
            <w:pPr>
              <w:spacing w:line="360" w:lineRule="auto"/>
              <w:rPr>
                <w:rFonts w:ascii="宋体" w:hAnsi="宋体"/>
                <w:color w:val="auto"/>
                <w:highlight w:val="none"/>
              </w:rPr>
            </w:pPr>
            <w:r>
              <w:rPr>
                <w:rFonts w:ascii="宋体" w:hAnsi="宋体"/>
                <w:color w:val="auto"/>
                <w:highlight w:val="none"/>
              </w:rPr>
              <w:t>1、具体操作详见附件《房屋建筑和市政基础设施工程全流程电子化项目专章》。</w:t>
            </w:r>
          </w:p>
          <w:p>
            <w:pPr>
              <w:spacing w:line="360" w:lineRule="auto"/>
              <w:rPr>
                <w:rFonts w:ascii="宋体" w:hAnsi="宋体"/>
                <w:color w:val="auto"/>
                <w:highlight w:val="none"/>
              </w:rPr>
            </w:pPr>
            <w:r>
              <w:rPr>
                <w:rFonts w:ascii="宋体" w:hAnsi="宋体"/>
                <w:color w:val="auto"/>
                <w:highlight w:val="none"/>
              </w:rPr>
              <w:t>2、现场提交投标文件光盘备用</w:t>
            </w:r>
          </w:p>
          <w:p>
            <w:pPr>
              <w:spacing w:line="360" w:lineRule="auto"/>
              <w:rPr>
                <w:rFonts w:ascii="宋体" w:hAnsi="宋体"/>
                <w:color w:val="auto"/>
                <w:highlight w:val="none"/>
              </w:rPr>
            </w:pPr>
            <w:r>
              <w:rPr>
                <w:rFonts w:hint="eastAsia" w:ascii="宋体" w:hAnsi="宋体"/>
                <w:color w:val="auto"/>
                <w:highlight w:val="none"/>
              </w:rPr>
              <w:t>投标人将按《房屋建筑和市政基础设施工程全流程电子化项目专章》的操作方法制作的非加密的电子投标文件刻入光盘（</w:t>
            </w:r>
            <w:r>
              <w:rPr>
                <w:rFonts w:ascii="宋体" w:hAnsi="宋体"/>
                <w:color w:val="auto"/>
                <w:highlight w:val="none"/>
              </w:rPr>
              <w:t>1份），在开标现场（投标截止时间前）提交备用。刻录好的投标文件光盘</w:t>
            </w:r>
            <w:r>
              <w:rPr>
                <w:rFonts w:hint="eastAsia" w:ascii="宋体" w:hAnsi="宋体"/>
                <w:color w:val="auto"/>
                <w:highlight w:val="none"/>
              </w:rPr>
              <w:t>密封在密封袋中，并在封口处加盖投标人单位公章。密封袋上应写明的内容见投标人须知前附表要求</w:t>
            </w:r>
            <w:r>
              <w:rPr>
                <w:rFonts w:ascii="宋体" w:hAnsi="宋体"/>
                <w:color w:val="auto"/>
                <w:highlight w:val="none"/>
              </w:rPr>
              <w:t>4.1.2。现场递交的投标文件（光盘）不得加密。光盘（投标文件）无法读取或导入的，则视为未提交备用投标文件光盘。如果投标人没有按规定通过交易平台网上递交电子投标文件的，不再接受现场提交的光盘。</w:t>
            </w:r>
          </w:p>
          <w:p>
            <w:pPr>
              <w:spacing w:line="360" w:lineRule="auto"/>
              <w:rPr>
                <w:rFonts w:ascii="宋体" w:hAnsi="宋体"/>
                <w:color w:val="auto"/>
                <w:highlight w:val="none"/>
              </w:rPr>
            </w:pPr>
            <w:r>
              <w:rPr>
                <w:rFonts w:ascii="宋体" w:hAnsi="宋体"/>
                <w:color w:val="auto"/>
                <w:highlight w:val="none"/>
              </w:rPr>
              <w:t>3、补救方案</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1）投标文件解密失败的补救方案：</w:t>
            </w:r>
          </w:p>
          <w:p>
            <w:pPr>
              <w:spacing w:line="360" w:lineRule="auto"/>
              <w:ind w:firstLine="420" w:firstLineChars="200"/>
              <w:rPr>
                <w:rFonts w:ascii="宋体" w:hAnsi="宋体"/>
                <w:color w:val="auto"/>
                <w:highlight w:val="none"/>
              </w:rPr>
            </w:pPr>
            <w:r>
              <w:rPr>
                <w:rFonts w:hint="eastAsia" w:ascii="宋体" w:hAnsi="宋体"/>
                <w:color w:val="auto"/>
                <w:highlight w:val="none"/>
              </w:rPr>
              <w:t>在规定时间内，因投标人之外原因导致的电子投标文件解密失败，在开标现场读取光盘内容，继续开标程序。评标委员会对其投标文件的评审以光盘内容为准。</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2）评标时突发情况的补救方案：</w:t>
            </w:r>
          </w:p>
          <w:p>
            <w:pPr>
              <w:spacing w:line="360" w:lineRule="auto"/>
              <w:ind w:firstLine="420" w:firstLineChars="200"/>
              <w:rPr>
                <w:rFonts w:ascii="宋体" w:hAnsi="宋体"/>
                <w:color w:val="auto"/>
                <w:highlight w:val="none"/>
              </w:rPr>
            </w:pPr>
            <w:r>
              <w:rPr>
                <w:rFonts w:hint="eastAsia" w:ascii="宋体" w:hAnsi="宋体"/>
                <w:color w:val="auto"/>
                <w:highlight w:val="none"/>
              </w:rPr>
              <w:t>若遇不可抗力发生（如：网络瘫痪、服务器损坏、交易系统故障短期无法恢复等因素），由评标委员会开启现场递交的全部投标文件光盘，并按光盘内容进行评审。</w:t>
            </w:r>
          </w:p>
          <w:p>
            <w:pPr>
              <w:numPr>
                <w:ilvl w:val="0"/>
                <w:numId w:val="1"/>
              </w:numPr>
              <w:rPr>
                <w:rFonts w:ascii="宋体" w:hAnsi="宋体" w:cs="宋体"/>
                <w:color w:val="auto"/>
                <w:highlight w:val="none"/>
              </w:rPr>
            </w:pPr>
            <w:r>
              <w:rPr>
                <w:rFonts w:ascii="宋体" w:hAnsi="宋体"/>
                <w:color w:val="auto"/>
                <w:highlight w:val="none"/>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w:t>
            </w:r>
          </w:p>
        </w:tc>
        <w:tc>
          <w:tcPr>
            <w:tcW w:w="2123"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需要补充的其他内容</w:t>
            </w:r>
          </w:p>
        </w:tc>
        <w:tc>
          <w:tcPr>
            <w:tcW w:w="6321" w:type="dxa"/>
            <w:vAlign w:val="center"/>
          </w:tcPr>
          <w:p>
            <w:pPr>
              <w:spacing w:line="440" w:lineRule="exact"/>
              <w:rPr>
                <w:rFonts w:ascii="宋体" w:hAnsi="宋体" w:cs="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10.1</w:t>
            </w:r>
          </w:p>
        </w:tc>
        <w:tc>
          <w:tcPr>
            <w:tcW w:w="2123" w:type="dxa"/>
            <w:vAlign w:val="center"/>
          </w:tcPr>
          <w:p>
            <w:pPr>
              <w:widowControl/>
              <w:shd w:val="clear" w:color="auto" w:fill="FFFFFF"/>
              <w:adjustRightInd w:val="0"/>
              <w:spacing w:line="360" w:lineRule="auto"/>
              <w:jc w:val="center"/>
              <w:rPr>
                <w:rFonts w:ascii="宋体" w:hAnsi="宋体" w:cs="宋体"/>
                <w:color w:val="auto"/>
                <w:highlight w:val="none"/>
              </w:rPr>
            </w:pPr>
            <w:r>
              <w:rPr>
                <w:rFonts w:hint="eastAsia" w:ascii="宋体" w:hAnsi="宋体"/>
                <w:color w:val="auto"/>
                <w:szCs w:val="21"/>
                <w:highlight w:val="none"/>
              </w:rPr>
              <w:t>招标失败的情形</w:t>
            </w:r>
          </w:p>
        </w:tc>
        <w:tc>
          <w:tcPr>
            <w:tcW w:w="6321" w:type="dxa"/>
            <w:vAlign w:val="center"/>
          </w:tcPr>
          <w:p>
            <w:pPr>
              <w:snapToGrid w:val="0"/>
              <w:spacing w:line="360" w:lineRule="auto"/>
              <w:rPr>
                <w:rFonts w:ascii="宋体" w:hAnsi="宋体" w:cs="宋体"/>
                <w:color w:val="auto"/>
                <w:highlight w:val="none"/>
              </w:rPr>
            </w:pPr>
            <w:r>
              <w:rPr>
                <w:rFonts w:hint="eastAsia" w:ascii="宋体" w:hAnsi="宋体"/>
                <w:color w:val="auto"/>
                <w:szCs w:val="21"/>
                <w:highlight w:val="none"/>
                <w:u w:val="single"/>
              </w:rPr>
              <w:t>本项目采用资格后审方式，满足资格审查合格条件或通过初步评审的投标申请人不足</w:t>
            </w:r>
            <w:r>
              <w:rPr>
                <w:rFonts w:ascii="宋体" w:hAnsi="宋体"/>
                <w:color w:val="auto"/>
                <w:szCs w:val="21"/>
                <w:highlight w:val="none"/>
                <w:u w:val="single"/>
              </w:rPr>
              <w:t>3</w:t>
            </w:r>
            <w:r>
              <w:rPr>
                <w:rFonts w:hint="eastAsia" w:ascii="宋体" w:hAnsi="宋体"/>
                <w:color w:val="auto"/>
                <w:szCs w:val="21"/>
                <w:highlight w:val="none"/>
                <w:u w:val="single"/>
              </w:rPr>
              <w:t>名时为招标失败。招标人分析招标失败原因，修正招标方案，报有关管理部门核准后，重新组织招标。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10.2</w:t>
            </w:r>
          </w:p>
        </w:tc>
        <w:tc>
          <w:tcPr>
            <w:tcW w:w="212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中标候选人公示要求</w:t>
            </w:r>
          </w:p>
        </w:tc>
        <w:tc>
          <w:tcPr>
            <w:tcW w:w="6321" w:type="dxa"/>
            <w:vAlign w:val="center"/>
          </w:tcPr>
          <w:p>
            <w:pPr>
              <w:spacing w:line="360" w:lineRule="auto"/>
              <w:rPr>
                <w:rFonts w:ascii="宋体" w:hAnsi="宋体"/>
                <w:color w:val="auto"/>
                <w:szCs w:val="21"/>
                <w:highlight w:val="none"/>
                <w:u w:val="single"/>
              </w:rPr>
            </w:pPr>
            <w:r>
              <w:rPr>
                <w:rFonts w:hint="eastAsia" w:ascii="宋体" w:hAnsi="宋体" w:cs="宋体"/>
                <w:color w:val="auto"/>
                <w:kern w:val="0"/>
                <w:szCs w:val="21"/>
                <w:highlight w:val="none"/>
                <w:u w:val="single"/>
              </w:rPr>
              <w:t>在产生中标候选人后，招标人将中标候选人的投标文件商务部分的电子版（报价、方案等涉及商业秘密的内容除外）在广州公共资源交易中心网站公开。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10.3</w:t>
            </w:r>
          </w:p>
        </w:tc>
        <w:tc>
          <w:tcPr>
            <w:tcW w:w="212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补交纸质投标文件</w:t>
            </w:r>
          </w:p>
        </w:tc>
        <w:tc>
          <w:tcPr>
            <w:tcW w:w="6321" w:type="dxa"/>
            <w:vAlign w:val="center"/>
          </w:tcPr>
          <w:p>
            <w:pPr>
              <w:spacing w:line="360" w:lineRule="auto"/>
              <w:rPr>
                <w:rFonts w:ascii="宋体" w:hAnsi="宋体" w:cs="宋体"/>
                <w:color w:val="auto"/>
                <w:kern w:val="0"/>
                <w:szCs w:val="21"/>
                <w:highlight w:val="none"/>
                <w:u w:val="single"/>
              </w:rPr>
            </w:pPr>
            <w:r>
              <w:rPr>
                <w:rFonts w:hint="eastAsia" w:ascii="宋体" w:hAnsi="宋体"/>
                <w:color w:val="auto"/>
                <w:szCs w:val="21"/>
                <w:highlight w:val="none"/>
                <w:u w:val="single"/>
              </w:rPr>
              <w:t>中标单位领取中标通知书时，补送一正五副与交易平台网上递交的电子投标文件一致的书面投标文件（加盖公章）及一份与书面投标文件一致的用“Microsoft Word ”或“PDF”格式制作的电子文件（光盘）给招标人。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9" w:type="dxa"/>
            <w:vAlign w:val="center"/>
          </w:tcPr>
          <w:p>
            <w:pPr>
              <w:spacing w:line="440" w:lineRule="exact"/>
              <w:jc w:val="center"/>
              <w:rPr>
                <w:rFonts w:ascii="宋体" w:hAnsi="宋体" w:cs="宋体"/>
                <w:color w:val="auto"/>
                <w:highlight w:val="none"/>
              </w:rPr>
            </w:pPr>
            <w:r>
              <w:rPr>
                <w:rFonts w:hint="eastAsia" w:ascii="宋体" w:hAnsi="宋体" w:cs="宋体"/>
                <w:color w:val="auto"/>
                <w:highlight w:val="none"/>
              </w:rPr>
              <w:t>10.4</w:t>
            </w:r>
          </w:p>
        </w:tc>
        <w:tc>
          <w:tcPr>
            <w:tcW w:w="212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特别提示</w:t>
            </w:r>
          </w:p>
        </w:tc>
        <w:tc>
          <w:tcPr>
            <w:tcW w:w="6321" w:type="dxa"/>
            <w:vAlign w:val="center"/>
          </w:tcPr>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投标人在本项目招标人的工程项目中存在下列行为的，将被拒绝一年内参与招标人后续工程投标。（注：拒绝投标时限由招标人视严重程度确定，最低三个月起，自招标人发出通知之日起计）：</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（1）将中标工程转包或者违法分包的；</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（2）在中标工程中不执行质量、安全生产相关规定的，造成质量或安全事故的；</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（3）存在围标或串标情形的；</w:t>
            </w:r>
          </w:p>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（4）存在弄虚作假骗取中标情形的；</w:t>
            </w:r>
          </w:p>
          <w:p>
            <w:pPr>
              <w:pStyle w:val="28"/>
              <w:rPr>
                <w:rFonts w:cs="宋体"/>
                <w:color w:val="auto"/>
                <w:highlight w:val="none"/>
              </w:rPr>
            </w:pPr>
            <w:r>
              <w:rPr>
                <w:rFonts w:hint="eastAsia"/>
                <w:color w:val="auto"/>
                <w:highlight w:val="none"/>
                <w:u w:val="single"/>
              </w:rPr>
              <w:t>（5）存在因过错行为被生效法律文书认定承担违约或侵权责任的。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投标人是否参加开标</w:t>
            </w:r>
          </w:p>
        </w:tc>
        <w:tc>
          <w:tcPr>
            <w:tcW w:w="6321" w:type="dxa"/>
          </w:tcPr>
          <w:p>
            <w:pPr>
              <w:spacing w:line="360" w:lineRule="auto"/>
              <w:jc w:val="left"/>
              <w:rPr>
                <w:rFonts w:ascii="宋体" w:hAnsi="宋体"/>
                <w:color w:val="auto"/>
                <w:szCs w:val="21"/>
                <w:highlight w:val="none"/>
                <w:u w:val="single"/>
              </w:rPr>
            </w:pPr>
            <w:r>
              <w:rPr>
                <w:rFonts w:hint="eastAsia" w:ascii="宋体" w:hAnsi="宋体"/>
                <w:color w:val="auto"/>
                <w:szCs w:val="21"/>
                <w:highlight w:val="none"/>
                <w:u w:val="single"/>
              </w:rPr>
              <w:t>开标时，投标人代表有权出席开标会，也可以自主决定不参加开标会，若投标人代表对开标过程提出异议，该投标人代表须同时出示本人身份证原件、法定代表人证明书及其授权委托书。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定标原则</w:t>
            </w:r>
          </w:p>
        </w:tc>
        <w:tc>
          <w:tcPr>
            <w:tcW w:w="6321" w:type="dxa"/>
            <w:vAlign w:val="center"/>
          </w:tcPr>
          <w:p>
            <w:pPr>
              <w:spacing w:line="360" w:lineRule="auto"/>
              <w:ind w:firstLine="210" w:firstLineChars="100"/>
              <w:jc w:val="left"/>
              <w:rPr>
                <w:rFonts w:hint="eastAsia"/>
                <w:color w:val="auto"/>
                <w:highlight w:val="none"/>
              </w:rPr>
            </w:pPr>
            <w:r>
              <w:rPr>
                <w:rFonts w:hint="eastAsia"/>
                <w:color w:val="auto"/>
                <w:highlight w:val="none"/>
                <w:lang w:val="en-US" w:eastAsia="zh-CN"/>
              </w:rPr>
              <w:t>1.</w:t>
            </w:r>
            <w:r>
              <w:rPr>
                <w:rFonts w:hint="eastAsia"/>
                <w:color w:val="auto"/>
                <w:highlight w:val="none"/>
              </w:rPr>
              <w:t>招标人根据评标委员会递交的评标报告，最终审定中标人。</w:t>
            </w:r>
          </w:p>
          <w:p>
            <w:pPr>
              <w:spacing w:line="360" w:lineRule="auto"/>
              <w:ind w:firstLine="210" w:firstLineChars="100"/>
              <w:jc w:val="left"/>
              <w:rPr>
                <w:rFonts w:hint="eastAsia"/>
                <w:color w:val="auto"/>
                <w:highlight w:val="none"/>
              </w:rPr>
            </w:pPr>
            <w:r>
              <w:rPr>
                <w:rFonts w:hint="eastAsia"/>
                <w:color w:val="auto"/>
                <w:highlight w:val="none"/>
                <w:lang w:val="en-US" w:eastAsia="zh-CN"/>
              </w:rPr>
              <w:t>2.</w:t>
            </w:r>
            <w:r>
              <w:rPr>
                <w:rFonts w:hint="eastAsia"/>
                <w:color w:val="auto"/>
                <w:highlight w:val="none"/>
              </w:rPr>
              <w:t>依法必须进行公开招标的项目，招标人应当确定排名第一的中标候选人为中标人。</w:t>
            </w:r>
          </w:p>
          <w:p>
            <w:pPr>
              <w:spacing w:line="360" w:lineRule="auto"/>
              <w:ind w:firstLine="210" w:firstLineChars="100"/>
              <w:jc w:val="left"/>
              <w:rPr>
                <w:rFonts w:hint="eastAsia"/>
                <w:color w:val="auto"/>
                <w:highlight w:val="none"/>
              </w:rPr>
            </w:pPr>
            <w:r>
              <w:rPr>
                <w:rFonts w:hint="eastAsia"/>
                <w:color w:val="auto"/>
                <w:highlight w:val="none"/>
                <w:lang w:val="en-US" w:eastAsia="zh-CN"/>
              </w:rPr>
              <w:t>3.</w:t>
            </w:r>
            <w:r>
              <w:rPr>
                <w:rFonts w:hint="eastAsia"/>
                <w:color w:val="auto"/>
                <w:highlight w:val="none"/>
              </w:rPr>
              <w:t>排名第一的中标候选人放弃中标、因不可抗力不能履行合同、不按照招标文件要求提交履约保证金，或者被查实存在影响中标结果的违法行为等情形，不符合中标条件的，招标人可按照评标委员会提出的中标候选人名单排序第二的中标候选人为中标人，若排名第二的中标候选人出现前款所列的情形的，招标人可以确定排名第三的中标候选人为中标人。若排名第一、二、三的中标候选人均存在上述情况的，则招标人依法重新招标。</w:t>
            </w:r>
          </w:p>
          <w:p>
            <w:pPr>
              <w:spacing w:line="360" w:lineRule="auto"/>
              <w:ind w:firstLine="210" w:firstLineChars="100"/>
              <w:jc w:val="left"/>
              <w:rPr>
                <w:color w:val="auto"/>
                <w:highlight w:val="none"/>
              </w:rPr>
            </w:pPr>
            <w:r>
              <w:rPr>
                <w:rFonts w:hint="eastAsia"/>
                <w:color w:val="auto"/>
                <w:highlight w:val="none"/>
                <w:lang w:val="en-US" w:eastAsia="zh-CN"/>
              </w:rPr>
              <w:t>4.</w:t>
            </w:r>
            <w:r>
              <w:rPr>
                <w:rFonts w:hint="eastAsia"/>
                <w:color w:val="auto"/>
                <w:highlight w:val="none"/>
              </w:rPr>
              <w:t>重新评标的，评标信息（含业绩、奖项等）仍以投标截止时投标人的信息为准。因特殊原因需要延长投标有效期，投标人拒绝延长投标有效期的，仍参与评标，但不被推荐为中标候选人。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其他要求</w:t>
            </w:r>
          </w:p>
        </w:tc>
        <w:tc>
          <w:tcPr>
            <w:tcW w:w="6321" w:type="dxa"/>
            <w:vAlign w:val="center"/>
          </w:tcPr>
          <w:p>
            <w:pPr>
              <w:spacing w:line="360" w:lineRule="auto"/>
              <w:rPr>
                <w:color w:val="auto"/>
                <w:highlight w:val="none"/>
              </w:rPr>
            </w:pPr>
            <w:r>
              <w:rPr>
                <w:rFonts w:hint="eastAsia"/>
                <w:color w:val="auto"/>
                <w:highlight w:val="none"/>
                <w:lang w:val="en-US" w:eastAsia="zh-CN"/>
              </w:rPr>
              <w:t>1.</w:t>
            </w:r>
            <w:r>
              <w:rPr>
                <w:rFonts w:hint="eastAsia"/>
                <w:color w:val="auto"/>
                <w:highlight w:val="none"/>
              </w:rPr>
              <w:t>各投标人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rPr>
                <w:rFonts w:hint="eastAsia"/>
                <w:color w:val="auto"/>
                <w:highlight w:val="none"/>
              </w:rPr>
            </w:pPr>
            <w:r>
              <w:rPr>
                <w:rFonts w:hint="eastAsia"/>
                <w:color w:val="auto"/>
                <w:highlight w:val="none"/>
              </w:rPr>
              <w:t>中标人中标后需与招标人签订</w:t>
            </w:r>
            <w:r>
              <w:rPr>
                <w:rFonts w:hint="eastAsia"/>
                <w:color w:val="auto"/>
                <w:highlight w:val="none"/>
                <w:lang w:eastAsia="zh-CN"/>
              </w:rPr>
              <w:t>BIM管理咨询服务</w:t>
            </w:r>
            <w:r>
              <w:rPr>
                <w:rFonts w:hint="eastAsia"/>
                <w:color w:val="auto"/>
                <w:highlight w:val="none"/>
              </w:rPr>
              <w:t>合同，合同内容详见本招标文件合同条款。</w:t>
            </w:r>
          </w:p>
          <w:p>
            <w:pPr>
              <w:pStyle w:val="2"/>
              <w:ind w:left="0" w:leftChars="0" w:firstLine="0" w:firstLineChars="0"/>
              <w:rPr>
                <w:color w:val="auto"/>
                <w:highlight w:val="none"/>
              </w:rPr>
            </w:pPr>
            <w:r>
              <w:rPr>
                <w:rFonts w:hint="eastAsia" w:cs="Times New Roman"/>
                <w:color w:val="auto"/>
                <w:sz w:val="21"/>
                <w:szCs w:val="22"/>
                <w:highlight w:val="none"/>
                <w:lang w:val="en-US" w:eastAsia="zh-CN"/>
              </w:rPr>
              <w:t>2.</w:t>
            </w:r>
            <w:r>
              <w:rPr>
                <w:rFonts w:hint="eastAsia" w:ascii="Calibri" w:hAnsi="Calibri" w:cs="Times New Roman"/>
                <w:color w:val="auto"/>
                <w:sz w:val="21"/>
                <w:szCs w:val="22"/>
                <w:highlight w:val="none"/>
              </w:rPr>
              <w:t>本项目招标代理费</w:t>
            </w:r>
            <w:r>
              <w:rPr>
                <w:rFonts w:hint="eastAsia" w:cs="Times New Roman"/>
                <w:color w:val="auto"/>
                <w:sz w:val="21"/>
                <w:szCs w:val="22"/>
                <w:highlight w:val="none"/>
                <w:lang w:val="en-US" w:eastAsia="zh-CN"/>
              </w:rPr>
              <w:t>由中标人</w:t>
            </w:r>
            <w:r>
              <w:rPr>
                <w:rFonts w:hint="eastAsia" w:ascii="Calibri" w:hAnsi="Calibri" w:cs="Times New Roman"/>
                <w:color w:val="auto"/>
                <w:sz w:val="21"/>
                <w:szCs w:val="22"/>
                <w:highlight w:val="none"/>
              </w:rPr>
              <w:t>按招标代理合同约定支付。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9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123" w:type="dxa"/>
            <w:vAlign w:val="center"/>
          </w:tcPr>
          <w:p>
            <w:pPr>
              <w:spacing w:line="400" w:lineRule="exact"/>
              <w:ind w:right="174" w:rightChars="83"/>
              <w:jc w:val="center"/>
              <w:rPr>
                <w:rFonts w:ascii="宋体" w:hAnsi="宋体"/>
                <w:color w:val="auto"/>
                <w:szCs w:val="21"/>
                <w:highlight w:val="none"/>
              </w:rPr>
            </w:pPr>
            <w:r>
              <w:rPr>
                <w:rFonts w:hint="eastAsia" w:ascii="宋体" w:hAnsi="宋体"/>
                <w:color w:val="auto"/>
                <w:szCs w:val="21"/>
                <w:highlight w:val="none"/>
              </w:rPr>
              <w:t>否决投标条款</w:t>
            </w:r>
          </w:p>
        </w:tc>
        <w:tc>
          <w:tcPr>
            <w:tcW w:w="6321" w:type="dxa"/>
            <w:vAlign w:val="center"/>
          </w:tcPr>
          <w:p>
            <w:pPr>
              <w:spacing w:line="400" w:lineRule="exact"/>
              <w:rPr>
                <w:rFonts w:ascii="宋体" w:hAnsi="宋体"/>
                <w:color w:val="auto"/>
                <w:szCs w:val="21"/>
                <w:highlight w:val="none"/>
                <w:u w:val="single"/>
              </w:rPr>
            </w:pPr>
            <w:r>
              <w:rPr>
                <w:rFonts w:hint="eastAsia" w:ascii="宋体" w:hAnsi="宋体"/>
                <w:color w:val="auto"/>
                <w:szCs w:val="21"/>
                <w:highlight w:val="none"/>
                <w:u w:val="single"/>
              </w:rPr>
              <w:t>否决投标条款：</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1、在投标截止期后逾期或未在广州公共资源交易中心数字交易平台（</w:t>
            </w:r>
            <w:r>
              <w:rPr>
                <w:rFonts w:hint="eastAsia" w:ascii="宋体" w:hAnsi="宋体" w:cs="宋体"/>
                <w:color w:val="auto"/>
                <w:szCs w:val="21"/>
                <w:highlight w:val="none"/>
                <w:u w:val="single"/>
                <w:lang w:val="en-US" w:eastAsia="zh-CN"/>
              </w:rPr>
              <w:t>http://ggzy.gz.gov.cn</w:t>
            </w:r>
            <w:r>
              <w:rPr>
                <w:rFonts w:hint="eastAsia" w:ascii="宋体" w:hAnsi="宋体"/>
                <w:color w:val="auto"/>
                <w:szCs w:val="21"/>
                <w:highlight w:val="none"/>
                <w:u w:val="single"/>
              </w:rPr>
              <w:t>）递交电子投标文件的，电子招标投标交易平台将拒绝接收其投标文件。</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2、投标人未按投标文件要求提供附件或未按要求加盖电子印章及签名的，经评标委员会认定后，其投标文件将被否决。</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3、投标文件中投标总报价高于投标最高总限价或各单个项目报价高于单个项目最高限价的，其投标文件将被否决。</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5、按投标报价的算术校核原则及方法调整或修正投标文件的投标报价，调整后的投标报价对投标人起约束作用。如果投标人不接受修正后的报价，则取消其中标资格，并且其投标担保也将被没收。</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6、资审合格后，投标人的资格发生变化而不满足投标人合格条件，在发出中标通知书前，资格问题仍未解决的，招标人将取消其中标资格。</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u w:val="single"/>
              </w:rPr>
              <w:t xml:space="preserve">7、中标人未按本招标文件第二章 </w:t>
            </w:r>
            <w:r>
              <w:rPr>
                <w:rFonts w:hint="eastAsia" w:ascii="宋体" w:hAnsi="宋体"/>
                <w:color w:val="auto"/>
                <w:szCs w:val="21"/>
                <w:highlight w:val="none"/>
                <w:u w:val="single"/>
              </w:rPr>
              <w:t>投标人须知</w:t>
            </w:r>
            <w:r>
              <w:rPr>
                <w:rFonts w:ascii="宋体" w:hAnsi="宋体"/>
                <w:color w:val="auto"/>
                <w:szCs w:val="21"/>
                <w:highlight w:val="none"/>
                <w:u w:val="single"/>
              </w:rPr>
              <w:t xml:space="preserve"> </w:t>
            </w:r>
            <w:r>
              <w:rPr>
                <w:rFonts w:hint="eastAsia" w:ascii="宋体" w:hAnsi="宋体"/>
                <w:color w:val="auto"/>
                <w:szCs w:val="21"/>
                <w:highlight w:val="none"/>
                <w:u w:val="single"/>
              </w:rPr>
              <w:t>第</w:t>
            </w:r>
            <w:r>
              <w:rPr>
                <w:rFonts w:ascii="宋体" w:hAnsi="宋体"/>
                <w:color w:val="auto"/>
                <w:szCs w:val="21"/>
                <w:highlight w:val="none"/>
                <w:u w:val="single"/>
              </w:rPr>
              <w:t>7.6.1项规定提交履约担保，视为放弃中标，其投标担保不予退还，给招标人造成的损失超过投标担保数额的，中标人还应当对超过部分予以赔偿。</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8、投标人如在本项目中存在串通投标、弄虚作假、行贿情形的，中标无效，该投标人将被招标人列入黑名单并限制其投标。行政监督部门将对其违法行为进行政处罚并通报。</w:t>
            </w:r>
          </w:p>
          <w:p>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9、投标文件符合列于《评标办法前附表》“形式评审标准”“资格评审标准”“响应性评审标准”中所有情形的，为有效投标文件。任一情形不符合均为无效投标文件，经评标委员会认定后，其投标文件将被否决。</w:t>
            </w:r>
          </w:p>
        </w:tc>
      </w:tr>
    </w:tbl>
    <w:p>
      <w:pPr>
        <w:spacing w:line="400" w:lineRule="exact"/>
        <w:rPr>
          <w:rFonts w:ascii="宋体" w:hAnsi="宋体" w:cs="宋体"/>
          <w:color w:val="auto"/>
        </w:rPr>
      </w:pPr>
    </w:p>
    <w:p>
      <w:pPr>
        <w:spacing w:line="360" w:lineRule="auto"/>
        <w:rPr>
          <w:rFonts w:ascii="宋体" w:hAnsi="宋体" w:cs="宋体"/>
          <w:b/>
          <w:color w:val="auto"/>
          <w:sz w:val="24"/>
        </w:rPr>
      </w:pPr>
      <w:r>
        <w:rPr>
          <w:rFonts w:hint="eastAsia" w:ascii="宋体" w:hAnsi="宋体" w:cs="宋体"/>
          <w:color w:val="auto"/>
        </w:rPr>
        <w:br w:type="page"/>
      </w:r>
      <w:bookmarkStart w:id="10" w:name="_Toc492300564"/>
      <w:bookmarkStart w:id="11" w:name="_Toc520310853"/>
      <w:r>
        <w:rPr>
          <w:rFonts w:hint="eastAsia" w:ascii="宋体" w:hAnsi="宋体" w:cs="宋体"/>
          <w:b/>
          <w:color w:val="auto"/>
          <w:sz w:val="24"/>
        </w:rPr>
        <w:t>1.1 招标项目概况</w:t>
      </w:r>
    </w:p>
    <w:p>
      <w:pPr>
        <w:spacing w:line="360" w:lineRule="auto"/>
        <w:ind w:firstLine="480" w:firstLineChars="200"/>
        <w:rPr>
          <w:rFonts w:ascii="宋体" w:hAnsi="宋体" w:cs="宋体"/>
          <w:color w:val="auto"/>
          <w:sz w:val="24"/>
        </w:rPr>
      </w:pPr>
      <w:r>
        <w:rPr>
          <w:rFonts w:hint="eastAsia" w:ascii="宋体" w:hAnsi="宋体" w:cs="宋体"/>
          <w:color w:val="auto"/>
          <w:sz w:val="24"/>
        </w:rPr>
        <w:t>1.1.1 根据《中华人民共和国招标投标法》、《中华人民共和国招标投标法实施条例》等有关法律、法规和规章的规定，本招标项目已具备招标条件，现对</w:t>
      </w:r>
      <w:r>
        <w:rPr>
          <w:rFonts w:hint="eastAsia" w:ascii="宋体" w:hAnsi="宋体" w:cs="宋体"/>
          <w:bCs/>
          <w:color w:val="auto"/>
          <w:sz w:val="24"/>
          <w:u w:val="single"/>
        </w:rPr>
        <w:t xml:space="preserve"> </w:t>
      </w:r>
      <w:r>
        <w:rPr>
          <w:rFonts w:hint="eastAsia" w:ascii="宋体" w:hAnsi="宋体" w:cs="宋体"/>
          <w:color w:val="auto"/>
          <w:sz w:val="24"/>
          <w:szCs w:val="24"/>
          <w:u w:val="single"/>
        </w:rPr>
        <w:t>鱼珠隧道、会展西路过江隧道、车陂路-新滘东路隧道工程（二期）</w:t>
      </w:r>
      <w:r>
        <w:rPr>
          <w:rFonts w:hint="eastAsia" w:ascii="宋体" w:hAnsi="宋体" w:eastAsia="宋体" w:cs="宋体"/>
          <w:color w:val="auto"/>
          <w:sz w:val="24"/>
          <w:szCs w:val="24"/>
          <w:u w:val="single"/>
          <w:lang w:eastAsia="zh-CN"/>
        </w:rPr>
        <w:t>三项目</w:t>
      </w:r>
      <w:r>
        <w:rPr>
          <w:rFonts w:hint="eastAsia" w:ascii="宋体" w:hAnsi="宋体" w:cs="宋体"/>
          <w:color w:val="auto"/>
          <w:sz w:val="24"/>
          <w:szCs w:val="24"/>
          <w:u w:val="single"/>
          <w:lang w:eastAsia="zh-CN"/>
        </w:rPr>
        <w:t>BIM管理咨询服务</w:t>
      </w:r>
      <w:r>
        <w:rPr>
          <w:rFonts w:hint="eastAsia" w:ascii="宋体" w:hAnsi="宋体" w:cs="宋体"/>
          <w:color w:val="auto"/>
          <w:sz w:val="24"/>
        </w:rPr>
        <w:t>进行招标。</w:t>
      </w:r>
    </w:p>
    <w:p>
      <w:pPr>
        <w:spacing w:line="360" w:lineRule="auto"/>
        <w:ind w:firstLine="480" w:firstLineChars="200"/>
        <w:rPr>
          <w:rFonts w:ascii="宋体" w:hAnsi="宋体" w:cs="宋体"/>
          <w:color w:val="auto"/>
          <w:sz w:val="24"/>
        </w:rPr>
      </w:pPr>
      <w:r>
        <w:rPr>
          <w:rFonts w:hint="eastAsia" w:ascii="宋体" w:hAnsi="宋体" w:cs="宋体"/>
          <w:color w:val="auto"/>
          <w:sz w:val="24"/>
        </w:rPr>
        <w:t>1.1.2 招标人：见投标人须知前附表。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1.1.3 招标代理机构：见投标人须知前附表。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1.1.4 招标项目名称：见投标人须知前附表。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1.1.5 项目建设地点：见投标人须知前附表。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1.1.6 项目建设规模：见投标人须知前附表。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1.1.7 工程项目施工预计开工日期和建设周期：见投标人须知前附表。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1.1.8 工程总投资：见投标人须知前附表。</w:t>
      </w:r>
    </w:p>
    <w:p>
      <w:pPr>
        <w:spacing w:line="360" w:lineRule="auto"/>
        <w:rPr>
          <w:rFonts w:ascii="宋体" w:hAnsi="宋体" w:cs="宋体"/>
          <w:b/>
          <w:color w:val="auto"/>
          <w:sz w:val="24"/>
        </w:rPr>
      </w:pPr>
      <w:r>
        <w:rPr>
          <w:rFonts w:hint="eastAsia" w:ascii="宋体" w:hAnsi="宋体" w:cs="宋体"/>
          <w:b/>
          <w:color w:val="auto"/>
          <w:sz w:val="24"/>
        </w:rPr>
        <w:t>1.2 招标项目的资金来源和落实情况</w:t>
      </w:r>
    </w:p>
    <w:p>
      <w:pPr>
        <w:spacing w:line="360" w:lineRule="auto"/>
        <w:ind w:firstLine="480" w:firstLineChars="200"/>
        <w:rPr>
          <w:rFonts w:ascii="宋体" w:hAnsi="宋体" w:cs="宋体"/>
          <w:color w:val="auto"/>
          <w:sz w:val="24"/>
        </w:rPr>
      </w:pPr>
      <w:r>
        <w:rPr>
          <w:rFonts w:hint="eastAsia" w:ascii="宋体" w:hAnsi="宋体" w:cs="宋体"/>
          <w:color w:val="auto"/>
          <w:sz w:val="24"/>
        </w:rPr>
        <w:t>1.2.1 资金来源及比例：见投标人须知前附表。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1.2.2 资金落实情况：见投标人须知前附表。</w:t>
      </w:r>
    </w:p>
    <w:p>
      <w:pPr>
        <w:spacing w:line="360" w:lineRule="auto"/>
        <w:rPr>
          <w:rFonts w:ascii="宋体" w:hAnsi="宋体" w:cs="宋体"/>
          <w:b/>
          <w:color w:val="auto"/>
          <w:sz w:val="24"/>
        </w:rPr>
      </w:pPr>
      <w:r>
        <w:rPr>
          <w:rFonts w:hint="eastAsia" w:ascii="宋体" w:hAnsi="宋体" w:cs="宋体"/>
          <w:b/>
          <w:color w:val="auto"/>
          <w:sz w:val="24"/>
        </w:rPr>
        <w:t>1.3 招标范围、服务期限和质量标准</w:t>
      </w:r>
    </w:p>
    <w:p>
      <w:pPr>
        <w:spacing w:line="360" w:lineRule="auto"/>
        <w:ind w:firstLine="480" w:firstLineChars="200"/>
        <w:rPr>
          <w:rFonts w:ascii="宋体" w:hAnsi="宋体" w:cs="宋体"/>
          <w:color w:val="auto"/>
          <w:sz w:val="24"/>
        </w:rPr>
      </w:pPr>
      <w:r>
        <w:rPr>
          <w:rFonts w:hint="eastAsia" w:ascii="宋体" w:hAnsi="宋体" w:cs="宋体"/>
          <w:color w:val="auto"/>
          <w:sz w:val="24"/>
        </w:rPr>
        <w:t>1.3.1 招标范围：见投标人须知前附表。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1.3.2 服务期限：见投标人须知前附表。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1.3.3 质量标准：见投标人须知前附表。</w:t>
      </w:r>
    </w:p>
    <w:p>
      <w:pPr>
        <w:spacing w:line="360" w:lineRule="auto"/>
        <w:rPr>
          <w:rFonts w:ascii="宋体" w:hAnsi="宋体" w:cs="宋体"/>
          <w:b/>
          <w:color w:val="auto"/>
          <w:sz w:val="24"/>
        </w:rPr>
      </w:pPr>
      <w:r>
        <w:rPr>
          <w:rFonts w:hint="eastAsia" w:ascii="宋体" w:hAnsi="宋体" w:cs="宋体"/>
          <w:b/>
          <w:color w:val="auto"/>
          <w:sz w:val="24"/>
        </w:rPr>
        <w:t>1.4 投标人资格要求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1.4.1 投标人应具备承担本招标项目资质条件、能力和信誉：</w:t>
      </w:r>
    </w:p>
    <w:p>
      <w:pPr>
        <w:spacing w:line="360" w:lineRule="auto"/>
        <w:ind w:firstLine="360" w:firstLineChars="150"/>
        <w:rPr>
          <w:rFonts w:ascii="宋体" w:hAnsi="宋体" w:cs="宋体"/>
          <w:color w:val="auto"/>
          <w:sz w:val="24"/>
        </w:rPr>
      </w:pPr>
      <w:r>
        <w:rPr>
          <w:rFonts w:hint="eastAsia" w:ascii="宋体" w:hAnsi="宋体" w:cs="宋体"/>
          <w:color w:val="auto"/>
          <w:sz w:val="24"/>
        </w:rPr>
        <w:t>（1）资质要求：见投标人须知前附表；</w:t>
      </w:r>
    </w:p>
    <w:p>
      <w:pPr>
        <w:spacing w:line="360" w:lineRule="auto"/>
        <w:ind w:firstLine="360" w:firstLineChars="150"/>
        <w:rPr>
          <w:rFonts w:ascii="宋体" w:hAnsi="宋体" w:cs="宋体"/>
          <w:color w:val="auto"/>
          <w:sz w:val="24"/>
        </w:rPr>
      </w:pPr>
      <w:r>
        <w:rPr>
          <w:rFonts w:hint="eastAsia" w:ascii="宋体" w:hAnsi="宋体" w:cs="宋体"/>
          <w:color w:val="auto"/>
          <w:sz w:val="24"/>
        </w:rPr>
        <w:t>（2）项目负责人要求：见投标人须知前附表；</w:t>
      </w:r>
    </w:p>
    <w:p>
      <w:pPr>
        <w:spacing w:line="360" w:lineRule="auto"/>
        <w:ind w:firstLine="360" w:firstLineChars="150"/>
        <w:rPr>
          <w:rFonts w:ascii="宋体" w:hAnsi="宋体" w:cs="宋体"/>
          <w:color w:val="auto"/>
          <w:sz w:val="24"/>
        </w:rPr>
      </w:pPr>
      <w:r>
        <w:rPr>
          <w:rFonts w:hint="eastAsia" w:ascii="宋体" w:hAnsi="宋体" w:cs="宋体"/>
          <w:color w:val="auto"/>
          <w:sz w:val="24"/>
        </w:rPr>
        <w:t>（3）其他要求：见投标人须知前附表。</w:t>
      </w:r>
    </w:p>
    <w:p>
      <w:pPr>
        <w:spacing w:line="360" w:lineRule="auto"/>
        <w:ind w:firstLine="482" w:firstLineChars="200"/>
        <w:rPr>
          <w:rFonts w:ascii="宋体" w:hAnsi="宋体" w:cs="宋体"/>
          <w:b/>
          <w:color w:val="auto"/>
          <w:sz w:val="24"/>
        </w:rPr>
      </w:pPr>
      <w:r>
        <w:rPr>
          <w:rFonts w:hint="eastAsia" w:ascii="宋体" w:hAnsi="宋体" w:cs="宋体"/>
          <w:b/>
          <w:color w:val="auto"/>
          <w:sz w:val="24"/>
        </w:rPr>
        <w:t>需要提交的相关证明材料见本章第 3.5 款的规定。</w:t>
      </w:r>
    </w:p>
    <w:p>
      <w:pPr>
        <w:spacing w:line="360" w:lineRule="auto"/>
        <w:ind w:firstLine="480" w:firstLineChars="200"/>
        <w:rPr>
          <w:rFonts w:ascii="宋体" w:hAnsi="宋体" w:cs="宋体"/>
          <w:color w:val="auto"/>
          <w:sz w:val="24"/>
        </w:rPr>
      </w:pPr>
      <w:r>
        <w:rPr>
          <w:rFonts w:hint="eastAsia" w:ascii="宋体" w:hAnsi="宋体" w:cs="宋体"/>
          <w:color w:val="auto"/>
          <w:sz w:val="24"/>
        </w:rPr>
        <w:t>1.4.2 投标人须知前附表规定接受联合体投标的，联合体除应符合本章第 1.4.1 项和投标人须知前附表的要求外，还应遵守以下规定：</w:t>
      </w:r>
    </w:p>
    <w:p>
      <w:pPr>
        <w:spacing w:line="360" w:lineRule="auto"/>
        <w:ind w:firstLine="360" w:firstLineChars="150"/>
        <w:rPr>
          <w:rFonts w:ascii="宋体" w:hAnsi="宋体" w:cs="宋体"/>
          <w:color w:val="auto"/>
          <w:sz w:val="24"/>
        </w:rPr>
      </w:pPr>
      <w:r>
        <w:rPr>
          <w:rFonts w:hint="eastAsia" w:ascii="宋体" w:hAnsi="宋体" w:cs="宋体"/>
          <w:color w:val="auto"/>
          <w:sz w:val="24"/>
        </w:rPr>
        <w:t>（1）联合体各方应按招标文件提供的格式签订联合体协议书，明确联合体</w:t>
      </w:r>
      <w:r>
        <w:rPr>
          <w:rFonts w:hint="eastAsia" w:ascii="宋体" w:hAnsi="宋体" w:cs="宋体"/>
          <w:color w:val="auto"/>
          <w:sz w:val="24"/>
          <w:lang w:eastAsia="zh-CN"/>
        </w:rPr>
        <w:t>主办方</w:t>
      </w:r>
      <w:r>
        <w:rPr>
          <w:rFonts w:hint="eastAsia" w:ascii="宋体" w:hAnsi="宋体" w:cs="宋体"/>
          <w:color w:val="auto"/>
          <w:sz w:val="24"/>
        </w:rPr>
        <w:t>和各方权利义务，并承诺就中标项目向招标人承担连带责任；</w:t>
      </w:r>
    </w:p>
    <w:p>
      <w:pPr>
        <w:spacing w:line="360" w:lineRule="auto"/>
        <w:ind w:firstLine="360" w:firstLineChars="150"/>
        <w:rPr>
          <w:rFonts w:ascii="宋体" w:hAnsi="宋体" w:cs="宋体"/>
          <w:color w:val="auto"/>
          <w:sz w:val="24"/>
        </w:rPr>
      </w:pPr>
      <w:r>
        <w:rPr>
          <w:rFonts w:hint="eastAsia" w:ascii="宋体" w:hAnsi="宋体" w:cs="宋体"/>
          <w:color w:val="auto"/>
          <w:sz w:val="24"/>
        </w:rPr>
        <w:t>（2）由同一专业的单位组成的联合体，按照资质等级较低的单位确定资质等级；</w:t>
      </w:r>
    </w:p>
    <w:p>
      <w:pPr>
        <w:spacing w:line="360" w:lineRule="auto"/>
        <w:ind w:firstLine="360" w:firstLineChars="150"/>
        <w:rPr>
          <w:rFonts w:ascii="宋体" w:hAnsi="宋体" w:cs="宋体"/>
          <w:color w:val="auto"/>
          <w:sz w:val="24"/>
        </w:rPr>
      </w:pPr>
      <w:r>
        <w:rPr>
          <w:rFonts w:hint="eastAsia" w:ascii="宋体" w:hAnsi="宋体" w:cs="宋体"/>
          <w:color w:val="auto"/>
          <w:sz w:val="24"/>
        </w:rPr>
        <w:t>（3）联合体各方不得再以自己名义单独或参加其他联合体在本招标项目中投标，否则各相关投标均无效。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1.4.3 投标人不得存在下列情形之一：</w:t>
      </w:r>
    </w:p>
    <w:p>
      <w:pPr>
        <w:spacing w:line="360" w:lineRule="auto"/>
        <w:ind w:firstLine="360" w:firstLineChars="150"/>
        <w:rPr>
          <w:rFonts w:ascii="宋体" w:hAnsi="宋体" w:cs="宋体"/>
          <w:color w:val="auto"/>
          <w:sz w:val="24"/>
        </w:rPr>
      </w:pPr>
      <w:r>
        <w:rPr>
          <w:rFonts w:hint="eastAsia" w:ascii="宋体" w:hAnsi="宋体" w:cs="宋体"/>
          <w:color w:val="auto"/>
          <w:sz w:val="24"/>
        </w:rPr>
        <w:t>（1）为招标人不具有独立法人资格的附属机构（单位）；</w:t>
      </w:r>
    </w:p>
    <w:p>
      <w:pPr>
        <w:spacing w:line="360" w:lineRule="auto"/>
        <w:ind w:firstLine="360" w:firstLineChars="150"/>
        <w:rPr>
          <w:rFonts w:ascii="宋体" w:hAnsi="宋体" w:cs="宋体"/>
          <w:color w:val="auto"/>
          <w:sz w:val="24"/>
        </w:rPr>
      </w:pPr>
      <w:r>
        <w:rPr>
          <w:rFonts w:hint="eastAsia" w:ascii="宋体" w:hAnsi="宋体" w:cs="宋体"/>
          <w:color w:val="auto"/>
          <w:sz w:val="24"/>
        </w:rPr>
        <w:t>（2）与招标人存在利害关系且可能影响招标公正性；</w:t>
      </w:r>
    </w:p>
    <w:p>
      <w:pPr>
        <w:spacing w:line="360" w:lineRule="auto"/>
        <w:ind w:firstLine="360" w:firstLineChars="150"/>
        <w:rPr>
          <w:rFonts w:ascii="宋体" w:hAnsi="宋体" w:cs="宋体"/>
          <w:color w:val="auto"/>
          <w:sz w:val="24"/>
        </w:rPr>
      </w:pPr>
      <w:r>
        <w:rPr>
          <w:rFonts w:hint="eastAsia" w:ascii="宋体" w:hAnsi="宋体" w:cs="宋体"/>
          <w:color w:val="auto"/>
          <w:sz w:val="24"/>
        </w:rPr>
        <w:t>（3）与本招标项目的其他投标人为同一个单位负责人；</w:t>
      </w:r>
    </w:p>
    <w:p>
      <w:pPr>
        <w:spacing w:line="360" w:lineRule="auto"/>
        <w:ind w:firstLine="360" w:firstLineChars="150"/>
        <w:rPr>
          <w:rFonts w:ascii="宋体" w:hAnsi="宋体" w:cs="宋体"/>
          <w:color w:val="auto"/>
          <w:sz w:val="24"/>
        </w:rPr>
      </w:pPr>
      <w:r>
        <w:rPr>
          <w:rFonts w:hint="eastAsia" w:ascii="宋体" w:hAnsi="宋体" w:cs="宋体"/>
          <w:color w:val="auto"/>
          <w:sz w:val="24"/>
        </w:rPr>
        <w:t>（4）与本招标项目的其他投标人存在控股、管理关系；</w:t>
      </w:r>
    </w:p>
    <w:p>
      <w:pPr>
        <w:spacing w:line="360" w:lineRule="auto"/>
        <w:ind w:firstLine="360" w:firstLineChars="150"/>
        <w:rPr>
          <w:rFonts w:ascii="宋体" w:hAnsi="宋体" w:cs="宋体"/>
          <w:color w:val="auto"/>
          <w:sz w:val="24"/>
        </w:rPr>
      </w:pPr>
      <w:r>
        <w:rPr>
          <w:rFonts w:hint="eastAsia" w:ascii="宋体" w:hAnsi="宋体" w:cs="宋体"/>
          <w:color w:val="auto"/>
          <w:sz w:val="24"/>
        </w:rPr>
        <w:t>（5）为本招标项目的代建人；</w:t>
      </w:r>
    </w:p>
    <w:p>
      <w:pPr>
        <w:spacing w:line="360" w:lineRule="auto"/>
        <w:ind w:firstLine="360" w:firstLineChars="150"/>
        <w:rPr>
          <w:rFonts w:ascii="宋体" w:hAnsi="宋体" w:cs="宋体"/>
          <w:color w:val="auto"/>
          <w:sz w:val="24"/>
        </w:rPr>
      </w:pPr>
      <w:r>
        <w:rPr>
          <w:rFonts w:hint="eastAsia" w:ascii="宋体" w:hAnsi="宋体" w:cs="宋体"/>
          <w:color w:val="auto"/>
          <w:sz w:val="24"/>
        </w:rPr>
        <w:t>（6）为本招标项目的招标代理机构；</w:t>
      </w:r>
    </w:p>
    <w:p>
      <w:pPr>
        <w:spacing w:line="360" w:lineRule="auto"/>
        <w:ind w:firstLine="360" w:firstLineChars="150"/>
        <w:rPr>
          <w:rFonts w:ascii="宋体" w:hAnsi="宋体" w:cs="宋体"/>
          <w:color w:val="auto"/>
          <w:sz w:val="24"/>
        </w:rPr>
      </w:pPr>
      <w:r>
        <w:rPr>
          <w:rFonts w:hint="eastAsia" w:ascii="宋体" w:hAnsi="宋体" w:cs="宋体"/>
          <w:color w:val="auto"/>
          <w:sz w:val="24"/>
        </w:rPr>
        <w:t>（7）与本招标项目的代建人或招标代理机构同为一个法定代表人；</w:t>
      </w:r>
    </w:p>
    <w:p>
      <w:pPr>
        <w:spacing w:line="360" w:lineRule="auto"/>
        <w:ind w:firstLine="360" w:firstLineChars="150"/>
        <w:rPr>
          <w:rFonts w:ascii="宋体" w:hAnsi="宋体" w:cs="宋体"/>
          <w:color w:val="auto"/>
          <w:sz w:val="24"/>
        </w:rPr>
      </w:pPr>
      <w:r>
        <w:rPr>
          <w:rFonts w:hint="eastAsia" w:ascii="宋体" w:hAnsi="宋体" w:cs="宋体"/>
          <w:color w:val="auto"/>
          <w:sz w:val="24"/>
        </w:rPr>
        <w:t>（8）与本招标项目的代建人或招标代理机构存在控股或参股关系；</w:t>
      </w:r>
    </w:p>
    <w:p>
      <w:pPr>
        <w:spacing w:line="360" w:lineRule="auto"/>
        <w:ind w:firstLine="360" w:firstLineChars="150"/>
        <w:rPr>
          <w:rFonts w:ascii="宋体" w:hAnsi="宋体" w:cs="宋体"/>
          <w:color w:val="auto"/>
          <w:sz w:val="24"/>
        </w:rPr>
      </w:pPr>
      <w:r>
        <w:rPr>
          <w:rFonts w:hint="eastAsia" w:ascii="宋体" w:hAnsi="宋体" w:cs="宋体"/>
          <w:color w:val="auto"/>
          <w:sz w:val="24"/>
        </w:rPr>
        <w:t>（9）与本招标项目的施工承包人以及建筑材料、建筑构配件和设备供应商有隶属关系或者其他利害关系；</w:t>
      </w:r>
    </w:p>
    <w:p>
      <w:pPr>
        <w:spacing w:line="360" w:lineRule="auto"/>
        <w:ind w:firstLine="360" w:firstLineChars="150"/>
        <w:rPr>
          <w:rFonts w:ascii="宋体" w:hAnsi="宋体" w:cs="宋体"/>
          <w:color w:val="auto"/>
          <w:sz w:val="24"/>
        </w:rPr>
      </w:pPr>
      <w:r>
        <w:rPr>
          <w:rFonts w:hint="eastAsia" w:ascii="宋体" w:hAnsi="宋体" w:cs="宋体"/>
          <w:color w:val="auto"/>
          <w:sz w:val="24"/>
        </w:rPr>
        <w:t>（10）被依法暂停或者取消投标资格；</w:t>
      </w:r>
    </w:p>
    <w:p>
      <w:pPr>
        <w:spacing w:line="360" w:lineRule="auto"/>
        <w:ind w:firstLine="360" w:firstLineChars="150"/>
        <w:rPr>
          <w:rFonts w:ascii="宋体" w:hAnsi="宋体" w:cs="宋体"/>
          <w:color w:val="auto"/>
          <w:sz w:val="24"/>
        </w:rPr>
      </w:pPr>
      <w:r>
        <w:rPr>
          <w:rFonts w:hint="eastAsia" w:ascii="宋体" w:hAnsi="宋体" w:cs="宋体"/>
          <w:color w:val="auto"/>
          <w:sz w:val="24"/>
        </w:rPr>
        <w:t>（11）被责令停产停业、暂扣或者吊销许可证、暂扣或者吊销执照；</w:t>
      </w:r>
    </w:p>
    <w:p>
      <w:pPr>
        <w:spacing w:line="360" w:lineRule="auto"/>
        <w:ind w:firstLine="360" w:firstLineChars="150"/>
        <w:rPr>
          <w:rFonts w:ascii="宋体" w:hAnsi="宋体" w:cs="宋体"/>
          <w:color w:val="auto"/>
          <w:sz w:val="24"/>
        </w:rPr>
      </w:pPr>
      <w:r>
        <w:rPr>
          <w:rFonts w:hint="eastAsia" w:ascii="宋体" w:hAnsi="宋体" w:cs="宋体"/>
          <w:color w:val="auto"/>
          <w:sz w:val="24"/>
        </w:rPr>
        <w:t>（12）进入清算程序，或被宣告破产，或其他丧失履约能力的情形；</w:t>
      </w:r>
    </w:p>
    <w:p>
      <w:pPr>
        <w:spacing w:line="360" w:lineRule="auto"/>
        <w:ind w:firstLine="360" w:firstLineChars="150"/>
        <w:rPr>
          <w:rFonts w:ascii="宋体" w:hAnsi="宋体" w:cs="宋体"/>
          <w:color w:val="auto"/>
          <w:sz w:val="24"/>
        </w:rPr>
      </w:pPr>
      <w:r>
        <w:rPr>
          <w:rFonts w:hint="eastAsia" w:ascii="宋体" w:hAnsi="宋体" w:cs="宋体"/>
          <w:color w:val="auto"/>
          <w:sz w:val="24"/>
        </w:rPr>
        <w:t>（13）在最近三年内发生重大质量问题（以相关行业主管部门的行政处罚决定或司法机关出具的有关法律文书为准）；</w:t>
      </w:r>
    </w:p>
    <w:p>
      <w:pPr>
        <w:spacing w:line="360" w:lineRule="auto"/>
        <w:ind w:firstLine="360" w:firstLineChars="150"/>
        <w:rPr>
          <w:rFonts w:ascii="宋体" w:hAnsi="宋体" w:cs="宋体"/>
          <w:color w:val="auto"/>
          <w:sz w:val="24"/>
        </w:rPr>
      </w:pPr>
      <w:r>
        <w:rPr>
          <w:rFonts w:hint="eastAsia" w:ascii="宋体" w:hAnsi="宋体" w:cs="宋体"/>
          <w:color w:val="auto"/>
          <w:sz w:val="24"/>
        </w:rPr>
        <w:t>（14）被工商行政管理机关在全国企业信用信息公示系统中列入严重违法失信企业名单；</w:t>
      </w:r>
    </w:p>
    <w:p>
      <w:pPr>
        <w:spacing w:line="360" w:lineRule="auto"/>
        <w:ind w:firstLine="360" w:firstLineChars="150"/>
        <w:rPr>
          <w:rFonts w:ascii="宋体" w:hAnsi="宋体" w:cs="宋体"/>
          <w:color w:val="auto"/>
          <w:sz w:val="24"/>
        </w:rPr>
      </w:pPr>
      <w:r>
        <w:rPr>
          <w:rFonts w:hint="eastAsia" w:ascii="宋体" w:hAnsi="宋体" w:cs="宋体"/>
          <w:color w:val="auto"/>
          <w:sz w:val="24"/>
        </w:rPr>
        <w:t>（15）被最高人民法院在“信用中国”网站（www.creditchina.gov.cn）或各级信用信息共享平台中列入失信被执行人名单；</w:t>
      </w:r>
    </w:p>
    <w:p>
      <w:pPr>
        <w:spacing w:line="360" w:lineRule="auto"/>
        <w:ind w:firstLine="360" w:firstLineChars="150"/>
        <w:rPr>
          <w:rFonts w:ascii="宋体" w:hAnsi="宋体" w:cs="宋体"/>
          <w:color w:val="auto"/>
          <w:sz w:val="24"/>
        </w:rPr>
      </w:pPr>
      <w:r>
        <w:rPr>
          <w:rFonts w:hint="eastAsia" w:ascii="宋体" w:hAnsi="宋体" w:cs="宋体"/>
          <w:color w:val="auto"/>
          <w:sz w:val="24"/>
        </w:rPr>
        <w:t>（16）</w:t>
      </w:r>
      <w:r>
        <w:rPr>
          <w:rFonts w:ascii="宋体" w:hAnsi="宋体" w:cs="宋体"/>
          <w:color w:val="auto"/>
          <w:sz w:val="24"/>
          <w:szCs w:val="24"/>
        </w:rPr>
        <w:t>在近三年内投标人或其法定代表人、拟委任的项目负责人有行贿犯罪行为的；</w:t>
      </w:r>
    </w:p>
    <w:p>
      <w:pPr>
        <w:spacing w:line="360" w:lineRule="auto"/>
        <w:ind w:firstLine="360" w:firstLineChars="150"/>
        <w:rPr>
          <w:rFonts w:ascii="宋体" w:hAnsi="宋体" w:cs="宋体"/>
          <w:color w:val="auto"/>
          <w:sz w:val="24"/>
        </w:rPr>
      </w:pPr>
      <w:r>
        <w:rPr>
          <w:rFonts w:hint="eastAsia" w:ascii="宋体" w:hAnsi="宋体" w:cs="宋体"/>
          <w:color w:val="auto"/>
          <w:sz w:val="24"/>
        </w:rPr>
        <w:t>（17）法律法规或投标人须知前附表规定的其他情形。</w:t>
      </w:r>
    </w:p>
    <w:p>
      <w:pPr>
        <w:spacing w:line="360" w:lineRule="auto"/>
        <w:rPr>
          <w:rFonts w:ascii="宋体" w:hAnsi="宋体" w:cs="宋体"/>
          <w:b/>
          <w:color w:val="auto"/>
          <w:sz w:val="24"/>
        </w:rPr>
      </w:pPr>
      <w:r>
        <w:rPr>
          <w:rFonts w:hint="eastAsia" w:ascii="宋体" w:hAnsi="宋体" w:cs="宋体"/>
          <w:b/>
          <w:color w:val="auto"/>
          <w:sz w:val="24"/>
        </w:rPr>
        <w:t>1.5 费用承担</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投标人准备和参加投标活动发生的费用自理。</w:t>
      </w:r>
    </w:p>
    <w:p>
      <w:pPr>
        <w:spacing w:line="360" w:lineRule="auto"/>
        <w:rPr>
          <w:rFonts w:ascii="宋体" w:hAnsi="宋体" w:cs="宋体"/>
          <w:b/>
          <w:color w:val="auto"/>
          <w:sz w:val="24"/>
        </w:rPr>
      </w:pPr>
      <w:r>
        <w:rPr>
          <w:rFonts w:hint="eastAsia" w:ascii="宋体" w:hAnsi="宋体" w:cs="宋体"/>
          <w:b/>
          <w:color w:val="auto"/>
          <w:sz w:val="24"/>
        </w:rPr>
        <w:t>1.6 保密</w:t>
      </w:r>
    </w:p>
    <w:p>
      <w:pPr>
        <w:spacing w:line="360" w:lineRule="auto"/>
        <w:ind w:firstLine="480" w:firstLineChars="200"/>
        <w:rPr>
          <w:rFonts w:ascii="宋体" w:hAnsi="宋体" w:cs="宋体"/>
          <w:color w:val="auto"/>
          <w:sz w:val="24"/>
        </w:rPr>
      </w:pPr>
      <w:r>
        <w:rPr>
          <w:rFonts w:hint="eastAsia" w:ascii="宋体" w:hAnsi="宋体" w:cs="宋体"/>
          <w:color w:val="auto"/>
          <w:sz w:val="24"/>
        </w:rPr>
        <w:t>参与招标投标活动的各方应对招标文件和投标文件中的商业和技术等秘密保密，否则应承担相应的法律责任。</w:t>
      </w:r>
    </w:p>
    <w:p>
      <w:pPr>
        <w:spacing w:line="360" w:lineRule="auto"/>
        <w:rPr>
          <w:rFonts w:ascii="宋体" w:hAnsi="宋体" w:cs="宋体"/>
          <w:b/>
          <w:color w:val="auto"/>
          <w:sz w:val="24"/>
        </w:rPr>
      </w:pPr>
      <w:r>
        <w:rPr>
          <w:rFonts w:hint="eastAsia" w:ascii="宋体" w:hAnsi="宋体" w:cs="宋体"/>
          <w:b/>
          <w:color w:val="auto"/>
          <w:sz w:val="24"/>
        </w:rPr>
        <w:t>1.7 语言文字</w:t>
      </w:r>
    </w:p>
    <w:p>
      <w:pPr>
        <w:spacing w:line="360" w:lineRule="auto"/>
        <w:ind w:firstLine="480" w:firstLineChars="200"/>
        <w:rPr>
          <w:rFonts w:ascii="宋体" w:hAnsi="宋体" w:cs="宋体"/>
          <w:color w:val="auto"/>
          <w:sz w:val="24"/>
        </w:rPr>
      </w:pPr>
      <w:r>
        <w:rPr>
          <w:rFonts w:hint="eastAsia" w:ascii="宋体" w:hAnsi="宋体" w:cs="宋体"/>
          <w:color w:val="auto"/>
          <w:sz w:val="24"/>
        </w:rPr>
        <w:t>招标投标文件使用的语言文字为中文。专用术语使用外文的，应附有中文注释。</w:t>
      </w:r>
    </w:p>
    <w:p>
      <w:pPr>
        <w:spacing w:line="360" w:lineRule="auto"/>
        <w:rPr>
          <w:rFonts w:ascii="宋体" w:hAnsi="宋体" w:cs="宋体"/>
          <w:b/>
          <w:color w:val="auto"/>
          <w:sz w:val="24"/>
        </w:rPr>
      </w:pPr>
      <w:r>
        <w:rPr>
          <w:rFonts w:hint="eastAsia" w:ascii="宋体" w:hAnsi="宋体" w:cs="宋体"/>
          <w:b/>
          <w:color w:val="auto"/>
          <w:sz w:val="24"/>
        </w:rPr>
        <w:t>1.8 计量单位</w:t>
      </w:r>
    </w:p>
    <w:p>
      <w:pPr>
        <w:spacing w:line="360" w:lineRule="auto"/>
        <w:ind w:firstLine="480" w:firstLineChars="200"/>
        <w:rPr>
          <w:rFonts w:ascii="宋体" w:hAnsi="宋体" w:cs="宋体"/>
          <w:color w:val="auto"/>
          <w:sz w:val="24"/>
        </w:rPr>
      </w:pPr>
      <w:r>
        <w:rPr>
          <w:rFonts w:hint="eastAsia" w:ascii="宋体" w:hAnsi="宋体" w:cs="宋体"/>
          <w:color w:val="auto"/>
          <w:sz w:val="24"/>
        </w:rPr>
        <w:t>所有计量均采用中华人民共和国法定计量单位。</w:t>
      </w:r>
    </w:p>
    <w:p>
      <w:pPr>
        <w:spacing w:line="360" w:lineRule="auto"/>
        <w:rPr>
          <w:rFonts w:ascii="宋体" w:hAnsi="宋体" w:cs="宋体"/>
          <w:b/>
          <w:color w:val="auto"/>
          <w:sz w:val="24"/>
        </w:rPr>
      </w:pPr>
      <w:r>
        <w:rPr>
          <w:rFonts w:hint="eastAsia" w:ascii="宋体" w:hAnsi="宋体" w:cs="宋体"/>
          <w:b/>
          <w:color w:val="auto"/>
          <w:sz w:val="24"/>
        </w:rPr>
        <w:t>1.9 踏勘现场</w:t>
      </w:r>
    </w:p>
    <w:p>
      <w:pPr>
        <w:spacing w:line="360" w:lineRule="auto"/>
        <w:ind w:firstLine="480" w:firstLineChars="200"/>
        <w:rPr>
          <w:rFonts w:ascii="宋体" w:hAnsi="宋体" w:cs="宋体"/>
          <w:color w:val="auto"/>
          <w:sz w:val="24"/>
        </w:rPr>
      </w:pPr>
      <w:r>
        <w:rPr>
          <w:rFonts w:hint="eastAsia" w:ascii="宋体" w:hAnsi="宋体" w:cs="宋体"/>
          <w:color w:val="auto"/>
          <w:sz w:val="24"/>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hAnsi="宋体" w:cs="宋体"/>
          <w:color w:val="auto"/>
          <w:sz w:val="24"/>
        </w:rPr>
      </w:pPr>
      <w:r>
        <w:rPr>
          <w:rFonts w:hint="eastAsia" w:ascii="宋体" w:hAnsi="宋体" w:cs="宋体"/>
          <w:color w:val="auto"/>
          <w:sz w:val="24"/>
        </w:rPr>
        <w:t>1.9.2 投标人踏勘现场发生的费用自理。</w:t>
      </w:r>
    </w:p>
    <w:p>
      <w:pPr>
        <w:spacing w:line="360" w:lineRule="auto"/>
        <w:ind w:firstLine="480" w:firstLineChars="200"/>
        <w:rPr>
          <w:rFonts w:ascii="宋体" w:hAnsi="宋体" w:cs="宋体"/>
          <w:color w:val="auto"/>
          <w:sz w:val="24"/>
        </w:rPr>
      </w:pPr>
      <w:r>
        <w:rPr>
          <w:rFonts w:hint="eastAsia" w:ascii="宋体" w:hAnsi="宋体" w:cs="宋体"/>
          <w:color w:val="auto"/>
          <w:sz w:val="24"/>
        </w:rPr>
        <w:t>1.9.3 除招标人的原因外，投标人自行负责在踏勘现场中所发生的人员伤亡和财产损失。</w:t>
      </w:r>
    </w:p>
    <w:p>
      <w:pPr>
        <w:spacing w:line="360" w:lineRule="auto"/>
        <w:ind w:firstLine="480" w:firstLineChars="200"/>
        <w:rPr>
          <w:rFonts w:ascii="宋体" w:hAnsi="宋体" w:cs="宋体"/>
          <w:color w:val="auto"/>
          <w:sz w:val="24"/>
        </w:rPr>
      </w:pPr>
      <w:r>
        <w:rPr>
          <w:rFonts w:hint="eastAsia" w:ascii="宋体" w:hAnsi="宋体" w:cs="宋体"/>
          <w:color w:val="auto"/>
          <w:sz w:val="24"/>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cs="宋体"/>
          <w:b/>
          <w:color w:val="auto"/>
          <w:sz w:val="24"/>
        </w:rPr>
      </w:pPr>
      <w:r>
        <w:rPr>
          <w:rFonts w:hint="eastAsia" w:ascii="宋体" w:hAnsi="宋体" w:cs="宋体"/>
          <w:b/>
          <w:color w:val="auto"/>
          <w:sz w:val="24"/>
        </w:rPr>
        <w:t>1.10 投标预备会</w:t>
      </w:r>
    </w:p>
    <w:p>
      <w:pPr>
        <w:spacing w:line="360" w:lineRule="auto"/>
        <w:ind w:firstLine="480" w:firstLineChars="200"/>
        <w:rPr>
          <w:rFonts w:ascii="宋体" w:hAnsi="宋体" w:cs="宋体"/>
          <w:color w:val="auto"/>
          <w:sz w:val="24"/>
        </w:rPr>
      </w:pPr>
      <w:r>
        <w:rPr>
          <w:rFonts w:hint="eastAsia" w:ascii="宋体" w:hAnsi="宋体" w:cs="宋体"/>
          <w:color w:val="auto"/>
          <w:sz w:val="24"/>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宋体" w:hAnsi="宋体" w:cs="宋体"/>
          <w:color w:val="auto"/>
          <w:sz w:val="24"/>
        </w:rPr>
      </w:pPr>
      <w:r>
        <w:rPr>
          <w:rFonts w:hint="eastAsia" w:ascii="宋体" w:hAnsi="宋体" w:cs="宋体"/>
          <w:color w:val="auto"/>
          <w:sz w:val="24"/>
        </w:rPr>
        <w:t>1.10.2 投标人应按投标人须知前附表规定的时间和形式将提出的问题送达招标人，以便招标人在会议期间澄清。</w:t>
      </w:r>
    </w:p>
    <w:p>
      <w:pPr>
        <w:spacing w:line="360" w:lineRule="auto"/>
        <w:ind w:firstLine="480" w:firstLineChars="200"/>
        <w:rPr>
          <w:rFonts w:ascii="宋体" w:hAnsi="宋体" w:cs="宋体"/>
          <w:color w:val="auto"/>
          <w:sz w:val="24"/>
        </w:rPr>
      </w:pPr>
      <w:r>
        <w:rPr>
          <w:rFonts w:hint="eastAsia" w:ascii="宋体" w:hAnsi="宋体" w:cs="宋体"/>
          <w:color w:val="auto"/>
          <w:sz w:val="24"/>
        </w:rPr>
        <w:t>1.10.3 投标预备会后，招标人将对投标人所提问题的澄清，以投标人须知前附表规定的形式通知所有购买招标文件的投标人。该澄清内容为招标文件的组成部分。</w:t>
      </w:r>
    </w:p>
    <w:p>
      <w:pPr>
        <w:spacing w:line="360" w:lineRule="auto"/>
        <w:rPr>
          <w:rFonts w:ascii="宋体" w:hAnsi="宋体" w:cs="宋体"/>
          <w:b/>
          <w:color w:val="auto"/>
          <w:sz w:val="24"/>
        </w:rPr>
      </w:pPr>
      <w:bookmarkStart w:id="12" w:name="page24"/>
      <w:bookmarkEnd w:id="12"/>
      <w:r>
        <w:rPr>
          <w:rFonts w:hint="eastAsia" w:ascii="宋体" w:hAnsi="宋体" w:cs="宋体"/>
          <w:b/>
          <w:color w:val="auto"/>
          <w:sz w:val="24"/>
        </w:rPr>
        <w:t>1.11 分包</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本项目严禁分包。</w:t>
      </w:r>
    </w:p>
    <w:p>
      <w:pPr>
        <w:spacing w:line="360" w:lineRule="auto"/>
        <w:rPr>
          <w:rFonts w:ascii="宋体" w:hAnsi="宋体" w:cs="宋体"/>
          <w:b/>
          <w:color w:val="auto"/>
          <w:sz w:val="24"/>
        </w:rPr>
      </w:pPr>
      <w:r>
        <w:rPr>
          <w:rFonts w:hint="eastAsia" w:ascii="宋体" w:hAnsi="宋体" w:cs="宋体"/>
          <w:b/>
          <w:color w:val="auto"/>
          <w:sz w:val="24"/>
        </w:rPr>
        <w:t>1.12 响应和偏差</w:t>
      </w:r>
    </w:p>
    <w:p>
      <w:pPr>
        <w:spacing w:line="360" w:lineRule="auto"/>
        <w:ind w:firstLine="480" w:firstLineChars="200"/>
        <w:rPr>
          <w:rFonts w:ascii="宋体" w:hAnsi="宋体" w:cs="宋体"/>
          <w:color w:val="auto"/>
          <w:sz w:val="24"/>
        </w:rPr>
      </w:pPr>
      <w:r>
        <w:rPr>
          <w:rFonts w:hint="eastAsia" w:ascii="宋体" w:hAnsi="宋体" w:cs="宋体"/>
          <w:color w:val="auto"/>
          <w:sz w:val="24"/>
        </w:rPr>
        <w:t>1.12.1 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1.12.2 投标人应根据招标文件的要求提供投标服务方案等内容以对招标文件作出响应。</w:t>
      </w:r>
    </w:p>
    <w:p>
      <w:pPr>
        <w:spacing w:line="360" w:lineRule="auto"/>
        <w:ind w:firstLine="480" w:firstLineChars="200"/>
        <w:rPr>
          <w:rFonts w:ascii="宋体" w:hAnsi="宋体" w:cs="宋体"/>
          <w:color w:val="auto"/>
          <w:sz w:val="24"/>
        </w:rPr>
      </w:pPr>
      <w:r>
        <w:rPr>
          <w:rFonts w:hint="eastAsia" w:ascii="宋体" w:hAnsi="宋体" w:cs="宋体"/>
          <w:color w:val="auto"/>
          <w:sz w:val="24"/>
        </w:rPr>
        <w:t>1.12.3 投标人须知前附表允许投标文件偏离招标文件某些要求的，偏差应当符合招标文件规定的偏差范围和幅度。</w:t>
      </w:r>
    </w:p>
    <w:p>
      <w:pPr>
        <w:widowControl/>
        <w:numPr>
          <w:ilvl w:val="0"/>
          <w:numId w:val="2"/>
        </w:numPr>
        <w:tabs>
          <w:tab w:val="left" w:pos="760"/>
        </w:tabs>
        <w:spacing w:line="360" w:lineRule="auto"/>
        <w:ind w:left="760" w:hanging="400"/>
        <w:jc w:val="center"/>
        <w:rPr>
          <w:rFonts w:ascii="宋体" w:hAnsi="宋体" w:cs="宋体"/>
          <w:b/>
          <w:bCs/>
          <w:color w:val="auto"/>
          <w:sz w:val="32"/>
          <w:szCs w:val="32"/>
        </w:rPr>
      </w:pPr>
      <w:r>
        <w:rPr>
          <w:rFonts w:hint="eastAsia" w:ascii="宋体" w:hAnsi="宋体" w:cs="宋体"/>
          <w:b/>
          <w:bCs/>
          <w:color w:val="auto"/>
          <w:sz w:val="32"/>
          <w:szCs w:val="32"/>
        </w:rPr>
        <w:t>招标文件</w:t>
      </w:r>
    </w:p>
    <w:p>
      <w:pPr>
        <w:spacing w:line="360" w:lineRule="auto"/>
        <w:rPr>
          <w:rFonts w:ascii="宋体" w:hAnsi="宋体" w:cs="宋体"/>
          <w:b/>
          <w:color w:val="auto"/>
          <w:sz w:val="24"/>
        </w:rPr>
      </w:pPr>
      <w:r>
        <w:rPr>
          <w:rFonts w:hint="eastAsia" w:ascii="宋体" w:hAnsi="宋体" w:cs="宋体"/>
          <w:b/>
          <w:color w:val="auto"/>
          <w:sz w:val="24"/>
        </w:rPr>
        <w:t>2.1 招标文件的组成</w:t>
      </w:r>
    </w:p>
    <w:p>
      <w:pPr>
        <w:spacing w:line="360" w:lineRule="auto"/>
        <w:ind w:firstLine="480" w:firstLineChars="200"/>
        <w:rPr>
          <w:rFonts w:ascii="宋体" w:hAnsi="宋体" w:cs="宋体"/>
          <w:color w:val="auto"/>
          <w:sz w:val="24"/>
        </w:rPr>
      </w:pPr>
      <w:r>
        <w:rPr>
          <w:rFonts w:hint="eastAsia" w:ascii="宋体" w:hAnsi="宋体" w:cs="宋体"/>
          <w:color w:val="auto"/>
          <w:sz w:val="24"/>
        </w:rPr>
        <w:t>本招标文件包括：</w:t>
      </w:r>
    </w:p>
    <w:p>
      <w:pPr>
        <w:spacing w:line="360" w:lineRule="auto"/>
        <w:ind w:firstLine="360" w:firstLineChars="150"/>
        <w:rPr>
          <w:rFonts w:ascii="宋体" w:hAnsi="宋体" w:cs="宋体"/>
          <w:color w:val="auto"/>
          <w:sz w:val="24"/>
        </w:rPr>
      </w:pPr>
      <w:r>
        <w:rPr>
          <w:rFonts w:hint="eastAsia" w:ascii="宋体" w:hAnsi="宋体" w:cs="宋体"/>
          <w:color w:val="auto"/>
          <w:sz w:val="24"/>
        </w:rPr>
        <w:t>（1）招标公告；</w:t>
      </w:r>
    </w:p>
    <w:p>
      <w:pPr>
        <w:spacing w:line="360" w:lineRule="auto"/>
        <w:ind w:firstLine="360" w:firstLineChars="150"/>
        <w:rPr>
          <w:rFonts w:ascii="宋体" w:hAnsi="宋体" w:cs="宋体"/>
          <w:color w:val="auto"/>
          <w:sz w:val="24"/>
        </w:rPr>
      </w:pPr>
      <w:r>
        <w:rPr>
          <w:rFonts w:hint="eastAsia" w:ascii="宋体" w:hAnsi="宋体" w:cs="宋体"/>
          <w:color w:val="auto"/>
          <w:sz w:val="24"/>
        </w:rPr>
        <w:t>（2）投标人须知；</w:t>
      </w:r>
    </w:p>
    <w:p>
      <w:pPr>
        <w:spacing w:line="360" w:lineRule="auto"/>
        <w:ind w:firstLine="360" w:firstLineChars="150"/>
        <w:rPr>
          <w:rFonts w:ascii="宋体" w:hAnsi="宋体" w:cs="宋体"/>
          <w:color w:val="auto"/>
          <w:sz w:val="24"/>
        </w:rPr>
      </w:pPr>
      <w:r>
        <w:rPr>
          <w:rFonts w:hint="eastAsia" w:ascii="宋体" w:hAnsi="宋体" w:cs="宋体"/>
          <w:color w:val="auto"/>
          <w:sz w:val="24"/>
        </w:rPr>
        <w:t>（3）评标办法；</w:t>
      </w:r>
    </w:p>
    <w:p>
      <w:pPr>
        <w:spacing w:line="360" w:lineRule="auto"/>
        <w:ind w:firstLine="360" w:firstLineChars="150"/>
        <w:rPr>
          <w:rFonts w:ascii="宋体" w:hAnsi="宋体" w:cs="宋体"/>
          <w:color w:val="auto"/>
          <w:sz w:val="24"/>
        </w:rPr>
      </w:pPr>
      <w:r>
        <w:rPr>
          <w:rFonts w:hint="eastAsia" w:ascii="宋体" w:hAnsi="宋体" w:cs="宋体"/>
          <w:color w:val="auto"/>
          <w:sz w:val="24"/>
        </w:rPr>
        <w:t>（4）合同条款及格式；</w:t>
      </w:r>
    </w:p>
    <w:p>
      <w:pPr>
        <w:spacing w:line="360" w:lineRule="auto"/>
        <w:ind w:firstLine="360" w:firstLineChars="150"/>
        <w:rPr>
          <w:rFonts w:ascii="宋体" w:hAnsi="宋体" w:cs="宋体"/>
          <w:color w:val="auto"/>
          <w:sz w:val="24"/>
        </w:rPr>
      </w:pPr>
      <w:r>
        <w:rPr>
          <w:rFonts w:hint="eastAsia" w:ascii="宋体" w:hAnsi="宋体" w:cs="宋体"/>
          <w:color w:val="auto"/>
          <w:sz w:val="24"/>
        </w:rPr>
        <w:t>（5）委托人要求；</w:t>
      </w:r>
    </w:p>
    <w:p>
      <w:pPr>
        <w:spacing w:line="360" w:lineRule="auto"/>
        <w:ind w:firstLine="360" w:firstLineChars="150"/>
        <w:rPr>
          <w:rFonts w:ascii="宋体" w:hAnsi="宋体" w:cs="宋体"/>
          <w:color w:val="auto"/>
          <w:sz w:val="24"/>
        </w:rPr>
      </w:pPr>
      <w:r>
        <w:rPr>
          <w:rFonts w:hint="eastAsia" w:ascii="宋体" w:hAnsi="宋体" w:cs="宋体"/>
          <w:color w:val="auto"/>
          <w:sz w:val="24"/>
        </w:rPr>
        <w:t>（6）投标文件格式；</w:t>
      </w:r>
    </w:p>
    <w:p>
      <w:pPr>
        <w:spacing w:line="360" w:lineRule="auto"/>
        <w:ind w:firstLine="360" w:firstLineChars="150"/>
        <w:rPr>
          <w:rFonts w:ascii="宋体" w:hAnsi="宋体" w:cs="宋体"/>
          <w:color w:val="auto"/>
          <w:sz w:val="24"/>
        </w:rPr>
      </w:pPr>
      <w:r>
        <w:rPr>
          <w:rFonts w:hint="eastAsia" w:ascii="宋体" w:hAnsi="宋体" w:cs="宋体"/>
          <w:color w:val="auto"/>
          <w:sz w:val="24"/>
        </w:rPr>
        <w:t>（7）投标人须知前附表规定的其他资料。</w:t>
      </w:r>
    </w:p>
    <w:p>
      <w:pPr>
        <w:spacing w:line="360" w:lineRule="auto"/>
        <w:ind w:firstLine="480" w:firstLineChars="200"/>
        <w:rPr>
          <w:rFonts w:ascii="宋体" w:hAnsi="宋体" w:cs="宋体"/>
          <w:color w:val="auto"/>
          <w:sz w:val="24"/>
        </w:rPr>
      </w:pPr>
      <w:r>
        <w:rPr>
          <w:rFonts w:hint="eastAsia" w:ascii="宋体" w:hAnsi="宋体" w:cs="宋体"/>
          <w:color w:val="auto"/>
          <w:sz w:val="24"/>
        </w:rPr>
        <w:t>根据本章第1.10款、第2.2款和第2.3款对招标文件所作的澄清、修改，构成招标文件的组成部分。</w:t>
      </w:r>
    </w:p>
    <w:p>
      <w:pPr>
        <w:spacing w:line="360" w:lineRule="auto"/>
        <w:rPr>
          <w:rFonts w:ascii="宋体" w:hAnsi="宋体" w:cs="宋体"/>
          <w:b/>
          <w:color w:val="auto"/>
          <w:sz w:val="24"/>
        </w:rPr>
      </w:pPr>
      <w:r>
        <w:rPr>
          <w:rFonts w:hint="eastAsia" w:ascii="宋体" w:hAnsi="宋体" w:cs="宋体"/>
          <w:b/>
          <w:color w:val="auto"/>
          <w:sz w:val="24"/>
        </w:rPr>
        <w:t>2.2 招标文件的澄清</w:t>
      </w:r>
    </w:p>
    <w:p>
      <w:pPr>
        <w:spacing w:line="360" w:lineRule="auto"/>
        <w:ind w:firstLine="480" w:firstLineChars="200"/>
        <w:rPr>
          <w:rFonts w:ascii="宋体" w:hAnsi="宋体" w:cs="宋体"/>
          <w:color w:val="auto"/>
          <w:sz w:val="24"/>
        </w:rPr>
      </w:pPr>
      <w:r>
        <w:rPr>
          <w:rFonts w:hint="eastAsia" w:ascii="宋体" w:hAnsi="宋体" w:cs="宋体"/>
          <w:color w:val="auto"/>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hAnsi="宋体" w:cs="宋体"/>
          <w:color w:val="auto"/>
          <w:sz w:val="24"/>
        </w:rPr>
      </w:pPr>
      <w:r>
        <w:rPr>
          <w:rFonts w:hint="eastAsia" w:ascii="宋体" w:hAnsi="宋体" w:cs="宋体"/>
          <w:color w:val="auto"/>
          <w:sz w:val="24"/>
        </w:rPr>
        <w:t>2.2.2 招标文件的澄清以投标人须知前附表规定的形式发给所有购买招标文件的投标人，但不指明澄清问题的来源。澄清发出的时间距本章第 4.2.1 项规定的投标截止时间不足15日的，</w:t>
      </w:r>
      <w:bookmarkStart w:id="13" w:name="page25"/>
      <w:bookmarkEnd w:id="13"/>
      <w:r>
        <w:rPr>
          <w:rFonts w:hint="eastAsia" w:ascii="宋体" w:hAnsi="宋体" w:cs="宋体"/>
          <w:color w:val="auto"/>
          <w:sz w:val="24"/>
        </w:rPr>
        <w:t>并且澄清内容可能影响投标文件编制的，将相应延长投标截止时间。</w:t>
      </w:r>
    </w:p>
    <w:p>
      <w:pPr>
        <w:spacing w:line="360" w:lineRule="auto"/>
        <w:ind w:firstLine="480" w:firstLineChars="200"/>
        <w:rPr>
          <w:rFonts w:ascii="宋体" w:hAnsi="宋体" w:cs="宋体"/>
          <w:color w:val="auto"/>
          <w:sz w:val="24"/>
        </w:rPr>
      </w:pPr>
      <w:r>
        <w:rPr>
          <w:rFonts w:hint="eastAsia" w:ascii="宋体" w:hAnsi="宋体" w:cs="宋体"/>
          <w:color w:val="auto"/>
          <w:sz w:val="24"/>
        </w:rPr>
        <w:t>2.2.3 投标人在收到澄清后，应按投标人须知前附表规定的时间和形式通知招标人，确认已收到该澄清。</w:t>
      </w:r>
    </w:p>
    <w:p>
      <w:pPr>
        <w:spacing w:line="360" w:lineRule="auto"/>
        <w:ind w:firstLine="480" w:firstLineChars="200"/>
        <w:rPr>
          <w:rFonts w:ascii="宋体" w:hAnsi="宋体" w:cs="宋体"/>
          <w:color w:val="auto"/>
          <w:sz w:val="24"/>
        </w:rPr>
      </w:pPr>
      <w:r>
        <w:rPr>
          <w:rFonts w:hint="eastAsia" w:ascii="宋体" w:hAnsi="宋体" w:cs="宋体"/>
          <w:color w:val="auto"/>
          <w:sz w:val="24"/>
        </w:rPr>
        <w:t>2.2.4 除非招标人认为确有必要答复，否则，招标人有权拒绝回复投标人在本章第 2.2.1 项规定的时间后的任何澄清要求。</w:t>
      </w:r>
    </w:p>
    <w:p>
      <w:pPr>
        <w:spacing w:line="360" w:lineRule="auto"/>
        <w:rPr>
          <w:rFonts w:ascii="宋体" w:hAnsi="宋体" w:cs="宋体"/>
          <w:b/>
          <w:color w:val="auto"/>
          <w:sz w:val="24"/>
        </w:rPr>
      </w:pPr>
      <w:r>
        <w:rPr>
          <w:rFonts w:hint="eastAsia" w:ascii="宋体" w:hAnsi="宋体" w:cs="宋体"/>
          <w:b/>
          <w:color w:val="auto"/>
          <w:sz w:val="24"/>
        </w:rPr>
        <w:t>2.3 招标文件的修改</w:t>
      </w:r>
    </w:p>
    <w:p>
      <w:pPr>
        <w:spacing w:line="360" w:lineRule="auto"/>
        <w:ind w:firstLine="480" w:firstLineChars="200"/>
        <w:rPr>
          <w:rFonts w:ascii="宋体" w:hAnsi="宋体" w:cs="宋体"/>
          <w:color w:val="auto"/>
          <w:sz w:val="24"/>
        </w:rPr>
      </w:pPr>
      <w:r>
        <w:rPr>
          <w:rFonts w:hint="eastAsia" w:ascii="宋体" w:hAnsi="宋体" w:cs="宋体"/>
          <w:color w:val="auto"/>
          <w:sz w:val="24"/>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80" w:firstLineChars="200"/>
        <w:rPr>
          <w:rFonts w:ascii="宋体" w:hAnsi="宋体" w:cs="宋体"/>
          <w:color w:val="auto"/>
          <w:sz w:val="24"/>
        </w:rPr>
      </w:pPr>
      <w:r>
        <w:rPr>
          <w:rFonts w:hint="eastAsia" w:ascii="宋体" w:hAnsi="宋体" w:cs="宋体"/>
          <w:color w:val="auto"/>
          <w:sz w:val="24"/>
        </w:rPr>
        <w:t>2.3.2 投标人收到修改内容后，应按投标人须知前附表规定的时间和形式通知招标人，确认已收到该修改。</w:t>
      </w:r>
    </w:p>
    <w:p>
      <w:pPr>
        <w:spacing w:line="360" w:lineRule="auto"/>
        <w:rPr>
          <w:rFonts w:ascii="宋体" w:hAnsi="宋体" w:cs="宋体"/>
          <w:b/>
          <w:color w:val="auto"/>
          <w:sz w:val="24"/>
        </w:rPr>
      </w:pPr>
      <w:r>
        <w:rPr>
          <w:rFonts w:hint="eastAsia" w:ascii="宋体" w:hAnsi="宋体" w:cs="宋体"/>
          <w:b/>
          <w:color w:val="auto"/>
          <w:sz w:val="24"/>
        </w:rPr>
        <w:t>2.4 招标文件的异议</w:t>
      </w:r>
    </w:p>
    <w:p>
      <w:pPr>
        <w:spacing w:line="360" w:lineRule="auto"/>
        <w:ind w:right="360" w:firstLine="360" w:firstLineChars="150"/>
        <w:rPr>
          <w:rFonts w:ascii="宋体" w:hAnsi="宋体" w:cs="宋体"/>
          <w:color w:val="auto"/>
          <w:sz w:val="24"/>
        </w:rPr>
      </w:pPr>
      <w:r>
        <w:rPr>
          <w:rFonts w:hint="eastAsia" w:ascii="宋体" w:hAnsi="宋体" w:cs="宋体"/>
          <w:color w:val="auto"/>
          <w:sz w:val="24"/>
        </w:rPr>
        <w:t>投标人或者其他利害关系人对招标文件有异议的，应当在投标截止时间 10 日前以书面形式提出。招标人将在收到异议之日起 3 日内作出答复；作出答复前，将暂停招标投标活动。</w:t>
      </w:r>
    </w:p>
    <w:p>
      <w:pPr>
        <w:spacing w:line="360" w:lineRule="auto"/>
        <w:rPr>
          <w:rFonts w:ascii="宋体" w:hAnsi="宋体" w:cs="宋体"/>
          <w:color w:val="auto"/>
          <w:szCs w:val="21"/>
        </w:rPr>
      </w:pPr>
    </w:p>
    <w:p>
      <w:pPr>
        <w:widowControl/>
        <w:numPr>
          <w:ilvl w:val="0"/>
          <w:numId w:val="2"/>
        </w:numPr>
        <w:tabs>
          <w:tab w:val="left" w:pos="760"/>
        </w:tabs>
        <w:spacing w:line="360" w:lineRule="auto"/>
        <w:ind w:left="760" w:hanging="400"/>
        <w:jc w:val="center"/>
        <w:rPr>
          <w:rFonts w:ascii="宋体" w:hAnsi="宋体" w:cs="宋体"/>
          <w:b/>
          <w:bCs/>
          <w:color w:val="auto"/>
          <w:sz w:val="32"/>
          <w:szCs w:val="32"/>
        </w:rPr>
      </w:pPr>
      <w:r>
        <w:rPr>
          <w:rFonts w:hint="eastAsia" w:ascii="宋体" w:hAnsi="宋体" w:cs="宋体"/>
          <w:b/>
          <w:bCs/>
          <w:color w:val="auto"/>
          <w:sz w:val="32"/>
          <w:szCs w:val="32"/>
        </w:rPr>
        <w:t>投标文件</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3.1 投标文件的组成</w:t>
      </w:r>
    </w:p>
    <w:p>
      <w:pPr>
        <w:spacing w:line="360" w:lineRule="auto"/>
        <w:rPr>
          <w:color w:val="auto"/>
          <w:sz w:val="24"/>
          <w:szCs w:val="24"/>
        </w:rPr>
      </w:pPr>
      <w:r>
        <w:rPr>
          <w:color w:val="auto"/>
        </w:rPr>
        <w:t>　</w:t>
      </w:r>
      <w:r>
        <w:rPr>
          <w:color w:val="auto"/>
          <w:sz w:val="24"/>
          <w:szCs w:val="24"/>
        </w:rPr>
        <w:t>3.1.1 投标文件应包括下列内容：</w:t>
      </w:r>
    </w:p>
    <w:p>
      <w:pPr>
        <w:spacing w:line="360" w:lineRule="auto"/>
        <w:ind w:firstLine="480" w:firstLineChars="200"/>
        <w:rPr>
          <w:color w:val="auto"/>
          <w:sz w:val="24"/>
          <w:szCs w:val="24"/>
        </w:rPr>
      </w:pPr>
      <w:r>
        <w:rPr>
          <w:rFonts w:hint="eastAsia"/>
          <w:color w:val="auto"/>
          <w:sz w:val="24"/>
          <w:szCs w:val="24"/>
        </w:rPr>
        <w:t>3.1.1投标人的投标文件应包括下列各项：</w:t>
      </w:r>
    </w:p>
    <w:p>
      <w:pPr>
        <w:spacing w:line="360" w:lineRule="auto"/>
        <w:ind w:firstLine="480" w:firstLineChars="200"/>
        <w:rPr>
          <w:color w:val="auto"/>
          <w:sz w:val="24"/>
          <w:szCs w:val="24"/>
        </w:rPr>
      </w:pPr>
      <w:r>
        <w:rPr>
          <w:rFonts w:hint="eastAsia"/>
          <w:color w:val="auto"/>
          <w:sz w:val="24"/>
          <w:szCs w:val="24"/>
        </w:rPr>
        <w:t>（1）投标文件目录；</w:t>
      </w:r>
    </w:p>
    <w:p>
      <w:pPr>
        <w:spacing w:line="360" w:lineRule="auto"/>
        <w:ind w:firstLine="480" w:firstLineChars="200"/>
        <w:rPr>
          <w:color w:val="auto"/>
          <w:sz w:val="24"/>
          <w:szCs w:val="24"/>
        </w:rPr>
      </w:pPr>
      <w:r>
        <w:rPr>
          <w:rFonts w:hint="eastAsia"/>
          <w:color w:val="auto"/>
          <w:sz w:val="24"/>
          <w:szCs w:val="24"/>
        </w:rPr>
        <w:t>（2）投标函及投标函附录（按投标文件格式一）；</w:t>
      </w:r>
    </w:p>
    <w:p>
      <w:pPr>
        <w:spacing w:line="360" w:lineRule="auto"/>
        <w:ind w:firstLine="480" w:firstLineChars="200"/>
        <w:rPr>
          <w:color w:val="auto"/>
          <w:sz w:val="24"/>
          <w:szCs w:val="24"/>
        </w:rPr>
      </w:pPr>
      <w:r>
        <w:rPr>
          <w:rFonts w:hint="eastAsia"/>
          <w:color w:val="auto"/>
          <w:sz w:val="24"/>
          <w:szCs w:val="24"/>
        </w:rPr>
        <w:t>（3）法定代表人证明书、法定代表人授权委托书（限非法定代表人参加投标报名活动时提供）；</w:t>
      </w:r>
    </w:p>
    <w:p>
      <w:pPr>
        <w:spacing w:line="360" w:lineRule="auto"/>
        <w:ind w:firstLine="480" w:firstLineChars="200"/>
        <w:rPr>
          <w:color w:val="auto"/>
          <w:sz w:val="24"/>
          <w:szCs w:val="24"/>
        </w:rPr>
      </w:pPr>
      <w:r>
        <w:rPr>
          <w:rFonts w:hint="eastAsia"/>
          <w:color w:val="auto"/>
          <w:sz w:val="24"/>
          <w:szCs w:val="24"/>
        </w:rPr>
        <w:t>（4）投标报价表（按投标文件格式三）；</w:t>
      </w:r>
    </w:p>
    <w:p>
      <w:pPr>
        <w:spacing w:line="360" w:lineRule="auto"/>
        <w:ind w:firstLine="480" w:firstLineChars="200"/>
        <w:rPr>
          <w:color w:val="auto"/>
          <w:sz w:val="24"/>
          <w:szCs w:val="24"/>
        </w:rPr>
      </w:pPr>
      <w:r>
        <w:rPr>
          <w:rFonts w:hint="eastAsia"/>
          <w:color w:val="auto"/>
          <w:sz w:val="24"/>
          <w:szCs w:val="24"/>
        </w:rPr>
        <w:t>（5）投标人声明（按招标公告附件一）；</w:t>
      </w:r>
    </w:p>
    <w:p>
      <w:pPr>
        <w:spacing w:line="360" w:lineRule="auto"/>
        <w:ind w:firstLine="480" w:firstLineChars="200"/>
        <w:rPr>
          <w:color w:val="auto"/>
          <w:sz w:val="24"/>
          <w:szCs w:val="24"/>
        </w:rPr>
      </w:pPr>
      <w:r>
        <w:rPr>
          <w:rFonts w:hint="eastAsia"/>
          <w:color w:val="auto"/>
          <w:sz w:val="24"/>
          <w:szCs w:val="24"/>
        </w:rPr>
        <w:t>（6）事业单位登记管理部门核发的事业单位法人证书或工商行政管理部门核发的企业法人营业执照扫描件（证书在有效期内）；</w:t>
      </w:r>
    </w:p>
    <w:p>
      <w:pPr>
        <w:spacing w:line="360" w:lineRule="auto"/>
        <w:ind w:firstLine="480" w:firstLineChars="200"/>
        <w:rPr>
          <w:rFonts w:hint="eastAsia"/>
          <w:color w:val="auto"/>
          <w:sz w:val="24"/>
          <w:szCs w:val="24"/>
        </w:rPr>
      </w:pPr>
      <w:r>
        <w:rPr>
          <w:rFonts w:hint="eastAsia"/>
          <w:color w:val="auto"/>
          <w:sz w:val="24"/>
          <w:szCs w:val="24"/>
        </w:rPr>
        <w:t>（7）</w:t>
      </w:r>
      <w:r>
        <w:rPr>
          <w:rFonts w:hint="eastAsia"/>
          <w:color w:val="auto"/>
          <w:sz w:val="24"/>
          <w:szCs w:val="24"/>
          <w:lang w:val="en-US" w:eastAsia="zh-CN"/>
        </w:rPr>
        <w:t>联合体协议（如有）</w:t>
      </w:r>
      <w:r>
        <w:rPr>
          <w:rFonts w:hint="eastAsia"/>
          <w:color w:val="auto"/>
          <w:sz w:val="24"/>
          <w:szCs w:val="24"/>
        </w:rPr>
        <w:t>（按招标公告附件</w:t>
      </w:r>
      <w:r>
        <w:rPr>
          <w:rFonts w:hint="eastAsia"/>
          <w:color w:val="auto"/>
          <w:sz w:val="24"/>
          <w:szCs w:val="24"/>
          <w:lang w:val="en-US" w:eastAsia="zh-CN"/>
        </w:rPr>
        <w:t>二</w:t>
      </w:r>
      <w:r>
        <w:rPr>
          <w:rFonts w:hint="eastAsia"/>
          <w:color w:val="auto"/>
          <w:sz w:val="24"/>
          <w:szCs w:val="24"/>
        </w:rPr>
        <w:t>）；</w:t>
      </w:r>
    </w:p>
    <w:p>
      <w:pPr>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eastAsia="zh-CN"/>
        </w:rPr>
        <w:t>8</w:t>
      </w:r>
      <w:r>
        <w:rPr>
          <w:rFonts w:hint="eastAsia"/>
          <w:color w:val="auto"/>
          <w:sz w:val="24"/>
          <w:szCs w:val="24"/>
        </w:rPr>
        <w:t>）拟委派项目负责人职称证书扫描件；</w:t>
      </w:r>
    </w:p>
    <w:p>
      <w:pPr>
        <w:pStyle w:val="19"/>
        <w:rPr>
          <w:color w:val="auto"/>
          <w:sz w:val="24"/>
          <w:highlight w:val="none"/>
        </w:rPr>
      </w:pPr>
      <w:r>
        <w:rPr>
          <w:rFonts w:hint="eastAsia"/>
          <w:color w:val="auto"/>
          <w:sz w:val="24"/>
          <w:highlight w:val="none"/>
        </w:rPr>
        <w:t>（</w:t>
      </w:r>
      <w:r>
        <w:rPr>
          <w:rFonts w:hint="eastAsia"/>
          <w:color w:val="auto"/>
          <w:sz w:val="24"/>
          <w:highlight w:val="none"/>
          <w:lang w:eastAsia="zh-CN"/>
        </w:rPr>
        <w:t>9</w:t>
      </w:r>
      <w:r>
        <w:rPr>
          <w:rFonts w:hint="eastAsia"/>
          <w:color w:val="auto"/>
          <w:sz w:val="24"/>
          <w:highlight w:val="none"/>
        </w:rPr>
        <w:t>）</w:t>
      </w:r>
      <w:r>
        <w:rPr>
          <w:rFonts w:hint="eastAsia" w:ascii="宋体" w:hAnsi="宋体" w:cs="宋体"/>
          <w:color w:val="auto"/>
          <w:sz w:val="24"/>
          <w:highlight w:val="none"/>
          <w:u w:val="single"/>
        </w:rPr>
        <w:t>投标人在广州公共资源交易中心办理企业信息登记</w:t>
      </w:r>
      <w:r>
        <w:rPr>
          <w:rFonts w:hint="eastAsia"/>
          <w:color w:val="auto"/>
          <w:sz w:val="24"/>
          <w:highlight w:val="none"/>
        </w:rPr>
        <w:t>；</w:t>
      </w:r>
    </w:p>
    <w:p>
      <w:pPr>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eastAsia="zh-CN"/>
        </w:rPr>
        <w:t>10</w:t>
      </w:r>
      <w:r>
        <w:rPr>
          <w:rFonts w:hint="eastAsia"/>
          <w:color w:val="auto"/>
          <w:sz w:val="24"/>
          <w:szCs w:val="24"/>
        </w:rPr>
        <w:t>）投标人自201</w:t>
      </w:r>
      <w:r>
        <w:rPr>
          <w:rFonts w:hint="eastAsia"/>
          <w:color w:val="auto"/>
          <w:sz w:val="24"/>
          <w:szCs w:val="24"/>
          <w:lang w:val="en-US" w:eastAsia="zh-CN"/>
        </w:rPr>
        <w:t>7</w:t>
      </w:r>
      <w:r>
        <w:rPr>
          <w:rFonts w:hint="eastAsia"/>
          <w:color w:val="auto"/>
          <w:sz w:val="24"/>
          <w:szCs w:val="24"/>
        </w:rPr>
        <w:t>年1月1日起类似项目业绩证明材料扫描件（见招标文件第六章投标文件格式四表格2）；</w:t>
      </w:r>
    </w:p>
    <w:p>
      <w:pPr>
        <w:pStyle w:val="19"/>
        <w:rPr>
          <w:color w:val="auto"/>
          <w:sz w:val="24"/>
        </w:rPr>
      </w:pPr>
      <w:r>
        <w:rPr>
          <w:rFonts w:hint="eastAsia"/>
          <w:color w:val="auto"/>
          <w:sz w:val="24"/>
        </w:rPr>
        <w:t>（1</w:t>
      </w:r>
      <w:r>
        <w:rPr>
          <w:rFonts w:hint="eastAsia"/>
          <w:color w:val="auto"/>
          <w:sz w:val="24"/>
          <w:lang w:val="en-US" w:eastAsia="zh-CN"/>
        </w:rPr>
        <w:t>1</w:t>
      </w:r>
      <w:r>
        <w:rPr>
          <w:rFonts w:hint="eastAsia"/>
          <w:color w:val="auto"/>
          <w:sz w:val="24"/>
        </w:rPr>
        <w:t>）企业资信情况；</w:t>
      </w:r>
    </w:p>
    <w:p>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）单位组织机构表（按投标文件格式四表格1）；</w:t>
      </w:r>
    </w:p>
    <w:p>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）企业类似业绩（按投标文件格式四表格2）（附证明资料）；</w:t>
      </w:r>
    </w:p>
    <w:p>
      <w:pPr>
        <w:spacing w:line="360" w:lineRule="auto"/>
        <w:ind w:firstLine="480" w:firstLineChars="200"/>
        <w:rPr>
          <w:color w:val="auto"/>
          <w:sz w:val="24"/>
          <w:szCs w:val="24"/>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w:t>
      </w:r>
      <w:bookmarkStart w:id="14" w:name="bookmark40"/>
      <w:bookmarkEnd w:id="14"/>
      <w:r>
        <w:rPr>
          <w:rFonts w:hint="eastAsia"/>
          <w:color w:val="auto"/>
          <w:sz w:val="24"/>
          <w:szCs w:val="24"/>
        </w:rPr>
        <w:t>拟委派的项目负责人及投入本项目的团队人员一览表（按投标文件格式四表格3）；</w:t>
      </w:r>
    </w:p>
    <w:p>
      <w:pPr>
        <w:pStyle w:val="19"/>
        <w:rPr>
          <w:color w:val="auto"/>
          <w:sz w:val="24"/>
        </w:rPr>
      </w:pPr>
      <w:r>
        <w:rPr>
          <w:rFonts w:hint="eastAsia"/>
          <w:color w:val="auto"/>
          <w:sz w:val="24"/>
        </w:rPr>
        <w:t>（1</w:t>
      </w:r>
      <w:r>
        <w:rPr>
          <w:rFonts w:hint="eastAsia"/>
          <w:color w:val="auto"/>
          <w:sz w:val="24"/>
          <w:lang w:val="en-US" w:eastAsia="zh-CN"/>
        </w:rPr>
        <w:t>5</w:t>
      </w:r>
      <w:r>
        <w:rPr>
          <w:rFonts w:hint="eastAsia"/>
          <w:color w:val="auto"/>
          <w:sz w:val="24"/>
        </w:rPr>
        <w:t>）主要技术人员简历表（按投标文件格式四表格3-1）（附证明资料）；</w:t>
      </w:r>
    </w:p>
    <w:p>
      <w:pPr>
        <w:pStyle w:val="19"/>
        <w:rPr>
          <w:color w:val="auto"/>
          <w:sz w:val="24"/>
          <w:highlight w:val="none"/>
        </w:rPr>
      </w:pPr>
      <w:r>
        <w:rPr>
          <w:rFonts w:hint="eastAsia"/>
          <w:color w:val="auto"/>
          <w:sz w:val="24"/>
          <w:highlight w:val="none"/>
        </w:rPr>
        <w:t>（1</w:t>
      </w:r>
      <w:r>
        <w:rPr>
          <w:rFonts w:hint="eastAsia"/>
          <w:color w:val="auto"/>
          <w:sz w:val="24"/>
          <w:highlight w:val="none"/>
          <w:lang w:eastAsia="zh-CN"/>
        </w:rPr>
        <w:t>6</w:t>
      </w:r>
      <w:r>
        <w:rPr>
          <w:rFonts w:hint="eastAsia"/>
          <w:color w:val="auto"/>
          <w:sz w:val="24"/>
          <w:highlight w:val="none"/>
        </w:rPr>
        <w:t>）服务方案；</w:t>
      </w:r>
    </w:p>
    <w:p>
      <w:pPr>
        <w:pStyle w:val="19"/>
        <w:rPr>
          <w:color w:val="auto"/>
          <w:sz w:val="24"/>
          <w:highlight w:val="none"/>
        </w:rPr>
      </w:pPr>
      <w:r>
        <w:rPr>
          <w:rFonts w:hint="eastAsia"/>
          <w:color w:val="auto"/>
          <w:sz w:val="24"/>
          <w:highlight w:val="none"/>
        </w:rPr>
        <w:t>（1</w:t>
      </w:r>
      <w:r>
        <w:rPr>
          <w:rFonts w:hint="eastAsia"/>
          <w:color w:val="auto"/>
          <w:sz w:val="24"/>
          <w:highlight w:val="none"/>
          <w:lang w:eastAsia="zh-CN"/>
        </w:rPr>
        <w:t>7</w:t>
      </w:r>
      <w:r>
        <w:rPr>
          <w:rFonts w:hint="eastAsia"/>
          <w:color w:val="auto"/>
          <w:sz w:val="24"/>
          <w:highlight w:val="none"/>
        </w:rPr>
        <w:t>）《服务承诺》（按投标文件格式五）；</w:t>
      </w:r>
    </w:p>
    <w:p>
      <w:pPr>
        <w:pStyle w:val="19"/>
        <w:rPr>
          <w:color w:val="auto"/>
          <w:sz w:val="24"/>
          <w:highlight w:val="none"/>
        </w:rPr>
      </w:pPr>
      <w:r>
        <w:rPr>
          <w:rFonts w:hint="eastAsia"/>
          <w:color w:val="auto"/>
          <w:sz w:val="24"/>
          <w:highlight w:val="none"/>
        </w:rPr>
        <w:t>（1</w:t>
      </w:r>
      <w:r>
        <w:rPr>
          <w:rFonts w:hint="eastAsia"/>
          <w:color w:val="auto"/>
          <w:sz w:val="24"/>
          <w:highlight w:val="none"/>
          <w:lang w:eastAsia="zh-CN"/>
        </w:rPr>
        <w:t>8</w:t>
      </w:r>
      <w:r>
        <w:rPr>
          <w:rFonts w:hint="eastAsia"/>
          <w:color w:val="auto"/>
          <w:sz w:val="24"/>
          <w:highlight w:val="none"/>
        </w:rPr>
        <w:t>）投标保证金；</w:t>
      </w:r>
    </w:p>
    <w:p>
      <w:pPr>
        <w:pStyle w:val="19"/>
        <w:rPr>
          <w:color w:val="auto"/>
          <w:sz w:val="24"/>
        </w:rPr>
      </w:pPr>
      <w:r>
        <w:rPr>
          <w:rFonts w:hint="eastAsia"/>
          <w:color w:val="auto"/>
          <w:sz w:val="24"/>
        </w:rPr>
        <w:t>（1</w:t>
      </w:r>
      <w:r>
        <w:rPr>
          <w:rFonts w:hint="eastAsia"/>
          <w:color w:val="auto"/>
          <w:sz w:val="24"/>
          <w:lang w:val="en-US" w:eastAsia="zh-CN"/>
        </w:rPr>
        <w:t>9</w:t>
      </w:r>
      <w:r>
        <w:rPr>
          <w:rFonts w:hint="eastAsia"/>
          <w:color w:val="auto"/>
          <w:sz w:val="24"/>
        </w:rPr>
        <w:t>）其他资料</w:t>
      </w:r>
      <w:r>
        <w:rPr>
          <w:rFonts w:hint="eastAsia" w:ascii="宋体" w:hAnsi="宋体" w:cs="宋体"/>
          <w:color w:val="auto"/>
          <w:sz w:val="24"/>
          <w:szCs w:val="24"/>
        </w:rPr>
        <w:t>（投标人认为有必要提交或根据投标人资格和评标办法要求提交的其他资料）</w:t>
      </w:r>
      <w:r>
        <w:rPr>
          <w:rFonts w:hint="eastAsia"/>
          <w:color w:val="auto"/>
          <w:sz w:val="24"/>
        </w:rPr>
        <w:t>。</w:t>
      </w:r>
    </w:p>
    <w:p>
      <w:pPr>
        <w:adjustRightInd w:val="0"/>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投标人在评标过程中作出的符合法律法规和招标文件规定的澄清确认，构成投标文件的组成部分。</w:t>
      </w:r>
      <w:bookmarkStart w:id="15" w:name="page26"/>
      <w:bookmarkEnd w:id="15"/>
    </w:p>
    <w:p>
      <w:pPr>
        <w:spacing w:line="360" w:lineRule="auto"/>
        <w:rPr>
          <w:rFonts w:ascii="宋体" w:hAnsi="宋体" w:cs="宋体"/>
          <w:b/>
          <w:color w:val="auto"/>
          <w:sz w:val="24"/>
        </w:rPr>
      </w:pPr>
      <w:r>
        <w:rPr>
          <w:rFonts w:hint="eastAsia" w:ascii="宋体" w:hAnsi="宋体" w:cs="宋体"/>
          <w:b/>
          <w:color w:val="auto"/>
          <w:sz w:val="24"/>
        </w:rPr>
        <w:t>3.2 投标报价</w:t>
      </w:r>
    </w:p>
    <w:p>
      <w:pPr>
        <w:spacing w:line="360" w:lineRule="auto"/>
        <w:ind w:firstLine="480" w:firstLineChars="200"/>
        <w:rPr>
          <w:rFonts w:ascii="宋体" w:hAnsi="宋体" w:cs="宋体"/>
          <w:color w:val="auto"/>
          <w:sz w:val="24"/>
        </w:rPr>
      </w:pPr>
      <w:r>
        <w:rPr>
          <w:rFonts w:hint="eastAsia" w:ascii="宋体" w:hAnsi="宋体" w:cs="宋体"/>
          <w:color w:val="auto"/>
          <w:sz w:val="24"/>
        </w:rPr>
        <w:t>3.2.1 投标报价应包括国家规定的增值税税金，除投标人须知前附表另有规定外，增值税税金按一般计税方法计算。投标人应按第六章“投标文件格式”的要求在投标函中进行报价。</w:t>
      </w:r>
    </w:p>
    <w:p>
      <w:pPr>
        <w:spacing w:line="360" w:lineRule="auto"/>
        <w:ind w:firstLine="480" w:firstLineChars="200"/>
        <w:rPr>
          <w:rFonts w:ascii="宋体" w:hAnsi="宋体" w:cs="宋体"/>
          <w:color w:val="auto"/>
          <w:sz w:val="24"/>
        </w:rPr>
      </w:pPr>
      <w:r>
        <w:rPr>
          <w:rFonts w:hint="eastAsia" w:ascii="宋体" w:hAnsi="宋体" w:cs="宋体"/>
          <w:color w:val="auto"/>
          <w:sz w:val="24"/>
        </w:rPr>
        <w:t>3.2.2 投标人应充分了解该项目的总体情况以及影响投标报价的其他要素。</w:t>
      </w:r>
    </w:p>
    <w:p>
      <w:pPr>
        <w:spacing w:line="360" w:lineRule="auto"/>
        <w:ind w:firstLine="480" w:firstLineChars="200"/>
        <w:rPr>
          <w:rFonts w:ascii="宋体" w:hAnsi="宋体" w:cs="宋体"/>
          <w:color w:val="auto"/>
          <w:sz w:val="24"/>
        </w:rPr>
      </w:pPr>
      <w:r>
        <w:rPr>
          <w:rFonts w:hint="eastAsia" w:ascii="宋体" w:hAnsi="宋体" w:cs="宋体"/>
          <w:color w:val="auto"/>
          <w:sz w:val="24"/>
        </w:rPr>
        <w:t>3.2.3 本项目的报价方式见投标人须知前附表。投标人在投标截止时间前修改投标函中的投标报价总额，应同时修改投标文件“投标报价表”中的相应报价。此修改须符合本章第 4.3 款的有关要求。</w:t>
      </w:r>
    </w:p>
    <w:p>
      <w:pPr>
        <w:spacing w:line="360" w:lineRule="auto"/>
        <w:ind w:firstLine="480" w:firstLineChars="200"/>
        <w:rPr>
          <w:rFonts w:ascii="宋体" w:hAnsi="宋体" w:cs="宋体"/>
          <w:color w:val="auto"/>
          <w:sz w:val="24"/>
        </w:rPr>
      </w:pPr>
      <w:r>
        <w:rPr>
          <w:rFonts w:hint="eastAsia" w:ascii="宋体" w:hAnsi="宋体" w:cs="宋体"/>
          <w:color w:val="auto"/>
          <w:sz w:val="24"/>
        </w:rPr>
        <w:t>3.2.4 招标人设有最高投标限价的，投标人的投标报价不得超过最高投标限价，最高投标限价在投标人须知前附表中载明。</w:t>
      </w:r>
    </w:p>
    <w:p>
      <w:pPr>
        <w:spacing w:line="360" w:lineRule="auto"/>
        <w:ind w:firstLine="480" w:firstLineChars="200"/>
        <w:rPr>
          <w:rFonts w:ascii="宋体" w:hAnsi="宋体" w:cs="宋体"/>
          <w:color w:val="auto"/>
          <w:sz w:val="24"/>
        </w:rPr>
      </w:pPr>
      <w:r>
        <w:rPr>
          <w:rFonts w:hint="eastAsia" w:ascii="宋体" w:hAnsi="宋体" w:cs="宋体"/>
          <w:color w:val="auto"/>
          <w:sz w:val="24"/>
        </w:rPr>
        <w:t>3.2.5 投标报价的其他要求见投标人须知前附表。</w:t>
      </w:r>
    </w:p>
    <w:p>
      <w:pPr>
        <w:spacing w:line="360" w:lineRule="auto"/>
        <w:rPr>
          <w:rFonts w:ascii="宋体" w:hAnsi="宋体" w:cs="宋体"/>
          <w:b/>
          <w:color w:val="auto"/>
          <w:sz w:val="24"/>
        </w:rPr>
      </w:pPr>
      <w:r>
        <w:rPr>
          <w:rFonts w:hint="eastAsia" w:ascii="宋体" w:hAnsi="宋体" w:cs="宋体"/>
          <w:b/>
          <w:color w:val="auto"/>
          <w:sz w:val="24"/>
        </w:rPr>
        <w:t>3.3 投标有效期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rPr>
        <w:t xml:space="preserve">3.3.1 </w:t>
      </w:r>
      <w:r>
        <w:rPr>
          <w:rFonts w:hint="eastAsia" w:ascii="宋体" w:hAnsi="宋体" w:cs="宋体"/>
          <w:color w:val="auto"/>
          <w:sz w:val="24"/>
          <w:szCs w:val="24"/>
        </w:rPr>
        <w:t>投标有效期见投标须知前附表。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3.3.2 在投标有效期内，投标人撤销投标文件的，应承担招标文件和法律规定的责任。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rPr>
          <w:rFonts w:ascii="宋体" w:hAnsi="宋体" w:cs="宋体"/>
          <w:b/>
          <w:color w:val="auto"/>
          <w:sz w:val="24"/>
        </w:rPr>
      </w:pPr>
      <w:r>
        <w:rPr>
          <w:rFonts w:hint="eastAsia" w:ascii="宋体" w:hAnsi="宋体" w:cs="宋体"/>
          <w:b/>
          <w:color w:val="auto"/>
          <w:sz w:val="24"/>
        </w:rPr>
        <w:t>3.4 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w:t>
      </w:r>
      <w:r>
        <w:rPr>
          <w:rFonts w:hint="eastAsia" w:ascii="宋体" w:hAnsi="宋体" w:cs="宋体"/>
          <w:color w:val="auto"/>
          <w:sz w:val="24"/>
          <w:lang w:eastAsia="zh-CN"/>
        </w:rPr>
        <w:t>主办方</w:t>
      </w:r>
      <w:r>
        <w:rPr>
          <w:rFonts w:hint="eastAsia" w:ascii="宋体" w:hAnsi="宋体" w:cs="宋体"/>
          <w:color w:val="auto"/>
          <w:sz w:val="24"/>
        </w:rPr>
        <w:t>递交，并应符合投标人须知前附表的规定。</w:t>
      </w:r>
      <w:bookmarkStart w:id="16" w:name="page27"/>
      <w:bookmarkEnd w:id="16"/>
    </w:p>
    <w:p>
      <w:pPr>
        <w:spacing w:line="360" w:lineRule="auto"/>
        <w:ind w:firstLine="480" w:firstLineChars="200"/>
        <w:rPr>
          <w:rFonts w:ascii="宋体" w:hAnsi="宋体" w:cs="宋体"/>
          <w:color w:val="auto"/>
          <w:sz w:val="24"/>
        </w:rPr>
      </w:pPr>
      <w:r>
        <w:rPr>
          <w:rFonts w:hint="eastAsia" w:ascii="宋体" w:hAnsi="宋体" w:cs="宋体"/>
          <w:color w:val="auto"/>
          <w:sz w:val="24"/>
        </w:rPr>
        <w:t>3.4.2 投标人不按本章第 3.4.1 项要求提交投标保证金的，评标委员会将否决其投标。</w:t>
      </w:r>
    </w:p>
    <w:p>
      <w:pPr>
        <w:spacing w:line="360" w:lineRule="auto"/>
        <w:ind w:firstLine="480" w:firstLineChars="200"/>
        <w:rPr>
          <w:rFonts w:ascii="宋体" w:hAnsi="宋体" w:cs="宋体"/>
          <w:color w:val="auto"/>
          <w:sz w:val="24"/>
        </w:rPr>
      </w:pPr>
      <w:r>
        <w:rPr>
          <w:rFonts w:hint="eastAsia" w:ascii="宋体" w:hAnsi="宋体" w:cs="宋体"/>
          <w:color w:val="auto"/>
          <w:sz w:val="24"/>
        </w:rPr>
        <w:t>3.4.3 招标人最迟将在与中标人签订合同后 5 日内，向未中标的投标人和中标人退还投标保证金。投标保证金以现金或者支票形式递交的，还应退还银行同期存款利息。</w:t>
      </w:r>
    </w:p>
    <w:p>
      <w:pPr>
        <w:spacing w:line="360" w:lineRule="auto"/>
        <w:ind w:firstLine="480" w:firstLineChars="200"/>
        <w:rPr>
          <w:rFonts w:ascii="宋体" w:hAnsi="宋体" w:cs="宋体"/>
          <w:color w:val="auto"/>
          <w:sz w:val="24"/>
        </w:rPr>
      </w:pPr>
      <w:r>
        <w:rPr>
          <w:rFonts w:hint="eastAsia" w:ascii="宋体" w:hAnsi="宋体" w:cs="宋体"/>
          <w:color w:val="auto"/>
          <w:sz w:val="24"/>
        </w:rPr>
        <w:t>3.4.4 有下列情形之一的，投标保证金将不予退还：</w:t>
      </w:r>
    </w:p>
    <w:p>
      <w:pPr>
        <w:spacing w:line="360" w:lineRule="auto"/>
        <w:ind w:firstLine="360" w:firstLineChars="150"/>
        <w:rPr>
          <w:rFonts w:ascii="宋体" w:hAnsi="宋体" w:cs="宋体"/>
          <w:color w:val="auto"/>
          <w:sz w:val="24"/>
        </w:rPr>
      </w:pPr>
      <w:r>
        <w:rPr>
          <w:rFonts w:hint="eastAsia" w:ascii="宋体" w:hAnsi="宋体" w:cs="宋体"/>
          <w:color w:val="auto"/>
          <w:sz w:val="24"/>
        </w:rPr>
        <w:t>（1）投标人在投标有效期内撤销投标文件；</w:t>
      </w:r>
    </w:p>
    <w:p>
      <w:pPr>
        <w:spacing w:line="360" w:lineRule="auto"/>
        <w:ind w:firstLine="360" w:firstLineChars="150"/>
        <w:rPr>
          <w:rFonts w:ascii="宋体" w:hAnsi="宋体" w:cs="宋体"/>
          <w:color w:val="auto"/>
          <w:sz w:val="24"/>
        </w:rPr>
      </w:pPr>
      <w:r>
        <w:rPr>
          <w:rFonts w:hint="eastAsia" w:ascii="宋体" w:hAnsi="宋体" w:cs="宋体"/>
          <w:color w:val="auto"/>
          <w:sz w:val="24"/>
        </w:rPr>
        <w:t>（2）中标人在收到中标通知书后，无正当理由不与招标人订立合同，在签订合同时向招标人提出附加条件，或者不按照招标文件要求提交履约保证金；</w:t>
      </w:r>
    </w:p>
    <w:p>
      <w:pPr>
        <w:spacing w:line="360" w:lineRule="auto"/>
        <w:ind w:firstLine="360" w:firstLineChars="150"/>
        <w:rPr>
          <w:rFonts w:ascii="宋体" w:hAnsi="宋体" w:cs="宋体"/>
          <w:color w:val="auto"/>
          <w:sz w:val="24"/>
        </w:rPr>
      </w:pPr>
      <w:r>
        <w:rPr>
          <w:rFonts w:hint="eastAsia" w:ascii="宋体" w:hAnsi="宋体" w:cs="宋体"/>
          <w:color w:val="auto"/>
          <w:sz w:val="24"/>
        </w:rPr>
        <w:t>（3）发生投标人须知前附表规定的其他可以不予退还投标保证金的情形。</w:t>
      </w:r>
    </w:p>
    <w:p>
      <w:pPr>
        <w:spacing w:line="360" w:lineRule="auto"/>
        <w:rPr>
          <w:rFonts w:ascii="宋体" w:hAnsi="宋体" w:cs="宋体"/>
          <w:b/>
          <w:color w:val="auto"/>
          <w:sz w:val="24"/>
        </w:rPr>
      </w:pPr>
      <w:r>
        <w:rPr>
          <w:rFonts w:hint="eastAsia" w:ascii="宋体" w:hAnsi="宋体" w:cs="宋体"/>
          <w:b/>
          <w:color w:val="auto"/>
          <w:sz w:val="24"/>
        </w:rPr>
        <w:t>3.5 资格审查资料</w:t>
      </w:r>
    </w:p>
    <w:p>
      <w:pPr>
        <w:spacing w:line="400" w:lineRule="exact"/>
        <w:ind w:firstLine="480" w:firstLineChars="200"/>
        <w:rPr>
          <w:color w:val="auto"/>
          <w:sz w:val="24"/>
          <w:szCs w:val="24"/>
        </w:rPr>
      </w:pPr>
      <w:r>
        <w:rPr>
          <w:color w:val="auto"/>
          <w:sz w:val="24"/>
          <w:szCs w:val="24"/>
        </w:rPr>
        <w:t>除投标人须知前附表另有规定外，投标人应按下列规定提供资格审查资料，以证明其满足本章第1.4款规定的资质、财务、业绩、信誉等要求。</w:t>
      </w:r>
    </w:p>
    <w:p>
      <w:pPr>
        <w:pStyle w:val="7"/>
        <w:spacing w:line="240" w:lineRule="auto"/>
        <w:ind w:firstLine="597" w:firstLineChars="249"/>
        <w:rPr>
          <w:rFonts w:ascii="Times New Roman" w:eastAsia="宋体"/>
          <w:color w:val="auto"/>
          <w:sz w:val="24"/>
          <w:szCs w:val="24"/>
        </w:rPr>
      </w:pPr>
      <w:r>
        <w:rPr>
          <w:rFonts w:hint="eastAsia" w:ascii="Times New Roman" w:eastAsia="宋体"/>
          <w:color w:val="auto"/>
          <w:sz w:val="24"/>
          <w:szCs w:val="24"/>
        </w:rPr>
        <w:t>3.5.1企业营业执照或事业单位登记机构核发的事业单位法人证书；</w:t>
      </w:r>
    </w:p>
    <w:p>
      <w:pPr>
        <w:pStyle w:val="7"/>
        <w:spacing w:line="240" w:lineRule="auto"/>
        <w:ind w:firstLine="597" w:firstLineChars="249"/>
        <w:rPr>
          <w:rFonts w:ascii="Times New Roman" w:eastAsia="宋体"/>
          <w:color w:val="auto"/>
          <w:sz w:val="24"/>
          <w:szCs w:val="24"/>
        </w:rPr>
      </w:pPr>
      <w:r>
        <w:rPr>
          <w:rFonts w:hint="eastAsia" w:ascii="Times New Roman" w:eastAsia="宋体"/>
          <w:color w:val="auto"/>
          <w:sz w:val="24"/>
          <w:szCs w:val="24"/>
        </w:rPr>
        <w:t>3.5.2法定代表人证明书、法定代表人授权委托书（限非法定代表人参加投标活动时提供）；</w:t>
      </w:r>
    </w:p>
    <w:p>
      <w:pPr>
        <w:pStyle w:val="7"/>
        <w:spacing w:line="240" w:lineRule="auto"/>
        <w:ind w:firstLine="597" w:firstLineChars="249"/>
        <w:rPr>
          <w:rFonts w:ascii="Times New Roman" w:eastAsia="宋体"/>
          <w:color w:val="auto"/>
          <w:sz w:val="24"/>
          <w:szCs w:val="24"/>
        </w:rPr>
      </w:pPr>
      <w:r>
        <w:rPr>
          <w:rFonts w:hint="eastAsia" w:ascii="Times New Roman" w:eastAsia="宋体"/>
          <w:color w:val="auto"/>
          <w:sz w:val="24"/>
          <w:szCs w:val="24"/>
        </w:rPr>
        <w:t>3.5.3投标人自201</w:t>
      </w:r>
      <w:r>
        <w:rPr>
          <w:rFonts w:hint="eastAsia" w:ascii="Times New Roman" w:eastAsia="宋体"/>
          <w:color w:val="auto"/>
          <w:sz w:val="24"/>
          <w:szCs w:val="24"/>
          <w:lang w:val="en-US" w:eastAsia="zh-CN"/>
        </w:rPr>
        <w:t>7</w:t>
      </w:r>
      <w:r>
        <w:rPr>
          <w:rFonts w:hint="eastAsia" w:ascii="Times New Roman" w:eastAsia="宋体"/>
          <w:color w:val="auto"/>
          <w:sz w:val="24"/>
          <w:szCs w:val="24"/>
        </w:rPr>
        <w:t>年1月1日起项目业绩证明材料扫描件；</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3.5.4拟委派本项目的项目负责人职称证书；</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3.5.5</w:t>
      </w:r>
      <w:r>
        <w:rPr>
          <w:rFonts w:hint="eastAsia" w:ascii="宋体" w:hAnsi="宋体" w:cs="宋体"/>
          <w:color w:val="auto"/>
          <w:sz w:val="24"/>
          <w:highlight w:val="none"/>
          <w:u w:val="single"/>
        </w:rPr>
        <w:t>投标人在广州公共资源交易中心办理企业信息登记</w:t>
      </w:r>
      <w:r>
        <w:rPr>
          <w:rFonts w:hint="eastAsia"/>
          <w:color w:val="auto"/>
          <w:sz w:val="24"/>
          <w:szCs w:val="24"/>
          <w:highlight w:val="none"/>
        </w:rPr>
        <w:t>；</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3.5.6投标人已按照招标公告附件一的内容签署盖章的《投标人声明》；</w:t>
      </w:r>
    </w:p>
    <w:p>
      <w:pPr>
        <w:pStyle w:val="7"/>
        <w:spacing w:line="240" w:lineRule="auto"/>
        <w:ind w:firstLine="597" w:firstLineChars="249"/>
        <w:rPr>
          <w:rFonts w:ascii="Times New Roman" w:eastAsia="宋体"/>
          <w:color w:val="auto"/>
          <w:sz w:val="24"/>
          <w:szCs w:val="24"/>
        </w:rPr>
      </w:pPr>
      <w:r>
        <w:rPr>
          <w:rFonts w:hint="eastAsia" w:ascii="Times New Roman" w:eastAsia="宋体"/>
          <w:color w:val="auto"/>
          <w:sz w:val="24"/>
          <w:szCs w:val="24"/>
        </w:rPr>
        <w:t>3.5.</w:t>
      </w:r>
      <w:r>
        <w:rPr>
          <w:rFonts w:hint="eastAsia" w:ascii="Times New Roman" w:eastAsia="宋体"/>
          <w:color w:val="auto"/>
          <w:sz w:val="24"/>
          <w:szCs w:val="24"/>
          <w:lang w:val="en-US" w:eastAsia="zh-CN"/>
        </w:rPr>
        <w:t>7若联合体投标，按招标公告要求提交</w:t>
      </w:r>
      <w:r>
        <w:rPr>
          <w:rFonts w:hint="eastAsia" w:ascii="Times New Roman" w:eastAsia="宋体"/>
          <w:color w:val="auto"/>
          <w:sz w:val="24"/>
          <w:szCs w:val="24"/>
        </w:rPr>
        <w:t>《</w:t>
      </w:r>
      <w:r>
        <w:rPr>
          <w:rFonts w:hint="eastAsia" w:ascii="Times New Roman" w:eastAsia="宋体"/>
          <w:color w:val="auto"/>
          <w:sz w:val="24"/>
          <w:szCs w:val="24"/>
          <w:lang w:val="en-US" w:eastAsia="zh-CN"/>
        </w:rPr>
        <w:t>联合体协议书</w:t>
      </w:r>
      <w:r>
        <w:rPr>
          <w:rFonts w:hint="eastAsia" w:ascii="Times New Roman" w:eastAsia="宋体"/>
          <w:color w:val="auto"/>
          <w:sz w:val="24"/>
          <w:szCs w:val="24"/>
        </w:rPr>
        <w:t>》；</w:t>
      </w:r>
    </w:p>
    <w:p>
      <w:pPr>
        <w:pStyle w:val="7"/>
        <w:spacing w:line="240" w:lineRule="auto"/>
        <w:ind w:firstLine="597" w:firstLineChars="249"/>
        <w:rPr>
          <w:rFonts w:ascii="Times New Roman" w:eastAsia="宋体"/>
          <w:color w:val="auto"/>
          <w:sz w:val="24"/>
          <w:szCs w:val="24"/>
          <w:highlight w:val="none"/>
        </w:rPr>
      </w:pPr>
      <w:r>
        <w:rPr>
          <w:rFonts w:hint="eastAsia" w:ascii="Times New Roman" w:eastAsia="宋体"/>
          <w:color w:val="auto"/>
          <w:sz w:val="24"/>
          <w:szCs w:val="24"/>
          <w:highlight w:val="none"/>
        </w:rPr>
        <w:t>3.5.</w:t>
      </w:r>
      <w:r>
        <w:rPr>
          <w:rFonts w:hint="eastAsia" w:ascii="Times New Roman" w:eastAsia="宋体"/>
          <w:color w:val="auto"/>
          <w:sz w:val="24"/>
          <w:szCs w:val="24"/>
          <w:highlight w:val="none"/>
          <w:lang w:eastAsia="zh-CN"/>
        </w:rPr>
        <w:t>8</w:t>
      </w:r>
      <w:r>
        <w:rPr>
          <w:rFonts w:hint="eastAsia" w:ascii="Times New Roman" w:eastAsia="宋体"/>
          <w:color w:val="auto"/>
          <w:sz w:val="24"/>
          <w:szCs w:val="24"/>
          <w:highlight w:val="none"/>
        </w:rPr>
        <w:t>其他满足投标人资格要求的证明材料（如有）。</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3.6 备选投标方案</w:t>
      </w:r>
    </w:p>
    <w:p>
      <w:pPr>
        <w:spacing w:line="360" w:lineRule="auto"/>
        <w:ind w:firstLine="480" w:firstLineChars="200"/>
        <w:rPr>
          <w:rFonts w:ascii="宋体" w:hAnsi="宋体" w:cs="宋体"/>
          <w:color w:val="auto"/>
          <w:sz w:val="24"/>
        </w:rPr>
      </w:pPr>
      <w:r>
        <w:rPr>
          <w:rFonts w:hint="eastAsia" w:ascii="宋体" w:hAnsi="宋体" w:cs="宋体"/>
          <w:color w:val="auto"/>
          <w:sz w:val="24"/>
        </w:rPr>
        <w:t>3.6.1 除投标人须知前附表规定允许外，投标人不得递交备选投标方案，否则其投标将被否决。</w:t>
      </w:r>
    </w:p>
    <w:p>
      <w:pPr>
        <w:spacing w:line="360" w:lineRule="auto"/>
        <w:ind w:firstLine="480" w:firstLineChars="200"/>
        <w:rPr>
          <w:rFonts w:ascii="宋体" w:hAnsi="宋体" w:cs="宋体"/>
          <w:color w:val="auto"/>
          <w:sz w:val="24"/>
        </w:rPr>
      </w:pPr>
      <w:r>
        <w:rPr>
          <w:rFonts w:hint="eastAsia" w:ascii="宋体" w:hAnsi="宋体" w:cs="宋体"/>
          <w:color w:val="auto"/>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color w:val="auto"/>
          <w:sz w:val="24"/>
        </w:rPr>
      </w:pPr>
      <w:r>
        <w:rPr>
          <w:rFonts w:hint="eastAsia" w:ascii="宋体" w:hAnsi="宋体" w:cs="宋体"/>
          <w:color w:val="auto"/>
          <w:sz w:val="24"/>
        </w:rPr>
        <w:t>3.6.3 投标人提供两个或两个以上投标报价，或者在投标文件中提供一个报价，但同时提供两个或两个以上服务方案的，视为提供备选方案。</w:t>
      </w:r>
    </w:p>
    <w:p>
      <w:pPr>
        <w:spacing w:line="360" w:lineRule="auto"/>
        <w:rPr>
          <w:rFonts w:ascii="宋体" w:hAnsi="宋体" w:cs="宋体"/>
          <w:b/>
          <w:color w:val="auto"/>
          <w:sz w:val="24"/>
        </w:rPr>
      </w:pPr>
      <w:r>
        <w:rPr>
          <w:rFonts w:hint="eastAsia" w:ascii="宋体" w:hAnsi="宋体" w:cs="宋体"/>
          <w:b/>
          <w:color w:val="auto"/>
          <w:sz w:val="24"/>
        </w:rPr>
        <w:t>3.7 投标文件的编制</w:t>
      </w:r>
    </w:p>
    <w:p>
      <w:pPr>
        <w:spacing w:line="360" w:lineRule="auto"/>
        <w:ind w:firstLine="480" w:firstLineChars="200"/>
        <w:rPr>
          <w:rFonts w:ascii="宋体" w:hAnsi="宋体" w:cs="宋体"/>
          <w:color w:val="auto"/>
          <w:sz w:val="24"/>
        </w:rPr>
      </w:pPr>
      <w:r>
        <w:rPr>
          <w:rFonts w:hint="eastAsia" w:ascii="宋体" w:hAnsi="宋体" w:cs="宋体"/>
          <w:color w:val="auto"/>
          <w:sz w:val="24"/>
        </w:rPr>
        <w:t>3.7.1 投标文件应按第六章“投标文件格式”进行编写，如有必要，可以增加附页，作为投标文件的组成部分。</w:t>
      </w:r>
    </w:p>
    <w:p>
      <w:pPr>
        <w:spacing w:line="360" w:lineRule="auto"/>
        <w:ind w:firstLine="480" w:firstLineChars="200"/>
        <w:rPr>
          <w:rFonts w:ascii="宋体" w:hAnsi="宋体" w:cs="宋体"/>
          <w:color w:val="auto"/>
          <w:sz w:val="24"/>
        </w:rPr>
      </w:pPr>
      <w:r>
        <w:rPr>
          <w:rFonts w:hint="eastAsia" w:ascii="宋体" w:hAnsi="宋体" w:cs="宋体"/>
          <w:color w:val="auto"/>
          <w:sz w:val="24"/>
        </w:rPr>
        <w:t>3.7.2 投标文件应当对招标文件有关服务期限、投标有效期、委托人要求、招标范围等实质性内容作出响应。</w:t>
      </w:r>
    </w:p>
    <w:p>
      <w:pPr>
        <w:spacing w:line="360" w:lineRule="auto"/>
        <w:ind w:firstLine="480" w:firstLineChars="200"/>
        <w:rPr>
          <w:rFonts w:ascii="宋体" w:hAnsi="宋体" w:cs="宋体"/>
          <w:color w:val="auto"/>
          <w:sz w:val="24"/>
        </w:rPr>
      </w:pPr>
      <w:r>
        <w:rPr>
          <w:rFonts w:hint="eastAsia" w:ascii="宋体" w:hAnsi="宋体" w:cs="宋体"/>
          <w:color w:val="auto"/>
          <w:sz w:val="24"/>
        </w:rPr>
        <w:t>3.7.3投标文件全部采用电子文档，除投标人须知前附表另有规定外，证书证件需为原件清晰扫描件，并采用单位数字证书，按照招标文件要求在相应位置加盖电子印章。由投标人的法定代表人签字或加盖电子印章的，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附件</w:t>
      </w:r>
      <w:r>
        <w:rPr>
          <w:rFonts w:hint="eastAsia" w:ascii="宋体" w:hAnsi="宋体" w:cs="宋体"/>
          <w:b/>
          <w:bCs/>
          <w:color w:val="auto"/>
          <w:sz w:val="24"/>
          <w:u w:val="single"/>
        </w:rPr>
        <w:t>《房屋建筑和市政基础设施工程全流程电子化项目专章（最新版）》</w:t>
      </w:r>
      <w:r>
        <w:rPr>
          <w:rFonts w:hint="eastAsia" w:ascii="宋体" w:hAnsi="宋体" w:cs="宋体"/>
          <w:color w:val="auto"/>
          <w:sz w:val="24"/>
        </w:rPr>
        <w:t>。</w:t>
      </w:r>
    </w:p>
    <w:p>
      <w:pPr>
        <w:spacing w:line="360" w:lineRule="auto"/>
        <w:ind w:firstLine="420" w:firstLineChars="200"/>
        <w:rPr>
          <w:rFonts w:ascii="宋体" w:hAnsi="宋体" w:cs="宋体"/>
          <w:color w:val="auto"/>
        </w:rPr>
      </w:pPr>
    </w:p>
    <w:p>
      <w:pPr>
        <w:widowControl/>
        <w:numPr>
          <w:ilvl w:val="0"/>
          <w:numId w:val="2"/>
        </w:numPr>
        <w:tabs>
          <w:tab w:val="left" w:pos="760"/>
        </w:tabs>
        <w:spacing w:line="360" w:lineRule="auto"/>
        <w:ind w:left="760" w:hanging="400"/>
        <w:jc w:val="center"/>
        <w:rPr>
          <w:rFonts w:ascii="宋体" w:hAnsi="宋体" w:cs="宋体"/>
          <w:b/>
          <w:bCs/>
          <w:color w:val="auto"/>
          <w:sz w:val="32"/>
          <w:szCs w:val="32"/>
        </w:rPr>
      </w:pPr>
      <w:r>
        <w:rPr>
          <w:rFonts w:hint="eastAsia" w:ascii="宋体" w:hAnsi="宋体" w:cs="宋体"/>
          <w:b/>
          <w:bCs/>
          <w:color w:val="auto"/>
          <w:sz w:val="32"/>
          <w:szCs w:val="32"/>
        </w:rPr>
        <w:t>投标</w:t>
      </w:r>
    </w:p>
    <w:p>
      <w:pPr>
        <w:spacing w:line="360" w:lineRule="auto"/>
        <w:rPr>
          <w:rFonts w:ascii="宋体" w:hAnsi="宋体" w:cs="宋体"/>
          <w:b/>
          <w:color w:val="auto"/>
          <w:sz w:val="24"/>
        </w:rPr>
      </w:pPr>
      <w:r>
        <w:rPr>
          <w:rFonts w:hint="eastAsia" w:ascii="宋体" w:hAnsi="宋体" w:cs="宋体"/>
          <w:b/>
          <w:color w:val="auto"/>
          <w:sz w:val="24"/>
        </w:rPr>
        <w:t>4.1 投标文件的密封和标记</w:t>
      </w:r>
    </w:p>
    <w:p>
      <w:pPr>
        <w:spacing w:line="360" w:lineRule="auto"/>
        <w:ind w:firstLine="480" w:firstLineChars="200"/>
        <w:rPr>
          <w:rFonts w:ascii="宋体" w:hAnsi="宋体" w:cs="宋体"/>
          <w:color w:val="auto"/>
          <w:sz w:val="24"/>
        </w:rPr>
      </w:pPr>
      <w:r>
        <w:rPr>
          <w:rFonts w:hint="eastAsia" w:ascii="宋体" w:hAnsi="宋体" w:cs="宋体"/>
          <w:color w:val="auto"/>
          <w:sz w:val="24"/>
        </w:rPr>
        <w:t>4.1.1投标人应当按照招标文件和电子招标投标交易平台的要求加密投标文件，具体要求见投标人须知前附表。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4.1.2 投标文件备用光盘封套上应写明的内容见投标人须知前附表。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4.1.3 未按本章第 4.1.1 项要求密封的投标文件，招标人将予以拒收。</w:t>
      </w:r>
    </w:p>
    <w:p>
      <w:pPr>
        <w:spacing w:line="360" w:lineRule="auto"/>
        <w:rPr>
          <w:rFonts w:ascii="宋体" w:hAnsi="宋体" w:cs="宋体"/>
          <w:b/>
          <w:color w:val="auto"/>
          <w:sz w:val="24"/>
        </w:rPr>
      </w:pPr>
      <w:r>
        <w:rPr>
          <w:rFonts w:hint="eastAsia" w:ascii="宋体" w:hAnsi="宋体" w:cs="宋体"/>
          <w:b/>
          <w:color w:val="auto"/>
          <w:sz w:val="24"/>
        </w:rPr>
        <w:t>4.2 投标文件的递交</w:t>
      </w:r>
    </w:p>
    <w:p>
      <w:pPr>
        <w:spacing w:line="360" w:lineRule="auto"/>
        <w:ind w:firstLine="480" w:firstLineChars="200"/>
        <w:rPr>
          <w:rFonts w:ascii="宋体" w:hAnsi="宋体" w:cs="宋体"/>
          <w:color w:val="auto"/>
          <w:sz w:val="24"/>
        </w:rPr>
      </w:pPr>
      <w:r>
        <w:rPr>
          <w:rFonts w:hint="eastAsia" w:ascii="宋体" w:hAnsi="宋体" w:cs="宋体"/>
          <w:color w:val="auto"/>
          <w:sz w:val="24"/>
        </w:rPr>
        <w:t>4.2.1 投标人应在投标人须知前附表规定的投标截止时间前递交投标文件。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4.2.2投标人通过下载招标文件的电子招标投标交易平台递交电子投标文件。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4.2.3 除投标人须知前附表另有规定外，投标人所递交的投标文件不予退还。</w:t>
      </w:r>
    </w:p>
    <w:p>
      <w:pPr>
        <w:spacing w:line="360" w:lineRule="auto"/>
        <w:ind w:firstLine="480" w:firstLineChars="200"/>
        <w:rPr>
          <w:rFonts w:ascii="宋体" w:hAnsi="宋体" w:cs="宋体"/>
          <w:color w:val="auto"/>
          <w:sz w:val="24"/>
        </w:rPr>
      </w:pPr>
      <w:r>
        <w:rPr>
          <w:rFonts w:hint="eastAsia" w:ascii="宋体" w:hAnsi="宋体" w:cs="宋体"/>
          <w:color w:val="auto"/>
          <w:sz w:val="24"/>
        </w:rPr>
        <w:t>4.2.4投标人完成电子投标文件上传后，电子招标投标交易平台即时向投标人发出递交回执通知。递交时间以递交回执通知载明的传输完成时间为准。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cs="宋体"/>
          <w:color w:val="auto"/>
          <w:sz w:val="24"/>
        </w:rPr>
      </w:pPr>
      <w:r>
        <w:rPr>
          <w:rFonts w:hint="eastAsia" w:ascii="宋体" w:hAnsi="宋体" w:cs="宋体"/>
          <w:color w:val="auto"/>
          <w:sz w:val="24"/>
        </w:rPr>
        <w:t>4.2.5逾期送达的投标文件，电子招标投标交易平台将予以拒收。</w:t>
      </w:r>
      <w:bookmarkStart w:id="17" w:name="page30"/>
      <w:bookmarkEnd w:id="17"/>
    </w:p>
    <w:p>
      <w:pPr>
        <w:spacing w:line="360" w:lineRule="auto"/>
        <w:rPr>
          <w:rFonts w:ascii="宋体" w:hAnsi="宋体" w:cs="宋体"/>
          <w:b/>
          <w:color w:val="auto"/>
          <w:sz w:val="24"/>
        </w:rPr>
      </w:pPr>
      <w:r>
        <w:rPr>
          <w:rFonts w:hint="eastAsia" w:ascii="宋体" w:hAnsi="宋体" w:cs="宋体"/>
          <w:b/>
          <w:color w:val="auto"/>
          <w:sz w:val="24"/>
        </w:rPr>
        <w:t>4.3 投标文件的修改与撤回</w:t>
      </w:r>
    </w:p>
    <w:p>
      <w:pPr>
        <w:spacing w:line="360" w:lineRule="auto"/>
        <w:ind w:firstLine="480" w:firstLineChars="200"/>
        <w:rPr>
          <w:rFonts w:ascii="宋体" w:hAnsi="宋体" w:cs="宋体"/>
          <w:color w:val="auto"/>
          <w:sz w:val="24"/>
        </w:rPr>
      </w:pPr>
      <w:r>
        <w:rPr>
          <w:rFonts w:hint="eastAsia" w:ascii="宋体" w:hAnsi="宋体" w:cs="宋体"/>
          <w:color w:val="auto"/>
          <w:sz w:val="24"/>
        </w:rPr>
        <w:t>4.3.1 在本章第 4.2.1 项规定的投标截止时间前，投标人可以修改或撤回已递交的投标文件，但应以书面形式通知招标人。</w:t>
      </w:r>
    </w:p>
    <w:p>
      <w:pPr>
        <w:spacing w:line="360" w:lineRule="auto"/>
        <w:ind w:firstLine="480" w:firstLineChars="200"/>
        <w:rPr>
          <w:rFonts w:ascii="宋体" w:hAnsi="宋体" w:cs="宋体"/>
          <w:color w:val="auto"/>
          <w:sz w:val="24"/>
        </w:rPr>
      </w:pPr>
      <w:r>
        <w:rPr>
          <w:rFonts w:hint="eastAsia" w:ascii="宋体" w:hAnsi="宋体" w:cs="宋体"/>
          <w:color w:val="auto"/>
          <w:sz w:val="24"/>
        </w:rPr>
        <w:t>4.3.2投标人修改或撤回已递交投标文件的通知，应按照本章第 3.7.3项的要求加盖电子印章。电子招标投标交易平台收到通知后，即时向投标人发出确认回执通知。</w:t>
      </w:r>
    </w:p>
    <w:p>
      <w:pPr>
        <w:spacing w:line="360" w:lineRule="auto"/>
        <w:ind w:firstLine="480" w:firstLineChars="200"/>
        <w:rPr>
          <w:rFonts w:ascii="宋体" w:hAnsi="宋体" w:cs="宋体"/>
          <w:color w:val="auto"/>
          <w:sz w:val="24"/>
        </w:rPr>
      </w:pPr>
      <w:r>
        <w:rPr>
          <w:rFonts w:hint="eastAsia" w:ascii="宋体" w:hAnsi="宋体" w:cs="宋体"/>
          <w:color w:val="auto"/>
          <w:sz w:val="24"/>
        </w:rPr>
        <w:t>4.3.3 投标人撤回投标文件的，招标人自收到投标人书面撤回通知之日起 5 日内退还已收取的投标保证金。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4.3.4 修改的内容为投标文件的组成部分。</w:t>
      </w:r>
    </w:p>
    <w:p>
      <w:pPr>
        <w:widowControl/>
        <w:numPr>
          <w:ilvl w:val="0"/>
          <w:numId w:val="3"/>
        </w:numPr>
        <w:tabs>
          <w:tab w:val="left" w:pos="760"/>
        </w:tabs>
        <w:spacing w:line="360" w:lineRule="auto"/>
        <w:ind w:left="760" w:hanging="400"/>
        <w:jc w:val="center"/>
        <w:rPr>
          <w:rFonts w:ascii="宋体" w:hAnsi="宋体" w:cs="宋体"/>
          <w:b/>
          <w:bCs/>
          <w:color w:val="auto"/>
          <w:sz w:val="32"/>
          <w:szCs w:val="32"/>
        </w:rPr>
      </w:pPr>
      <w:r>
        <w:rPr>
          <w:rFonts w:hint="eastAsia" w:ascii="宋体" w:hAnsi="宋体" w:cs="宋体"/>
          <w:b/>
          <w:bCs/>
          <w:color w:val="auto"/>
          <w:sz w:val="32"/>
          <w:szCs w:val="32"/>
        </w:rPr>
        <w:t>开标</w:t>
      </w:r>
    </w:p>
    <w:p>
      <w:pPr>
        <w:spacing w:line="360" w:lineRule="auto"/>
        <w:rPr>
          <w:rFonts w:ascii="宋体" w:hAnsi="宋体" w:cs="宋体"/>
          <w:b/>
          <w:color w:val="auto"/>
          <w:sz w:val="24"/>
        </w:rPr>
      </w:pPr>
      <w:r>
        <w:rPr>
          <w:rFonts w:hint="eastAsia" w:ascii="宋体" w:hAnsi="宋体" w:cs="宋体"/>
          <w:b/>
          <w:color w:val="auto"/>
          <w:sz w:val="24"/>
        </w:rPr>
        <w:t>5.1 开标时间和地点</w:t>
      </w:r>
    </w:p>
    <w:p>
      <w:pPr>
        <w:spacing w:line="360" w:lineRule="auto"/>
        <w:ind w:firstLine="480" w:firstLineChars="200"/>
        <w:rPr>
          <w:rFonts w:ascii="宋体" w:hAnsi="宋体" w:cs="宋体"/>
          <w:color w:val="auto"/>
          <w:sz w:val="24"/>
        </w:rPr>
      </w:pPr>
      <w:r>
        <w:rPr>
          <w:rFonts w:hint="eastAsia" w:ascii="宋体" w:hAnsi="宋体" w:cs="宋体"/>
          <w:color w:val="auto"/>
          <w:sz w:val="24"/>
        </w:rPr>
        <w:t>招标人在本章第 4.2.1 项规定的投标截止时间（开标时间）,通过电子招标投标交易平台公开开标，并邀请所有投标人的法定代表人或其委托代理人准时参加。</w:t>
      </w:r>
    </w:p>
    <w:p>
      <w:pPr>
        <w:spacing w:line="360" w:lineRule="auto"/>
        <w:rPr>
          <w:rFonts w:ascii="宋体" w:hAnsi="宋体" w:cs="宋体"/>
          <w:b/>
          <w:color w:val="auto"/>
          <w:sz w:val="24"/>
        </w:rPr>
      </w:pPr>
      <w:r>
        <w:rPr>
          <w:rFonts w:hint="eastAsia" w:ascii="宋体" w:hAnsi="宋体" w:cs="宋体"/>
          <w:b/>
          <w:color w:val="auto"/>
          <w:sz w:val="24"/>
        </w:rPr>
        <w:t>5.2 开标程序</w:t>
      </w:r>
    </w:p>
    <w:p>
      <w:pPr>
        <w:spacing w:line="360" w:lineRule="auto"/>
        <w:ind w:firstLine="480" w:firstLineChars="200"/>
        <w:rPr>
          <w:rFonts w:ascii="宋体" w:hAnsi="宋体" w:cs="宋体"/>
          <w:color w:val="auto"/>
          <w:sz w:val="24"/>
        </w:rPr>
      </w:pPr>
      <w:r>
        <w:rPr>
          <w:rFonts w:hint="eastAsia" w:ascii="宋体" w:hAnsi="宋体" w:cs="宋体"/>
          <w:color w:val="auto"/>
          <w:sz w:val="24"/>
        </w:rPr>
        <w:t>5.2.1主持人按下列程序进行开标：</w:t>
      </w:r>
    </w:p>
    <w:p>
      <w:pPr>
        <w:spacing w:line="360" w:lineRule="auto"/>
        <w:ind w:firstLine="360" w:firstLineChars="150"/>
        <w:rPr>
          <w:rFonts w:ascii="宋体" w:hAnsi="宋体" w:cs="宋体"/>
          <w:color w:val="auto"/>
          <w:sz w:val="24"/>
        </w:rPr>
      </w:pPr>
      <w:r>
        <w:rPr>
          <w:rFonts w:hint="eastAsia" w:ascii="宋体" w:hAnsi="宋体" w:cs="宋体"/>
          <w:color w:val="auto"/>
          <w:sz w:val="24"/>
        </w:rPr>
        <w:t>（1）宣布开标纪律；</w:t>
      </w:r>
    </w:p>
    <w:p>
      <w:pPr>
        <w:spacing w:line="360" w:lineRule="auto"/>
        <w:ind w:firstLine="360" w:firstLineChars="150"/>
        <w:rPr>
          <w:rFonts w:ascii="宋体" w:hAnsi="宋体" w:cs="宋体"/>
          <w:color w:val="auto"/>
          <w:sz w:val="24"/>
        </w:rPr>
      </w:pPr>
      <w:r>
        <w:rPr>
          <w:rFonts w:hint="eastAsia" w:ascii="宋体" w:hAnsi="宋体" w:cs="宋体"/>
          <w:color w:val="auto"/>
          <w:sz w:val="24"/>
        </w:rPr>
        <w:t>（2）公布在投标截止时间前递交投标文件的投标人名称；</w:t>
      </w:r>
    </w:p>
    <w:p>
      <w:pPr>
        <w:spacing w:line="360" w:lineRule="auto"/>
        <w:ind w:firstLine="360" w:firstLineChars="150"/>
        <w:rPr>
          <w:rFonts w:ascii="宋体" w:hAnsi="宋体" w:cs="宋体"/>
          <w:color w:val="auto"/>
          <w:sz w:val="24"/>
        </w:rPr>
      </w:pPr>
      <w:r>
        <w:rPr>
          <w:rFonts w:hint="eastAsia" w:ascii="宋体" w:hAnsi="宋体" w:cs="宋体"/>
          <w:color w:val="auto"/>
          <w:sz w:val="24"/>
        </w:rPr>
        <w:t>（3）宣布开标人、唱标人、记录人、监标人等有关人员姓名；</w:t>
      </w:r>
    </w:p>
    <w:p>
      <w:pPr>
        <w:spacing w:line="360" w:lineRule="auto"/>
        <w:ind w:firstLine="360" w:firstLineChars="150"/>
        <w:rPr>
          <w:rFonts w:ascii="宋体" w:hAnsi="宋体" w:cs="宋体"/>
          <w:color w:val="auto"/>
          <w:sz w:val="24"/>
        </w:rPr>
      </w:pPr>
      <w:r>
        <w:rPr>
          <w:rFonts w:hint="eastAsia" w:ascii="宋体" w:hAnsi="宋体" w:cs="宋体"/>
          <w:color w:val="auto"/>
          <w:sz w:val="24"/>
        </w:rPr>
        <w:t>（4）投标人通过电子招标投标交易平台对已递交的电子投标文件进行解密，公布招标项目名称、投标人名称、投标报价、服务期限及其他内容，并记录在案；</w:t>
      </w:r>
    </w:p>
    <w:p>
      <w:pPr>
        <w:spacing w:line="360" w:lineRule="auto"/>
        <w:ind w:firstLine="360" w:firstLineChars="150"/>
        <w:rPr>
          <w:rFonts w:ascii="宋体" w:hAnsi="宋体" w:cs="宋体"/>
          <w:color w:val="auto"/>
          <w:sz w:val="24"/>
        </w:rPr>
      </w:pPr>
      <w:r>
        <w:rPr>
          <w:rFonts w:hint="eastAsia" w:ascii="宋体" w:hAnsi="宋体" w:cs="宋体"/>
          <w:color w:val="auto"/>
          <w:sz w:val="24"/>
        </w:rPr>
        <w:t>（5）投标人代表、招标人代表、监标人、记录人等有关人员在开标记录上签字确认；若有关人员不签字的，不影响开标程序；</w:t>
      </w:r>
    </w:p>
    <w:p>
      <w:pPr>
        <w:spacing w:line="360" w:lineRule="auto"/>
        <w:ind w:firstLine="360" w:firstLineChars="150"/>
        <w:rPr>
          <w:rFonts w:ascii="宋体" w:hAnsi="宋体" w:cs="宋体"/>
          <w:color w:val="auto"/>
          <w:sz w:val="24"/>
        </w:rPr>
      </w:pPr>
      <w:r>
        <w:rPr>
          <w:rFonts w:hint="eastAsia" w:ascii="宋体" w:hAnsi="宋体" w:cs="宋体"/>
          <w:color w:val="auto"/>
          <w:sz w:val="24"/>
        </w:rPr>
        <w:t>（6）开标结束。</w:t>
      </w:r>
    </w:p>
    <w:p>
      <w:pPr>
        <w:spacing w:line="360" w:lineRule="auto"/>
        <w:ind w:firstLine="480" w:firstLineChars="200"/>
        <w:rPr>
          <w:rFonts w:ascii="宋体" w:hAnsi="宋体" w:cs="宋体"/>
          <w:color w:val="auto"/>
          <w:sz w:val="24"/>
        </w:rPr>
      </w:pPr>
      <w:r>
        <w:rPr>
          <w:rFonts w:hint="eastAsia" w:ascii="宋体" w:hAnsi="宋体" w:cs="宋体"/>
          <w:color w:val="auto"/>
          <w:sz w:val="24"/>
        </w:rPr>
        <w:t>5.2.2投标截止时间前未完成投标文件传输的或未在投标截止时间后半小时内解密的，视为投标人其撤回投标文件。因投标人原因造成投标文件未解密的，或未在投标截止时间后半小时内解密的且未提交光盘备用的，视为撤销其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5.2.3开标时，两个（含两个）以上的投标人加密打包投标文件电脑机器特征码一致的，不参与下一程序，并由评标委员会否决其投标。</w:t>
      </w:r>
    </w:p>
    <w:p>
      <w:pPr>
        <w:spacing w:line="360" w:lineRule="auto"/>
        <w:rPr>
          <w:rFonts w:ascii="宋体" w:hAnsi="宋体" w:cs="宋体"/>
          <w:b/>
          <w:color w:val="auto"/>
          <w:sz w:val="24"/>
        </w:rPr>
      </w:pPr>
      <w:r>
        <w:rPr>
          <w:rFonts w:hint="eastAsia" w:ascii="宋体" w:hAnsi="宋体" w:cs="宋体"/>
          <w:b/>
          <w:color w:val="auto"/>
          <w:sz w:val="24"/>
        </w:rPr>
        <w:t>5.3 开标异议</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投标人对开标有异议的，应当在开标现场提出，招标人当场作出答复，并制作记录。</w:t>
      </w:r>
    </w:p>
    <w:p>
      <w:pPr>
        <w:widowControl/>
        <w:numPr>
          <w:ilvl w:val="0"/>
          <w:numId w:val="3"/>
        </w:numPr>
        <w:tabs>
          <w:tab w:val="left" w:pos="760"/>
        </w:tabs>
        <w:spacing w:line="360" w:lineRule="auto"/>
        <w:ind w:left="760" w:hanging="400"/>
        <w:jc w:val="center"/>
        <w:rPr>
          <w:rFonts w:ascii="宋体" w:hAnsi="宋体" w:cs="宋体"/>
          <w:b/>
          <w:bCs/>
          <w:color w:val="auto"/>
          <w:sz w:val="32"/>
          <w:szCs w:val="32"/>
        </w:rPr>
      </w:pPr>
      <w:r>
        <w:rPr>
          <w:rFonts w:hint="eastAsia" w:ascii="宋体" w:hAnsi="宋体" w:cs="宋体"/>
          <w:b/>
          <w:bCs/>
          <w:color w:val="auto"/>
          <w:sz w:val="32"/>
          <w:szCs w:val="32"/>
        </w:rPr>
        <w:t>评标</w:t>
      </w:r>
    </w:p>
    <w:p>
      <w:pPr>
        <w:spacing w:line="360" w:lineRule="auto"/>
        <w:rPr>
          <w:rFonts w:ascii="宋体" w:hAnsi="宋体" w:cs="宋体"/>
          <w:b/>
          <w:color w:val="auto"/>
          <w:sz w:val="24"/>
        </w:rPr>
      </w:pPr>
      <w:r>
        <w:rPr>
          <w:rFonts w:hint="eastAsia" w:ascii="宋体" w:hAnsi="宋体" w:cs="宋体"/>
          <w:b/>
          <w:color w:val="auto"/>
          <w:sz w:val="24"/>
        </w:rPr>
        <w:t>6.1 评标委员会</w:t>
      </w:r>
    </w:p>
    <w:p>
      <w:pPr>
        <w:spacing w:line="360" w:lineRule="auto"/>
        <w:ind w:firstLine="480" w:firstLineChars="200"/>
        <w:rPr>
          <w:rFonts w:ascii="宋体" w:hAnsi="宋体" w:cs="宋体"/>
          <w:color w:val="auto"/>
          <w:sz w:val="24"/>
        </w:rPr>
      </w:pPr>
      <w:r>
        <w:rPr>
          <w:rFonts w:hint="eastAsia" w:ascii="宋体" w:hAnsi="宋体" w:cs="宋体"/>
          <w:color w:val="auto"/>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6.1.2 评标委员会成员有下列情形之一的，应当回避：</w:t>
      </w:r>
    </w:p>
    <w:p>
      <w:pPr>
        <w:spacing w:line="360" w:lineRule="auto"/>
        <w:ind w:firstLine="360" w:firstLineChars="150"/>
        <w:rPr>
          <w:rFonts w:ascii="宋体" w:hAnsi="宋体" w:cs="宋体"/>
          <w:color w:val="auto"/>
          <w:sz w:val="24"/>
        </w:rPr>
      </w:pPr>
      <w:r>
        <w:rPr>
          <w:rFonts w:hint="eastAsia" w:ascii="宋体" w:hAnsi="宋体" w:cs="宋体"/>
          <w:color w:val="auto"/>
          <w:sz w:val="24"/>
        </w:rPr>
        <w:t>（1）投标人或投标人主要负责人的近亲属；</w:t>
      </w:r>
    </w:p>
    <w:p>
      <w:pPr>
        <w:spacing w:line="360" w:lineRule="auto"/>
        <w:ind w:firstLine="360" w:firstLineChars="150"/>
        <w:rPr>
          <w:rFonts w:ascii="宋体" w:hAnsi="宋体" w:cs="宋体"/>
          <w:color w:val="auto"/>
          <w:sz w:val="24"/>
        </w:rPr>
      </w:pPr>
      <w:r>
        <w:rPr>
          <w:rFonts w:hint="eastAsia" w:ascii="宋体" w:hAnsi="宋体" w:cs="宋体"/>
          <w:color w:val="auto"/>
          <w:sz w:val="24"/>
        </w:rPr>
        <w:t>（2）项目主管部门或者行政监督部门的人员；</w:t>
      </w:r>
    </w:p>
    <w:p>
      <w:pPr>
        <w:spacing w:line="360" w:lineRule="auto"/>
        <w:ind w:firstLine="360" w:firstLineChars="150"/>
        <w:rPr>
          <w:rFonts w:ascii="宋体" w:hAnsi="宋体" w:cs="宋体"/>
          <w:color w:val="auto"/>
          <w:sz w:val="24"/>
        </w:rPr>
      </w:pPr>
      <w:r>
        <w:rPr>
          <w:rFonts w:hint="eastAsia" w:ascii="宋体" w:hAnsi="宋体" w:cs="宋体"/>
          <w:color w:val="auto"/>
          <w:sz w:val="24"/>
        </w:rPr>
        <w:t>（3）与投标人有经济利益关系，可能影响对投标公正评审的；</w:t>
      </w:r>
    </w:p>
    <w:p>
      <w:pPr>
        <w:spacing w:line="360" w:lineRule="auto"/>
        <w:ind w:firstLine="360" w:firstLineChars="150"/>
        <w:rPr>
          <w:rFonts w:ascii="宋体" w:hAnsi="宋体" w:cs="宋体"/>
          <w:color w:val="auto"/>
          <w:sz w:val="24"/>
        </w:rPr>
      </w:pPr>
      <w:r>
        <w:rPr>
          <w:rFonts w:hint="eastAsia" w:ascii="宋体" w:hAnsi="宋体" w:cs="宋体"/>
          <w:color w:val="auto"/>
          <w:sz w:val="24"/>
        </w:rPr>
        <w:t>（4）曾因在招标、评标以及其他与招标投标有关活动中从事违法行为而受过行政处罚或刑事处罚的；</w:t>
      </w:r>
    </w:p>
    <w:p>
      <w:pPr>
        <w:spacing w:line="360" w:lineRule="auto"/>
        <w:ind w:firstLine="360" w:firstLineChars="150"/>
        <w:rPr>
          <w:rFonts w:ascii="宋体" w:hAnsi="宋体" w:cs="宋体"/>
          <w:color w:val="auto"/>
          <w:sz w:val="24"/>
        </w:rPr>
      </w:pPr>
      <w:r>
        <w:rPr>
          <w:rFonts w:hint="eastAsia" w:ascii="宋体" w:hAnsi="宋体" w:cs="宋体"/>
          <w:color w:val="auto"/>
          <w:sz w:val="24"/>
        </w:rPr>
        <w:t>（5）与投标人有其他利害关系。</w:t>
      </w:r>
    </w:p>
    <w:p>
      <w:pPr>
        <w:spacing w:line="360" w:lineRule="auto"/>
        <w:ind w:firstLine="480" w:firstLineChars="200"/>
        <w:rPr>
          <w:rFonts w:ascii="宋体" w:hAnsi="宋体" w:cs="宋体"/>
          <w:color w:val="auto"/>
          <w:sz w:val="24"/>
        </w:rPr>
      </w:pPr>
      <w:r>
        <w:rPr>
          <w:rFonts w:hint="eastAsia" w:ascii="宋体" w:hAnsi="宋体" w:cs="宋体"/>
          <w:color w:val="auto"/>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宋体" w:hAnsi="宋体" w:cs="宋体"/>
          <w:b/>
          <w:color w:val="auto"/>
          <w:sz w:val="24"/>
        </w:rPr>
      </w:pPr>
      <w:r>
        <w:rPr>
          <w:rFonts w:hint="eastAsia" w:ascii="宋体" w:hAnsi="宋体" w:cs="宋体"/>
          <w:b/>
          <w:color w:val="auto"/>
          <w:sz w:val="24"/>
        </w:rPr>
        <w:t>6.2 评标原则</w:t>
      </w:r>
    </w:p>
    <w:p>
      <w:pPr>
        <w:spacing w:line="360" w:lineRule="auto"/>
        <w:ind w:firstLine="480" w:firstLineChars="200"/>
        <w:rPr>
          <w:rFonts w:ascii="宋体" w:hAnsi="宋体" w:cs="宋体"/>
          <w:color w:val="auto"/>
          <w:sz w:val="24"/>
        </w:rPr>
      </w:pPr>
      <w:r>
        <w:rPr>
          <w:rFonts w:hint="eastAsia" w:ascii="宋体" w:hAnsi="宋体" w:cs="宋体"/>
          <w:color w:val="auto"/>
          <w:sz w:val="24"/>
        </w:rPr>
        <w:t>评标活动遵循公平、公正、科学和择优的原则。</w:t>
      </w:r>
    </w:p>
    <w:p>
      <w:pPr>
        <w:spacing w:line="360" w:lineRule="auto"/>
        <w:rPr>
          <w:rFonts w:ascii="宋体" w:hAnsi="宋体" w:cs="宋体"/>
          <w:b/>
          <w:color w:val="auto"/>
          <w:sz w:val="24"/>
        </w:rPr>
      </w:pPr>
      <w:bookmarkStart w:id="18" w:name="page32"/>
      <w:bookmarkEnd w:id="18"/>
      <w:r>
        <w:rPr>
          <w:rFonts w:hint="eastAsia" w:ascii="宋体" w:hAnsi="宋体" w:cs="宋体"/>
          <w:b/>
          <w:color w:val="auto"/>
          <w:sz w:val="24"/>
        </w:rPr>
        <w:t>6.3 评标</w:t>
      </w:r>
    </w:p>
    <w:p>
      <w:pPr>
        <w:spacing w:line="360" w:lineRule="auto"/>
        <w:ind w:firstLine="480" w:firstLineChars="200"/>
        <w:rPr>
          <w:rFonts w:ascii="宋体" w:hAnsi="宋体" w:cs="宋体"/>
          <w:color w:val="auto"/>
          <w:sz w:val="24"/>
        </w:rPr>
      </w:pPr>
      <w:r>
        <w:rPr>
          <w:rFonts w:hint="eastAsia" w:ascii="宋体" w:hAnsi="宋体" w:cs="宋体"/>
          <w:color w:val="auto"/>
          <w:sz w:val="24"/>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s="宋体"/>
          <w:color w:val="auto"/>
        </w:rPr>
      </w:pPr>
      <w:r>
        <w:rPr>
          <w:rFonts w:hint="eastAsia" w:ascii="宋体" w:hAnsi="宋体" w:cs="宋体"/>
          <w:color w:val="auto"/>
          <w:sz w:val="24"/>
        </w:rPr>
        <w:t>6.3.2 评标完成后，评标委员会应当向招标人提交书面评标报告和中标候选人名单。评标委员会推荐中标候选人的人数见投标人须知前附表。</w:t>
      </w:r>
    </w:p>
    <w:p>
      <w:pPr>
        <w:widowControl/>
        <w:numPr>
          <w:ilvl w:val="0"/>
          <w:numId w:val="3"/>
        </w:numPr>
        <w:tabs>
          <w:tab w:val="left" w:pos="760"/>
        </w:tabs>
        <w:spacing w:line="360" w:lineRule="auto"/>
        <w:ind w:left="760" w:hanging="400"/>
        <w:jc w:val="center"/>
        <w:rPr>
          <w:rFonts w:ascii="宋体" w:hAnsi="宋体" w:cs="宋体"/>
          <w:b/>
          <w:bCs/>
          <w:color w:val="auto"/>
          <w:sz w:val="32"/>
          <w:szCs w:val="32"/>
        </w:rPr>
      </w:pPr>
      <w:r>
        <w:rPr>
          <w:rFonts w:hint="eastAsia" w:ascii="宋体" w:hAnsi="宋体" w:cs="宋体"/>
          <w:b/>
          <w:bCs/>
          <w:color w:val="auto"/>
          <w:sz w:val="32"/>
          <w:szCs w:val="32"/>
        </w:rPr>
        <w:t>合同授予</w:t>
      </w:r>
    </w:p>
    <w:p>
      <w:pPr>
        <w:spacing w:line="360" w:lineRule="auto"/>
        <w:rPr>
          <w:rFonts w:ascii="宋体" w:hAnsi="宋体" w:cs="宋体"/>
          <w:b/>
          <w:color w:val="auto"/>
          <w:sz w:val="24"/>
        </w:rPr>
      </w:pPr>
      <w:r>
        <w:rPr>
          <w:rFonts w:hint="eastAsia" w:ascii="宋体" w:hAnsi="宋体" w:cs="宋体"/>
          <w:b/>
          <w:color w:val="auto"/>
          <w:sz w:val="24"/>
        </w:rPr>
        <w:t>7.1 中标候选人公示</w:t>
      </w:r>
    </w:p>
    <w:p>
      <w:pPr>
        <w:spacing w:line="360" w:lineRule="auto"/>
        <w:ind w:right="360" w:firstLine="480" w:firstLineChars="200"/>
        <w:rPr>
          <w:rFonts w:ascii="宋体" w:hAnsi="宋体" w:cs="宋体"/>
          <w:color w:val="auto"/>
          <w:sz w:val="24"/>
        </w:rPr>
      </w:pPr>
      <w:r>
        <w:rPr>
          <w:rFonts w:hint="eastAsia" w:ascii="宋体" w:hAnsi="宋体" w:cs="宋体"/>
          <w:color w:val="auto"/>
          <w:sz w:val="24"/>
        </w:rPr>
        <w:t>招标人在收到评标报告之日起 3 日内，按照投标人须知前附表规定的公示媒介和期限公示中标候选人，公示期不得少于 3 天。</w:t>
      </w:r>
    </w:p>
    <w:p>
      <w:pPr>
        <w:spacing w:line="360" w:lineRule="auto"/>
        <w:rPr>
          <w:rFonts w:ascii="宋体" w:hAnsi="宋体" w:cs="宋体"/>
          <w:color w:val="auto"/>
          <w:sz w:val="24"/>
        </w:rPr>
      </w:pPr>
      <w:r>
        <w:rPr>
          <w:rFonts w:hint="eastAsia" w:ascii="宋体" w:hAnsi="宋体" w:cs="宋体"/>
          <w:b/>
          <w:color w:val="auto"/>
          <w:sz w:val="24"/>
        </w:rPr>
        <w:t>7.2 评标结果异</w:t>
      </w:r>
      <w:r>
        <w:rPr>
          <w:rFonts w:hint="eastAsia" w:ascii="宋体" w:hAnsi="宋体" w:cs="宋体"/>
          <w:color w:val="auto"/>
          <w:sz w:val="24"/>
        </w:rPr>
        <w:t>议</w:t>
      </w:r>
    </w:p>
    <w:p>
      <w:pPr>
        <w:spacing w:line="360" w:lineRule="auto"/>
        <w:ind w:right="360" w:firstLine="480" w:firstLineChars="200"/>
        <w:rPr>
          <w:rFonts w:ascii="宋体" w:hAnsi="宋体" w:cs="宋体"/>
          <w:color w:val="auto"/>
          <w:sz w:val="24"/>
        </w:rPr>
      </w:pPr>
      <w:r>
        <w:rPr>
          <w:rFonts w:hint="eastAsia" w:ascii="宋体" w:hAnsi="宋体" w:cs="宋体"/>
          <w:color w:val="auto"/>
          <w:sz w:val="24"/>
        </w:rPr>
        <w:t>投标人或者其他利害关系人对评标结果有异议的，应当在中标候选人公示期间提出。招标人将在收到异议之日起 3 日内作出答复；作出答复前，将暂停招标投标活动。</w:t>
      </w:r>
    </w:p>
    <w:p>
      <w:pPr>
        <w:spacing w:line="360" w:lineRule="auto"/>
        <w:rPr>
          <w:rFonts w:ascii="宋体" w:hAnsi="宋体" w:cs="宋体"/>
          <w:b/>
          <w:color w:val="auto"/>
          <w:sz w:val="24"/>
        </w:rPr>
      </w:pPr>
      <w:r>
        <w:rPr>
          <w:rFonts w:hint="eastAsia" w:ascii="宋体" w:hAnsi="宋体" w:cs="宋体"/>
          <w:b/>
          <w:color w:val="auto"/>
          <w:sz w:val="24"/>
        </w:rPr>
        <w:t>7.3 中标候选人履约能力审查</w:t>
      </w:r>
    </w:p>
    <w:p>
      <w:pPr>
        <w:spacing w:line="360" w:lineRule="auto"/>
        <w:ind w:firstLine="480" w:firstLineChars="200"/>
        <w:rPr>
          <w:rFonts w:ascii="宋体" w:hAnsi="宋体" w:cs="宋体"/>
          <w:color w:val="auto"/>
          <w:sz w:val="24"/>
        </w:rPr>
      </w:pPr>
      <w:r>
        <w:rPr>
          <w:rFonts w:hint="eastAsia" w:ascii="宋体" w:hAnsi="宋体" w:cs="宋体"/>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ascii="宋体" w:hAnsi="宋体" w:cs="宋体"/>
          <w:b/>
          <w:color w:val="auto"/>
          <w:sz w:val="24"/>
        </w:rPr>
      </w:pPr>
      <w:r>
        <w:rPr>
          <w:rFonts w:hint="eastAsia" w:ascii="宋体" w:hAnsi="宋体" w:cs="宋体"/>
          <w:b/>
          <w:color w:val="auto"/>
          <w:sz w:val="24"/>
        </w:rPr>
        <w:t>7.4 定标</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按照投标人须知前附表的规定，招标人或招标人授权的评标委员会依法确定中标人。</w:t>
      </w:r>
    </w:p>
    <w:p>
      <w:pPr>
        <w:spacing w:line="360" w:lineRule="auto"/>
        <w:rPr>
          <w:rFonts w:ascii="宋体" w:hAnsi="宋体" w:cs="宋体"/>
          <w:b/>
          <w:color w:val="auto"/>
          <w:sz w:val="24"/>
        </w:rPr>
      </w:pPr>
      <w:r>
        <w:rPr>
          <w:rFonts w:hint="eastAsia" w:ascii="宋体" w:hAnsi="宋体" w:cs="宋体"/>
          <w:b/>
          <w:color w:val="auto"/>
          <w:sz w:val="24"/>
        </w:rPr>
        <w:t>7.5 中标通知</w:t>
      </w:r>
    </w:p>
    <w:p>
      <w:pPr>
        <w:spacing w:line="360" w:lineRule="auto"/>
        <w:ind w:firstLine="480" w:firstLineChars="200"/>
        <w:rPr>
          <w:rFonts w:ascii="宋体" w:hAnsi="宋体" w:cs="宋体"/>
          <w:color w:val="auto"/>
          <w:sz w:val="24"/>
        </w:rPr>
      </w:pPr>
      <w:r>
        <w:rPr>
          <w:rFonts w:hint="eastAsia" w:ascii="宋体" w:hAnsi="宋体" w:cs="宋体"/>
          <w:color w:val="auto"/>
          <w:sz w:val="24"/>
        </w:rPr>
        <w:t>在本章第 3.3 款规定的投标有效期内，招标人以书面形式向中标人发出中标通知书，同时将中标结果通知未中标的投标人。</w:t>
      </w:r>
    </w:p>
    <w:p>
      <w:pPr>
        <w:spacing w:line="360" w:lineRule="auto"/>
        <w:rPr>
          <w:rFonts w:ascii="宋体" w:hAnsi="宋体" w:cs="宋体"/>
          <w:b/>
          <w:color w:val="auto"/>
          <w:sz w:val="24"/>
        </w:rPr>
      </w:pPr>
      <w:r>
        <w:rPr>
          <w:rFonts w:hint="eastAsia" w:ascii="宋体" w:hAnsi="宋体" w:cs="宋体"/>
          <w:b/>
          <w:color w:val="auto"/>
          <w:sz w:val="24"/>
        </w:rPr>
        <w:t>7.6 履约保证金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7.6.1 中标人应按投标人须知前附表规定的形式、金额和招标文件第四章“合</w:t>
      </w:r>
      <w:bookmarkStart w:id="19" w:name="page33"/>
      <w:bookmarkEnd w:id="19"/>
      <w:r>
        <w:rPr>
          <w:rFonts w:hint="eastAsia" w:ascii="宋体" w:hAnsi="宋体" w:cs="宋体"/>
          <w:color w:val="auto"/>
          <w:sz w:val="24"/>
        </w:rPr>
        <w:t>同条款及格式”规定的或者事先经过招标人书面认可的履约保证金格式向招标人提交履约保证金。除投标人须知前附表另有规定外，履约保证金为中标合同金额的 10%。</w:t>
      </w:r>
    </w:p>
    <w:p>
      <w:pPr>
        <w:spacing w:line="360" w:lineRule="auto"/>
        <w:ind w:firstLine="480" w:firstLineChars="200"/>
        <w:rPr>
          <w:rFonts w:ascii="宋体" w:hAnsi="宋体" w:cs="宋体"/>
          <w:color w:val="auto"/>
          <w:sz w:val="24"/>
        </w:rPr>
      </w:pPr>
      <w:r>
        <w:rPr>
          <w:rFonts w:hint="eastAsia" w:ascii="宋体" w:hAnsi="宋体" w:cs="宋体"/>
          <w:color w:val="auto"/>
          <w:sz w:val="24"/>
        </w:rPr>
        <w:t>7.6.2 中标人不能按本章第 7.6.1 项要求提交履约保证金的，视为放弃中标，其投标保证金不予退还，给招标人造成的损失超过投标保证金数额的，中标人还应当对超过部分予以赔偿。</w:t>
      </w:r>
    </w:p>
    <w:p>
      <w:pPr>
        <w:spacing w:line="360" w:lineRule="auto"/>
        <w:rPr>
          <w:rFonts w:ascii="宋体" w:hAnsi="宋体" w:cs="宋体"/>
          <w:b/>
          <w:color w:val="auto"/>
          <w:sz w:val="24"/>
        </w:rPr>
      </w:pPr>
      <w:r>
        <w:rPr>
          <w:rFonts w:hint="eastAsia" w:ascii="宋体" w:hAnsi="宋体" w:cs="宋体"/>
          <w:b/>
          <w:color w:val="auto"/>
          <w:sz w:val="24"/>
        </w:rPr>
        <w:t>7.7 签订合同</w:t>
      </w:r>
    </w:p>
    <w:p>
      <w:pPr>
        <w:spacing w:line="360" w:lineRule="auto"/>
        <w:ind w:firstLine="480" w:firstLineChars="200"/>
        <w:rPr>
          <w:rFonts w:ascii="宋体" w:hAnsi="宋体" w:cs="宋体"/>
          <w:color w:val="auto"/>
          <w:sz w:val="24"/>
        </w:rPr>
      </w:pPr>
      <w:r>
        <w:rPr>
          <w:rFonts w:hint="eastAsia" w:ascii="宋体" w:hAnsi="宋体" w:cs="宋体"/>
          <w:color w:val="auto"/>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auto"/>
          <w:sz w:val="24"/>
        </w:rPr>
      </w:pPr>
      <w:r>
        <w:rPr>
          <w:rFonts w:hint="eastAsia" w:ascii="宋体" w:hAnsi="宋体" w:cs="宋体"/>
          <w:color w:val="auto"/>
          <w:sz w:val="24"/>
        </w:rPr>
        <w:t>7.7.2 发出中标通知书后，招标人无正当理由拒签合同，或者在签订合同时向中标人提出附加条件的，招标人向中标人退还投标保证金；给中标人造成损失的，还应当赔偿损失。</w:t>
      </w:r>
    </w:p>
    <w:p>
      <w:pPr>
        <w:widowControl/>
        <w:tabs>
          <w:tab w:val="left" w:pos="760"/>
        </w:tabs>
        <w:spacing w:line="360" w:lineRule="auto"/>
        <w:jc w:val="center"/>
        <w:rPr>
          <w:rFonts w:ascii="宋体" w:hAnsi="宋体" w:cs="宋体"/>
          <w:b/>
          <w:bCs/>
          <w:color w:val="auto"/>
          <w:sz w:val="32"/>
          <w:szCs w:val="32"/>
        </w:rPr>
      </w:pPr>
      <w:r>
        <w:rPr>
          <w:rFonts w:hint="eastAsia" w:ascii="宋体" w:hAnsi="宋体" w:cs="宋体"/>
          <w:b/>
          <w:bCs/>
          <w:color w:val="auto"/>
          <w:sz w:val="32"/>
          <w:szCs w:val="32"/>
        </w:rPr>
        <w:t>8.纪律和监督</w:t>
      </w:r>
    </w:p>
    <w:p>
      <w:pPr>
        <w:spacing w:line="360" w:lineRule="auto"/>
        <w:rPr>
          <w:rFonts w:ascii="宋体" w:hAnsi="宋体" w:cs="宋体"/>
          <w:b/>
          <w:color w:val="auto"/>
          <w:sz w:val="24"/>
        </w:rPr>
      </w:pPr>
      <w:r>
        <w:rPr>
          <w:rFonts w:hint="eastAsia" w:ascii="宋体" w:hAnsi="宋体" w:cs="宋体"/>
          <w:b/>
          <w:color w:val="auto"/>
          <w:sz w:val="24"/>
        </w:rPr>
        <w:t>8.1 对招标人的纪律要求</w:t>
      </w:r>
    </w:p>
    <w:p>
      <w:pPr>
        <w:spacing w:line="360" w:lineRule="auto"/>
        <w:ind w:firstLine="480" w:firstLineChars="200"/>
        <w:rPr>
          <w:rFonts w:ascii="宋体" w:hAnsi="宋体" w:cs="宋体"/>
          <w:color w:val="auto"/>
          <w:sz w:val="24"/>
        </w:rPr>
      </w:pPr>
      <w:r>
        <w:rPr>
          <w:rFonts w:hint="eastAsia" w:ascii="宋体" w:hAnsi="宋体" w:cs="宋体"/>
          <w:color w:val="auto"/>
          <w:sz w:val="24"/>
        </w:rPr>
        <w:t>招标人不得泄露招标投标活动中应当保密的情况和资料，不得与投标人串通损害国家利益、社会公共利益或者他人合法权益。</w:t>
      </w:r>
    </w:p>
    <w:p>
      <w:pPr>
        <w:spacing w:line="360" w:lineRule="auto"/>
        <w:rPr>
          <w:rFonts w:ascii="宋体" w:hAnsi="宋体" w:cs="宋体"/>
          <w:b/>
          <w:color w:val="auto"/>
          <w:sz w:val="24"/>
        </w:rPr>
      </w:pPr>
      <w:r>
        <w:rPr>
          <w:rFonts w:hint="eastAsia" w:ascii="宋体" w:hAnsi="宋体" w:cs="宋体"/>
          <w:b/>
          <w:color w:val="auto"/>
          <w:sz w:val="24"/>
        </w:rPr>
        <w:t>8.2 对投标人的纪律要求</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cs="宋体"/>
          <w:b/>
          <w:color w:val="auto"/>
          <w:sz w:val="24"/>
        </w:rPr>
      </w:pPr>
      <w:r>
        <w:rPr>
          <w:rFonts w:hint="eastAsia" w:ascii="宋体" w:hAnsi="宋体" w:cs="宋体"/>
          <w:b/>
          <w:color w:val="auto"/>
          <w:sz w:val="24"/>
        </w:rPr>
        <w:t>8.3 对评标委员会成员的纪律要求</w:t>
      </w:r>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20" w:name="page34"/>
      <w:bookmarkEnd w:id="20"/>
      <w:r>
        <w:rPr>
          <w:rFonts w:hint="eastAsia" w:ascii="宋体" w:hAnsi="宋体" w:cs="宋体"/>
          <w:color w:val="auto"/>
          <w:sz w:val="24"/>
        </w:rPr>
        <w:t>三章“评标办法”没有规定的评审因素和标准进行评标。</w:t>
      </w:r>
    </w:p>
    <w:p>
      <w:pPr>
        <w:spacing w:line="360" w:lineRule="auto"/>
        <w:rPr>
          <w:rFonts w:ascii="宋体" w:hAnsi="宋体" w:cs="宋体"/>
          <w:b/>
          <w:color w:val="auto"/>
          <w:sz w:val="24"/>
        </w:rPr>
      </w:pPr>
      <w:r>
        <w:rPr>
          <w:rFonts w:hint="eastAsia" w:ascii="宋体" w:hAnsi="宋体" w:cs="宋体"/>
          <w:b/>
          <w:color w:val="auto"/>
          <w:sz w:val="24"/>
        </w:rPr>
        <w:t>8.4 对与评标活动有关的工作人员的纪律要求</w:t>
      </w:r>
    </w:p>
    <w:p>
      <w:pPr>
        <w:spacing w:line="360" w:lineRule="auto"/>
        <w:ind w:firstLine="480" w:firstLineChars="200"/>
        <w:rPr>
          <w:rFonts w:ascii="宋体" w:hAnsi="宋体" w:cs="宋体"/>
          <w:color w:val="auto"/>
          <w:sz w:val="24"/>
        </w:rPr>
      </w:pPr>
      <w:r>
        <w:rPr>
          <w:rFonts w:hint="eastAsia" w:ascii="宋体" w:hAnsi="宋体" w:cs="宋体"/>
          <w:color w:val="auto"/>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cs="宋体"/>
          <w:b/>
          <w:color w:val="auto"/>
          <w:sz w:val="24"/>
        </w:rPr>
      </w:pPr>
      <w:r>
        <w:rPr>
          <w:rFonts w:hint="eastAsia" w:ascii="宋体" w:hAnsi="宋体" w:cs="宋体"/>
          <w:b/>
          <w:color w:val="auto"/>
          <w:sz w:val="24"/>
        </w:rPr>
        <w:t>8.5 投诉</w:t>
      </w:r>
    </w:p>
    <w:p>
      <w:pPr>
        <w:spacing w:line="360" w:lineRule="auto"/>
        <w:ind w:firstLine="480" w:firstLineChars="200"/>
        <w:rPr>
          <w:rFonts w:ascii="宋体" w:hAnsi="宋体" w:cs="宋体"/>
          <w:color w:val="auto"/>
          <w:sz w:val="24"/>
        </w:rPr>
      </w:pPr>
      <w:r>
        <w:rPr>
          <w:rFonts w:hint="eastAsia" w:ascii="宋体" w:hAnsi="宋体" w:cs="宋体"/>
          <w:color w:val="auto"/>
          <w:sz w:val="24"/>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80" w:firstLineChars="200"/>
        <w:rPr>
          <w:rFonts w:ascii="宋体" w:hAnsi="宋体" w:cs="宋体"/>
          <w:color w:val="auto"/>
        </w:rPr>
      </w:pPr>
      <w:r>
        <w:rPr>
          <w:rFonts w:hint="eastAsia" w:ascii="宋体" w:hAnsi="宋体" w:cs="宋体"/>
          <w:color w:val="auto"/>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widowControl/>
        <w:tabs>
          <w:tab w:val="left" w:pos="760"/>
        </w:tabs>
        <w:spacing w:line="360" w:lineRule="auto"/>
        <w:jc w:val="center"/>
        <w:rPr>
          <w:rFonts w:ascii="宋体" w:hAnsi="宋体" w:cs="宋体"/>
          <w:b/>
          <w:bCs/>
          <w:color w:val="auto"/>
          <w:sz w:val="32"/>
          <w:szCs w:val="32"/>
        </w:rPr>
      </w:pPr>
      <w:r>
        <w:rPr>
          <w:rFonts w:hint="eastAsia" w:ascii="宋体" w:hAnsi="宋体" w:cs="宋体"/>
          <w:b/>
          <w:bCs/>
          <w:color w:val="auto"/>
          <w:sz w:val="32"/>
          <w:szCs w:val="32"/>
        </w:rPr>
        <w:t>9.是否采用电子招标投标</w:t>
      </w:r>
    </w:p>
    <w:p>
      <w:pPr>
        <w:spacing w:line="360" w:lineRule="auto"/>
        <w:ind w:firstLine="480" w:firstLineChars="200"/>
        <w:rPr>
          <w:rFonts w:ascii="宋体" w:hAnsi="宋体" w:cs="宋体"/>
          <w:color w:val="auto"/>
          <w:sz w:val="24"/>
        </w:rPr>
      </w:pPr>
      <w:r>
        <w:rPr>
          <w:rFonts w:hint="eastAsia" w:ascii="宋体" w:hAnsi="宋体" w:cs="宋体"/>
          <w:color w:val="auto"/>
          <w:sz w:val="24"/>
        </w:rPr>
        <w:t>本招标项目是否采用电子招标投标方式，见投标人须知前附表。</w:t>
      </w:r>
    </w:p>
    <w:p>
      <w:pPr>
        <w:widowControl/>
        <w:tabs>
          <w:tab w:val="left" w:pos="920"/>
        </w:tabs>
        <w:spacing w:line="360" w:lineRule="auto"/>
        <w:jc w:val="center"/>
        <w:rPr>
          <w:rFonts w:ascii="宋体" w:hAnsi="宋体" w:cs="宋体"/>
          <w:b/>
          <w:bCs/>
          <w:color w:val="auto"/>
          <w:sz w:val="32"/>
          <w:szCs w:val="32"/>
        </w:rPr>
      </w:pPr>
      <w:r>
        <w:rPr>
          <w:rFonts w:hint="eastAsia" w:ascii="宋体" w:hAnsi="宋体" w:cs="宋体"/>
          <w:b/>
          <w:bCs/>
          <w:color w:val="auto"/>
          <w:sz w:val="32"/>
          <w:szCs w:val="32"/>
        </w:rPr>
        <w:t>10.需要补充的其他内容</w:t>
      </w:r>
    </w:p>
    <w:p>
      <w:pPr>
        <w:spacing w:line="360" w:lineRule="auto"/>
        <w:ind w:left="426"/>
        <w:rPr>
          <w:rFonts w:ascii="宋体" w:hAnsi="宋体" w:cs="宋体"/>
          <w:b/>
          <w:bCs/>
          <w:color w:val="auto"/>
          <w:sz w:val="24"/>
        </w:rPr>
      </w:pPr>
      <w:r>
        <w:rPr>
          <w:rFonts w:hint="eastAsia" w:ascii="宋体" w:hAnsi="宋体" w:cs="宋体"/>
          <w:color w:val="auto"/>
          <w:sz w:val="24"/>
        </w:rPr>
        <w:t>需要补充的其他内容：见投标人须知前附表。</w:t>
      </w:r>
    </w:p>
    <w:bookmarkEnd w:id="10"/>
    <w:bookmarkEnd w:id="11"/>
    <w:p>
      <w:pPr>
        <w:spacing w:line="360" w:lineRule="auto"/>
        <w:rPr>
          <w:rFonts w:ascii="宋体" w:hAnsi="宋体" w:cs="宋体"/>
          <w:b/>
          <w:bCs/>
          <w:color w:val="auto"/>
          <w:sz w:val="28"/>
          <w:szCs w:val="32"/>
        </w:rPr>
      </w:pPr>
      <w:bookmarkStart w:id="21" w:name="_Toc361508599"/>
      <w:bookmarkEnd w:id="21"/>
      <w:bookmarkStart w:id="22" w:name="_Toc384308224"/>
      <w:bookmarkEnd w:id="22"/>
      <w:bookmarkStart w:id="23" w:name="_Toc247527568"/>
      <w:bookmarkEnd w:id="23"/>
      <w:bookmarkStart w:id="24" w:name="_Toc369531530"/>
      <w:bookmarkEnd w:id="24"/>
      <w:bookmarkStart w:id="25" w:name="_Toc152045543"/>
      <w:bookmarkEnd w:id="25"/>
      <w:bookmarkStart w:id="26" w:name="_Toc352691487"/>
      <w:bookmarkEnd w:id="26"/>
      <w:bookmarkStart w:id="27" w:name="_Toc300834964"/>
      <w:bookmarkEnd w:id="27"/>
      <w:bookmarkStart w:id="28" w:name="_Toc152042319"/>
      <w:bookmarkEnd w:id="28"/>
      <w:bookmarkStart w:id="29" w:name="_Toc15242"/>
      <w:bookmarkEnd w:id="29"/>
      <w:bookmarkStart w:id="30" w:name="_Toc144974511"/>
      <w:bookmarkEnd w:id="30"/>
      <w:bookmarkStart w:id="31" w:name="_Toc247513967"/>
      <w:bookmarkEnd w:id="31"/>
      <w:r>
        <w:rPr>
          <w:rFonts w:hint="eastAsia" w:ascii="宋体" w:hAnsi="宋体" w:cs="宋体"/>
          <w:color w:val="auto"/>
        </w:rPr>
        <w:br w:type="page"/>
      </w:r>
      <w:r>
        <w:rPr>
          <w:rFonts w:hint="eastAsia" w:ascii="宋体" w:hAnsi="宋体" w:cs="宋体"/>
          <w:b/>
          <w:bCs/>
          <w:color w:val="auto"/>
          <w:sz w:val="28"/>
          <w:szCs w:val="32"/>
        </w:rPr>
        <w:t>附件一：开标记录表（按广州公共资源交易中心系统导出为准）</w:t>
      </w:r>
    </w:p>
    <w:p>
      <w:pPr>
        <w:spacing w:line="360" w:lineRule="auto"/>
        <w:jc w:val="center"/>
        <w:rPr>
          <w:rFonts w:ascii="宋体" w:hAnsi="宋体" w:cs="宋体"/>
          <w:color w:val="auto"/>
          <w:sz w:val="28"/>
          <w:szCs w:val="28"/>
        </w:rPr>
      </w:pPr>
      <w:r>
        <w:rPr>
          <w:rFonts w:hint="eastAsia" w:ascii="宋体" w:hAnsi="宋体" w:cs="宋体"/>
          <w:color w:val="auto"/>
          <w:sz w:val="28"/>
          <w:szCs w:val="28"/>
        </w:rPr>
        <w:t>开标记录表</w:t>
      </w:r>
    </w:p>
    <w:p>
      <w:pPr>
        <w:spacing w:before="120" w:beforeLines="50" w:after="120" w:afterLines="50" w:line="360" w:lineRule="auto"/>
        <w:ind w:right="420"/>
        <w:jc w:val="right"/>
        <w:rPr>
          <w:rFonts w:ascii="宋体" w:hAnsi="宋体" w:cs="宋体"/>
          <w:color w:val="auto"/>
        </w:rPr>
      </w:pPr>
      <w:r>
        <w:rPr>
          <w:rFonts w:hint="eastAsia" w:ascii="宋体" w:hAnsi="宋体" w:cs="宋体"/>
          <w:color w:val="auto"/>
        </w:rPr>
        <w:t>开标时间：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rPr>
        <w:t>分</w:t>
      </w:r>
    </w:p>
    <w:tbl>
      <w:tblPr>
        <w:tblStyle w:val="20"/>
        <w:tblW w:w="8487" w:type="dxa"/>
        <w:tblInd w:w="0" w:type="dxa"/>
        <w:tblLayout w:type="fixed"/>
        <w:tblCellMar>
          <w:top w:w="0" w:type="dxa"/>
          <w:left w:w="108" w:type="dxa"/>
          <w:bottom w:w="0" w:type="dxa"/>
          <w:right w:w="108" w:type="dxa"/>
        </w:tblCellMar>
      </w:tblPr>
      <w:tblGrid>
        <w:gridCol w:w="708"/>
        <w:gridCol w:w="889"/>
        <w:gridCol w:w="984"/>
        <w:gridCol w:w="1027"/>
        <w:gridCol w:w="1119"/>
        <w:gridCol w:w="915"/>
        <w:gridCol w:w="819"/>
        <w:gridCol w:w="2026"/>
      </w:tblGrid>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序号</w:t>
            </w:r>
          </w:p>
        </w:tc>
        <w:tc>
          <w:tcPr>
            <w:tcW w:w="8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投标人</w:t>
            </w:r>
          </w:p>
        </w:tc>
        <w:tc>
          <w:tcPr>
            <w:tcW w:w="9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投标文件递交情况</w:t>
            </w:r>
          </w:p>
        </w:tc>
        <w:tc>
          <w:tcPr>
            <w:tcW w:w="10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投标文件解密情况</w:t>
            </w:r>
          </w:p>
        </w:tc>
        <w:tc>
          <w:tcPr>
            <w:tcW w:w="11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投标报价</w:t>
            </w:r>
          </w:p>
          <w:p>
            <w:pPr>
              <w:spacing w:line="360" w:lineRule="auto"/>
              <w:jc w:val="center"/>
              <w:rPr>
                <w:rFonts w:ascii="宋体" w:hAnsi="宋体" w:cs="宋体"/>
                <w:color w:val="auto"/>
                <w:sz w:val="18"/>
                <w:szCs w:val="18"/>
              </w:rPr>
            </w:pPr>
            <w:r>
              <w:rPr>
                <w:rFonts w:hint="eastAsia" w:ascii="宋体" w:hAnsi="宋体" w:cs="宋体"/>
                <w:color w:val="auto"/>
                <w:sz w:val="18"/>
                <w:szCs w:val="18"/>
              </w:rPr>
              <w:t>（元）</w:t>
            </w:r>
          </w:p>
        </w:tc>
        <w:tc>
          <w:tcPr>
            <w:tcW w:w="91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项目负责人</w:t>
            </w:r>
          </w:p>
        </w:tc>
        <w:tc>
          <w:tcPr>
            <w:tcW w:w="8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服务期限</w:t>
            </w:r>
          </w:p>
        </w:tc>
        <w:tc>
          <w:tcPr>
            <w:tcW w:w="20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auto"/>
                <w:sz w:val="18"/>
                <w:szCs w:val="18"/>
              </w:rPr>
            </w:pPr>
            <w:r>
              <w:rPr>
                <w:rFonts w:hint="eastAsia" w:ascii="宋体" w:hAnsi="宋体" w:cs="宋体"/>
                <w:color w:val="auto"/>
                <w:sz w:val="18"/>
                <w:szCs w:val="18"/>
              </w:rPr>
              <w:t>投标人代表</w:t>
            </w:r>
          </w:p>
          <w:p>
            <w:pPr>
              <w:spacing w:line="360" w:lineRule="auto"/>
              <w:jc w:val="center"/>
              <w:rPr>
                <w:rFonts w:ascii="宋体" w:hAnsi="宋体" w:cs="宋体"/>
                <w:color w:val="auto"/>
                <w:sz w:val="18"/>
                <w:szCs w:val="18"/>
              </w:rPr>
            </w:pPr>
            <w:r>
              <w:rPr>
                <w:rFonts w:hint="eastAsia" w:ascii="宋体" w:hAnsi="宋体" w:cs="宋体"/>
                <w:color w:val="auto"/>
                <w:sz w:val="18"/>
                <w:szCs w:val="18"/>
              </w:rPr>
              <w:t>签名</w:t>
            </w: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rPr>
          <w:trHeight w:val="502" w:hRule="atLeast"/>
        </w:trPr>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rPr>
            </w:pPr>
          </w:p>
        </w:tc>
        <w:tc>
          <w:tcPr>
            <w:tcW w:w="88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84"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027"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11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915"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819"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c>
          <w:tcPr>
            <w:tcW w:w="2026"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rPr>
            </w:pPr>
          </w:p>
        </w:tc>
      </w:tr>
    </w:tbl>
    <w:p>
      <w:pPr>
        <w:spacing w:line="360" w:lineRule="auto"/>
        <w:rPr>
          <w:rFonts w:ascii="宋体" w:hAnsi="宋体" w:cs="宋体"/>
          <w:color w:val="auto"/>
        </w:rPr>
      </w:pPr>
      <w:r>
        <w:rPr>
          <w:rFonts w:hint="eastAsia" w:ascii="宋体" w:hAnsi="宋体" w:cs="宋体"/>
          <w:color w:val="auto"/>
        </w:rPr>
        <w:t xml:space="preserve">   </w:t>
      </w:r>
    </w:p>
    <w:p>
      <w:pPr>
        <w:spacing w:line="360" w:lineRule="auto"/>
        <w:rPr>
          <w:rFonts w:ascii="宋体" w:hAnsi="宋体" w:cs="宋体"/>
          <w:color w:val="auto"/>
        </w:rPr>
      </w:pPr>
      <w:r>
        <w:rPr>
          <w:rFonts w:hint="eastAsia" w:ascii="宋体" w:hAnsi="宋体" w:cs="宋体"/>
          <w:color w:val="auto"/>
        </w:rPr>
        <w:t>招标人代表：</w:t>
      </w:r>
      <w:r>
        <w:rPr>
          <w:rFonts w:hint="eastAsia" w:ascii="宋体" w:hAnsi="宋体" w:cs="宋体"/>
          <w:color w:val="auto"/>
          <w:u w:val="single"/>
        </w:rPr>
        <w:t xml:space="preserve">    </w:t>
      </w:r>
      <w:bookmarkStart w:id="32" w:name="_Toc520184724"/>
      <w:bookmarkEnd w:id="32"/>
      <w:bookmarkStart w:id="33" w:name="_Toc25732"/>
      <w:r>
        <w:rPr>
          <w:rFonts w:hint="eastAsia" w:ascii="宋体" w:hAnsi="宋体" w:cs="宋体"/>
          <w:color w:val="auto"/>
          <w:u w:val="single"/>
        </w:rPr>
        <w:t xml:space="preserve">   </w:t>
      </w:r>
      <w:bookmarkEnd w:id="33"/>
      <w:r>
        <w:rPr>
          <w:rFonts w:hint="eastAsia" w:ascii="宋体" w:hAnsi="宋体" w:cs="宋体"/>
          <w:color w:val="auto"/>
        </w:rPr>
        <w:t xml:space="preserve">        记录人：</w:t>
      </w:r>
      <w:r>
        <w:rPr>
          <w:rFonts w:hint="eastAsia" w:ascii="宋体" w:hAnsi="宋体" w:cs="宋体"/>
          <w:color w:val="auto"/>
          <w:u w:val="single"/>
        </w:rPr>
        <w:t xml:space="preserve">       </w:t>
      </w:r>
      <w:r>
        <w:rPr>
          <w:rFonts w:hint="eastAsia" w:ascii="宋体" w:hAnsi="宋体" w:cs="宋体"/>
          <w:color w:val="auto"/>
        </w:rPr>
        <w:t xml:space="preserve">       监标人：</w:t>
      </w:r>
      <w:r>
        <w:rPr>
          <w:rFonts w:hint="eastAsia" w:ascii="宋体" w:hAnsi="宋体" w:cs="宋体"/>
          <w:color w:val="auto"/>
          <w:u w:val="single"/>
        </w:rPr>
        <w:t xml:space="preserve">       </w:t>
      </w:r>
    </w:p>
    <w:p>
      <w:pPr>
        <w:spacing w:line="360" w:lineRule="auto"/>
        <w:jc w:val="right"/>
        <w:rPr>
          <w:rFonts w:ascii="宋体" w:hAnsi="宋体" w:cs="宋体"/>
          <w:color w:val="auto"/>
          <w:sz w:val="20"/>
          <w:szCs w:val="20"/>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620" w:lineRule="exact"/>
        <w:ind w:firstLine="6300" w:firstLineChars="3000"/>
        <w:rPr>
          <w:rFonts w:ascii="宋体" w:hAnsi="宋体" w:cs="宋体"/>
          <w:color w:val="auto"/>
        </w:rPr>
      </w:pPr>
    </w:p>
    <w:p>
      <w:pPr>
        <w:spacing w:line="440" w:lineRule="exact"/>
        <w:rPr>
          <w:rFonts w:ascii="宋体" w:hAnsi="宋体" w:cs="宋体"/>
          <w:color w:val="auto"/>
        </w:rPr>
      </w:pPr>
    </w:p>
    <w:p>
      <w:pPr>
        <w:spacing w:line="440" w:lineRule="exact"/>
        <w:rPr>
          <w:rFonts w:ascii="宋体" w:hAnsi="宋体" w:cs="宋体"/>
          <w:color w:val="auto"/>
        </w:rPr>
      </w:pPr>
      <w:r>
        <w:rPr>
          <w:rFonts w:hint="eastAsia" w:ascii="宋体" w:hAnsi="宋体" w:cs="宋体"/>
          <w:color w:val="auto"/>
        </w:rPr>
        <w:br w:type="page"/>
      </w:r>
    </w:p>
    <w:p>
      <w:pPr>
        <w:spacing w:line="360" w:lineRule="auto"/>
        <w:rPr>
          <w:rFonts w:ascii="宋体" w:hAnsi="宋体" w:cs="宋体"/>
          <w:b/>
          <w:color w:val="auto"/>
          <w:sz w:val="28"/>
          <w:szCs w:val="28"/>
        </w:rPr>
      </w:pPr>
      <w:bookmarkStart w:id="34" w:name="_Toc534552066"/>
      <w:bookmarkStart w:id="35" w:name="_Toc530470625"/>
      <w:r>
        <w:rPr>
          <w:rFonts w:hint="eastAsia" w:ascii="宋体" w:hAnsi="宋体" w:cs="宋体"/>
          <w:b/>
          <w:color w:val="auto"/>
          <w:sz w:val="28"/>
          <w:szCs w:val="28"/>
        </w:rPr>
        <w:t>附件二：问题澄清通知（按广州公共资源交易中心中标通知书格式）</w:t>
      </w:r>
      <w:bookmarkEnd w:id="34"/>
      <w:bookmarkEnd w:id="35"/>
      <w:bookmarkStart w:id="36" w:name="_Toc152042355"/>
      <w:bookmarkStart w:id="37" w:name="_Toc529196578"/>
      <w:bookmarkStart w:id="38" w:name="_Toc530470626"/>
      <w:bookmarkStart w:id="39" w:name="_Toc144974546"/>
    </w:p>
    <w:p>
      <w:pPr>
        <w:spacing w:line="360" w:lineRule="auto"/>
        <w:rPr>
          <w:rFonts w:ascii="宋体" w:hAnsi="宋体" w:cs="宋体"/>
          <w:b/>
          <w:color w:val="auto"/>
          <w:sz w:val="28"/>
          <w:szCs w:val="28"/>
        </w:rPr>
      </w:pPr>
      <w:bookmarkStart w:id="40" w:name="_Toc534552067"/>
      <w:r>
        <w:rPr>
          <w:rFonts w:hint="eastAsia" w:ascii="宋体" w:hAnsi="宋体" w:cs="宋体"/>
          <w:b/>
          <w:color w:val="auto"/>
          <w:sz w:val="28"/>
          <w:szCs w:val="28"/>
        </w:rPr>
        <w:t>附件三：问题的澄清</w:t>
      </w:r>
      <w:bookmarkEnd w:id="36"/>
      <w:bookmarkStart w:id="41" w:name="_Toc152045579"/>
      <w:bookmarkStart w:id="42" w:name="_Toc152042356"/>
      <w:bookmarkStart w:id="43" w:name="_Toc369531568"/>
      <w:bookmarkStart w:id="44" w:name="_Toc352691524"/>
      <w:bookmarkStart w:id="45" w:name="_Toc3622"/>
      <w:bookmarkStart w:id="46" w:name="_Toc247514003"/>
      <w:bookmarkStart w:id="47" w:name="_Toc384308263"/>
      <w:bookmarkStart w:id="48" w:name="_Toc300834999"/>
      <w:bookmarkStart w:id="49" w:name="_Toc361508637"/>
      <w:bookmarkStart w:id="50" w:name="_Toc247527604"/>
      <w:r>
        <w:rPr>
          <w:rFonts w:hint="eastAsia" w:ascii="宋体" w:hAnsi="宋体" w:cs="宋体"/>
          <w:b/>
          <w:color w:val="auto"/>
          <w:sz w:val="28"/>
          <w:szCs w:val="28"/>
        </w:rPr>
        <w:t>（按广州公共资源交易中心中标通知书格式）</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Toc492300623"/>
      <w:bookmarkStart w:id="52" w:name="_Toc529196579"/>
      <w:bookmarkStart w:id="53" w:name="_Toc530470627"/>
    </w:p>
    <w:p>
      <w:pPr>
        <w:spacing w:line="360" w:lineRule="auto"/>
        <w:rPr>
          <w:rFonts w:ascii="宋体" w:hAnsi="宋体" w:cs="宋体"/>
          <w:b/>
          <w:color w:val="auto"/>
          <w:sz w:val="28"/>
          <w:szCs w:val="28"/>
        </w:rPr>
      </w:pPr>
      <w:bookmarkStart w:id="54" w:name="_Toc534552068"/>
      <w:r>
        <w:rPr>
          <w:rFonts w:hint="eastAsia" w:ascii="宋体" w:hAnsi="宋体" w:cs="宋体"/>
          <w:b/>
          <w:color w:val="auto"/>
          <w:sz w:val="28"/>
          <w:szCs w:val="28"/>
        </w:rPr>
        <w:t>附件四：中标通知书</w:t>
      </w:r>
      <w:bookmarkEnd w:id="51"/>
      <w:r>
        <w:rPr>
          <w:rFonts w:hint="eastAsia" w:ascii="宋体" w:hAnsi="宋体" w:cs="宋体"/>
          <w:b/>
          <w:color w:val="auto"/>
          <w:sz w:val="28"/>
          <w:szCs w:val="28"/>
        </w:rPr>
        <w:t>（按广州公共资源交易中心中标通知书格式）</w:t>
      </w:r>
      <w:bookmarkEnd w:id="52"/>
      <w:bookmarkEnd w:id="53"/>
      <w:bookmarkEnd w:id="54"/>
      <w:bookmarkStart w:id="55" w:name="_Toc492300624"/>
      <w:bookmarkStart w:id="56" w:name="_Toc530470628"/>
      <w:bookmarkStart w:id="57" w:name="_Toc529196580"/>
    </w:p>
    <w:p>
      <w:pPr>
        <w:spacing w:line="360" w:lineRule="auto"/>
        <w:rPr>
          <w:rFonts w:ascii="宋体" w:hAnsi="宋体" w:cs="宋体"/>
          <w:b/>
          <w:color w:val="auto"/>
          <w:sz w:val="28"/>
          <w:szCs w:val="28"/>
        </w:rPr>
      </w:pPr>
      <w:bookmarkStart w:id="58" w:name="_Toc534552069"/>
      <w:r>
        <w:rPr>
          <w:rFonts w:hint="eastAsia" w:ascii="宋体" w:hAnsi="宋体" w:cs="宋体"/>
          <w:b/>
          <w:color w:val="auto"/>
          <w:sz w:val="28"/>
          <w:szCs w:val="28"/>
        </w:rPr>
        <w:t>附件五：中标结果通知书</w:t>
      </w:r>
      <w:bookmarkEnd w:id="55"/>
      <w:r>
        <w:rPr>
          <w:rFonts w:hint="eastAsia" w:ascii="宋体" w:hAnsi="宋体" w:cs="宋体"/>
          <w:b/>
          <w:color w:val="auto"/>
          <w:sz w:val="28"/>
          <w:szCs w:val="28"/>
        </w:rPr>
        <w:t>（按广州公共资源交易中心中标通知书格式）</w:t>
      </w:r>
      <w:bookmarkEnd w:id="56"/>
      <w:bookmarkEnd w:id="57"/>
      <w:bookmarkEnd w:id="58"/>
      <w:bookmarkStart w:id="59" w:name="_Toc492300625"/>
    </w:p>
    <w:p>
      <w:pPr>
        <w:spacing w:line="360" w:lineRule="auto"/>
        <w:rPr>
          <w:rFonts w:ascii="宋体" w:hAnsi="宋体" w:cs="宋体"/>
          <w:b/>
          <w:color w:val="auto"/>
          <w:sz w:val="28"/>
          <w:szCs w:val="28"/>
        </w:rPr>
      </w:pPr>
      <w:bookmarkStart w:id="60" w:name="_Toc534552070"/>
      <w:r>
        <w:rPr>
          <w:rFonts w:hint="eastAsia" w:ascii="宋体" w:hAnsi="宋体" w:cs="宋体"/>
          <w:b/>
          <w:color w:val="auto"/>
          <w:sz w:val="28"/>
          <w:szCs w:val="28"/>
        </w:rPr>
        <w:t>附件六：确认通知</w:t>
      </w:r>
      <w:bookmarkEnd w:id="59"/>
      <w:r>
        <w:rPr>
          <w:rFonts w:hint="eastAsia" w:ascii="宋体" w:hAnsi="宋体" w:cs="宋体"/>
          <w:b/>
          <w:color w:val="auto"/>
          <w:sz w:val="28"/>
          <w:szCs w:val="28"/>
        </w:rPr>
        <w:t>（按广州公共资源交易中心中标通知书格式）</w:t>
      </w:r>
      <w:bookmarkEnd w:id="60"/>
    </w:p>
    <w:p>
      <w:pPr>
        <w:spacing w:line="400" w:lineRule="exact"/>
        <w:rPr>
          <w:rFonts w:ascii="宋体" w:hAnsi="宋体" w:cs="宋体"/>
          <w:color w:val="auto"/>
        </w:rPr>
      </w:pPr>
    </w:p>
    <w:p>
      <w:pPr>
        <w:pStyle w:val="5"/>
        <w:spacing w:line="240" w:lineRule="auto"/>
        <w:jc w:val="center"/>
        <w:rPr>
          <w:rFonts w:ascii="宋体" w:hAnsi="宋体" w:cs="宋体"/>
          <w:color w:val="auto"/>
        </w:rPr>
      </w:pPr>
      <w:r>
        <w:rPr>
          <w:rFonts w:hint="eastAsia" w:ascii="宋体" w:hAnsi="宋体" w:cs="宋体"/>
          <w:color w:val="auto"/>
        </w:rPr>
        <w:br w:type="page"/>
      </w:r>
      <w:bookmarkStart w:id="61" w:name="_Toc520310857"/>
      <w:r>
        <w:rPr>
          <w:rFonts w:hint="eastAsia" w:ascii="宋体" w:hAnsi="宋体" w:cs="宋体"/>
          <w:color w:val="auto"/>
        </w:rPr>
        <w:t>第三章评标办法（综合评估法）</w:t>
      </w:r>
      <w:bookmarkEnd w:id="61"/>
    </w:p>
    <w:p>
      <w:pPr>
        <w:pStyle w:val="6"/>
        <w:jc w:val="center"/>
        <w:rPr>
          <w:rFonts w:ascii="宋体" w:hAnsi="宋体" w:eastAsia="宋体" w:cs="宋体"/>
          <w:color w:val="auto"/>
        </w:rPr>
      </w:pPr>
      <w:bookmarkStart w:id="62" w:name="_Toc492300627"/>
      <w:bookmarkStart w:id="63" w:name="_Toc520310858"/>
      <w:r>
        <w:rPr>
          <w:rFonts w:hint="eastAsia" w:ascii="宋体" w:hAnsi="宋体" w:eastAsia="宋体" w:cs="宋体"/>
          <w:color w:val="auto"/>
        </w:rPr>
        <w:t>评标办法前附表</w:t>
      </w:r>
      <w:bookmarkEnd w:id="62"/>
      <w:bookmarkEnd w:id="63"/>
    </w:p>
    <w:tbl>
      <w:tblPr>
        <w:tblStyle w:val="20"/>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rPr>
            </w:pPr>
            <w:r>
              <w:rPr>
                <w:rFonts w:hint="eastAsia" w:ascii="宋体" w:hAnsi="宋体" w:cs="宋体"/>
                <w:b/>
                <w:color w:val="auto"/>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rPr>
            </w:pPr>
            <w:r>
              <w:rPr>
                <w:rFonts w:hint="eastAsia" w:ascii="宋体" w:hAnsi="宋体" w:cs="宋体"/>
                <w:b/>
                <w:color w:val="auto"/>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rPr>
            </w:pPr>
            <w:r>
              <w:rPr>
                <w:rFonts w:hint="eastAsia" w:ascii="宋体" w:hAnsi="宋体" w:cs="宋体"/>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中标候选人排序方法</w:t>
            </w:r>
          </w:p>
        </w:tc>
        <w:tc>
          <w:tcPr>
            <w:tcW w:w="4680"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auto"/>
                <w:szCs w:val="21"/>
              </w:rPr>
            </w:pPr>
            <w:r>
              <w:rPr>
                <w:rFonts w:hint="eastAsia" w:ascii="宋体" w:hAnsi="宋体"/>
                <w:color w:val="auto"/>
                <w:szCs w:val="21"/>
              </w:rPr>
              <w:t>投标人综合得分由高到低排序前3名作为第一、第二、第三中标候选人。综合得分相同时，以商务技术标详细评审得分高者排前；如果综合得分与商务技术标详细评审得分均相同时，以投标人的投标报价低者排前。如仍存在相同情况，则对具有相同情况的投标人，按中标候选人数量规定，由评标委员会采用记名投票方式，确定中标候选人的排序。</w:t>
            </w:r>
          </w:p>
          <w:p>
            <w:pPr>
              <w:ind w:firstLine="420" w:firstLineChars="200"/>
              <w:jc w:val="left"/>
              <w:rPr>
                <w:rFonts w:ascii="宋体" w:hAnsi="宋体" w:cs="宋体"/>
                <w:color w:val="auto"/>
              </w:rPr>
            </w:pPr>
            <w:r>
              <w:rPr>
                <w:rFonts w:hint="eastAsia" w:ascii="宋体" w:hAnsi="宋体"/>
                <w:color w:val="auto"/>
                <w:szCs w:val="21"/>
              </w:rPr>
              <w:t>记名投票方式确定排序的具体步骤为：由评标委员会对出现该情况的的投标人采用去记名投票的方式确定，按得票数高低进行排序，根据得票数高低确定中标候选人排序。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2.1.1</w:t>
            </w:r>
          </w:p>
        </w:tc>
        <w:tc>
          <w:tcPr>
            <w:tcW w:w="1124" w:type="dxa"/>
            <w:vMerge w:val="restart"/>
            <w:tcBorders>
              <w:top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rPr>
            </w:pPr>
            <w:r>
              <w:rPr>
                <w:rFonts w:hint="eastAsia" w:ascii="宋体" w:hAnsi="宋体" w:cs="宋体"/>
                <w:color w:val="auto"/>
              </w:rPr>
              <w:t>与营业执照</w:t>
            </w:r>
            <w:r>
              <w:rPr>
                <w:rFonts w:hint="eastAsia" w:ascii="宋体" w:hAnsi="宋体" w:cs="宋体"/>
                <w:color w:val="auto"/>
                <w:szCs w:val="21"/>
              </w:rPr>
              <w:t>（或事业单位法人证书）</w:t>
            </w:r>
            <w:r>
              <w:rPr>
                <w:rFonts w:hint="eastAsia" w:ascii="宋体" w:hAnsi="宋体" w:cs="宋体"/>
                <w:color w:val="auto"/>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投标函及投标函附录签字盖章</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rPr>
            </w:pPr>
            <w:r>
              <w:rPr>
                <w:rFonts w:hint="eastAsia" w:ascii="宋体" w:hAnsi="宋体" w:cs="宋体"/>
                <w:color w:val="auto"/>
              </w:rPr>
              <w:t>有法定代表人</w:t>
            </w:r>
            <w:bookmarkStart w:id="64" w:name="_Toc384308269"/>
            <w:bookmarkStart w:id="65" w:name="_Toc300835005"/>
            <w:bookmarkStart w:id="66" w:name="_Toc152042361"/>
            <w:bookmarkStart w:id="67" w:name="_Toc247514008"/>
            <w:bookmarkStart w:id="68" w:name="_Toc6546"/>
            <w:bookmarkStart w:id="69" w:name="_Toc152045584"/>
            <w:bookmarkStart w:id="70" w:name="_Toc352691530"/>
            <w:bookmarkStart w:id="71" w:name="_Toc247527609"/>
            <w:bookmarkStart w:id="72" w:name="_Toc361508643"/>
            <w:bookmarkStart w:id="73" w:name="_Toc369531574"/>
            <w:bookmarkStart w:id="74" w:name="_Toc144974551"/>
            <w:r>
              <w:rPr>
                <w:rFonts w:hint="eastAsia" w:ascii="宋体" w:hAnsi="宋体" w:cs="宋体"/>
                <w:color w:val="auto"/>
              </w:rPr>
              <w:t>或其委托</w:t>
            </w:r>
            <w:bookmarkEnd w:id="64"/>
            <w:bookmarkEnd w:id="65"/>
            <w:bookmarkEnd w:id="66"/>
            <w:bookmarkEnd w:id="67"/>
            <w:bookmarkEnd w:id="68"/>
            <w:bookmarkEnd w:id="69"/>
            <w:bookmarkEnd w:id="70"/>
            <w:bookmarkEnd w:id="71"/>
            <w:bookmarkEnd w:id="72"/>
            <w:bookmarkEnd w:id="73"/>
            <w:bookmarkEnd w:id="74"/>
            <w:r>
              <w:rPr>
                <w:rFonts w:hint="eastAsia" w:ascii="宋体" w:hAnsi="宋体" w:cs="宋体"/>
                <w:color w:val="auto"/>
              </w:rPr>
              <w:t>代理人签字</w:t>
            </w:r>
            <w:r>
              <w:rPr>
                <w:rFonts w:hint="eastAsia" w:ascii="宋体" w:hAnsi="宋体" w:cs="宋体"/>
                <w:color w:val="auto"/>
                <w:lang w:eastAsia="zh-CN"/>
              </w:rPr>
              <w:t>（</w:t>
            </w:r>
            <w:r>
              <w:rPr>
                <w:rFonts w:hint="eastAsia" w:ascii="宋体" w:hAnsi="宋体" w:cs="宋体"/>
                <w:color w:val="auto"/>
                <w:lang w:val="en-US" w:eastAsia="zh-CN"/>
              </w:rPr>
              <w:t>或盖章</w:t>
            </w:r>
            <w:r>
              <w:rPr>
                <w:rFonts w:hint="eastAsia" w:ascii="宋体" w:hAnsi="宋体" w:cs="宋体"/>
                <w:color w:val="auto"/>
                <w:lang w:eastAsia="zh-CN"/>
              </w:rPr>
              <w:t>）</w:t>
            </w:r>
            <w:r>
              <w:rPr>
                <w:rFonts w:hint="eastAsia" w:ascii="宋体" w:hAnsi="宋体" w:cs="宋体"/>
                <w:color w:val="auto"/>
                <w:lang w:val="en-US" w:eastAsia="zh-CN"/>
              </w:rPr>
              <w:t>并</w:t>
            </w:r>
            <w:r>
              <w:rPr>
                <w:rFonts w:hint="eastAsia" w:ascii="宋体" w:hAnsi="宋体" w:cs="宋体"/>
                <w:color w:val="auto"/>
              </w:rPr>
              <w:t>加盖单位章。由法定代表人签字</w:t>
            </w:r>
            <w:r>
              <w:rPr>
                <w:rFonts w:hint="eastAsia" w:ascii="宋体" w:hAnsi="宋体" w:cs="宋体"/>
                <w:color w:val="auto"/>
                <w:lang w:eastAsia="zh-CN"/>
              </w:rPr>
              <w:t>（</w:t>
            </w:r>
            <w:r>
              <w:rPr>
                <w:rFonts w:hint="eastAsia" w:ascii="宋体" w:hAnsi="宋体" w:cs="宋体"/>
                <w:color w:val="auto"/>
                <w:lang w:val="en-US" w:eastAsia="zh-CN"/>
              </w:rPr>
              <w:t>或盖章</w:t>
            </w:r>
            <w:r>
              <w:rPr>
                <w:rFonts w:hint="eastAsia" w:ascii="宋体" w:hAnsi="宋体" w:cs="宋体"/>
                <w:color w:val="auto"/>
                <w:lang w:eastAsia="zh-CN"/>
              </w:rPr>
              <w:t>）</w:t>
            </w:r>
            <w:r>
              <w:rPr>
                <w:rFonts w:hint="eastAsia" w:ascii="宋体" w:hAnsi="宋体" w:cs="宋体"/>
                <w:color w:val="auto"/>
              </w:rPr>
              <w:t>的，应附法定代表人身份证明，由代理人签字</w:t>
            </w:r>
            <w:r>
              <w:rPr>
                <w:rFonts w:hint="eastAsia" w:ascii="宋体" w:hAnsi="宋体" w:cs="宋体"/>
                <w:color w:val="auto"/>
                <w:lang w:eastAsia="zh-CN"/>
              </w:rPr>
              <w:t>（</w:t>
            </w:r>
            <w:r>
              <w:rPr>
                <w:rFonts w:hint="eastAsia" w:ascii="宋体" w:hAnsi="宋体" w:cs="宋体"/>
                <w:color w:val="auto"/>
                <w:lang w:val="en-US" w:eastAsia="zh-CN"/>
              </w:rPr>
              <w:t>或盖章</w:t>
            </w:r>
            <w:r>
              <w:rPr>
                <w:rFonts w:hint="eastAsia" w:ascii="宋体" w:hAnsi="宋体" w:cs="宋体"/>
                <w:color w:val="auto"/>
                <w:lang w:eastAsia="zh-CN"/>
              </w:rPr>
              <w:t>）</w:t>
            </w:r>
            <w:r>
              <w:rPr>
                <w:rFonts w:hint="eastAsia" w:ascii="宋体" w:hAnsi="宋体" w:cs="宋体"/>
                <w:color w:val="auto"/>
              </w:rPr>
              <w:t>的，应附法定代表人身份证明</w:t>
            </w:r>
            <w:r>
              <w:rPr>
                <w:rFonts w:hint="eastAsia" w:ascii="宋体" w:hAnsi="宋体" w:cs="宋体"/>
                <w:color w:val="auto"/>
                <w:lang w:val="en-US" w:eastAsia="zh-CN"/>
              </w:rPr>
              <w:t>及</w:t>
            </w:r>
            <w:r>
              <w:rPr>
                <w:rFonts w:hint="eastAsia" w:ascii="宋体" w:hAnsi="宋体" w:cs="宋体"/>
                <w:color w:val="auto"/>
              </w:rPr>
              <w:t>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rPr>
            </w:pPr>
            <w:r>
              <w:rPr>
                <w:rFonts w:hint="eastAsia" w:ascii="宋体" w:hAnsi="宋体" w:cs="宋体"/>
                <w:color w:val="auto"/>
              </w:rPr>
              <w:t>符合第六章“投标文件格式</w:t>
            </w:r>
            <w:r>
              <w:rPr>
                <w:rFonts w:hint="eastAsia" w:ascii="宋体" w:hAnsi="宋体"/>
                <w:color w:val="auto"/>
                <w:szCs w:val="21"/>
              </w:rPr>
              <w:t>（指格式一、格式三、格式四）</w:t>
            </w:r>
            <w:r>
              <w:rPr>
                <w:rFonts w:hint="eastAsia" w:ascii="宋体" w:hAnsi="宋体" w:cs="宋体"/>
                <w:color w:val="auto"/>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r>
              <w:rPr>
                <w:rFonts w:hint="eastAsia" w:ascii="宋体" w:hAnsi="宋体" w:cs="宋体"/>
                <w:color w:val="auto"/>
                <w:szCs w:val="21"/>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rPr>
                <w:rFonts w:ascii="宋体" w:hAnsi="宋体" w:cs="宋体"/>
                <w:color w:val="auto"/>
              </w:rPr>
            </w:pPr>
          </w:p>
        </w:tc>
        <w:tc>
          <w:tcPr>
            <w:tcW w:w="1124" w:type="dxa"/>
            <w:vMerge w:val="continue"/>
            <w:tcBorders>
              <w:right w:val="single" w:color="auto" w:sz="4" w:space="0"/>
            </w:tcBorders>
            <w:vAlign w:val="center"/>
          </w:tcPr>
          <w:p>
            <w:pPr>
              <w:keepNext/>
              <w:keepLines/>
              <w:spacing w:before="260" w:after="260" w:line="412" w:lineRule="auto"/>
              <w:ind w:firstLine="102" w:firstLineChars="49"/>
              <w:outlineLvl w:val="2"/>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投标人机器码</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rPr>
            </w:pPr>
            <w:r>
              <w:rPr>
                <w:rFonts w:hint="eastAsia" w:ascii="宋体" w:hAnsi="宋体" w:cs="宋体"/>
                <w:color w:val="auto"/>
              </w:rPr>
              <w:t>不同投标人机器码相同，视为不合格。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strike/>
                <w:color w:val="auto"/>
              </w:rPr>
            </w:pPr>
            <w:r>
              <w:rPr>
                <w:rFonts w:hint="eastAsia" w:ascii="宋体" w:hAnsi="宋体" w:cs="宋体"/>
                <w:color w:val="auto"/>
              </w:rPr>
              <w:t>2.1.2</w:t>
            </w:r>
          </w:p>
        </w:tc>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rPr>
            </w:pPr>
            <w:r>
              <w:rPr>
                <w:rFonts w:hint="eastAsia" w:ascii="宋体" w:hAnsi="宋体" w:cs="宋体"/>
                <w:color w:val="auto"/>
              </w:rPr>
              <w:t>持有事业单位登记管理部门核发的事业单位法人证书或工商行政管理部门核发的企业法人营业执照。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法定代表人证明书及授权委托书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rPr>
            </w:pPr>
            <w:r>
              <w:rPr>
                <w:rFonts w:hint="eastAsia" w:ascii="宋体" w:hAnsi="宋体" w:cs="宋体"/>
                <w:color w:val="auto"/>
              </w:rPr>
              <w:t>投标人参加投标的意思表达清楚，投标人代表被授权有效。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rPr>
            </w:pPr>
            <w:r>
              <w:rPr>
                <w:rFonts w:hint="eastAsia" w:ascii="宋体" w:hAnsi="宋体" w:cs="宋体"/>
                <w:color w:val="auto"/>
              </w:rPr>
              <w:t>业绩要求满足招标公告第3.3点的要求。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项目负责人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auto"/>
              </w:rPr>
            </w:pPr>
            <w:r>
              <w:rPr>
                <w:rFonts w:hint="eastAsia" w:ascii="宋体" w:hAnsi="宋体" w:cs="宋体"/>
                <w:color w:val="auto"/>
              </w:rPr>
              <w:t>投标人拟委派项目负责人满足招标公告第3.4点的要求。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投标人声明</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宋体" w:hAnsi="宋体" w:cs="宋体"/>
                <w:color w:val="auto"/>
              </w:rPr>
            </w:pPr>
            <w:r>
              <w:rPr>
                <w:rFonts w:hint="eastAsia" w:ascii="宋体" w:hAnsi="宋体" w:cs="宋体"/>
                <w:color w:val="auto"/>
              </w:rPr>
              <w:t>已按照招标公告附件的内容签署盖章《投标人声明》。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未被本项目招标人书面拒绝投标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宋体" w:hAnsi="宋体" w:cs="宋体"/>
                <w:color w:val="auto"/>
              </w:rPr>
            </w:pPr>
            <w:r>
              <w:rPr>
                <w:rFonts w:hint="eastAsia" w:ascii="宋体" w:hAnsi="宋体" w:cs="宋体"/>
                <w:color w:val="auto"/>
              </w:rPr>
              <w:t>未在以往工程中因不诚信行为或不充分履约行为被本项目招标人书面拒绝投标的；（</w:t>
            </w:r>
            <w:r>
              <w:rPr>
                <w:rFonts w:hint="eastAsia" w:ascii="宋体" w:hAnsi="宋体" w:cs="宋体"/>
                <w:color w:val="auto"/>
                <w:lang w:val="en-US" w:eastAsia="zh-CN"/>
              </w:rPr>
              <w:t>无</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kern w:val="2"/>
                <w:sz w:val="21"/>
                <w:szCs w:val="22"/>
                <w:lang w:val="en-US" w:eastAsia="zh-CN" w:bidi="ar-SA"/>
              </w:rPr>
            </w:pPr>
            <w:r>
              <w:rPr>
                <w:rFonts w:hint="eastAsia" w:ascii="宋体" w:hAnsi="宋体" w:cs="宋体"/>
                <w:color w:val="auto"/>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kern w:val="2"/>
                <w:sz w:val="21"/>
                <w:szCs w:val="22"/>
                <w:lang w:val="en-US" w:eastAsia="zh-CN" w:bidi="ar-SA"/>
              </w:rPr>
            </w:pPr>
            <w:r>
              <w:rPr>
                <w:rFonts w:hint="eastAsia" w:ascii="宋体" w:hAnsi="宋体" w:cs="宋体"/>
                <w:color w:val="auto"/>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宋体" w:hAnsi="宋体" w:cs="宋体"/>
                <w:color w:val="auto"/>
              </w:rPr>
            </w:pPr>
            <w:r>
              <w:rPr>
                <w:rFonts w:hint="eastAsia" w:ascii="宋体" w:hAnsi="宋体" w:cs="宋体"/>
                <w:color w:val="auto"/>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宋体" w:hAnsi="宋体" w:cs="宋体"/>
                <w:color w:val="auto"/>
              </w:rPr>
            </w:pPr>
            <w:r>
              <w:rPr>
                <w:rFonts w:hint="eastAsia" w:ascii="宋体" w:hAnsi="宋体" w:cs="宋体"/>
                <w:color w:val="auto"/>
              </w:rPr>
              <w:t>不存在第二章“投标人须知”第1.4.3项规定的任何一种情形。（详见《投标人声明》）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2.1.3</w:t>
            </w:r>
          </w:p>
        </w:tc>
        <w:tc>
          <w:tcPr>
            <w:tcW w:w="1124"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投标文件</w:t>
            </w:r>
          </w:p>
        </w:tc>
        <w:tc>
          <w:tcPr>
            <w:tcW w:w="4680" w:type="dxa"/>
            <w:tcBorders>
              <w:top w:val="single" w:color="auto" w:sz="4" w:space="0"/>
              <w:left w:val="single" w:color="auto" w:sz="4" w:space="0"/>
              <w:bottom w:val="single" w:color="auto" w:sz="4" w:space="0"/>
            </w:tcBorders>
            <w:vAlign w:val="center"/>
          </w:tcPr>
          <w:p>
            <w:pPr>
              <w:spacing w:line="440" w:lineRule="exact"/>
              <w:jc w:val="both"/>
              <w:rPr>
                <w:rFonts w:ascii="宋体" w:hAnsi="宋体" w:cs="宋体"/>
                <w:color w:val="auto"/>
              </w:rPr>
            </w:pPr>
            <w:r>
              <w:rPr>
                <w:rFonts w:hint="eastAsia" w:ascii="宋体" w:hAnsi="宋体" w:cs="宋体"/>
                <w:color w:val="auto"/>
              </w:rPr>
              <w:t>投标文件所列</w:t>
            </w:r>
            <w:r>
              <w:rPr>
                <w:rFonts w:hint="eastAsia" w:ascii="宋体" w:hAnsi="宋体" w:cs="宋体"/>
                <w:b/>
                <w:bCs/>
                <w:color w:val="auto"/>
                <w:u w:val="single"/>
              </w:rPr>
              <w:t>投标人名称与</w:t>
            </w:r>
            <w:r>
              <w:rPr>
                <w:rFonts w:hint="eastAsia" w:ascii="宋体" w:hAnsi="宋体" w:cs="宋体"/>
                <w:b/>
                <w:bCs/>
                <w:color w:val="auto"/>
                <w:u w:val="single"/>
                <w:lang w:val="en-US" w:eastAsia="zh-CN"/>
              </w:rPr>
              <w:t>投标登记</w:t>
            </w:r>
            <w:r>
              <w:rPr>
                <w:rFonts w:hint="eastAsia" w:ascii="宋体" w:hAnsi="宋体" w:cs="宋体"/>
                <w:color w:val="auto"/>
              </w:rPr>
              <w:t>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投标报价</w:t>
            </w:r>
          </w:p>
        </w:tc>
        <w:tc>
          <w:tcPr>
            <w:tcW w:w="4680" w:type="dxa"/>
            <w:tcBorders>
              <w:top w:val="single" w:color="auto" w:sz="4" w:space="0"/>
              <w:left w:val="single" w:color="auto" w:sz="4" w:space="0"/>
              <w:bottom w:val="single" w:color="auto" w:sz="4" w:space="0"/>
            </w:tcBorders>
            <w:vAlign w:val="center"/>
          </w:tcPr>
          <w:p>
            <w:pPr>
              <w:spacing w:line="440" w:lineRule="exact"/>
              <w:jc w:val="both"/>
              <w:rPr>
                <w:rFonts w:ascii="宋体" w:hAnsi="宋体" w:cs="宋体"/>
                <w:color w:val="auto"/>
              </w:rPr>
            </w:pPr>
            <w:r>
              <w:rPr>
                <w:rFonts w:hint="eastAsia" w:ascii="宋体" w:hAnsi="宋体" w:cs="宋体"/>
                <w:color w:val="auto"/>
              </w:rPr>
              <w:t>符合第二章“投标人须知”第3.2款规定进行投标报价的；对同一招标项目没有出现两个或以上的投标报价，且修正无依据。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服务期限</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投标有效期</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投标保证金</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40" w:lineRule="exact"/>
              <w:jc w:val="center"/>
              <w:rPr>
                <w:rFonts w:ascii="宋体" w:hAnsi="宋体" w:cs="宋体"/>
                <w:color w:val="auto"/>
              </w:rPr>
            </w:pPr>
          </w:p>
        </w:tc>
        <w:tc>
          <w:tcPr>
            <w:tcW w:w="1124" w:type="dxa"/>
            <w:vMerge w:val="continue"/>
            <w:tcBorders>
              <w:left w:val="single" w:color="auto" w:sz="4" w:space="0"/>
              <w:right w:val="single" w:color="auto" w:sz="4" w:space="0"/>
            </w:tcBorders>
            <w:vAlign w:val="center"/>
          </w:tcPr>
          <w:p>
            <w:pPr>
              <w:jc w:val="center"/>
              <w:rPr>
                <w:rFonts w:ascii="宋体" w:hAnsi="宋体" w:cs="宋体"/>
                <w:color w:val="auto"/>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串通投标情形</w:t>
            </w:r>
          </w:p>
        </w:tc>
        <w:tc>
          <w:tcPr>
            <w:tcW w:w="4680"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投标人不存在《广东省实施&lt;中华人民共和国招标投标法&gt;办法》第十六条所禁止的情形的；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180" w:type="dxa"/>
            <w:gridSpan w:val="4"/>
            <w:tcBorders>
              <w:bottom w:val="single" w:color="auto" w:sz="4" w:space="0"/>
            </w:tcBorders>
            <w:vAlign w:val="center"/>
          </w:tcPr>
          <w:p>
            <w:pPr>
              <w:jc w:val="center"/>
              <w:rPr>
                <w:rFonts w:ascii="宋体" w:hAnsi="宋体"/>
                <w:color w:val="auto"/>
                <w:szCs w:val="21"/>
              </w:rPr>
            </w:pPr>
            <w:r>
              <w:rPr>
                <w:rFonts w:hint="eastAsia" w:ascii="宋体" w:hAnsi="宋体"/>
                <w:color w:val="auto"/>
                <w:szCs w:val="21"/>
              </w:rPr>
              <w:t>响应性评审标准中“投标内容”、“服务期限”、“质量标准”、“投标有效期”，以投标人在投标函附录中的承诺为准。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rPr>
            </w:pPr>
            <w:r>
              <w:rPr>
                <w:rFonts w:hint="eastAsia" w:ascii="宋体" w:hAnsi="宋体" w:cs="宋体"/>
                <w:b/>
                <w:color w:val="auto"/>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rPr>
            </w:pPr>
            <w:r>
              <w:rPr>
                <w:rFonts w:hint="eastAsia" w:ascii="宋体" w:hAnsi="宋体" w:cs="宋体"/>
                <w:b/>
                <w:color w:val="auto"/>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rPr>
            </w:pPr>
            <w:r>
              <w:rPr>
                <w:rFonts w:hint="eastAsia" w:ascii="宋体" w:hAnsi="宋体" w:cs="宋体"/>
                <w:b/>
                <w:color w:va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2.2.1</w:t>
            </w:r>
          </w:p>
        </w:tc>
        <w:tc>
          <w:tcPr>
            <w:tcW w:w="2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分值构成</w:t>
            </w:r>
          </w:p>
          <w:p>
            <w:pPr>
              <w:jc w:val="center"/>
              <w:rPr>
                <w:rFonts w:ascii="宋体" w:hAnsi="宋体" w:cs="宋体"/>
                <w:color w:val="auto"/>
              </w:rPr>
            </w:pPr>
            <w:r>
              <w:rPr>
                <w:rFonts w:hint="eastAsia" w:ascii="宋体" w:hAnsi="宋体" w:cs="宋体"/>
                <w:color w:val="auto"/>
              </w:rPr>
              <w:t xml:space="preserve">(总分100分) </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rPr>
            </w:pPr>
            <w:r>
              <w:rPr>
                <w:rFonts w:hint="eastAsia" w:ascii="宋体" w:hAnsi="宋体"/>
                <w:color w:val="auto"/>
                <w:szCs w:val="21"/>
              </w:rPr>
              <w:t>投标人综合得分（满分100分）=商务技术得分（80分）+报价得分（20分）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atLeast"/>
              <w:jc w:val="left"/>
              <w:rPr>
                <w:rFonts w:ascii="宋体" w:hAnsi="宋体" w:cs="宋体"/>
                <w:color w:val="auto"/>
              </w:rPr>
            </w:pPr>
            <w:r>
              <w:rPr>
                <w:rFonts w:hint="eastAsia" w:ascii="宋体" w:hAnsi="宋体"/>
                <w:color w:val="auto"/>
                <w:szCs w:val="21"/>
              </w:rPr>
              <w:t>当通过形式、资格、响应性评审的有效投标人大于5名时，去掉一个最高价和一个最低价，取余下有效投标价（投标价是指算术复核后的报价）的算术平均值计算评标基准价；当通过形式、资格、响应性评审的有效投标人小于或等于5名时，取所有入围的有效投标价的算术平均值，计算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cs="宋体"/>
                <w:color w:val="auto"/>
              </w:rPr>
            </w:pPr>
            <w:r>
              <w:rPr>
                <w:rFonts w:hint="eastAsia" w:ascii="宋体" w:hAnsi="宋体" w:cs="宋体"/>
                <w:color w:val="auto"/>
              </w:rPr>
              <w:t>2.2.3</w:t>
            </w:r>
          </w:p>
        </w:tc>
        <w:tc>
          <w:tcPr>
            <w:tcW w:w="2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投标报价的偏差率</w:t>
            </w:r>
          </w:p>
          <w:p>
            <w:pPr>
              <w:jc w:val="center"/>
              <w:rPr>
                <w:rFonts w:ascii="宋体" w:hAnsi="宋体" w:cs="宋体"/>
                <w:color w:val="auto"/>
              </w:rPr>
            </w:pPr>
            <w:r>
              <w:rPr>
                <w:rFonts w:hint="eastAsia" w:ascii="宋体" w:hAnsi="宋体" w:cs="宋体"/>
                <w:color w:val="auto"/>
              </w:rPr>
              <w:t>计算公式</w:t>
            </w:r>
          </w:p>
        </w:tc>
        <w:tc>
          <w:tcPr>
            <w:tcW w:w="4680"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rFonts w:hint="eastAsia" w:ascii="宋体" w:hAnsi="宋体" w:cs="宋体"/>
                <w:color w:val="auto"/>
                <w:szCs w:val="21"/>
              </w:rPr>
              <w:t>偏差率=∣投标报价—评标基准价∣/评标基准价*100%（偏差率四舍五入保留2位小数）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rPr>
            </w:pPr>
            <w:r>
              <w:rPr>
                <w:b/>
                <w:bCs/>
                <w:color w:val="auto"/>
                <w:sz w:val="20"/>
                <w:szCs w:val="2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rPr>
            </w:pPr>
            <w:r>
              <w:rPr>
                <w:b/>
                <w:bCs/>
                <w:color w:val="auto"/>
                <w:sz w:val="20"/>
                <w:szCs w:val="20"/>
              </w:rPr>
              <w:t>评分因素（偏差率）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b/>
                <w:bCs/>
                <w:color w:val="auto"/>
                <w:sz w:val="20"/>
                <w:szCs w:val="20"/>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rPr>
            </w:pPr>
            <w:r>
              <w:rPr>
                <w:rFonts w:hint="eastAsia" w:ascii="宋体" w:hAnsi="Courier New" w:eastAsia="Times New Roman"/>
                <w:color w:val="auto"/>
                <w:sz w:val="20"/>
                <w:szCs w:val="20"/>
              </w:rPr>
              <w:t>2.2.4</w:t>
            </w:r>
            <w:r>
              <w:rPr>
                <w:rFonts w:ascii="宋体" w:hAnsi="Courier New"/>
                <w:color w:val="auto"/>
                <w:sz w:val="20"/>
                <w:szCs w:val="20"/>
              </w:rPr>
              <w:t>（</w:t>
            </w:r>
            <w:r>
              <w:rPr>
                <w:rFonts w:hint="eastAsia" w:ascii="宋体" w:hAnsi="Courier New"/>
                <w:color w:val="auto"/>
                <w:sz w:val="20"/>
                <w:szCs w:val="20"/>
              </w:rPr>
              <w:t>1</w:t>
            </w:r>
            <w:r>
              <w:rPr>
                <w:rFonts w:ascii="宋体" w:hAnsi="Courier New"/>
                <w:color w:val="auto"/>
                <w:sz w:val="20"/>
                <w:szCs w:val="20"/>
              </w:rPr>
              <w:t>）</w:t>
            </w: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rPr>
            </w:pPr>
            <w:r>
              <w:rPr>
                <w:rFonts w:hint="eastAsia" w:ascii="宋体" w:hAnsi="Courier New"/>
                <w:b/>
                <w:color w:val="auto"/>
                <w:sz w:val="20"/>
                <w:szCs w:val="20"/>
              </w:rPr>
              <w:t>商务技术得分（80分）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Courier New"/>
                <w:color w:val="auto"/>
                <w:sz w:val="20"/>
                <w:szCs w:val="20"/>
              </w:rPr>
              <w:t>见后附件一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Courier New"/>
                <w:color w:val="auto"/>
                <w:sz w:val="20"/>
                <w:szCs w:val="20"/>
              </w:rPr>
            </w:pPr>
            <w:r>
              <w:rPr>
                <w:rFonts w:ascii="宋体" w:hAnsi="Courier New"/>
                <w:color w:val="auto"/>
                <w:sz w:val="20"/>
                <w:szCs w:val="20"/>
              </w:rPr>
              <w:t>2.2.4（2）</w:t>
            </w:r>
          </w:p>
        </w:tc>
        <w:tc>
          <w:tcPr>
            <w:tcW w:w="2476" w:type="dxa"/>
            <w:tcBorders>
              <w:top w:val="single" w:color="auto" w:sz="4" w:space="0"/>
              <w:left w:val="single" w:color="auto" w:sz="4" w:space="0"/>
              <w:right w:val="single" w:color="auto" w:sz="4" w:space="0"/>
            </w:tcBorders>
            <w:vAlign w:val="center"/>
          </w:tcPr>
          <w:p>
            <w:pPr>
              <w:spacing w:line="360" w:lineRule="auto"/>
              <w:jc w:val="center"/>
              <w:rPr>
                <w:rFonts w:ascii="宋体" w:hAnsi="Courier New"/>
                <w:b/>
                <w:color w:val="auto"/>
                <w:sz w:val="20"/>
                <w:szCs w:val="20"/>
              </w:rPr>
            </w:pPr>
            <w:r>
              <w:rPr>
                <w:rFonts w:ascii="宋体" w:hAnsi="Courier New"/>
                <w:b/>
                <w:color w:val="auto"/>
                <w:sz w:val="20"/>
                <w:szCs w:val="20"/>
              </w:rPr>
              <w:t>投标报价得分（</w:t>
            </w:r>
            <w:r>
              <w:rPr>
                <w:rFonts w:hint="eastAsia" w:ascii="宋体" w:hAnsi="Courier New"/>
                <w:b/>
                <w:color w:val="auto"/>
                <w:sz w:val="20"/>
                <w:szCs w:val="20"/>
              </w:rPr>
              <w:t>2</w:t>
            </w:r>
            <w:r>
              <w:rPr>
                <w:rFonts w:ascii="宋体" w:hAnsi="Courier New"/>
                <w:b/>
                <w:color w:val="auto"/>
                <w:sz w:val="20"/>
                <w:szCs w:val="20"/>
              </w:rPr>
              <w:t>0分）</w:t>
            </w:r>
          </w:p>
        </w:tc>
        <w:tc>
          <w:tcPr>
            <w:tcW w:w="4680" w:type="dxa"/>
            <w:tcBorders>
              <w:top w:val="single" w:color="auto" w:sz="4" w:space="0"/>
              <w:left w:val="single" w:color="auto" w:sz="4" w:space="0"/>
              <w:right w:val="single" w:color="auto" w:sz="4" w:space="0"/>
            </w:tcBorders>
            <w:vAlign w:val="center"/>
          </w:tcPr>
          <w:p>
            <w:pPr>
              <w:spacing w:line="360" w:lineRule="auto"/>
              <w:jc w:val="center"/>
              <w:rPr>
                <w:rFonts w:ascii="宋体" w:hAnsi="Courier New"/>
                <w:color w:val="auto"/>
                <w:sz w:val="20"/>
                <w:szCs w:val="20"/>
              </w:rPr>
            </w:pPr>
            <w:r>
              <w:rPr>
                <w:rFonts w:hint="eastAsia" w:ascii="宋体" w:hAnsi="Courier New"/>
                <w:color w:val="auto"/>
                <w:sz w:val="20"/>
                <w:szCs w:val="20"/>
              </w:rPr>
              <w:t>见后附件一</w:t>
            </w:r>
          </w:p>
        </w:tc>
      </w:tr>
    </w:tbl>
    <w:p>
      <w:pPr>
        <w:rPr>
          <w:rFonts w:ascii="宋体" w:hAnsi="宋体" w:cs="宋体"/>
          <w:color w:val="auto"/>
        </w:rPr>
        <w:sectPr>
          <w:footerReference r:id="rId6" w:type="default"/>
          <w:pgSz w:w="11906" w:h="16838"/>
          <w:pgMar w:top="1440" w:right="1797" w:bottom="1440" w:left="1797" w:header="851" w:footer="851" w:gutter="0"/>
          <w:pgNumType w:fmt="decimal"/>
          <w:cols w:space="720" w:num="1"/>
          <w:docGrid w:linePitch="312" w:charSpace="0"/>
        </w:sectPr>
      </w:pPr>
    </w:p>
    <w:p>
      <w:pPr>
        <w:jc w:val="left"/>
        <w:rPr>
          <w:rFonts w:ascii="宋体" w:hAnsi="宋体"/>
          <w:color w:val="auto"/>
          <w:sz w:val="24"/>
          <w:szCs w:val="24"/>
        </w:rPr>
        <w:sectPr>
          <w:headerReference r:id="rId7" w:type="default"/>
          <w:footerReference r:id="rId8" w:type="default"/>
          <w:type w:val="continuous"/>
          <w:pgSz w:w="11906" w:h="16838"/>
          <w:pgMar w:top="1440" w:right="1800" w:bottom="1440" w:left="1800" w:header="851" w:footer="992" w:gutter="0"/>
          <w:pgNumType w:fmt="decimal"/>
          <w:cols w:space="720" w:num="1"/>
          <w:docGrid w:linePitch="312" w:charSpace="0"/>
        </w:sectPr>
      </w:pPr>
    </w:p>
    <w:p>
      <w:pPr>
        <w:tabs>
          <w:tab w:val="left" w:pos="720"/>
        </w:tabs>
        <w:snapToGrid w:val="0"/>
        <w:rPr>
          <w:rFonts w:cs="宋体"/>
          <w:b/>
          <w:bCs/>
          <w:color w:val="auto"/>
          <w:sz w:val="24"/>
          <w:szCs w:val="24"/>
        </w:rPr>
      </w:pPr>
      <w:bookmarkStart w:id="75" w:name="_Toc492300628"/>
      <w:r>
        <w:rPr>
          <w:rFonts w:hint="eastAsia"/>
          <w:color w:val="auto"/>
          <w:sz w:val="24"/>
          <w:szCs w:val="24"/>
        </w:rPr>
        <w:t>附件一</w:t>
      </w:r>
    </w:p>
    <w:p>
      <w:pPr>
        <w:tabs>
          <w:tab w:val="left" w:pos="720"/>
        </w:tabs>
        <w:snapToGrid w:val="0"/>
        <w:jc w:val="center"/>
        <w:rPr>
          <w:rFonts w:cs="宋体"/>
          <w:b/>
          <w:bCs/>
          <w:color w:val="auto"/>
          <w:sz w:val="28"/>
          <w:szCs w:val="28"/>
        </w:rPr>
      </w:pPr>
      <w:r>
        <w:rPr>
          <w:rFonts w:hint="eastAsia" w:cs="宋体"/>
          <w:b/>
          <w:bCs/>
          <w:color w:val="auto"/>
          <w:sz w:val="28"/>
          <w:szCs w:val="28"/>
        </w:rPr>
        <w:t>综合评分表</w:t>
      </w:r>
    </w:p>
    <w:tbl>
      <w:tblPr>
        <w:tblStyle w:val="20"/>
        <w:tblW w:w="13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55"/>
        <w:gridCol w:w="1003"/>
        <w:gridCol w:w="2122"/>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1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项目</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基础分</w:t>
            </w:r>
          </w:p>
        </w:tc>
        <w:tc>
          <w:tcPr>
            <w:tcW w:w="212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分项内容</w:t>
            </w:r>
          </w:p>
        </w:tc>
        <w:tc>
          <w:tcPr>
            <w:tcW w:w="866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655"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宋体"/>
                <w:color w:val="auto"/>
                <w:szCs w:val="21"/>
              </w:rPr>
            </w:pPr>
            <w:r>
              <w:rPr>
                <w:rFonts w:hint="eastAsia" w:ascii="宋体" w:hAnsi="宋体"/>
                <w:color w:val="auto"/>
                <w:szCs w:val="21"/>
              </w:rPr>
              <w:t>总计</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hAnsi="宋体"/>
                <w:color w:val="auto"/>
                <w:szCs w:val="21"/>
              </w:rPr>
            </w:pPr>
            <w:r>
              <w:rPr>
                <w:rFonts w:hint="eastAsia" w:ascii="宋体" w:hAnsi="宋体"/>
                <w:color w:val="auto"/>
                <w:szCs w:val="21"/>
              </w:rPr>
              <w:t>单项</w:t>
            </w:r>
          </w:p>
        </w:tc>
        <w:tc>
          <w:tcPr>
            <w:tcW w:w="2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8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商务技术部分评分</w:t>
            </w:r>
          </w:p>
        </w:tc>
        <w:tc>
          <w:tcPr>
            <w:tcW w:w="655" w:type="dxa"/>
            <w:vMerge w:val="restart"/>
            <w:tcBorders>
              <w:top w:val="single" w:color="auto" w:sz="4" w:space="0"/>
              <w:left w:val="single" w:color="auto" w:sz="4" w:space="0"/>
              <w:right w:val="single" w:color="auto" w:sz="4" w:space="0"/>
            </w:tcBorders>
            <w:vAlign w:val="center"/>
          </w:tcPr>
          <w:p>
            <w:pPr>
              <w:widowControl/>
              <w:jc w:val="center"/>
              <w:rPr>
                <w:rFonts w:ascii="宋体" w:hAnsi="宋体"/>
                <w:color w:val="auto"/>
                <w:szCs w:val="21"/>
              </w:rPr>
            </w:pPr>
            <w:r>
              <w:rPr>
                <w:rFonts w:ascii="宋体" w:hAnsi="宋体"/>
                <w:color w:val="auto"/>
                <w:szCs w:val="21"/>
              </w:rPr>
              <w:t>80</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类似业绩</w:t>
            </w:r>
          </w:p>
        </w:tc>
        <w:tc>
          <w:tcPr>
            <w:tcW w:w="8664"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720"/>
              </w:tabs>
              <w:snapToGrid w:val="0"/>
              <w:spacing w:line="340" w:lineRule="exact"/>
              <w:jc w:val="left"/>
              <w:rPr>
                <w:rFonts w:hint="default" w:ascii="宋体" w:hAnsi="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s="宋体"/>
                <w:b/>
                <w:bCs/>
                <w:color w:val="auto"/>
                <w:kern w:val="1"/>
                <w:szCs w:val="21"/>
              </w:rPr>
              <w:t>（若为联合体，</w:t>
            </w:r>
            <w:r>
              <w:rPr>
                <w:rFonts w:hint="eastAsia" w:ascii="宋体" w:hAnsi="宋体" w:cs="宋体"/>
                <w:b/>
                <w:bCs/>
                <w:color w:val="auto"/>
                <w:kern w:val="1"/>
                <w:szCs w:val="21"/>
                <w:lang w:eastAsia="zh-CN"/>
              </w:rPr>
              <w:t>指主办方</w:t>
            </w:r>
            <w:r>
              <w:rPr>
                <w:rFonts w:hint="eastAsia" w:ascii="宋体" w:hAnsi="宋体" w:cs="宋体"/>
                <w:b/>
                <w:bCs/>
                <w:color w:val="auto"/>
                <w:kern w:val="1"/>
                <w:szCs w:val="21"/>
              </w:rPr>
              <w:t>）</w:t>
            </w:r>
            <w:r>
              <w:rPr>
                <w:rFonts w:hint="eastAsia" w:ascii="宋体" w:hAnsi="宋体"/>
                <w:color w:val="auto"/>
                <w:szCs w:val="21"/>
                <w:highlight w:val="none"/>
              </w:rPr>
              <w:t>自201</w:t>
            </w:r>
            <w:r>
              <w:rPr>
                <w:rFonts w:hint="eastAsia" w:ascii="宋体" w:hAnsi="宋体"/>
                <w:color w:val="auto"/>
                <w:szCs w:val="21"/>
                <w:highlight w:val="none"/>
                <w:lang w:val="en-US" w:eastAsia="zh-CN"/>
              </w:rPr>
              <w:t>7</w:t>
            </w:r>
            <w:r>
              <w:rPr>
                <w:rFonts w:hint="eastAsia" w:ascii="宋体" w:hAnsi="宋体"/>
                <w:color w:val="auto"/>
                <w:szCs w:val="21"/>
                <w:highlight w:val="none"/>
              </w:rPr>
              <w:t>年1月1日至今，承接过</w:t>
            </w:r>
            <w:r>
              <w:rPr>
                <w:rFonts w:hint="eastAsia" w:ascii="宋体" w:hAnsi="宋体"/>
                <w:color w:val="auto"/>
                <w:szCs w:val="21"/>
                <w:highlight w:val="none"/>
                <w:lang w:val="en-US" w:eastAsia="zh-CN"/>
              </w:rPr>
              <w:t>专项</w:t>
            </w:r>
            <w:r>
              <w:rPr>
                <w:rFonts w:ascii="宋体" w:hAnsi="宋体"/>
                <w:color w:val="auto"/>
                <w:szCs w:val="21"/>
                <w:highlight w:val="none"/>
              </w:rPr>
              <w:t>BIM</w:t>
            </w:r>
            <w:r>
              <w:rPr>
                <w:rFonts w:hint="eastAsia" w:ascii="宋体" w:hAnsi="宋体"/>
                <w:color w:val="auto"/>
                <w:szCs w:val="21"/>
                <w:highlight w:val="none"/>
                <w:lang w:eastAsia="zh-CN"/>
              </w:rPr>
              <w:t>咨询服务</w:t>
            </w:r>
            <w:r>
              <w:rPr>
                <w:rFonts w:hint="eastAsia" w:ascii="宋体" w:hAnsi="宋体"/>
                <w:color w:val="auto"/>
                <w:szCs w:val="21"/>
                <w:highlight w:val="none"/>
              </w:rPr>
              <w:t>业绩</w:t>
            </w:r>
            <w:r>
              <w:rPr>
                <w:rFonts w:hint="eastAsia" w:ascii="宋体" w:hAnsi="宋体"/>
                <w:color w:val="auto"/>
                <w:szCs w:val="21"/>
                <w:highlight w:val="none"/>
                <w:lang w:eastAsia="zh-CN"/>
              </w:rPr>
              <w:t>的</w:t>
            </w:r>
            <w:r>
              <w:rPr>
                <w:rFonts w:hint="eastAsia" w:ascii="宋体" w:hAnsi="宋体"/>
                <w:color w:val="auto"/>
                <w:szCs w:val="21"/>
                <w:highlight w:val="none"/>
              </w:rPr>
              <w:t>，每项得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，最多得</w:t>
            </w:r>
            <w:r>
              <w:rPr>
                <w:rFonts w:hint="eastAsia" w:ascii="宋体" w:hAnsi="宋体"/>
                <w:color w:val="auto"/>
                <w:szCs w:val="21"/>
                <w:highlight w:val="none"/>
                <w:lang w:val="en-US" w:eastAsia="zh-CN"/>
              </w:rPr>
              <w:t>8分。其中上述业绩合同金额超过200万以上的，每项再加2分，最高加8分。</w:t>
            </w:r>
          </w:p>
          <w:p>
            <w:pPr>
              <w:numPr>
                <w:ilvl w:val="0"/>
                <w:numId w:val="0"/>
              </w:numPr>
              <w:tabs>
                <w:tab w:val="left" w:pos="720"/>
              </w:tabs>
              <w:snapToGrid w:val="0"/>
              <w:spacing w:line="340" w:lineRule="exact"/>
              <w:jc w:val="left"/>
              <w:rPr>
                <w:color w:val="auto"/>
                <w:highlight w:val="none"/>
              </w:rPr>
            </w:pPr>
            <w:r>
              <w:rPr>
                <w:rFonts w:hint="eastAsia" w:ascii="宋体" w:hAnsi="宋体"/>
                <w:color w:val="auto"/>
                <w:szCs w:val="21"/>
                <w:highlight w:val="none"/>
                <w:lang w:eastAsia="zh-CN"/>
              </w:rPr>
              <w:t>本项最高得分为</w:t>
            </w:r>
            <w:r>
              <w:rPr>
                <w:rFonts w:hint="eastAsia" w:ascii="宋体" w:hAnsi="宋体"/>
                <w:color w:val="auto"/>
                <w:szCs w:val="21"/>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10" w:type="dxa"/>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655" w:type="dxa"/>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1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类似业绩获奖</w:t>
            </w:r>
          </w:p>
        </w:tc>
        <w:tc>
          <w:tcPr>
            <w:tcW w:w="866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olor w:val="auto"/>
                <w:lang w:eastAsia="zh-CN"/>
              </w:rPr>
            </w:pPr>
            <w:r>
              <w:rPr>
                <w:rFonts w:hint="eastAsia"/>
                <w:color w:val="auto"/>
              </w:rPr>
              <w:t>投标人</w:t>
            </w:r>
            <w:r>
              <w:rPr>
                <w:rFonts w:hint="eastAsia" w:ascii="宋体" w:hAnsi="宋体" w:cs="宋体"/>
                <w:b/>
                <w:bCs/>
                <w:color w:val="auto"/>
                <w:kern w:val="1"/>
                <w:szCs w:val="21"/>
              </w:rPr>
              <w:t>（若为联合体，</w:t>
            </w:r>
            <w:r>
              <w:rPr>
                <w:rFonts w:hint="eastAsia" w:ascii="宋体" w:hAnsi="宋体" w:cs="宋体"/>
                <w:b/>
                <w:bCs/>
                <w:color w:val="auto"/>
                <w:kern w:val="1"/>
                <w:szCs w:val="21"/>
                <w:lang w:eastAsia="zh-CN"/>
              </w:rPr>
              <w:t>指主办方</w:t>
            </w:r>
            <w:r>
              <w:rPr>
                <w:rFonts w:hint="eastAsia" w:ascii="宋体" w:hAnsi="宋体" w:cs="宋体"/>
                <w:b/>
                <w:bCs/>
                <w:color w:val="auto"/>
                <w:kern w:val="1"/>
                <w:szCs w:val="21"/>
              </w:rPr>
              <w:t>）</w:t>
            </w:r>
            <w:r>
              <w:rPr>
                <w:rFonts w:hint="eastAsia" w:ascii="宋体" w:hAnsi="宋体"/>
                <w:color w:val="auto"/>
                <w:szCs w:val="21"/>
              </w:rPr>
              <w:t>自201</w:t>
            </w:r>
            <w:r>
              <w:rPr>
                <w:rFonts w:hint="eastAsia" w:ascii="宋体" w:hAnsi="宋体"/>
                <w:color w:val="auto"/>
                <w:szCs w:val="21"/>
                <w:lang w:val="en-US" w:eastAsia="zh-CN"/>
              </w:rPr>
              <w:t>7</w:t>
            </w:r>
            <w:r>
              <w:rPr>
                <w:rFonts w:hint="eastAsia" w:ascii="宋体" w:hAnsi="宋体"/>
                <w:color w:val="auto"/>
                <w:szCs w:val="21"/>
              </w:rPr>
              <w:t>年1月1日至今，承接过的</w:t>
            </w:r>
            <w:r>
              <w:rPr>
                <w:rFonts w:hint="eastAsia" w:ascii="宋体" w:hAnsi="宋体"/>
                <w:color w:val="auto"/>
                <w:szCs w:val="21"/>
                <w:lang w:val="en-US" w:eastAsia="zh-CN"/>
              </w:rPr>
              <w:t>BIM</w:t>
            </w:r>
            <w:r>
              <w:rPr>
                <w:rFonts w:hint="eastAsia" w:ascii="宋体" w:hAnsi="宋体"/>
                <w:color w:val="auto"/>
                <w:szCs w:val="21"/>
                <w:lang w:eastAsia="zh-CN"/>
              </w:rPr>
              <w:t>项目</w:t>
            </w:r>
            <w:r>
              <w:rPr>
                <w:rFonts w:hint="eastAsia" w:ascii="宋体" w:hAnsi="宋体"/>
                <w:color w:val="auto"/>
                <w:szCs w:val="21"/>
              </w:rPr>
              <w:t>获得过</w:t>
            </w:r>
            <w:r>
              <w:rPr>
                <w:rFonts w:hint="eastAsia" w:ascii="宋体" w:hAnsi="宋体"/>
                <w:color w:val="auto"/>
                <w:szCs w:val="21"/>
                <w:lang w:eastAsia="zh-CN"/>
              </w:rPr>
              <w:t>省部级以上</w:t>
            </w:r>
            <w:r>
              <w:rPr>
                <w:rFonts w:hint="eastAsia" w:ascii="宋体" w:hAnsi="宋体"/>
                <w:color w:val="auto"/>
                <w:szCs w:val="21"/>
              </w:rPr>
              <w:t>奖项</w:t>
            </w:r>
            <w:r>
              <w:rPr>
                <w:rFonts w:hint="eastAsia" w:ascii="宋体" w:hAnsi="宋体"/>
                <w:color w:val="auto"/>
                <w:szCs w:val="21"/>
                <w:lang w:eastAsia="zh-CN"/>
              </w:rPr>
              <w:t>的</w:t>
            </w:r>
            <w:r>
              <w:rPr>
                <w:rFonts w:hint="eastAsia" w:ascii="宋体" w:hAnsi="宋体"/>
                <w:color w:val="auto"/>
                <w:szCs w:val="21"/>
              </w:rPr>
              <w:t>，每项得</w:t>
            </w:r>
            <w:r>
              <w:rPr>
                <w:rFonts w:hint="eastAsia" w:ascii="宋体" w:hAnsi="宋体"/>
                <w:color w:val="auto"/>
                <w:szCs w:val="21"/>
                <w:lang w:val="en-US" w:eastAsia="zh-CN"/>
              </w:rPr>
              <w:t>1</w:t>
            </w:r>
            <w:r>
              <w:rPr>
                <w:rFonts w:hint="eastAsia" w:ascii="宋体" w:hAnsi="宋体"/>
                <w:color w:val="auto"/>
                <w:szCs w:val="21"/>
              </w:rPr>
              <w:t>分，</w:t>
            </w:r>
            <w:r>
              <w:rPr>
                <w:rFonts w:ascii="宋体" w:hAnsi="宋体"/>
                <w:color w:val="auto"/>
                <w:szCs w:val="21"/>
              </w:rPr>
              <w:t>最多得</w:t>
            </w:r>
            <w:r>
              <w:rPr>
                <w:rFonts w:hint="eastAsia" w:ascii="宋体" w:hAnsi="宋体"/>
                <w:color w:val="auto"/>
                <w:szCs w:val="21"/>
                <w:lang w:val="en-US" w:eastAsia="zh-CN"/>
              </w:rPr>
              <w:t>2</w:t>
            </w:r>
            <w:r>
              <w:rPr>
                <w:rFonts w:hint="eastAsia" w:ascii="宋体" w:hAnsi="宋体"/>
                <w:color w:val="auto"/>
                <w:szCs w:val="21"/>
              </w:rPr>
              <w:t>分</w:t>
            </w:r>
            <w:r>
              <w:rPr>
                <w:rFonts w:hint="eastAsia" w:ascii="宋体" w:hAnsi="宋体"/>
                <w:color w:val="auto"/>
                <w:szCs w:val="21"/>
                <w:lang w:eastAsia="zh-CN"/>
              </w:rPr>
              <w:t>。</w:t>
            </w:r>
            <w:r>
              <w:rPr>
                <w:rFonts w:hint="eastAsia" w:ascii="宋体" w:hAnsi="宋体"/>
                <w:color w:val="auto"/>
              </w:rPr>
              <w:t>其中</w:t>
            </w:r>
            <w:r>
              <w:rPr>
                <w:rFonts w:hint="eastAsia" w:ascii="宋体" w:hAnsi="宋体"/>
                <w:color w:val="auto"/>
                <w:lang w:eastAsia="zh-CN"/>
              </w:rPr>
              <w:t>上述获奖</w:t>
            </w:r>
            <w:r>
              <w:rPr>
                <w:rFonts w:hint="eastAsia" w:ascii="宋体" w:hAnsi="宋体"/>
                <w:color w:val="auto"/>
                <w:lang w:val="en-US" w:eastAsia="zh-CN"/>
              </w:rPr>
              <w:t>为</w:t>
            </w:r>
            <w:r>
              <w:rPr>
                <w:rFonts w:hint="eastAsia" w:ascii="宋体" w:hAnsi="宋体"/>
                <w:color w:val="auto"/>
              </w:rPr>
              <w:t>一等奖</w:t>
            </w:r>
            <w:r>
              <w:rPr>
                <w:rFonts w:hint="eastAsia" w:ascii="宋体" w:hAnsi="宋体"/>
                <w:color w:val="auto"/>
                <w:lang w:eastAsia="zh-CN"/>
              </w:rPr>
              <w:t>的</w:t>
            </w:r>
            <w:r>
              <w:rPr>
                <w:rFonts w:hint="eastAsia" w:ascii="宋体" w:hAnsi="宋体"/>
                <w:color w:val="auto"/>
              </w:rPr>
              <w:t>每项加</w:t>
            </w:r>
            <w:r>
              <w:rPr>
                <w:rFonts w:hint="eastAsia" w:ascii="宋体" w:hAnsi="宋体"/>
                <w:color w:val="auto"/>
                <w:lang w:val="en-US" w:eastAsia="zh-CN"/>
              </w:rPr>
              <w:t>0.5</w:t>
            </w:r>
            <w:r>
              <w:rPr>
                <w:rFonts w:hint="eastAsia" w:ascii="宋体" w:hAnsi="宋体"/>
                <w:color w:val="auto"/>
              </w:rPr>
              <w:t>分，最</w:t>
            </w:r>
            <w:r>
              <w:rPr>
                <w:rFonts w:hint="eastAsia" w:ascii="宋体" w:hAnsi="宋体"/>
                <w:color w:val="auto"/>
                <w:lang w:eastAsia="zh-CN"/>
              </w:rPr>
              <w:t>高加</w:t>
            </w:r>
            <w:r>
              <w:rPr>
                <w:rFonts w:hint="eastAsia" w:ascii="宋体" w:hAnsi="宋体"/>
                <w:color w:val="auto"/>
                <w:lang w:val="en-US" w:eastAsia="zh-CN"/>
              </w:rPr>
              <w:t>1</w:t>
            </w:r>
            <w:r>
              <w:rPr>
                <w:rFonts w:hint="eastAsia" w:ascii="宋体" w:hAnsi="宋体"/>
                <w:color w:val="auto"/>
              </w:rPr>
              <w:t>分</w:t>
            </w:r>
            <w:r>
              <w:rPr>
                <w:rFonts w:hint="eastAsia" w:ascii="宋体" w:hAnsi="宋体" w:eastAsia="宋体"/>
                <w:color w:val="auto"/>
                <w:kern w:val="2"/>
                <w:sz w:val="21"/>
                <w:szCs w:val="21"/>
                <w:lang w:val="en-US" w:eastAsia="zh-CN"/>
              </w:rPr>
              <w:t>。</w:t>
            </w:r>
          </w:p>
          <w:p>
            <w:pPr>
              <w:rPr>
                <w:color w:val="auto"/>
              </w:rPr>
            </w:pPr>
            <w:r>
              <w:rPr>
                <w:rFonts w:hint="eastAsia" w:ascii="宋体" w:hAnsi="宋体"/>
                <w:color w:val="auto"/>
              </w:rPr>
              <w:t>本项最高得</w:t>
            </w:r>
            <w:r>
              <w:rPr>
                <w:rFonts w:hint="eastAsia" w:ascii="宋体" w:hAnsi="宋体"/>
                <w:color w:val="auto"/>
                <w:lang w:val="en-US" w:eastAsia="zh-CN"/>
              </w:rPr>
              <w:t>3</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10" w:type="dxa"/>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655" w:type="dxa"/>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1003"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2122" w:type="dxa"/>
            <w:tcBorders>
              <w:top w:val="single" w:color="auto" w:sz="4" w:space="0"/>
              <w:left w:val="single" w:color="auto" w:sz="4" w:space="0"/>
              <w:right w:val="single" w:color="auto" w:sz="4" w:space="0"/>
            </w:tcBorders>
            <w:vAlign w:val="center"/>
          </w:tcPr>
          <w:p>
            <w:pPr>
              <w:snapToGrid w:val="0"/>
              <w:spacing w:line="340" w:lineRule="exact"/>
              <w:jc w:val="center"/>
              <w:rPr>
                <w:rFonts w:ascii="宋体" w:hAnsi="宋体"/>
                <w:color w:val="auto"/>
                <w:szCs w:val="21"/>
              </w:rPr>
            </w:pPr>
            <w:r>
              <w:rPr>
                <w:rFonts w:hint="eastAsia" w:ascii="宋体" w:hAnsi="宋体"/>
                <w:color w:val="auto"/>
                <w:szCs w:val="21"/>
              </w:rPr>
              <w:t>BIM研发能力</w:t>
            </w:r>
          </w:p>
        </w:tc>
        <w:tc>
          <w:tcPr>
            <w:tcW w:w="8664"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40" w:lineRule="exact"/>
              <w:jc w:val="left"/>
              <w:rPr>
                <w:rFonts w:hint="eastAsia" w:ascii="宋体" w:hAnsi="宋体"/>
                <w:color w:val="auto"/>
                <w:szCs w:val="21"/>
                <w:lang w:eastAsia="zh-CN"/>
              </w:rPr>
            </w:pPr>
            <w:r>
              <w:rPr>
                <w:rFonts w:hint="eastAsia" w:ascii="宋体" w:hAnsi="宋体"/>
                <w:color w:val="auto"/>
                <w:szCs w:val="21"/>
              </w:rPr>
              <w:t>投标人</w:t>
            </w:r>
            <w:r>
              <w:rPr>
                <w:rFonts w:hint="eastAsia" w:ascii="宋体" w:hAnsi="宋体" w:cs="宋体"/>
                <w:b/>
                <w:bCs/>
                <w:color w:val="auto"/>
                <w:kern w:val="1"/>
                <w:szCs w:val="21"/>
              </w:rPr>
              <w:t>（若为联合体，</w:t>
            </w:r>
            <w:r>
              <w:rPr>
                <w:rFonts w:hint="eastAsia" w:ascii="宋体" w:hAnsi="宋体" w:cs="宋体"/>
                <w:b/>
                <w:bCs/>
                <w:color w:val="auto"/>
                <w:kern w:val="1"/>
                <w:szCs w:val="21"/>
                <w:lang w:eastAsia="zh-CN"/>
              </w:rPr>
              <w:t>指主办方</w:t>
            </w:r>
            <w:r>
              <w:rPr>
                <w:rFonts w:hint="eastAsia" w:ascii="宋体" w:hAnsi="宋体" w:cs="宋体"/>
                <w:b/>
                <w:bCs/>
                <w:color w:val="auto"/>
                <w:kern w:val="1"/>
                <w:szCs w:val="21"/>
              </w:rPr>
              <w:t>）</w:t>
            </w:r>
            <w:r>
              <w:rPr>
                <w:rFonts w:hint="eastAsia" w:ascii="宋体" w:hAnsi="宋体"/>
                <w:color w:val="auto"/>
                <w:szCs w:val="21"/>
                <w:lang w:eastAsia="zh-CN"/>
              </w:rPr>
              <w:t>主编过三维地质建模技术</w:t>
            </w:r>
            <w:r>
              <w:rPr>
                <w:rFonts w:hint="eastAsia" w:ascii="宋体" w:hAnsi="宋体"/>
                <w:color w:val="auto"/>
                <w:szCs w:val="21"/>
                <w:lang w:val="en-US" w:eastAsia="zh-CN"/>
              </w:rPr>
              <w:t>、BIM模型成果技术</w:t>
            </w:r>
            <w:r>
              <w:rPr>
                <w:rFonts w:hint="eastAsia" w:ascii="宋体" w:hAnsi="宋体"/>
                <w:color w:val="auto"/>
                <w:szCs w:val="21"/>
                <w:lang w:eastAsia="zh-CN"/>
              </w:rPr>
              <w:t>、</w:t>
            </w:r>
            <w:r>
              <w:rPr>
                <w:rFonts w:hint="eastAsia" w:ascii="宋体" w:hAnsi="宋体"/>
                <w:color w:val="auto"/>
                <w:szCs w:val="21"/>
                <w:lang w:val="en-US" w:eastAsia="zh-CN"/>
              </w:rPr>
              <w:t>BIM协同管理等行业标准、团体标准或省级以上地方标准的，每项得1分，</w:t>
            </w:r>
            <w:r>
              <w:rPr>
                <w:rFonts w:hint="eastAsia" w:ascii="宋体" w:hAnsi="宋体" w:eastAsia="宋体"/>
                <w:color w:val="auto"/>
                <w:kern w:val="2"/>
                <w:sz w:val="21"/>
                <w:szCs w:val="21"/>
                <w:lang w:val="en-US" w:eastAsia="zh-CN"/>
              </w:rPr>
              <w:t>本子项</w:t>
            </w:r>
            <w:r>
              <w:rPr>
                <w:rFonts w:hint="eastAsia" w:ascii="宋体" w:hAnsi="宋体"/>
                <w:color w:val="auto"/>
                <w:szCs w:val="21"/>
                <w:lang w:val="en-US" w:eastAsia="zh-CN"/>
              </w:rPr>
              <w:t>最高得3分；</w:t>
            </w:r>
          </w:p>
          <w:p>
            <w:pPr>
              <w:pStyle w:val="24"/>
              <w:numPr>
                <w:ilvl w:val="0"/>
                <w:numId w:val="5"/>
              </w:numPr>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投标人</w:t>
            </w:r>
            <w:r>
              <w:rPr>
                <w:rFonts w:hint="eastAsia" w:ascii="宋体" w:hAnsi="宋体" w:eastAsia="宋体" w:cs="宋体"/>
                <w:b/>
                <w:bCs/>
                <w:color w:val="auto"/>
                <w:kern w:val="1"/>
                <w:sz w:val="21"/>
                <w:szCs w:val="21"/>
              </w:rPr>
              <w:t>（若为联合体，</w:t>
            </w:r>
            <w:r>
              <w:rPr>
                <w:rFonts w:hint="eastAsia" w:ascii="宋体" w:hAnsi="宋体" w:eastAsia="宋体" w:cs="宋体"/>
                <w:b/>
                <w:bCs/>
                <w:color w:val="auto"/>
                <w:kern w:val="1"/>
                <w:sz w:val="21"/>
                <w:szCs w:val="21"/>
                <w:lang w:eastAsia="zh-CN"/>
              </w:rPr>
              <w:t>指主办方</w:t>
            </w:r>
            <w:r>
              <w:rPr>
                <w:rFonts w:hint="eastAsia" w:ascii="宋体" w:hAnsi="宋体" w:eastAsia="宋体" w:cs="宋体"/>
                <w:b/>
                <w:bCs/>
                <w:color w:val="auto"/>
                <w:kern w:val="1"/>
                <w:sz w:val="21"/>
                <w:szCs w:val="21"/>
              </w:rPr>
              <w:t>）</w:t>
            </w:r>
            <w:r>
              <w:rPr>
                <w:rFonts w:hint="eastAsia" w:ascii="宋体" w:hAnsi="宋体" w:eastAsia="宋体"/>
                <w:color w:val="auto"/>
                <w:kern w:val="2"/>
                <w:sz w:val="21"/>
                <w:szCs w:val="21"/>
                <w:lang w:val="en-US" w:eastAsia="zh-CN"/>
              </w:rPr>
              <w:t>拥有BIM相关发明专利的，每项得0.5分，本子项最高得2分。</w:t>
            </w:r>
          </w:p>
          <w:p>
            <w:pPr>
              <w:spacing w:line="340" w:lineRule="exact"/>
              <w:jc w:val="left"/>
              <w:rPr>
                <w:rFonts w:hint="eastAsia" w:ascii="宋体" w:hAnsi="宋体"/>
                <w:color w:val="auto"/>
                <w:kern w:val="2"/>
                <w:sz w:val="21"/>
                <w:szCs w:val="21"/>
              </w:rPr>
            </w:pPr>
            <w:r>
              <w:rPr>
                <w:rFonts w:hint="eastAsia" w:ascii="宋体" w:hAnsi="宋体"/>
                <w:color w:val="auto"/>
                <w:kern w:val="2"/>
                <w:sz w:val="21"/>
                <w:szCs w:val="21"/>
              </w:rPr>
              <w:t>本项最多得5分。</w:t>
            </w:r>
          </w:p>
          <w:p>
            <w:pPr>
              <w:snapToGrid w:val="0"/>
              <w:spacing w:line="340" w:lineRule="exact"/>
              <w:jc w:val="left"/>
              <w:rPr>
                <w:rFonts w:ascii="宋体" w:hAnsi="宋体"/>
                <w:color w:val="auto"/>
                <w:szCs w:val="21"/>
              </w:rPr>
            </w:pPr>
            <w:r>
              <w:rPr>
                <w:rFonts w:hint="eastAsia" w:ascii="宋体" w:hAnsi="宋体"/>
                <w:color w:val="auto"/>
                <w:szCs w:val="21"/>
              </w:rPr>
              <w:t>备注：提供标准、</w:t>
            </w:r>
            <w:r>
              <w:rPr>
                <w:rFonts w:hint="eastAsia" w:ascii="宋体" w:hAnsi="宋体"/>
                <w:color w:val="auto"/>
                <w:szCs w:val="21"/>
                <w:lang w:eastAsia="zh-CN"/>
              </w:rPr>
              <w:t>专利</w:t>
            </w:r>
            <w:r>
              <w:rPr>
                <w:rFonts w:hint="eastAsia" w:ascii="宋体" w:hAnsi="宋体"/>
                <w:color w:val="auto"/>
                <w:szCs w:val="21"/>
              </w:rPr>
              <w:t>相关证明文件扫描件。如</w:t>
            </w:r>
            <w:r>
              <w:rPr>
                <w:rFonts w:hint="eastAsia" w:ascii="宋体" w:hAnsi="宋体"/>
                <w:color w:val="auto"/>
                <w:szCs w:val="21"/>
                <w:lang w:eastAsia="zh-CN"/>
              </w:rPr>
              <w:t>专利</w:t>
            </w:r>
            <w:r>
              <w:rPr>
                <w:rFonts w:hint="eastAsia" w:ascii="宋体" w:hAnsi="宋体"/>
                <w:color w:val="auto"/>
                <w:szCs w:val="21"/>
              </w:rPr>
              <w:t>仅有人员姓名，则该人员须为投标人正式员工，并须提供该人员在202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月有效社保证明扫描件。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655" w:type="dxa"/>
            <w:vMerge w:val="continue"/>
            <w:tcBorders>
              <w:left w:val="single" w:color="auto" w:sz="4" w:space="0"/>
              <w:right w:val="single" w:color="auto" w:sz="4" w:space="0"/>
            </w:tcBorders>
            <w:vAlign w:val="center"/>
          </w:tcPr>
          <w:p>
            <w:pPr>
              <w:widowControl/>
              <w:jc w:val="left"/>
              <w:rPr>
                <w:rFonts w:ascii="宋体" w:hAnsi="宋体"/>
                <w:color w:val="auto"/>
                <w:szCs w:val="21"/>
              </w:rPr>
            </w:pPr>
          </w:p>
        </w:tc>
        <w:tc>
          <w:tcPr>
            <w:tcW w:w="1003"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22" w:type="dxa"/>
            <w:tcBorders>
              <w:top w:val="single" w:color="auto" w:sz="4" w:space="0"/>
              <w:left w:val="single" w:color="auto" w:sz="4" w:space="0"/>
              <w:right w:val="single" w:color="auto" w:sz="4" w:space="0"/>
            </w:tcBorders>
            <w:vAlign w:val="center"/>
          </w:tcPr>
          <w:p>
            <w:pPr>
              <w:spacing w:line="340" w:lineRule="exact"/>
              <w:jc w:val="center"/>
              <w:rPr>
                <w:rFonts w:ascii="宋体" w:hAnsi="宋体"/>
                <w:color w:val="auto"/>
                <w:szCs w:val="21"/>
              </w:rPr>
            </w:pPr>
            <w:r>
              <w:rPr>
                <w:rFonts w:hint="eastAsia" w:ascii="宋体" w:hAnsi="宋体"/>
                <w:color w:val="auto"/>
                <w:szCs w:val="21"/>
              </w:rPr>
              <w:t>项目负责人</w:t>
            </w:r>
          </w:p>
        </w:tc>
        <w:tc>
          <w:tcPr>
            <w:tcW w:w="86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）具有</w:t>
            </w:r>
            <w:r>
              <w:rPr>
                <w:rFonts w:hint="eastAsia" w:ascii="宋体" w:hAnsi="宋体"/>
                <w:strike w:val="0"/>
                <w:color w:val="auto"/>
                <w:szCs w:val="21"/>
                <w:highlight w:val="none"/>
                <w:lang w:eastAsia="zh-CN"/>
              </w:rPr>
              <w:t>工程师类相关专业高级（或以上）</w:t>
            </w:r>
            <w:r>
              <w:rPr>
                <w:rFonts w:hint="eastAsia" w:ascii="宋体" w:hAnsi="宋体"/>
                <w:strike w:val="0"/>
                <w:color w:val="auto"/>
                <w:szCs w:val="21"/>
                <w:highlight w:val="none"/>
              </w:rPr>
              <w:t>职称</w:t>
            </w:r>
            <w:r>
              <w:rPr>
                <w:rFonts w:hint="eastAsia" w:ascii="宋体" w:hAnsi="宋体"/>
                <w:strike w:val="0"/>
                <w:color w:val="auto"/>
                <w:szCs w:val="21"/>
                <w:highlight w:val="none"/>
                <w:lang w:eastAsia="zh-CN"/>
              </w:rPr>
              <w:t>的</w:t>
            </w:r>
            <w:r>
              <w:rPr>
                <w:rFonts w:hint="eastAsia" w:ascii="宋体" w:hAnsi="宋体"/>
                <w:color w:val="auto"/>
                <w:szCs w:val="21"/>
              </w:rPr>
              <w:t>，得</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w:t>
            </w:r>
          </w:p>
          <w:p>
            <w:pPr>
              <w:spacing w:line="340" w:lineRule="exact"/>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）自</w:t>
            </w:r>
            <w:r>
              <w:rPr>
                <w:rFonts w:hint="eastAsia" w:ascii="宋体" w:hAnsi="宋体"/>
                <w:color w:val="auto"/>
                <w:szCs w:val="21"/>
                <w:lang w:val="en-US" w:eastAsia="zh-CN"/>
              </w:rPr>
              <w:t>2017年1月1日至今，作为项目负责人承担过专项BIM咨询服务项目业绩，每项得1分，最高得3分，其中</w:t>
            </w:r>
            <w:r>
              <w:rPr>
                <w:rFonts w:hint="eastAsia" w:ascii="宋体" w:hAnsi="宋体"/>
                <w:color w:val="auto"/>
                <w:szCs w:val="21"/>
                <w:highlight w:val="none"/>
                <w:lang w:val="en-US" w:eastAsia="zh-CN"/>
              </w:rPr>
              <w:t>业绩合同金额超过200万以上的</w:t>
            </w:r>
            <w:r>
              <w:rPr>
                <w:rFonts w:hint="eastAsia" w:ascii="宋体" w:hAnsi="宋体"/>
                <w:color w:val="auto"/>
                <w:szCs w:val="21"/>
                <w:lang w:val="en-US" w:eastAsia="zh-CN"/>
              </w:rPr>
              <w:t>，每项加1分，最高加2分。本子项最高得5分；</w:t>
            </w:r>
          </w:p>
          <w:p>
            <w:pPr>
              <w:spacing w:line="340" w:lineRule="exact"/>
              <w:rPr>
                <w:rFonts w:hint="eastAsia"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）作为项目负责人或技术负责人承担过编制</w:t>
            </w:r>
            <w:r>
              <w:rPr>
                <w:rFonts w:hint="eastAsia" w:ascii="宋体" w:hAnsi="宋体"/>
                <w:color w:val="auto"/>
                <w:szCs w:val="21"/>
                <w:lang w:val="en-US" w:eastAsia="zh-CN"/>
              </w:rPr>
              <w:t>BIM相关技术标准或塔建BIM管理平台（须至少包含以下一项及以上模块功能：BIM协同管理、BIM施工或BIM运维）的，每项得1分，本子项最高得2分。</w:t>
            </w:r>
          </w:p>
          <w:p>
            <w:pPr>
              <w:spacing w:line="340" w:lineRule="exact"/>
              <w:rPr>
                <w:rFonts w:ascii="宋体" w:hAnsi="宋体"/>
                <w:color w:val="auto"/>
                <w:szCs w:val="21"/>
              </w:rPr>
            </w:pPr>
            <w:r>
              <w:rPr>
                <w:rFonts w:hint="eastAsia" w:ascii="宋体" w:hAnsi="宋体"/>
                <w:color w:val="auto"/>
                <w:szCs w:val="21"/>
              </w:rPr>
              <w:t>本项最高得</w:t>
            </w:r>
            <w:r>
              <w:rPr>
                <w:rFonts w:hint="eastAsia" w:ascii="宋体" w:hAnsi="宋体"/>
                <w:color w:val="auto"/>
                <w:szCs w:val="21"/>
                <w:lang w:val="en-US" w:eastAsia="zh-CN"/>
              </w:rPr>
              <w:t>8</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10" w:type="dxa"/>
            <w:vMerge w:val="continue"/>
            <w:tcBorders>
              <w:left w:val="single" w:color="auto" w:sz="4" w:space="0"/>
              <w:right w:val="single" w:color="auto" w:sz="4" w:space="0"/>
            </w:tcBorders>
            <w:vAlign w:val="center"/>
          </w:tcPr>
          <w:p>
            <w:pPr>
              <w:spacing w:line="340" w:lineRule="exact"/>
              <w:rPr>
                <w:color w:val="auto"/>
              </w:rPr>
            </w:pPr>
          </w:p>
        </w:tc>
        <w:tc>
          <w:tcPr>
            <w:tcW w:w="655" w:type="dxa"/>
            <w:vMerge w:val="continue"/>
            <w:tcBorders>
              <w:left w:val="single" w:color="auto" w:sz="4" w:space="0"/>
              <w:right w:val="single" w:color="auto" w:sz="4" w:space="0"/>
            </w:tcBorders>
            <w:vAlign w:val="center"/>
          </w:tcPr>
          <w:p>
            <w:pPr>
              <w:spacing w:line="340" w:lineRule="exact"/>
              <w:rPr>
                <w:color w:val="auto"/>
              </w:rPr>
            </w:pPr>
          </w:p>
        </w:tc>
        <w:tc>
          <w:tcPr>
            <w:tcW w:w="1003" w:type="dxa"/>
            <w:tcBorders>
              <w:left w:val="single" w:color="auto" w:sz="4" w:space="0"/>
              <w:bottom w:val="single" w:color="auto" w:sz="4" w:space="0"/>
              <w:right w:val="single" w:color="auto" w:sz="4" w:space="0"/>
            </w:tcBorders>
            <w:vAlign w:val="center"/>
          </w:tcPr>
          <w:p>
            <w:pPr>
              <w:spacing w:line="340" w:lineRule="exact"/>
              <w:jc w:val="center"/>
              <w:rPr>
                <w:rFonts w:hint="eastAsia" w:eastAsia="宋体"/>
                <w:color w:val="auto"/>
                <w:lang w:eastAsia="zh-CN"/>
              </w:rPr>
            </w:pPr>
            <w:r>
              <w:rPr>
                <w:rFonts w:hint="eastAsia" w:ascii="宋体" w:hAnsi="宋体"/>
                <w:color w:val="auto"/>
                <w:szCs w:val="21"/>
                <w:lang w:val="en-US" w:eastAsia="zh-CN"/>
              </w:rPr>
              <w:t>8</w:t>
            </w:r>
          </w:p>
        </w:tc>
        <w:tc>
          <w:tcPr>
            <w:tcW w:w="2122" w:type="dxa"/>
            <w:tcBorders>
              <w:left w:val="single" w:color="auto" w:sz="4" w:space="0"/>
              <w:bottom w:val="single" w:color="auto" w:sz="4" w:space="0"/>
              <w:right w:val="single" w:color="auto" w:sz="4" w:space="0"/>
            </w:tcBorders>
            <w:vAlign w:val="center"/>
          </w:tcPr>
          <w:p>
            <w:pPr>
              <w:spacing w:line="340" w:lineRule="exact"/>
              <w:jc w:val="center"/>
              <w:rPr>
                <w:color w:val="auto"/>
              </w:rPr>
            </w:pPr>
            <w:r>
              <w:rPr>
                <w:rFonts w:hint="eastAsia" w:ascii="宋体" w:hAnsi="宋体"/>
                <w:color w:val="auto"/>
              </w:rPr>
              <w:t>团队人员基本配置要求</w:t>
            </w:r>
          </w:p>
        </w:tc>
        <w:tc>
          <w:tcPr>
            <w:tcW w:w="8664" w:type="dxa"/>
            <w:tcBorders>
              <w:top w:val="single" w:color="auto" w:sz="4" w:space="0"/>
              <w:left w:val="single" w:color="auto" w:sz="4" w:space="0"/>
              <w:bottom w:val="single" w:color="auto" w:sz="4" w:space="0"/>
              <w:right w:val="single" w:color="auto" w:sz="4" w:space="0"/>
            </w:tcBorders>
            <w:vAlign w:val="center"/>
          </w:tcPr>
          <w:p>
            <w:pPr>
              <w:pStyle w:val="24"/>
              <w:snapToGrid w:val="0"/>
              <w:spacing w:line="340" w:lineRule="exact"/>
              <w:rPr>
                <w:rFonts w:hint="default" w:ascii="Calibri" w:hAnsi="Calibri"/>
                <w:color w:val="auto"/>
                <w:sz w:val="21"/>
                <w:szCs w:val="21"/>
                <w:highlight w:val="none"/>
                <w:lang w:eastAsia="zh-CN"/>
              </w:rPr>
            </w:pPr>
            <w:r>
              <w:rPr>
                <w:rFonts w:hint="eastAsia"/>
                <w:color w:val="auto"/>
                <w:sz w:val="21"/>
                <w:szCs w:val="21"/>
              </w:rPr>
              <w:t>除项目负责人外，团队成员需配</w:t>
            </w:r>
            <w:r>
              <w:rPr>
                <w:rFonts w:hint="default" w:ascii="Calibri" w:hAnsi="Calibri"/>
                <w:color w:val="auto"/>
                <w:sz w:val="21"/>
                <w:szCs w:val="21"/>
              </w:rPr>
              <w:t>备</w:t>
            </w:r>
            <w:r>
              <w:rPr>
                <w:rFonts w:hint="default" w:ascii="Calibri" w:hAnsi="Calibri"/>
                <w:color w:val="auto"/>
                <w:sz w:val="21"/>
                <w:szCs w:val="21"/>
                <w:highlight w:val="none"/>
              </w:rPr>
              <w:t>不少于</w:t>
            </w:r>
            <w:r>
              <w:rPr>
                <w:rFonts w:hint="default" w:ascii="Calibri" w:hAnsi="Calibri"/>
                <w:color w:val="auto"/>
                <w:sz w:val="21"/>
                <w:szCs w:val="21"/>
                <w:highlight w:val="none"/>
                <w:lang w:val="en-US" w:eastAsia="zh-CN"/>
              </w:rPr>
              <w:t>6名</w:t>
            </w:r>
            <w:r>
              <w:rPr>
                <w:rFonts w:hint="default" w:ascii="Calibri" w:hAnsi="Calibri"/>
                <w:color w:val="auto"/>
                <w:sz w:val="21"/>
                <w:szCs w:val="21"/>
                <w:highlight w:val="none"/>
                <w:lang w:eastAsia="zh-CN"/>
              </w:rPr>
              <w:t>专业人员，其中：</w:t>
            </w:r>
          </w:p>
          <w:p>
            <w:pPr>
              <w:pStyle w:val="24"/>
              <w:snapToGrid w:val="0"/>
              <w:spacing w:line="340" w:lineRule="exact"/>
              <w:rPr>
                <w:rFonts w:ascii="Calibri" w:hAnsi="Calibri"/>
                <w:color w:val="auto"/>
                <w:sz w:val="21"/>
                <w:szCs w:val="21"/>
              </w:rPr>
            </w:pPr>
            <w:r>
              <w:rPr>
                <w:rFonts w:hint="default" w:ascii="Calibri" w:hAnsi="Calibri"/>
                <w:strike w:val="0"/>
                <w:color w:val="auto"/>
                <w:sz w:val="21"/>
                <w:szCs w:val="21"/>
                <w:highlight w:val="none"/>
                <w:lang w:val="en-US" w:eastAsia="zh-CN"/>
              </w:rPr>
              <w:t>1.人员资格：</w:t>
            </w:r>
            <w:r>
              <w:rPr>
                <w:rFonts w:hint="default" w:ascii="Calibri" w:hAnsi="Calibri"/>
                <w:strike w:val="0"/>
                <w:color w:val="auto"/>
                <w:sz w:val="21"/>
                <w:szCs w:val="21"/>
                <w:highlight w:val="none"/>
                <w:lang w:eastAsia="zh-CN"/>
              </w:rPr>
              <w:t>（</w:t>
            </w:r>
            <w:r>
              <w:rPr>
                <w:rFonts w:hint="default" w:ascii="Calibri" w:hAnsi="Calibri"/>
                <w:strike w:val="0"/>
                <w:color w:val="auto"/>
                <w:sz w:val="21"/>
                <w:szCs w:val="21"/>
                <w:highlight w:val="none"/>
                <w:lang w:val="en-US" w:eastAsia="zh-CN"/>
              </w:rPr>
              <w:t>1</w:t>
            </w:r>
            <w:r>
              <w:rPr>
                <w:rFonts w:hint="default" w:ascii="Calibri" w:hAnsi="Calibri"/>
                <w:strike w:val="0"/>
                <w:color w:val="auto"/>
                <w:sz w:val="21"/>
                <w:szCs w:val="21"/>
                <w:highlight w:val="none"/>
                <w:lang w:eastAsia="zh-CN"/>
              </w:rPr>
              <w:t>）具有</w:t>
            </w:r>
            <w:r>
              <w:rPr>
                <w:rFonts w:hint="eastAsia" w:ascii="Calibri" w:hAnsi="Calibri"/>
                <w:strike w:val="0"/>
                <w:color w:val="auto"/>
                <w:sz w:val="21"/>
                <w:szCs w:val="21"/>
                <w:highlight w:val="none"/>
                <w:lang w:eastAsia="zh-CN"/>
              </w:rPr>
              <w:t>计算机技术与软件专业技术资格高级证书</w:t>
            </w:r>
            <w:r>
              <w:rPr>
                <w:rFonts w:hint="default" w:ascii="Calibri" w:hAnsi="Calibri"/>
                <w:strike w:val="0"/>
                <w:color w:val="auto"/>
                <w:sz w:val="21"/>
                <w:szCs w:val="21"/>
                <w:highlight w:val="none"/>
                <w:lang w:eastAsia="zh-CN"/>
              </w:rPr>
              <w:t>的</w:t>
            </w:r>
            <w:r>
              <w:rPr>
                <w:rFonts w:hint="default" w:ascii="Calibri" w:hAnsi="Calibri"/>
                <w:strike w:val="0"/>
                <w:color w:val="auto"/>
                <w:sz w:val="21"/>
                <w:szCs w:val="21"/>
                <w:lang w:eastAsia="zh-CN"/>
              </w:rPr>
              <w:t>，每人得</w:t>
            </w:r>
            <w:r>
              <w:rPr>
                <w:rFonts w:hint="eastAsia" w:ascii="Calibri" w:hAnsi="Calibri"/>
                <w:strike w:val="0"/>
                <w:color w:val="auto"/>
                <w:sz w:val="21"/>
                <w:szCs w:val="21"/>
                <w:lang w:val="en-US" w:eastAsia="zh-CN"/>
              </w:rPr>
              <w:t>1</w:t>
            </w:r>
            <w:r>
              <w:rPr>
                <w:rFonts w:hint="default" w:ascii="Calibri" w:hAnsi="Calibri"/>
                <w:strike w:val="0"/>
                <w:color w:val="auto"/>
                <w:sz w:val="21"/>
                <w:szCs w:val="21"/>
                <w:lang w:val="en-US" w:eastAsia="zh-CN"/>
              </w:rPr>
              <w:t>分，本子项最高得2分；</w:t>
            </w:r>
          </w:p>
          <w:p>
            <w:pPr>
              <w:pStyle w:val="24"/>
              <w:snapToGrid w:val="0"/>
              <w:spacing w:line="340" w:lineRule="exact"/>
              <w:rPr>
                <w:rFonts w:hint="default"/>
                <w:color w:val="auto"/>
                <w:sz w:val="21"/>
                <w:szCs w:val="21"/>
                <w:lang w:val="en-US"/>
              </w:rPr>
            </w:pPr>
            <w:r>
              <w:rPr>
                <w:rFonts w:hint="default" w:ascii="Calibri" w:hAnsi="Calibri"/>
                <w:strike w:val="0"/>
                <w:color w:val="auto"/>
                <w:sz w:val="21"/>
                <w:szCs w:val="21"/>
                <w:lang w:val="en-US" w:eastAsia="zh-CN"/>
              </w:rPr>
              <w:t>（2）具有</w:t>
            </w:r>
            <w:r>
              <w:rPr>
                <w:rFonts w:hint="eastAsia" w:ascii="Calibri" w:hAnsi="Calibri"/>
                <w:color w:val="auto"/>
                <w:sz w:val="21"/>
                <w:szCs w:val="21"/>
                <w:lang w:eastAsia="zh-CN"/>
              </w:rPr>
              <w:t>二</w:t>
            </w:r>
            <w:r>
              <w:rPr>
                <w:rFonts w:hint="default" w:ascii="Calibri" w:hAnsi="Calibri"/>
                <w:color w:val="auto"/>
                <w:sz w:val="21"/>
                <w:szCs w:val="21"/>
                <w:lang w:eastAsia="zh-CN"/>
              </w:rPr>
              <w:t>级以</w:t>
            </w:r>
            <w:r>
              <w:rPr>
                <w:rFonts w:hint="eastAsia"/>
                <w:color w:val="auto"/>
                <w:sz w:val="21"/>
                <w:szCs w:val="21"/>
                <w:lang w:eastAsia="zh-CN"/>
              </w:rPr>
              <w:t>上</w:t>
            </w:r>
            <w:r>
              <w:rPr>
                <w:rFonts w:hint="default" w:ascii="Calibri" w:hAnsi="Calibri"/>
                <w:color w:val="auto"/>
                <w:sz w:val="21"/>
                <w:szCs w:val="21"/>
                <w:lang w:eastAsia="zh-CN"/>
              </w:rPr>
              <w:t>注册结构工程师、注册建筑工程师</w:t>
            </w:r>
            <w:r>
              <w:rPr>
                <w:rFonts w:hint="eastAsia"/>
                <w:color w:val="auto"/>
                <w:sz w:val="21"/>
                <w:szCs w:val="21"/>
                <w:lang w:eastAsia="zh-CN"/>
              </w:rPr>
              <w:t>或</w:t>
            </w:r>
            <w:r>
              <w:rPr>
                <w:rFonts w:hint="default" w:ascii="Calibri" w:hAnsi="Calibri"/>
                <w:color w:val="auto"/>
                <w:sz w:val="21"/>
                <w:szCs w:val="21"/>
                <w:lang w:eastAsia="zh-CN"/>
              </w:rPr>
              <w:t>注册</w:t>
            </w:r>
            <w:r>
              <w:rPr>
                <w:rFonts w:hint="eastAsia" w:ascii="Calibri" w:hAnsi="Calibri"/>
                <w:color w:val="auto"/>
                <w:sz w:val="21"/>
                <w:szCs w:val="21"/>
                <w:lang w:eastAsia="zh-CN"/>
              </w:rPr>
              <w:t>土木</w:t>
            </w:r>
            <w:r>
              <w:rPr>
                <w:rFonts w:hint="default" w:ascii="Calibri" w:hAnsi="Calibri"/>
                <w:color w:val="auto"/>
                <w:sz w:val="21"/>
                <w:szCs w:val="21"/>
                <w:lang w:eastAsia="zh-CN"/>
              </w:rPr>
              <w:t>工程师</w:t>
            </w:r>
            <w:r>
              <w:rPr>
                <w:rFonts w:hint="eastAsia" w:ascii="Calibri" w:hAnsi="Calibri"/>
                <w:color w:val="auto"/>
                <w:sz w:val="21"/>
                <w:szCs w:val="21"/>
                <w:lang w:eastAsia="zh-CN"/>
              </w:rPr>
              <w:t>（岩土）</w:t>
            </w:r>
            <w:r>
              <w:rPr>
                <w:rFonts w:hint="eastAsia"/>
                <w:color w:val="auto"/>
                <w:sz w:val="21"/>
                <w:szCs w:val="21"/>
                <w:lang w:eastAsia="zh-CN"/>
              </w:rPr>
              <w:t>证书之一的，每人得</w:t>
            </w:r>
            <w:r>
              <w:rPr>
                <w:rFonts w:hint="eastAsia"/>
                <w:color w:val="auto"/>
                <w:sz w:val="21"/>
                <w:szCs w:val="21"/>
                <w:lang w:val="en-US" w:eastAsia="zh-CN"/>
              </w:rPr>
              <w:t>0.5分，本子项最高得2分；</w:t>
            </w:r>
          </w:p>
          <w:p>
            <w:pPr>
              <w:pStyle w:val="24"/>
              <w:spacing w:line="340" w:lineRule="exact"/>
              <w:rPr>
                <w:rFonts w:hint="eastAsia" w:ascii="Calibri" w:hAnsi="Calibri" w:eastAsia="宋体"/>
                <w:color w:val="auto"/>
                <w:kern w:val="2"/>
                <w:sz w:val="21"/>
                <w:szCs w:val="21"/>
                <w:lang w:val="en-US" w:eastAsia="zh-CN"/>
              </w:rPr>
            </w:pPr>
            <w:r>
              <w:rPr>
                <w:rFonts w:hint="eastAsia" w:ascii="Calibri" w:hAnsi="Calibri" w:eastAsia="宋体"/>
                <w:color w:val="auto"/>
                <w:kern w:val="2"/>
                <w:sz w:val="21"/>
                <w:szCs w:val="21"/>
                <w:lang w:eastAsia="zh-CN"/>
              </w:rPr>
              <w:t>备注：</w:t>
            </w:r>
            <w:r>
              <w:rPr>
                <w:rFonts w:hint="eastAsia" w:ascii="Calibri" w:hAnsi="Calibri" w:eastAsia="宋体"/>
                <w:color w:val="auto"/>
                <w:kern w:val="2"/>
                <w:sz w:val="21"/>
                <w:szCs w:val="21"/>
                <w:lang w:val="en-US" w:eastAsia="zh-CN"/>
              </w:rPr>
              <w:t>同1人持有多个证书的只能算一个有效证书参与评分。</w:t>
            </w:r>
          </w:p>
          <w:p>
            <w:pPr>
              <w:pStyle w:val="24"/>
              <w:spacing w:line="340" w:lineRule="exact"/>
              <w:rPr>
                <w:rFonts w:hint="default"/>
                <w:color w:val="auto"/>
                <w:sz w:val="21"/>
                <w:szCs w:val="21"/>
                <w:lang w:val="en-US" w:eastAsia="zh-CN"/>
              </w:rPr>
            </w:pPr>
            <w:r>
              <w:rPr>
                <w:rFonts w:hint="eastAsia"/>
                <w:color w:val="auto"/>
                <w:sz w:val="21"/>
                <w:szCs w:val="21"/>
                <w:lang w:val="en-US" w:eastAsia="zh-CN"/>
              </w:rPr>
              <w:t>2.团队项目经验：团队成员参与过专项BIM咨询服务项目业绩的，每人得0.5分，本子项最高得4分。</w:t>
            </w:r>
          </w:p>
          <w:p>
            <w:pPr>
              <w:pStyle w:val="24"/>
              <w:spacing w:line="340" w:lineRule="exact"/>
              <w:rPr>
                <w:rFonts w:hint="default" w:ascii="Calibri" w:hAnsi="Calibri" w:eastAsia="宋体"/>
                <w:color w:val="auto"/>
                <w:kern w:val="2"/>
                <w:sz w:val="21"/>
                <w:szCs w:val="22"/>
                <w:lang w:val="en-US" w:eastAsia="zh-CN"/>
              </w:rPr>
            </w:pPr>
            <w:r>
              <w:rPr>
                <w:rFonts w:hint="eastAsia"/>
                <w:color w:val="auto"/>
                <w:sz w:val="21"/>
                <w:szCs w:val="21"/>
              </w:rPr>
              <w:t>本项最高得</w:t>
            </w:r>
            <w:r>
              <w:rPr>
                <w:rFonts w:hint="eastAsia" w:eastAsia="宋体"/>
                <w:color w:val="auto"/>
                <w:sz w:val="21"/>
                <w:szCs w:val="21"/>
                <w:lang w:eastAsia="zh-CN"/>
              </w:rPr>
              <w:t>8</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10" w:type="dxa"/>
            <w:vMerge w:val="continue"/>
            <w:tcBorders>
              <w:left w:val="single" w:color="auto" w:sz="4" w:space="0"/>
              <w:right w:val="single" w:color="auto" w:sz="4" w:space="0"/>
            </w:tcBorders>
            <w:vAlign w:val="center"/>
          </w:tcPr>
          <w:p>
            <w:pPr>
              <w:spacing w:line="340" w:lineRule="exact"/>
              <w:rPr>
                <w:color w:val="auto"/>
              </w:rPr>
            </w:pPr>
          </w:p>
        </w:tc>
        <w:tc>
          <w:tcPr>
            <w:tcW w:w="655" w:type="dxa"/>
            <w:vMerge w:val="continue"/>
            <w:tcBorders>
              <w:left w:val="single" w:color="auto" w:sz="4" w:space="0"/>
              <w:right w:val="single" w:color="auto" w:sz="4" w:space="0"/>
            </w:tcBorders>
            <w:vAlign w:val="center"/>
          </w:tcPr>
          <w:p>
            <w:pPr>
              <w:spacing w:line="340" w:lineRule="exact"/>
              <w:rPr>
                <w:color w:val="auto"/>
              </w:rPr>
            </w:pPr>
          </w:p>
        </w:tc>
        <w:tc>
          <w:tcPr>
            <w:tcW w:w="1003" w:type="dxa"/>
            <w:tcBorders>
              <w:left w:val="single" w:color="auto" w:sz="4" w:space="0"/>
              <w:bottom w:val="single" w:color="auto" w:sz="4" w:space="0"/>
              <w:right w:val="single" w:color="auto" w:sz="4" w:space="0"/>
            </w:tcBorders>
            <w:vAlign w:val="center"/>
          </w:tcPr>
          <w:p>
            <w:pPr>
              <w:spacing w:line="340" w:lineRule="exact"/>
              <w:jc w:val="center"/>
              <w:rPr>
                <w:color w:val="auto"/>
              </w:rPr>
            </w:pPr>
            <w:r>
              <w:rPr>
                <w:rFonts w:hint="eastAsia" w:ascii="宋体" w:hAnsi="宋体"/>
                <w:color w:val="auto"/>
                <w:szCs w:val="21"/>
              </w:rPr>
              <w:t>8</w:t>
            </w:r>
          </w:p>
        </w:tc>
        <w:tc>
          <w:tcPr>
            <w:tcW w:w="2122" w:type="dxa"/>
            <w:tcBorders>
              <w:left w:val="single" w:color="auto" w:sz="4" w:space="0"/>
              <w:bottom w:val="single" w:color="auto" w:sz="4" w:space="0"/>
              <w:right w:val="single" w:color="auto" w:sz="4" w:space="0"/>
            </w:tcBorders>
            <w:vAlign w:val="center"/>
          </w:tcPr>
          <w:p>
            <w:pPr>
              <w:spacing w:line="340" w:lineRule="exact"/>
              <w:jc w:val="center"/>
              <w:rPr>
                <w:color w:val="auto"/>
              </w:rPr>
            </w:pPr>
            <w:r>
              <w:rPr>
                <w:rFonts w:hint="eastAsia" w:ascii="宋体" w:hAnsi="宋体"/>
                <w:color w:val="auto"/>
                <w:szCs w:val="21"/>
              </w:rPr>
              <w:t>对本项目的理解和认识</w:t>
            </w:r>
          </w:p>
        </w:tc>
        <w:tc>
          <w:tcPr>
            <w:tcW w:w="86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rPr>
            </w:pPr>
            <w:r>
              <w:rPr>
                <w:rFonts w:hint="eastAsia" w:ascii="宋体" w:hAnsi="宋体" w:cs="宋体"/>
                <w:color w:val="auto"/>
                <w:szCs w:val="21"/>
              </w:rPr>
              <w:t>对项目服务内容的理解充分、分析准确；对目标服务范围的把握准确；招标需求和要求的理解和分析准确；项目难点、要点的分析应用策略准确、可行；总体思路规划</w:t>
            </w:r>
            <w:r>
              <w:rPr>
                <w:rFonts w:hint="eastAsia" w:ascii="宋体" w:hAnsi="宋体" w:cs="宋体"/>
                <w:color w:val="auto"/>
                <w:szCs w:val="21"/>
                <w:lang w:val="en-US" w:eastAsia="zh-CN"/>
              </w:rPr>
              <w:t>合</w:t>
            </w:r>
            <w:r>
              <w:rPr>
                <w:rFonts w:hint="eastAsia" w:ascii="宋体" w:hAnsi="宋体" w:cs="宋体"/>
                <w:color w:val="auto"/>
                <w:szCs w:val="21"/>
              </w:rPr>
              <w:t>理、内容全面、有针对性和可行性。</w:t>
            </w:r>
          </w:p>
          <w:p>
            <w:pPr>
              <w:spacing w:line="340" w:lineRule="exact"/>
              <w:rPr>
                <w:rFonts w:ascii="宋体" w:hAnsi="宋体"/>
                <w:color w:val="auto"/>
                <w:szCs w:val="21"/>
              </w:rPr>
            </w:pPr>
            <w:r>
              <w:rPr>
                <w:rFonts w:hint="eastAsia" w:ascii="宋体" w:hAnsi="宋体" w:cs="宋体"/>
                <w:color w:val="auto"/>
                <w:szCs w:val="21"/>
              </w:rPr>
              <w:t>投标单位横向对比：优得(5，8]分；良得(3，5]分；一般得(1，3]分；差不得分。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10" w:type="dxa"/>
            <w:vMerge w:val="continue"/>
            <w:tcBorders>
              <w:left w:val="single" w:color="auto" w:sz="4" w:space="0"/>
              <w:right w:val="single" w:color="auto" w:sz="4" w:space="0"/>
            </w:tcBorders>
            <w:vAlign w:val="center"/>
          </w:tcPr>
          <w:p>
            <w:pPr>
              <w:spacing w:line="340" w:lineRule="exact"/>
              <w:rPr>
                <w:color w:val="auto"/>
              </w:rPr>
            </w:pPr>
          </w:p>
        </w:tc>
        <w:tc>
          <w:tcPr>
            <w:tcW w:w="655" w:type="dxa"/>
            <w:vMerge w:val="continue"/>
            <w:tcBorders>
              <w:left w:val="single" w:color="auto" w:sz="4" w:space="0"/>
              <w:right w:val="single" w:color="auto" w:sz="4" w:space="0"/>
            </w:tcBorders>
            <w:vAlign w:val="center"/>
          </w:tcPr>
          <w:p>
            <w:pPr>
              <w:spacing w:line="340" w:lineRule="exact"/>
              <w:rPr>
                <w:color w:val="auto"/>
              </w:rPr>
            </w:pPr>
          </w:p>
        </w:tc>
        <w:tc>
          <w:tcPr>
            <w:tcW w:w="1003" w:type="dxa"/>
            <w:tcBorders>
              <w:left w:val="single" w:color="auto" w:sz="4" w:space="0"/>
              <w:bottom w:val="single" w:color="auto" w:sz="4" w:space="0"/>
              <w:right w:val="single" w:color="auto" w:sz="4" w:space="0"/>
            </w:tcBorders>
            <w:vAlign w:val="center"/>
          </w:tcPr>
          <w:p>
            <w:pPr>
              <w:spacing w:line="340" w:lineRule="exact"/>
              <w:jc w:val="center"/>
              <w:rPr>
                <w:rFonts w:hint="default" w:eastAsia="宋体"/>
                <w:color w:val="auto"/>
                <w:highlight w:val="none"/>
                <w:lang w:val="en-US" w:eastAsia="zh-CN"/>
              </w:rPr>
            </w:pPr>
            <w:r>
              <w:rPr>
                <w:rFonts w:hint="eastAsia" w:ascii="宋体" w:hAnsi="宋体"/>
                <w:color w:val="auto"/>
                <w:szCs w:val="21"/>
                <w:highlight w:val="none"/>
                <w:lang w:val="en-US" w:eastAsia="zh-CN"/>
              </w:rPr>
              <w:t>14</w:t>
            </w:r>
          </w:p>
        </w:tc>
        <w:tc>
          <w:tcPr>
            <w:tcW w:w="2122" w:type="dxa"/>
            <w:tcBorders>
              <w:left w:val="single" w:color="auto" w:sz="4" w:space="0"/>
              <w:bottom w:val="single" w:color="auto" w:sz="4" w:space="0"/>
              <w:right w:val="single" w:color="auto" w:sz="4" w:space="0"/>
            </w:tcBorders>
            <w:vAlign w:val="center"/>
          </w:tcPr>
          <w:p>
            <w:pPr>
              <w:spacing w:line="340" w:lineRule="exact"/>
              <w:jc w:val="center"/>
              <w:rPr>
                <w:rFonts w:hint="eastAsia"/>
                <w:color w:val="auto"/>
                <w:highlight w:val="none"/>
              </w:rPr>
            </w:pPr>
            <w:r>
              <w:rPr>
                <w:rFonts w:hint="eastAsia" w:ascii="宋体" w:hAnsi="宋体"/>
                <w:color w:val="auto"/>
                <w:szCs w:val="21"/>
                <w:highlight w:val="none"/>
                <w:lang w:val="en-US" w:eastAsia="zh-CN"/>
              </w:rPr>
              <w:t>施工、运维阶段</w:t>
            </w:r>
            <w:r>
              <w:rPr>
                <w:rFonts w:hint="eastAsia" w:ascii="宋体" w:hAnsi="宋体"/>
                <w:color w:val="auto"/>
                <w:szCs w:val="21"/>
                <w:highlight w:val="none"/>
              </w:rPr>
              <w:t>服务</w:t>
            </w:r>
            <w:r>
              <w:rPr>
                <w:rFonts w:hint="eastAsia" w:ascii="宋体" w:hAnsi="宋体"/>
                <w:color w:val="auto"/>
                <w:szCs w:val="21"/>
                <w:highlight w:val="none"/>
                <w:lang w:val="en-US" w:eastAsia="zh-CN"/>
              </w:rPr>
              <w:t>方案</w:t>
            </w:r>
          </w:p>
        </w:tc>
        <w:tc>
          <w:tcPr>
            <w:tcW w:w="86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对项目</w:t>
            </w:r>
            <w:r>
              <w:rPr>
                <w:rFonts w:hint="eastAsia" w:ascii="宋体" w:hAnsi="宋体" w:cs="宋体"/>
                <w:color w:val="auto"/>
                <w:szCs w:val="21"/>
                <w:highlight w:val="none"/>
                <w:lang w:val="en-US" w:eastAsia="zh-CN"/>
              </w:rPr>
              <w:t>施工运维阶段</w:t>
            </w:r>
            <w:r>
              <w:rPr>
                <w:rFonts w:hint="eastAsia"/>
                <w:color w:val="auto"/>
                <w:highlight w:val="none"/>
              </w:rPr>
              <w:t>BIM技术应用</w:t>
            </w:r>
            <w:r>
              <w:rPr>
                <w:rFonts w:hint="eastAsia"/>
                <w:color w:val="auto"/>
              </w:rPr>
              <w:t>单位进行监督、检查</w:t>
            </w:r>
            <w:r>
              <w:rPr>
                <w:rFonts w:hint="eastAsia" w:ascii="宋体" w:hAnsi="宋体" w:cs="宋体"/>
                <w:color w:val="auto"/>
                <w:szCs w:val="21"/>
                <w:highlight w:val="none"/>
                <w:lang w:eastAsia="zh-CN"/>
              </w:rPr>
              <w:t>，</w:t>
            </w:r>
            <w:r>
              <w:rPr>
                <w:rFonts w:hint="eastAsia" w:ascii="宋体" w:hAnsi="宋体" w:cs="宋体"/>
                <w:color w:val="auto"/>
                <w:szCs w:val="21"/>
                <w:highlight w:val="none"/>
              </w:rPr>
              <w:t>提出合理化建议</w:t>
            </w:r>
            <w:r>
              <w:rPr>
                <w:rFonts w:hint="eastAsia" w:ascii="宋体" w:hAnsi="宋体" w:cs="宋体"/>
                <w:color w:val="auto"/>
                <w:szCs w:val="21"/>
                <w:highlight w:val="none"/>
                <w:lang w:val="en-US" w:eastAsia="zh-CN"/>
              </w:rPr>
              <w:t>并编制服务方案（须提供至少一项BIM技术咨询业绩主要成果，并针对BIM运维提供运维效果分析图）</w:t>
            </w:r>
            <w:r>
              <w:rPr>
                <w:rFonts w:hint="eastAsia" w:ascii="宋体" w:hAnsi="宋体" w:cs="宋体"/>
                <w:color w:val="auto"/>
                <w:szCs w:val="21"/>
                <w:highlight w:val="none"/>
                <w:lang w:eastAsia="zh-CN"/>
              </w:rPr>
              <w:t>，建议</w:t>
            </w:r>
            <w:r>
              <w:rPr>
                <w:rFonts w:hint="eastAsia" w:ascii="宋体" w:hAnsi="宋体" w:cs="宋体"/>
                <w:color w:val="auto"/>
                <w:szCs w:val="21"/>
                <w:highlight w:val="none"/>
                <w:lang w:val="en-US" w:eastAsia="zh-CN"/>
              </w:rPr>
              <w:t>合理</w:t>
            </w:r>
            <w:r>
              <w:rPr>
                <w:rFonts w:hint="eastAsia" w:ascii="宋体" w:hAnsi="宋体" w:cs="宋体"/>
                <w:color w:val="auto"/>
                <w:szCs w:val="21"/>
                <w:highlight w:val="none"/>
              </w:rPr>
              <w:t>、切实可行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服务</w:t>
            </w:r>
            <w:r>
              <w:rPr>
                <w:rFonts w:hint="eastAsia" w:ascii="宋体" w:hAnsi="宋体"/>
                <w:color w:val="auto"/>
                <w:szCs w:val="21"/>
              </w:rPr>
              <w:t>方案针对性强</w:t>
            </w:r>
            <w:r>
              <w:rPr>
                <w:rFonts w:hint="eastAsia" w:ascii="宋体" w:hAnsi="宋体"/>
                <w:color w:val="auto"/>
                <w:szCs w:val="21"/>
                <w:lang w:eastAsia="zh-CN"/>
              </w:rPr>
              <w:t>，</w:t>
            </w:r>
            <w:r>
              <w:rPr>
                <w:rFonts w:hint="eastAsia" w:ascii="宋体" w:hAnsi="宋体" w:cs="宋体"/>
                <w:color w:val="auto"/>
                <w:szCs w:val="21"/>
                <w:highlight w:val="none"/>
                <w:lang w:val="en-US" w:eastAsia="zh-CN"/>
              </w:rPr>
              <w:t>确保向项目业主提供全面的技术支持</w:t>
            </w:r>
            <w:r>
              <w:rPr>
                <w:rFonts w:hint="eastAsia" w:ascii="宋体" w:hAnsi="宋体" w:cs="宋体"/>
                <w:color w:val="auto"/>
                <w:szCs w:val="21"/>
                <w:highlight w:val="none"/>
              </w:rPr>
              <w:t xml:space="preserve">。 </w:t>
            </w:r>
          </w:p>
          <w:p>
            <w:pPr>
              <w:spacing w:line="340" w:lineRule="exact"/>
              <w:rPr>
                <w:rFonts w:ascii="宋体" w:hAnsi="宋体"/>
                <w:color w:val="auto"/>
                <w:szCs w:val="21"/>
                <w:highlight w:val="none"/>
              </w:rPr>
            </w:pPr>
            <w:r>
              <w:rPr>
                <w:rFonts w:hint="eastAsia" w:ascii="宋体" w:hAnsi="宋体" w:cs="宋体"/>
                <w:color w:val="auto"/>
                <w:szCs w:val="21"/>
                <w:highlight w:val="none"/>
              </w:rPr>
              <w:t>投标单位横向对比：优得(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]分；良得(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]分；一般得(1，3]分；差不得分。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10" w:type="dxa"/>
            <w:vMerge w:val="continue"/>
            <w:tcBorders>
              <w:left w:val="single" w:color="auto" w:sz="4" w:space="0"/>
              <w:right w:val="single" w:color="auto" w:sz="4" w:space="0"/>
            </w:tcBorders>
            <w:vAlign w:val="center"/>
          </w:tcPr>
          <w:p>
            <w:pPr>
              <w:spacing w:line="340" w:lineRule="exact"/>
              <w:rPr>
                <w:color w:val="auto"/>
              </w:rPr>
            </w:pPr>
          </w:p>
        </w:tc>
        <w:tc>
          <w:tcPr>
            <w:tcW w:w="655" w:type="dxa"/>
            <w:vMerge w:val="continue"/>
            <w:tcBorders>
              <w:left w:val="single" w:color="auto" w:sz="4" w:space="0"/>
              <w:right w:val="single" w:color="auto" w:sz="4" w:space="0"/>
            </w:tcBorders>
            <w:vAlign w:val="center"/>
          </w:tcPr>
          <w:p>
            <w:pPr>
              <w:spacing w:line="340" w:lineRule="exact"/>
              <w:rPr>
                <w:color w:val="auto"/>
              </w:rPr>
            </w:pPr>
          </w:p>
        </w:tc>
        <w:tc>
          <w:tcPr>
            <w:tcW w:w="1003" w:type="dxa"/>
            <w:tcBorders>
              <w:left w:val="single" w:color="auto" w:sz="4" w:space="0"/>
              <w:bottom w:val="single" w:color="auto" w:sz="4" w:space="0"/>
              <w:right w:val="single" w:color="auto" w:sz="4" w:space="0"/>
            </w:tcBorders>
            <w:vAlign w:val="center"/>
          </w:tcPr>
          <w:p>
            <w:pPr>
              <w:spacing w:line="340" w:lineRule="exact"/>
              <w:jc w:val="center"/>
              <w:rPr>
                <w:rFonts w:hint="eastAsia"/>
                <w:color w:val="auto"/>
                <w:highlight w:val="none"/>
              </w:rPr>
            </w:pPr>
            <w:r>
              <w:rPr>
                <w:rFonts w:hint="eastAsia" w:ascii="宋体" w:hAnsi="宋体"/>
                <w:color w:val="auto"/>
                <w:szCs w:val="21"/>
                <w:highlight w:val="none"/>
                <w:lang w:eastAsia="zh-CN"/>
              </w:rPr>
              <w:t>8</w:t>
            </w:r>
          </w:p>
        </w:tc>
        <w:tc>
          <w:tcPr>
            <w:tcW w:w="2122" w:type="dxa"/>
            <w:tcBorders>
              <w:left w:val="single" w:color="auto" w:sz="4" w:space="0"/>
              <w:bottom w:val="single" w:color="auto" w:sz="4" w:space="0"/>
              <w:right w:val="single" w:color="auto" w:sz="4" w:space="0"/>
            </w:tcBorders>
            <w:vAlign w:val="center"/>
          </w:tcPr>
          <w:p>
            <w:pPr>
              <w:spacing w:line="340" w:lineRule="exact"/>
              <w:jc w:val="center"/>
              <w:rPr>
                <w:color w:val="auto"/>
                <w:highlight w:val="none"/>
              </w:rPr>
            </w:pPr>
            <w:r>
              <w:rPr>
                <w:rFonts w:hint="eastAsia" w:ascii="宋体" w:hAnsi="宋体"/>
                <w:color w:val="auto"/>
                <w:szCs w:val="21"/>
                <w:highlight w:val="none"/>
              </w:rPr>
              <w:t>管理体系</w:t>
            </w:r>
          </w:p>
        </w:tc>
        <w:tc>
          <w:tcPr>
            <w:tcW w:w="866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left="-38" w:leftChars="-18" w:right="-57" w:rightChars="-27"/>
              <w:rPr>
                <w:rFonts w:ascii="宋体" w:hAnsi="宋体" w:cs="宋体"/>
                <w:color w:val="auto"/>
                <w:szCs w:val="21"/>
              </w:rPr>
            </w:pPr>
            <w:r>
              <w:rPr>
                <w:rFonts w:hint="eastAsia" w:ascii="宋体" w:hAnsi="宋体" w:cs="宋体"/>
                <w:color w:val="auto"/>
                <w:szCs w:val="21"/>
                <w:lang w:val="en-US" w:eastAsia="zh-CN"/>
              </w:rPr>
              <w:t>对</w:t>
            </w:r>
            <w:r>
              <w:rPr>
                <w:rFonts w:hint="eastAsia"/>
                <w:color w:val="auto"/>
                <w:lang w:val="en-US" w:eastAsia="zh-CN"/>
              </w:rPr>
              <w:t>BIM协调管理平台搭建提出合理、可行的建议；</w:t>
            </w:r>
            <w:r>
              <w:rPr>
                <w:rFonts w:hint="eastAsia" w:ascii="宋体" w:hAnsi="宋体" w:cs="宋体"/>
                <w:color w:val="auto"/>
                <w:szCs w:val="21"/>
              </w:rPr>
              <w:t>对项目管理体系的完善度，以及管理措施的科学性和效果性先进、可行。</w:t>
            </w:r>
          </w:p>
          <w:p>
            <w:pPr>
              <w:spacing w:line="340" w:lineRule="exact"/>
              <w:rPr>
                <w:rFonts w:ascii="宋体" w:hAnsi="宋体"/>
                <w:color w:val="auto"/>
                <w:szCs w:val="21"/>
              </w:rPr>
            </w:pPr>
            <w:r>
              <w:rPr>
                <w:rFonts w:hint="eastAsia" w:ascii="宋体" w:hAnsi="宋体" w:cs="宋体"/>
                <w:color w:val="auto"/>
                <w:szCs w:val="21"/>
                <w:highlight w:val="none"/>
              </w:rPr>
              <w:t>投标单位横向对比：优得(5，8]分；良得(3，5]分；一般得(1，3]分；差不得分。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10" w:type="dxa"/>
            <w:vMerge w:val="continue"/>
            <w:tcBorders>
              <w:left w:val="single" w:color="auto" w:sz="4" w:space="0"/>
              <w:right w:val="single" w:color="auto" w:sz="4" w:space="0"/>
            </w:tcBorders>
            <w:vAlign w:val="center"/>
          </w:tcPr>
          <w:p>
            <w:pPr>
              <w:spacing w:line="340" w:lineRule="exact"/>
              <w:rPr>
                <w:color w:val="auto"/>
              </w:rPr>
            </w:pPr>
          </w:p>
        </w:tc>
        <w:tc>
          <w:tcPr>
            <w:tcW w:w="655" w:type="dxa"/>
            <w:vMerge w:val="continue"/>
            <w:tcBorders>
              <w:left w:val="single" w:color="auto" w:sz="4" w:space="0"/>
              <w:right w:val="single" w:color="auto" w:sz="4" w:space="0"/>
            </w:tcBorders>
            <w:vAlign w:val="center"/>
          </w:tcPr>
          <w:p>
            <w:pPr>
              <w:spacing w:line="340" w:lineRule="exact"/>
              <w:rPr>
                <w:color w:val="auto"/>
              </w:rPr>
            </w:pPr>
          </w:p>
        </w:tc>
        <w:tc>
          <w:tcPr>
            <w:tcW w:w="1003" w:type="dxa"/>
            <w:tcBorders>
              <w:left w:val="single" w:color="auto" w:sz="4" w:space="0"/>
              <w:bottom w:val="single" w:color="auto" w:sz="4" w:space="0"/>
              <w:right w:val="single" w:color="auto" w:sz="4" w:space="0"/>
            </w:tcBorders>
            <w:vAlign w:val="center"/>
          </w:tcPr>
          <w:p>
            <w:pPr>
              <w:spacing w:line="340" w:lineRule="exact"/>
              <w:jc w:val="center"/>
              <w:rPr>
                <w:rFonts w:hint="default" w:ascii="Calibri" w:hAnsi="Calibri" w:eastAsia="宋体" w:cs="Times New Roman"/>
                <w:color w:val="auto"/>
                <w:kern w:val="2"/>
                <w:sz w:val="21"/>
                <w:szCs w:val="22"/>
                <w:highlight w:val="none"/>
                <w:lang w:val="en-US" w:eastAsia="zh-CN" w:bidi="ar-SA"/>
              </w:rPr>
            </w:pPr>
            <w:r>
              <w:rPr>
                <w:rFonts w:hint="eastAsia" w:ascii="宋体" w:hAnsi="宋体"/>
                <w:color w:val="auto"/>
                <w:szCs w:val="21"/>
                <w:highlight w:val="none"/>
                <w:lang w:eastAsia="zh-CN"/>
              </w:rPr>
              <w:t>4</w:t>
            </w:r>
          </w:p>
        </w:tc>
        <w:tc>
          <w:tcPr>
            <w:tcW w:w="2122" w:type="dxa"/>
            <w:tcBorders>
              <w:left w:val="single" w:color="auto" w:sz="4" w:space="0"/>
              <w:bottom w:val="single" w:color="auto" w:sz="4" w:space="0"/>
              <w:right w:val="single" w:color="auto" w:sz="4" w:space="0"/>
            </w:tcBorders>
            <w:vAlign w:val="center"/>
          </w:tcPr>
          <w:p>
            <w:pPr>
              <w:spacing w:line="340" w:lineRule="exact"/>
              <w:jc w:val="center"/>
              <w:rPr>
                <w:rFonts w:hint="eastAsia" w:ascii="Calibri" w:hAnsi="Calibri"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组织协调</w:t>
            </w:r>
          </w:p>
        </w:tc>
        <w:tc>
          <w:tcPr>
            <w:tcW w:w="86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rPr>
            </w:pPr>
            <w:r>
              <w:rPr>
                <w:rFonts w:hint="eastAsia" w:ascii="宋体" w:hAnsi="宋体" w:cs="宋体"/>
                <w:color w:val="auto"/>
                <w:szCs w:val="21"/>
              </w:rPr>
              <w:t>对项目</w:t>
            </w:r>
            <w:r>
              <w:rPr>
                <w:color w:val="auto"/>
              </w:rPr>
              <w:t>各参</w:t>
            </w:r>
            <w:r>
              <w:rPr>
                <w:rFonts w:hint="eastAsia"/>
                <w:color w:val="auto"/>
              </w:rPr>
              <w:t>建方的</w:t>
            </w:r>
            <w:r>
              <w:rPr>
                <w:color w:val="auto"/>
              </w:rPr>
              <w:t>BIM技术应用工作</w:t>
            </w:r>
            <w:r>
              <w:rPr>
                <w:rFonts w:hint="eastAsia"/>
                <w:color w:val="auto"/>
                <w:lang w:val="en-US" w:eastAsia="zh-CN"/>
              </w:rPr>
              <w:t>进行</w:t>
            </w:r>
            <w:r>
              <w:rPr>
                <w:rFonts w:hint="eastAsia" w:ascii="宋体" w:hAnsi="宋体" w:cs="宋体"/>
                <w:color w:val="auto"/>
                <w:szCs w:val="21"/>
              </w:rPr>
              <w:t>协调</w:t>
            </w:r>
            <w:r>
              <w:rPr>
                <w:rFonts w:hint="eastAsia" w:ascii="宋体" w:hAnsi="宋体" w:cs="宋体"/>
                <w:color w:val="auto"/>
                <w:szCs w:val="21"/>
                <w:lang w:eastAsia="zh-CN"/>
              </w:rPr>
              <w:t>，</w:t>
            </w:r>
            <w:r>
              <w:rPr>
                <w:rFonts w:hint="eastAsia" w:ascii="宋体" w:hAnsi="宋体" w:cs="宋体"/>
                <w:color w:val="auto"/>
                <w:szCs w:val="21"/>
                <w:lang w:val="en-US" w:eastAsia="zh-CN"/>
              </w:rPr>
              <w:t>并提出</w:t>
            </w:r>
            <w:r>
              <w:rPr>
                <w:rFonts w:hint="eastAsia"/>
                <w:color w:val="auto"/>
                <w:highlight w:val="none"/>
              </w:rPr>
              <w:t>合理有效</w:t>
            </w:r>
            <w:r>
              <w:rPr>
                <w:rFonts w:hint="eastAsia"/>
                <w:color w:val="auto"/>
                <w:highlight w:val="none"/>
                <w:lang w:val="en-US" w:eastAsia="zh-CN"/>
              </w:rPr>
              <w:t>的</w:t>
            </w:r>
            <w:r>
              <w:rPr>
                <w:rFonts w:hint="eastAsia"/>
                <w:color w:val="auto"/>
                <w:highlight w:val="none"/>
              </w:rPr>
              <w:t>协调方法</w:t>
            </w:r>
            <w:r>
              <w:rPr>
                <w:rFonts w:hint="eastAsia"/>
                <w:color w:val="auto"/>
                <w:highlight w:val="none"/>
                <w:lang w:val="en-US" w:eastAsia="zh-CN"/>
              </w:rPr>
              <w:t>及</w:t>
            </w:r>
            <w:r>
              <w:rPr>
                <w:rFonts w:hint="eastAsia"/>
                <w:color w:val="auto"/>
                <w:highlight w:val="none"/>
              </w:rPr>
              <w:t>具体</w:t>
            </w:r>
            <w:r>
              <w:rPr>
                <w:rFonts w:hint="eastAsia" w:ascii="宋体" w:hAnsi="宋体" w:cs="宋体"/>
                <w:color w:val="auto"/>
                <w:szCs w:val="21"/>
                <w:lang w:val="en-US" w:eastAsia="zh-CN"/>
              </w:rPr>
              <w:t>解决方案</w:t>
            </w:r>
            <w:r>
              <w:rPr>
                <w:rFonts w:hint="eastAsia" w:ascii="宋体" w:hAnsi="宋体" w:cs="宋体"/>
                <w:color w:val="auto"/>
                <w:szCs w:val="21"/>
              </w:rPr>
              <w:t>。</w:t>
            </w:r>
          </w:p>
          <w:p>
            <w:pPr>
              <w:spacing w:line="34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投标单位横向对比：优得(3，4]分；良得(2，3]分；一般得(1，2]分；差不得分。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10" w:type="dxa"/>
            <w:vMerge w:val="continue"/>
            <w:tcBorders>
              <w:left w:val="single" w:color="auto" w:sz="4" w:space="0"/>
              <w:right w:val="single" w:color="auto" w:sz="4" w:space="0"/>
            </w:tcBorders>
            <w:vAlign w:val="center"/>
          </w:tcPr>
          <w:p>
            <w:pPr>
              <w:spacing w:line="340" w:lineRule="exact"/>
              <w:rPr>
                <w:color w:val="auto"/>
              </w:rPr>
            </w:pPr>
          </w:p>
        </w:tc>
        <w:tc>
          <w:tcPr>
            <w:tcW w:w="655" w:type="dxa"/>
            <w:vMerge w:val="continue"/>
            <w:tcBorders>
              <w:left w:val="single" w:color="auto" w:sz="4" w:space="0"/>
              <w:right w:val="single" w:color="auto" w:sz="4" w:space="0"/>
            </w:tcBorders>
            <w:vAlign w:val="center"/>
          </w:tcPr>
          <w:p>
            <w:pPr>
              <w:spacing w:line="340" w:lineRule="exact"/>
              <w:rPr>
                <w:color w:val="auto"/>
              </w:rPr>
            </w:pPr>
          </w:p>
        </w:tc>
        <w:tc>
          <w:tcPr>
            <w:tcW w:w="1003" w:type="dxa"/>
            <w:tcBorders>
              <w:left w:val="single" w:color="auto" w:sz="4" w:space="0"/>
              <w:bottom w:val="single" w:color="auto" w:sz="4" w:space="0"/>
              <w:right w:val="single" w:color="auto" w:sz="4" w:space="0"/>
            </w:tcBorders>
            <w:vAlign w:val="center"/>
          </w:tcPr>
          <w:p>
            <w:pPr>
              <w:spacing w:line="340" w:lineRule="exact"/>
              <w:jc w:val="center"/>
              <w:rPr>
                <w:rFonts w:hint="eastAsia"/>
                <w:color w:val="auto"/>
                <w:highlight w:val="none"/>
              </w:rPr>
            </w:pPr>
            <w:r>
              <w:rPr>
                <w:rFonts w:hint="eastAsia" w:ascii="宋体" w:hAnsi="宋体"/>
                <w:color w:val="auto"/>
                <w:szCs w:val="21"/>
                <w:highlight w:val="none"/>
                <w:lang w:val="en-US" w:eastAsia="zh-CN"/>
              </w:rPr>
              <w:t>6</w:t>
            </w:r>
          </w:p>
        </w:tc>
        <w:tc>
          <w:tcPr>
            <w:tcW w:w="2122" w:type="dxa"/>
            <w:tcBorders>
              <w:left w:val="single" w:color="auto" w:sz="4" w:space="0"/>
              <w:bottom w:val="single" w:color="auto" w:sz="4" w:space="0"/>
              <w:right w:val="single" w:color="auto" w:sz="4" w:space="0"/>
            </w:tcBorders>
            <w:vAlign w:val="center"/>
          </w:tcPr>
          <w:p>
            <w:pPr>
              <w:spacing w:line="340" w:lineRule="exact"/>
              <w:jc w:val="center"/>
              <w:rPr>
                <w:color w:val="auto"/>
              </w:rPr>
            </w:pPr>
            <w:r>
              <w:rPr>
                <w:rFonts w:hint="eastAsia"/>
                <w:color w:val="auto"/>
              </w:rPr>
              <w:t>服务承诺</w:t>
            </w:r>
          </w:p>
        </w:tc>
        <w:tc>
          <w:tcPr>
            <w:tcW w:w="86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按招标文件格式五，提供了</w:t>
            </w:r>
            <w:r>
              <w:rPr>
                <w:rFonts w:hint="eastAsia" w:cs="宋体" w:asciiTheme="minorEastAsia" w:hAnsiTheme="minorEastAsia" w:eastAsiaTheme="minorEastAsia"/>
                <w:color w:val="auto"/>
                <w:kern w:val="0"/>
                <w:szCs w:val="21"/>
                <w:lang w:bidi="ar"/>
              </w:rPr>
              <w:t>《</w:t>
            </w:r>
            <w:r>
              <w:rPr>
                <w:rFonts w:hint="eastAsia" w:cs="宋体" w:asciiTheme="minorEastAsia" w:hAnsiTheme="minorEastAsia" w:eastAsiaTheme="minorEastAsia"/>
                <w:color w:val="auto"/>
                <w:kern w:val="0"/>
                <w:szCs w:val="21"/>
                <w:lang w:val="en-US" w:eastAsia="zh-CN" w:bidi="ar"/>
              </w:rPr>
              <w:t>服务</w:t>
            </w:r>
            <w:r>
              <w:rPr>
                <w:rFonts w:hint="eastAsia" w:cs="宋体" w:asciiTheme="minorEastAsia" w:hAnsiTheme="minorEastAsia" w:eastAsiaTheme="minorEastAsia"/>
                <w:color w:val="auto"/>
                <w:kern w:val="0"/>
                <w:szCs w:val="21"/>
                <w:lang w:bidi="ar"/>
              </w:rPr>
              <w:t>承诺》</w:t>
            </w:r>
            <w:r>
              <w:rPr>
                <w:rFonts w:hint="eastAsia" w:cs="宋体" w:asciiTheme="minorEastAsia" w:hAnsiTheme="minorEastAsia" w:eastAsiaTheme="minorEastAsia"/>
                <w:color w:val="auto"/>
                <w:kern w:val="0"/>
                <w:szCs w:val="21"/>
                <w:lang w:eastAsia="zh-CN" w:bidi="ar"/>
              </w:rPr>
              <w:t>，</w:t>
            </w:r>
            <w:r>
              <w:rPr>
                <w:rFonts w:hint="eastAsia" w:cs="宋体" w:asciiTheme="minorEastAsia" w:hAnsiTheme="minorEastAsia" w:eastAsiaTheme="minorEastAsia"/>
                <w:color w:val="auto"/>
                <w:kern w:val="0"/>
                <w:szCs w:val="21"/>
                <w:lang w:val="en-US" w:eastAsia="zh-CN" w:bidi="ar"/>
              </w:rPr>
              <w:t>得2分</w:t>
            </w:r>
            <w:r>
              <w:rPr>
                <w:rFonts w:hint="eastAsia"/>
                <w:color w:val="auto"/>
              </w:rPr>
              <w:t>。</w:t>
            </w:r>
          </w:p>
          <w:p>
            <w:pPr>
              <w:spacing w:line="340" w:lineRule="exact"/>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s="宋体" w:asciiTheme="minorEastAsia" w:hAnsiTheme="minorEastAsia" w:eastAsiaTheme="minorEastAsia"/>
                <w:color w:val="auto"/>
                <w:kern w:val="0"/>
                <w:szCs w:val="21"/>
                <w:lang w:bidi="ar"/>
              </w:rPr>
              <w:t>《</w:t>
            </w:r>
            <w:r>
              <w:rPr>
                <w:rFonts w:hint="eastAsia" w:cs="宋体" w:asciiTheme="minorEastAsia" w:hAnsiTheme="minorEastAsia" w:eastAsiaTheme="minorEastAsia"/>
                <w:color w:val="auto"/>
                <w:kern w:val="0"/>
                <w:szCs w:val="21"/>
                <w:lang w:val="en-US" w:eastAsia="zh-CN" w:bidi="ar"/>
              </w:rPr>
              <w:t>服务</w:t>
            </w:r>
            <w:r>
              <w:rPr>
                <w:rFonts w:hint="eastAsia" w:cs="宋体" w:asciiTheme="minorEastAsia" w:hAnsiTheme="minorEastAsia" w:eastAsiaTheme="minorEastAsia"/>
                <w:color w:val="auto"/>
                <w:kern w:val="0"/>
                <w:szCs w:val="21"/>
                <w:lang w:bidi="ar"/>
              </w:rPr>
              <w:t>承诺》中承诺的</w:t>
            </w:r>
            <w:r>
              <w:rPr>
                <w:rFonts w:hint="eastAsia" w:cs="宋体" w:asciiTheme="minorEastAsia" w:hAnsiTheme="minorEastAsia" w:eastAsiaTheme="minorEastAsia"/>
                <w:color w:val="auto"/>
                <w:kern w:val="0"/>
                <w:szCs w:val="21"/>
                <w:lang w:val="en-US" w:eastAsia="zh-CN" w:bidi="ar"/>
              </w:rPr>
              <w:t>增值服务</w:t>
            </w:r>
            <w:r>
              <w:rPr>
                <w:rFonts w:hint="eastAsia" w:cs="宋体" w:asciiTheme="minorEastAsia" w:hAnsiTheme="minorEastAsia" w:eastAsiaTheme="minorEastAsia"/>
                <w:color w:val="auto"/>
                <w:kern w:val="0"/>
                <w:szCs w:val="21"/>
                <w:lang w:bidi="ar"/>
              </w:rPr>
              <w:t>，</w:t>
            </w:r>
            <w:r>
              <w:rPr>
                <w:rFonts w:hint="eastAsia" w:ascii="宋体" w:hAnsi="宋体" w:cs="宋体"/>
                <w:color w:val="auto"/>
                <w:szCs w:val="21"/>
              </w:rPr>
              <w:t>投标单位横向对比：优得(3，4]分；良得(2，3]分；一般得(1，2]分；差不得分。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投标报价</w:t>
            </w:r>
          </w:p>
        </w:tc>
        <w:tc>
          <w:tcPr>
            <w:tcW w:w="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03" w:rightChars="-49"/>
              <w:jc w:val="center"/>
              <w:rPr>
                <w:rFonts w:ascii="宋体" w:hAnsi="宋体"/>
                <w:color w:val="auto"/>
                <w:szCs w:val="21"/>
              </w:rPr>
            </w:pPr>
            <w:r>
              <w:rPr>
                <w:rFonts w:hint="eastAsia" w:ascii="宋体" w:hAnsi="宋体"/>
                <w:color w:val="auto"/>
                <w:szCs w:val="21"/>
              </w:rPr>
              <w:t>20</w:t>
            </w:r>
          </w:p>
        </w:tc>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20</w:t>
            </w: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宋体" w:hAnsi="宋体"/>
                <w:color w:val="auto"/>
                <w:szCs w:val="21"/>
              </w:rPr>
            </w:pPr>
            <w:r>
              <w:rPr>
                <w:rFonts w:hint="eastAsia" w:ascii="宋体" w:hAnsi="宋体"/>
                <w:color w:val="auto"/>
                <w:szCs w:val="21"/>
              </w:rPr>
              <w:t>投标报价得分</w:t>
            </w:r>
          </w:p>
        </w:tc>
        <w:tc>
          <w:tcPr>
            <w:tcW w:w="866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rPr>
            </w:pPr>
            <w:r>
              <w:rPr>
                <w:color w:val="auto"/>
              </w:rPr>
              <w:t>以评标基准价作为计算各有效投标价得分的基础</w:t>
            </w:r>
            <w:r>
              <w:rPr>
                <w:rFonts w:hint="eastAsia"/>
                <w:color w:val="auto"/>
              </w:rPr>
              <w:t>。</w:t>
            </w:r>
            <w:r>
              <w:rPr>
                <w:rFonts w:hint="eastAsia" w:ascii="宋体" w:hAnsi="宋体"/>
                <w:color w:val="auto"/>
                <w:szCs w:val="21"/>
              </w:rPr>
              <w:t>当有效投标报价等于评标基准价时得20分；投标有效报价与评标基准价相比，每上偏1%扣1分，每下偏1%扣0.5分。</w:t>
            </w:r>
          </w:p>
        </w:tc>
      </w:tr>
    </w:tbl>
    <w:p>
      <w:pPr>
        <w:widowControl/>
        <w:spacing w:line="360" w:lineRule="exact"/>
        <w:ind w:left="0"/>
        <w:jc w:val="left"/>
        <w:rPr>
          <w:rFonts w:ascii="宋体" w:hAnsi="宋体"/>
          <w:color w:val="auto"/>
          <w:szCs w:val="21"/>
        </w:rPr>
      </w:pPr>
      <w:r>
        <w:rPr>
          <w:rFonts w:hint="eastAsia" w:ascii="宋体" w:hAnsi="宋体"/>
          <w:color w:val="auto"/>
          <w:szCs w:val="21"/>
          <w:lang w:val="en-US" w:eastAsia="zh-CN"/>
        </w:rPr>
        <w:t>备注</w:t>
      </w:r>
      <w:r>
        <w:rPr>
          <w:rFonts w:hint="eastAsia" w:ascii="宋体" w:hAnsi="宋体"/>
          <w:color w:val="auto"/>
          <w:szCs w:val="21"/>
        </w:rPr>
        <w:t>：</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rPr>
        <w:t>1、业绩证明材料：业绩证明文件包括合同关键页（包括体现合同工作内容、标的、签字盖章页、签署日期等）</w:t>
      </w:r>
      <w:r>
        <w:rPr>
          <w:rFonts w:hint="eastAsia" w:ascii="宋体" w:hAnsi="宋体"/>
          <w:color w:val="auto"/>
          <w:szCs w:val="21"/>
          <w:highlight w:val="none"/>
        </w:rPr>
        <w:t>以及成果</w:t>
      </w:r>
      <w:r>
        <w:rPr>
          <w:rFonts w:hint="eastAsia" w:ascii="宋体" w:hAnsi="宋体"/>
          <w:color w:val="auto"/>
          <w:szCs w:val="21"/>
          <w:highlight w:val="none"/>
          <w:lang w:eastAsia="zh-CN"/>
        </w:rPr>
        <w:t>证明</w:t>
      </w:r>
      <w:r>
        <w:rPr>
          <w:rFonts w:hint="eastAsia" w:ascii="宋体" w:hAnsi="宋体"/>
          <w:color w:val="auto"/>
          <w:szCs w:val="21"/>
          <w:highlight w:val="none"/>
        </w:rPr>
        <w:t>文件（或验收文件）扫描件加盖投标人电子印章，业绩日期以合同签署日期为准</w:t>
      </w:r>
      <w:r>
        <w:rPr>
          <w:rFonts w:ascii="宋体" w:hAnsi="宋体"/>
          <w:color w:val="auto"/>
          <w:szCs w:val="21"/>
          <w:highlight w:val="none"/>
        </w:rPr>
        <w:t>。</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、业绩获奖：</w:t>
      </w:r>
      <w:r>
        <w:rPr>
          <w:rFonts w:hint="eastAsia" w:ascii="宋体" w:hAnsi="宋体"/>
          <w:color w:val="auto"/>
          <w:szCs w:val="21"/>
          <w:highlight w:val="none"/>
        </w:rPr>
        <w:t>获奖时间以证书颁发日期为准，同时提供对应的项目合同关键页（包括体现合同工作内容、标的、签字盖章页、签署日期等）扫描件加盖投标人电子印章（包括体现合同标的、合同金额、签字盖章页、签署日期等）。</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、拟投入的项目负责人必须为公司正式员工，需提供</w:t>
      </w:r>
      <w:r>
        <w:rPr>
          <w:rFonts w:hint="eastAsia" w:ascii="宋体" w:hAnsi="宋体"/>
          <w:color w:val="auto"/>
          <w:szCs w:val="21"/>
          <w:highlight w:val="none"/>
          <w:lang w:eastAsia="zh-CN"/>
        </w:rPr>
        <w:t>资格证书或注册证书或职称证书及</w:t>
      </w: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月社保证明及业绩证明材料扫描件,否则不得分。</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、拟投入的团队人员必须为公司正式员工，需提供</w:t>
      </w:r>
      <w:r>
        <w:rPr>
          <w:rFonts w:hint="eastAsia" w:ascii="宋体" w:hAnsi="宋体"/>
          <w:color w:val="auto"/>
          <w:szCs w:val="21"/>
          <w:highlight w:val="none"/>
          <w:lang w:eastAsia="zh-CN"/>
        </w:rPr>
        <w:t>资格证书或注册证书或职称证书</w:t>
      </w:r>
      <w:r>
        <w:rPr>
          <w:rFonts w:ascii="宋体" w:hAnsi="宋体"/>
          <w:color w:val="auto"/>
          <w:szCs w:val="21"/>
          <w:highlight w:val="none"/>
        </w:rPr>
        <w:t>及</w:t>
      </w: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月社保证明扫描件，</w:t>
      </w:r>
      <w:r>
        <w:rPr>
          <w:rFonts w:hint="eastAsia" w:ascii="宋体" w:hAnsi="宋体"/>
          <w:color w:val="auto"/>
          <w:szCs w:val="21"/>
          <w:highlight w:val="none"/>
          <w:lang w:eastAsia="zh-CN"/>
        </w:rPr>
        <w:t>注册证书需提供注册在投标人单位的注册证明材料扫描件，</w:t>
      </w:r>
      <w:r>
        <w:rPr>
          <w:rFonts w:hint="eastAsia" w:ascii="宋体" w:hAnsi="宋体"/>
          <w:color w:val="auto"/>
          <w:szCs w:val="21"/>
          <w:highlight w:val="none"/>
        </w:rPr>
        <w:t>否则不得分。</w:t>
      </w:r>
    </w:p>
    <w:p>
      <w:pPr>
        <w:widowControl/>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、评分如出现小数点，则保留小数点后两位，第三位四舍五入。</w:t>
      </w:r>
    </w:p>
    <w:p>
      <w:pPr>
        <w:widowControl/>
        <w:snapToGrid/>
        <w:spacing w:line="360" w:lineRule="exact"/>
        <w:ind w:firstLine="735" w:firstLineChars="350"/>
        <w:jc w:val="left"/>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6、</w:t>
      </w:r>
      <w:r>
        <w:rPr>
          <w:rFonts w:hint="eastAsia" w:ascii="宋体" w:hAnsi="宋体" w:eastAsia="宋体" w:cs="Times New Roman"/>
          <w:b w:val="0"/>
          <w:bCs w:val="0"/>
          <w:color w:val="auto"/>
          <w:sz w:val="21"/>
          <w:szCs w:val="21"/>
          <w:highlight w:val="none"/>
        </w:rPr>
        <w:t>若以联合体方式参与投标的，商务技术部分</w:t>
      </w:r>
      <w:r>
        <w:rPr>
          <w:rFonts w:hint="eastAsia" w:ascii="宋体" w:hAnsi="宋体" w:eastAsia="宋体" w:cs="Times New Roman"/>
          <w:b w:val="0"/>
          <w:bCs w:val="0"/>
          <w:color w:val="auto"/>
          <w:kern w:val="2"/>
          <w:sz w:val="21"/>
          <w:szCs w:val="21"/>
          <w:highlight w:val="none"/>
        </w:rPr>
        <w:t>评审</w:t>
      </w:r>
      <w:r>
        <w:rPr>
          <w:rFonts w:hint="eastAsia" w:ascii="宋体" w:hAnsi="宋体" w:cs="Times New Roman"/>
          <w:b w:val="0"/>
          <w:bCs w:val="0"/>
          <w:color w:val="auto"/>
          <w:kern w:val="2"/>
          <w:sz w:val="21"/>
          <w:szCs w:val="21"/>
          <w:highlight w:val="none"/>
          <w:lang w:eastAsia="zh-CN"/>
        </w:rPr>
        <w:t>中“团队人员基本配置要求”可以由联合体各方累计</w:t>
      </w:r>
      <w:r>
        <w:rPr>
          <w:rFonts w:hint="eastAsia" w:ascii="宋体" w:hAnsi="宋体" w:cs="Times New Roman"/>
          <w:b w:val="0"/>
          <w:bCs w:val="0"/>
          <w:color w:val="auto"/>
          <w:kern w:val="2"/>
          <w:sz w:val="21"/>
          <w:szCs w:val="21"/>
          <w:highlight w:val="none"/>
          <w:lang w:val="en-US" w:eastAsia="zh-CN"/>
        </w:rPr>
        <w:t>计分</w:t>
      </w:r>
      <w:r>
        <w:rPr>
          <w:rFonts w:hint="eastAsia" w:ascii="宋体" w:hAnsi="宋体" w:cs="Times New Roman"/>
          <w:b w:val="0"/>
          <w:bCs w:val="0"/>
          <w:color w:val="auto"/>
          <w:kern w:val="2"/>
          <w:sz w:val="21"/>
          <w:szCs w:val="21"/>
          <w:highlight w:val="none"/>
          <w:lang w:eastAsia="zh-CN"/>
        </w:rPr>
        <w:t>，其余评审</w:t>
      </w:r>
      <w:r>
        <w:rPr>
          <w:rFonts w:hint="eastAsia" w:ascii="宋体" w:hAnsi="宋体" w:eastAsia="宋体" w:cs="Times New Roman"/>
          <w:b w:val="0"/>
          <w:bCs w:val="0"/>
          <w:color w:val="auto"/>
          <w:kern w:val="2"/>
          <w:sz w:val="21"/>
          <w:szCs w:val="21"/>
          <w:highlight w:val="none"/>
        </w:rPr>
        <w:t>项</w:t>
      </w:r>
      <w:r>
        <w:rPr>
          <w:rFonts w:hint="eastAsia" w:ascii="宋体" w:hAnsi="宋体" w:cs="Times New Roman"/>
          <w:b w:val="0"/>
          <w:bCs w:val="0"/>
          <w:color w:val="auto"/>
          <w:kern w:val="2"/>
          <w:sz w:val="21"/>
          <w:szCs w:val="21"/>
          <w:highlight w:val="none"/>
          <w:lang w:eastAsia="zh-CN"/>
        </w:rPr>
        <w:t>均</w:t>
      </w:r>
      <w:r>
        <w:rPr>
          <w:rFonts w:hint="eastAsia" w:ascii="宋体" w:hAnsi="宋体" w:eastAsia="宋体" w:cs="Times New Roman"/>
          <w:b w:val="0"/>
          <w:bCs w:val="0"/>
          <w:color w:val="auto"/>
          <w:sz w:val="21"/>
          <w:szCs w:val="21"/>
          <w:highlight w:val="none"/>
        </w:rPr>
        <w:t>以联合体主办方信息为准，联合体其他成员单位不进行累计计分。</w:t>
      </w:r>
    </w:p>
    <w:p>
      <w:pPr>
        <w:tabs>
          <w:tab w:val="left" w:pos="720"/>
        </w:tabs>
        <w:snapToGrid w:val="0"/>
        <w:jc w:val="left"/>
        <w:rPr>
          <w:rFonts w:ascii="宋体" w:hAnsi="宋体"/>
          <w:color w:val="auto"/>
          <w:sz w:val="18"/>
          <w:szCs w:val="18"/>
        </w:rPr>
      </w:pPr>
    </w:p>
    <w:p>
      <w:pPr>
        <w:widowControl/>
        <w:spacing w:line="360" w:lineRule="auto"/>
        <w:jc w:val="left"/>
        <w:rPr>
          <w:rFonts w:ascii="宋体"/>
          <w:bCs/>
          <w:color w:val="auto"/>
          <w:szCs w:val="21"/>
        </w:rPr>
        <w:sectPr>
          <w:pgSz w:w="16838" w:h="11906" w:orient="landscape"/>
          <w:pgMar w:top="1803" w:right="1440" w:bottom="1803" w:left="1440" w:header="850" w:footer="992" w:gutter="0"/>
          <w:pgNumType w:fmt="decimal"/>
          <w:cols w:space="720" w:num="1"/>
          <w:docGrid w:linePitch="312" w:charSpace="0"/>
        </w:sectPr>
      </w:pPr>
      <w:r>
        <w:rPr>
          <w:rFonts w:hint="eastAsia" w:ascii="宋体"/>
          <w:bCs/>
          <w:color w:val="auto"/>
          <w:szCs w:val="21"/>
        </w:rPr>
        <w:t>评标委员（签名）：                                             日期：</w:t>
      </w:r>
    </w:p>
    <w:p>
      <w:pPr>
        <w:pStyle w:val="6"/>
        <w:rPr>
          <w:rFonts w:ascii="Times New Roman" w:hAnsi="Times New Roman"/>
          <w:color w:val="auto"/>
        </w:rPr>
      </w:pPr>
      <w:r>
        <w:rPr>
          <w:rFonts w:ascii="Times New Roman" w:hAnsi="Times New Roman"/>
          <w:color w:val="auto"/>
        </w:rPr>
        <w:t>1. 评标方法</w:t>
      </w:r>
      <w:bookmarkEnd w:id="75"/>
    </w:p>
    <w:p>
      <w:pPr>
        <w:pStyle w:val="29"/>
        <w:spacing w:line="360" w:lineRule="auto"/>
        <w:ind w:firstLine="480"/>
        <w:rPr>
          <w:rFonts w:cs="Times New Roman"/>
          <w:color w:val="auto"/>
          <w:szCs w:val="22"/>
        </w:rPr>
      </w:pPr>
      <w:bookmarkStart w:id="76" w:name="_Toc492300629"/>
      <w:r>
        <w:rPr>
          <w:rFonts w:hint="eastAsia" w:cs="Times New Roman"/>
          <w:color w:val="auto"/>
          <w:szCs w:val="22"/>
        </w:rPr>
        <w:t>本</w:t>
      </w:r>
      <w:r>
        <w:rPr>
          <w:rFonts w:cs="Times New Roman"/>
          <w:color w:val="auto"/>
          <w:szCs w:val="22"/>
        </w:rPr>
        <w:t>次评标采用综合评估法。评标委员会对满足招标文件实质性要求的投标文件，按照本章第 2.2 款规定的评分标准进行打分，并</w:t>
      </w:r>
      <w:r>
        <w:rPr>
          <w:rFonts w:hint="eastAsia" w:cs="Times New Roman"/>
          <w:color w:val="auto"/>
          <w:szCs w:val="22"/>
        </w:rPr>
        <w:t>按投标人综合得分由高到低排序前3名作为第一、第二、第三中标候选人。综合得分相同时，</w:t>
      </w:r>
      <w:r>
        <w:rPr>
          <w:rFonts w:hint="eastAsia" w:cs="Times New Roman"/>
          <w:color w:val="auto"/>
          <w:szCs w:val="22"/>
          <w:lang w:val="en-US" w:eastAsia="zh-CN"/>
        </w:rPr>
        <w:t>按照评标办法前附表的规定确定中标候选人顺序</w:t>
      </w:r>
      <w:r>
        <w:rPr>
          <w:rFonts w:hint="eastAsia" w:cs="Times New Roman"/>
          <w:color w:val="auto"/>
          <w:szCs w:val="22"/>
        </w:rPr>
        <w:t>。</w:t>
      </w:r>
    </w:p>
    <w:p>
      <w:pPr>
        <w:pStyle w:val="6"/>
        <w:rPr>
          <w:rFonts w:ascii="Times New Roman" w:hAnsi="Times New Roman"/>
          <w:color w:val="auto"/>
        </w:rPr>
      </w:pPr>
      <w:r>
        <w:rPr>
          <w:rFonts w:ascii="Times New Roman" w:hAnsi="Times New Roman"/>
          <w:color w:val="auto"/>
        </w:rPr>
        <w:t>2. 评审标准</w:t>
      </w:r>
      <w:bookmarkEnd w:id="76"/>
    </w:p>
    <w:p>
      <w:pPr>
        <w:pStyle w:val="7"/>
        <w:spacing w:line="240" w:lineRule="auto"/>
        <w:ind w:firstLine="137"/>
        <w:rPr>
          <w:rFonts w:ascii="Times New Roman"/>
          <w:color w:val="auto"/>
        </w:rPr>
      </w:pPr>
      <w:bookmarkStart w:id="77" w:name="_Toc492300630"/>
      <w:r>
        <w:rPr>
          <w:rFonts w:ascii="Times New Roman"/>
          <w:color w:val="auto"/>
        </w:rPr>
        <w:t>2.1 初步评审标准</w:t>
      </w:r>
      <w:bookmarkEnd w:id="77"/>
    </w:p>
    <w:p>
      <w:pPr>
        <w:spacing w:line="400" w:lineRule="exact"/>
        <w:ind w:firstLine="420" w:firstLineChars="200"/>
        <w:rPr>
          <w:color w:val="auto"/>
        </w:rPr>
      </w:pPr>
      <w:r>
        <w:rPr>
          <w:color w:val="auto"/>
        </w:rPr>
        <w:t>2.1.1 形式评审标准：见评标办法前附表。</w:t>
      </w:r>
    </w:p>
    <w:p>
      <w:pPr>
        <w:spacing w:line="400" w:lineRule="exact"/>
        <w:ind w:firstLine="420" w:firstLineChars="200"/>
        <w:rPr>
          <w:color w:val="auto"/>
        </w:rPr>
      </w:pPr>
      <w:r>
        <w:rPr>
          <w:color w:val="auto"/>
        </w:rPr>
        <w:t>2.1.2 资格评审标准：见评标办法前附表。</w:t>
      </w:r>
    </w:p>
    <w:p>
      <w:pPr>
        <w:spacing w:line="400" w:lineRule="exact"/>
        <w:ind w:firstLine="420" w:firstLineChars="200"/>
        <w:rPr>
          <w:color w:val="auto"/>
        </w:rPr>
      </w:pPr>
      <w:r>
        <w:rPr>
          <w:color w:val="auto"/>
        </w:rPr>
        <w:t>2.1.3 响应性评审标准：见评标办法前附表。</w:t>
      </w:r>
    </w:p>
    <w:p>
      <w:pPr>
        <w:pStyle w:val="7"/>
        <w:spacing w:line="240" w:lineRule="auto"/>
        <w:ind w:firstLine="137"/>
        <w:rPr>
          <w:rFonts w:ascii="Times New Roman"/>
          <w:color w:val="auto"/>
        </w:rPr>
      </w:pPr>
      <w:bookmarkStart w:id="78" w:name="_Toc492300631"/>
      <w:r>
        <w:rPr>
          <w:rFonts w:ascii="Times New Roman"/>
          <w:color w:val="auto"/>
        </w:rPr>
        <w:t>2.2 分值构成与评分标准</w:t>
      </w:r>
      <w:bookmarkEnd w:id="78"/>
    </w:p>
    <w:p>
      <w:pPr>
        <w:spacing w:line="400" w:lineRule="exact"/>
        <w:ind w:firstLine="420" w:firstLineChars="200"/>
        <w:rPr>
          <w:color w:val="auto"/>
        </w:rPr>
      </w:pPr>
      <w:r>
        <w:rPr>
          <w:color w:val="auto"/>
        </w:rPr>
        <w:t>2.2.1 分值构成</w:t>
      </w:r>
    </w:p>
    <w:p>
      <w:pPr>
        <w:spacing w:line="400" w:lineRule="exact"/>
        <w:ind w:firstLine="420" w:firstLineChars="200"/>
        <w:rPr>
          <w:color w:val="auto"/>
        </w:rPr>
      </w:pPr>
      <w:r>
        <w:rPr>
          <w:color w:val="auto"/>
        </w:rPr>
        <w:t>见评标办法前附表；</w:t>
      </w:r>
    </w:p>
    <w:p>
      <w:pPr>
        <w:spacing w:line="400" w:lineRule="exact"/>
        <w:ind w:firstLine="420" w:firstLineChars="200"/>
        <w:rPr>
          <w:color w:val="auto"/>
        </w:rPr>
      </w:pPr>
      <w:r>
        <w:rPr>
          <w:color w:val="auto"/>
        </w:rPr>
        <w:t>2.2.2 评标基准价计算</w:t>
      </w:r>
    </w:p>
    <w:p>
      <w:pPr>
        <w:spacing w:line="400" w:lineRule="exact"/>
        <w:ind w:firstLine="420" w:firstLineChars="200"/>
        <w:rPr>
          <w:color w:val="auto"/>
        </w:rPr>
      </w:pPr>
      <w:r>
        <w:rPr>
          <w:color w:val="auto"/>
        </w:rPr>
        <w:t>评标基准价计算方法：见评标办法前附表。</w:t>
      </w:r>
    </w:p>
    <w:p>
      <w:pPr>
        <w:spacing w:line="400" w:lineRule="exact"/>
        <w:ind w:firstLine="420" w:firstLineChars="200"/>
        <w:rPr>
          <w:color w:val="auto"/>
        </w:rPr>
      </w:pPr>
      <w:r>
        <w:rPr>
          <w:color w:val="auto"/>
        </w:rPr>
        <w:t>2.2.3 投标报价的偏差率计算</w:t>
      </w:r>
    </w:p>
    <w:p>
      <w:pPr>
        <w:spacing w:line="400" w:lineRule="exact"/>
        <w:ind w:firstLine="420" w:firstLineChars="200"/>
        <w:rPr>
          <w:color w:val="auto"/>
        </w:rPr>
      </w:pPr>
      <w:r>
        <w:rPr>
          <w:color w:val="auto"/>
        </w:rPr>
        <w:t>投标报价的偏差率计算公式：见评标办法前附表。</w:t>
      </w:r>
    </w:p>
    <w:p>
      <w:pPr>
        <w:spacing w:line="400" w:lineRule="exact"/>
        <w:ind w:firstLine="420" w:firstLineChars="200"/>
        <w:rPr>
          <w:color w:val="auto"/>
        </w:rPr>
      </w:pPr>
      <w:r>
        <w:rPr>
          <w:color w:val="auto"/>
        </w:rPr>
        <w:t>2.2.4 评分标准</w:t>
      </w:r>
    </w:p>
    <w:p>
      <w:pPr>
        <w:spacing w:line="360" w:lineRule="auto"/>
        <w:ind w:left="780"/>
        <w:rPr>
          <w:rFonts w:ascii="宋体" w:hAnsi="宋体"/>
          <w:color w:val="auto"/>
        </w:rPr>
      </w:pPr>
      <w:bookmarkStart w:id="79" w:name="_Toc492300632"/>
      <w:r>
        <w:rPr>
          <w:rFonts w:hint="eastAsia" w:ascii="宋体" w:hAnsi="宋体" w:cs="宋体"/>
          <w:color w:val="auto"/>
        </w:rPr>
        <w:t>（1）商务技术</w:t>
      </w:r>
      <w:r>
        <w:rPr>
          <w:rFonts w:ascii="宋体" w:hAnsi="宋体" w:cs="宋体"/>
          <w:color w:val="auto"/>
        </w:rPr>
        <w:t>评分标准：见评标办法前附表；</w:t>
      </w:r>
    </w:p>
    <w:p>
      <w:pPr>
        <w:spacing w:line="360" w:lineRule="auto"/>
        <w:ind w:left="780"/>
        <w:rPr>
          <w:rFonts w:ascii="宋体" w:hAnsi="宋体" w:cs="宋体"/>
          <w:color w:val="auto"/>
        </w:rPr>
      </w:pPr>
      <w:r>
        <w:rPr>
          <w:rFonts w:hint="eastAsia" w:ascii="宋体" w:hAnsi="宋体" w:cs="宋体"/>
          <w:color w:val="auto"/>
        </w:rPr>
        <w:t>（2）投标报价评分标准：见评标办法前附表；</w:t>
      </w:r>
    </w:p>
    <w:p>
      <w:pPr>
        <w:pStyle w:val="6"/>
        <w:rPr>
          <w:rFonts w:ascii="Times New Roman" w:hAnsi="Times New Roman"/>
          <w:color w:val="auto"/>
        </w:rPr>
      </w:pPr>
      <w:r>
        <w:rPr>
          <w:rFonts w:ascii="Times New Roman" w:hAnsi="Times New Roman"/>
          <w:color w:val="auto"/>
        </w:rPr>
        <w:t>3. 评标程序</w:t>
      </w:r>
      <w:bookmarkEnd w:id="79"/>
    </w:p>
    <w:p>
      <w:pPr>
        <w:pStyle w:val="7"/>
        <w:spacing w:line="240" w:lineRule="auto"/>
        <w:ind w:firstLine="137"/>
        <w:rPr>
          <w:rFonts w:ascii="Times New Roman"/>
          <w:color w:val="auto"/>
        </w:rPr>
      </w:pPr>
      <w:bookmarkStart w:id="80" w:name="_Toc492300633"/>
      <w:r>
        <w:rPr>
          <w:rFonts w:ascii="Times New Roman"/>
          <w:color w:val="auto"/>
        </w:rPr>
        <w:t>3.1 初步评审</w:t>
      </w:r>
      <w:bookmarkEnd w:id="80"/>
    </w:p>
    <w:p>
      <w:pPr>
        <w:spacing w:line="400" w:lineRule="exact"/>
        <w:ind w:firstLine="420" w:firstLineChars="200"/>
        <w:rPr>
          <w:color w:val="auto"/>
        </w:rPr>
      </w:pPr>
      <w:r>
        <w:rPr>
          <w:color w:val="auto"/>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color w:val="auto"/>
        </w:rPr>
      </w:pPr>
      <w:r>
        <w:rPr>
          <w:color w:val="auto"/>
        </w:rPr>
        <w:t>3.1.2 投标人有以下情形之一的，评标委员会应当否决其投标：</w:t>
      </w:r>
    </w:p>
    <w:p>
      <w:pPr>
        <w:spacing w:line="400" w:lineRule="exact"/>
        <w:ind w:firstLine="420" w:firstLineChars="200"/>
        <w:rPr>
          <w:color w:val="auto"/>
        </w:rPr>
      </w:pPr>
      <w:r>
        <w:rPr>
          <w:color w:val="auto"/>
        </w:rPr>
        <w:t>（1）投标文件没有对招标文件的实质性要求和条件作出响应，或者对招标文件的偏差超出招标文件规定的偏差范围或最高项数；</w:t>
      </w:r>
    </w:p>
    <w:p>
      <w:pPr>
        <w:spacing w:line="400" w:lineRule="exact"/>
        <w:ind w:firstLine="420" w:firstLineChars="200"/>
        <w:rPr>
          <w:color w:val="auto"/>
        </w:rPr>
      </w:pPr>
      <w:r>
        <w:rPr>
          <w:color w:val="auto"/>
        </w:rPr>
        <w:t>（2）有串通投标、弄虚作假、行贿等违法行为。</w:t>
      </w:r>
    </w:p>
    <w:p>
      <w:pPr>
        <w:spacing w:line="400" w:lineRule="exact"/>
        <w:ind w:firstLine="420" w:firstLineChars="200"/>
        <w:rPr>
          <w:color w:val="auto"/>
        </w:rPr>
      </w:pPr>
      <w:r>
        <w:rPr>
          <w:color w:val="auto"/>
        </w:rPr>
        <w:t>3.1.3 投标报价有算术错误及其他错误的，评标委员会按以下原则要求投标人对投标报价进</w:t>
      </w:r>
      <w:bookmarkStart w:id="81" w:name="_Toc144974570"/>
      <w:bookmarkStart w:id="82" w:name="_Toc352691538"/>
      <w:bookmarkStart w:id="83" w:name="_Toc152042380"/>
      <w:bookmarkStart w:id="84" w:name="_Toc247527628"/>
      <w:bookmarkStart w:id="85" w:name="_Toc300835013"/>
      <w:bookmarkStart w:id="86" w:name="_Toc247514027"/>
      <w:bookmarkStart w:id="87" w:name="_Toc152045603"/>
      <w:bookmarkStart w:id="88" w:name="_Toc361508651"/>
      <w:bookmarkStart w:id="89" w:name="_Toc2907"/>
      <w:bookmarkStart w:id="90" w:name="_Toc369531582"/>
      <w:bookmarkStart w:id="91" w:name="_Toc384308277"/>
      <w:r>
        <w:rPr>
          <w:color w:val="auto"/>
        </w:rPr>
        <w:t>行修正，并要求投标人书面澄清确认。</w:t>
      </w:r>
      <w:bookmarkEnd w:id="81"/>
      <w:bookmarkEnd w:id="82"/>
      <w:bookmarkEnd w:id="83"/>
      <w:bookmarkEnd w:id="84"/>
      <w:bookmarkEnd w:id="85"/>
      <w:bookmarkEnd w:id="86"/>
      <w:bookmarkEnd w:id="87"/>
      <w:bookmarkEnd w:id="88"/>
      <w:bookmarkEnd w:id="89"/>
      <w:bookmarkEnd w:id="90"/>
      <w:bookmarkEnd w:id="91"/>
      <w:r>
        <w:rPr>
          <w:color w:val="auto"/>
        </w:rPr>
        <w:t>投标人拒不澄清确认的，评标委员会应当否决其投标：</w:t>
      </w:r>
    </w:p>
    <w:p>
      <w:pPr>
        <w:spacing w:line="400" w:lineRule="exact"/>
        <w:ind w:firstLine="420" w:firstLineChars="200"/>
        <w:rPr>
          <w:color w:val="auto"/>
        </w:rPr>
      </w:pPr>
      <w:r>
        <w:rPr>
          <w:color w:val="auto"/>
        </w:rPr>
        <w:t>（1）投标文件中的大写金额与小写金额不一致的，以大写金额为准；</w:t>
      </w:r>
    </w:p>
    <w:p>
      <w:pPr>
        <w:spacing w:line="400" w:lineRule="exact"/>
        <w:ind w:firstLine="420" w:firstLineChars="200"/>
        <w:rPr>
          <w:color w:val="auto"/>
        </w:rPr>
      </w:pPr>
      <w:r>
        <w:rPr>
          <w:color w:val="auto"/>
        </w:rPr>
        <w:t>（2）总价金额与单价金额不一致的，以单价金额为准，但单价金额小数点有明显错误的除外</w:t>
      </w:r>
      <w:r>
        <w:rPr>
          <w:rFonts w:hint="eastAsia"/>
          <w:color w:val="auto"/>
        </w:rPr>
        <w:t>。</w:t>
      </w:r>
    </w:p>
    <w:p>
      <w:pPr>
        <w:pStyle w:val="7"/>
        <w:spacing w:line="240" w:lineRule="auto"/>
        <w:ind w:firstLine="137"/>
        <w:rPr>
          <w:rFonts w:ascii="Times New Roman"/>
          <w:color w:val="auto"/>
        </w:rPr>
      </w:pPr>
      <w:bookmarkStart w:id="92" w:name="_Toc492300634"/>
      <w:r>
        <w:rPr>
          <w:rFonts w:ascii="Times New Roman"/>
          <w:color w:val="auto"/>
        </w:rPr>
        <w:t>3.2 详细评审</w:t>
      </w:r>
      <w:bookmarkEnd w:id="92"/>
    </w:p>
    <w:p>
      <w:pPr>
        <w:spacing w:line="400" w:lineRule="exact"/>
        <w:ind w:firstLine="420" w:firstLineChars="200"/>
        <w:rPr>
          <w:color w:val="auto"/>
        </w:rPr>
      </w:pPr>
      <w:r>
        <w:rPr>
          <w:color w:val="auto"/>
        </w:rPr>
        <w:t>3.2.1 评标委员会按本章第2.2款规定的量化因素和分值进行打分，并计算出综合评估得分。</w:t>
      </w:r>
    </w:p>
    <w:p>
      <w:pPr>
        <w:spacing w:line="400" w:lineRule="exact"/>
        <w:ind w:firstLine="420" w:firstLineChars="200"/>
        <w:rPr>
          <w:color w:val="auto"/>
        </w:rPr>
      </w:pPr>
      <w:r>
        <w:rPr>
          <w:color w:val="auto"/>
        </w:rPr>
        <w:t>3.2.2 评分分值计算保留小数点后两位，小数点后第三位“四舍五入”。</w:t>
      </w:r>
    </w:p>
    <w:p>
      <w:pPr>
        <w:spacing w:line="400" w:lineRule="exact"/>
        <w:ind w:firstLine="420" w:firstLineChars="200"/>
        <w:rPr>
          <w:color w:val="auto"/>
        </w:rPr>
      </w:pPr>
      <w:r>
        <w:rPr>
          <w:color w:val="auto"/>
        </w:rPr>
        <w:t xml:space="preserve">3.2.3 </w:t>
      </w:r>
      <w:r>
        <w:rPr>
          <w:rFonts w:hint="eastAsia"/>
          <w:color w:val="auto"/>
        </w:rPr>
        <w:t>计算投标人综合得分（满分100分），投标人综合得分=商务技术得分（80分）+报价得分（20分）</w:t>
      </w:r>
    </w:p>
    <w:p>
      <w:pPr>
        <w:spacing w:line="400" w:lineRule="exact"/>
        <w:ind w:firstLine="420" w:firstLineChars="200"/>
        <w:rPr>
          <w:color w:val="auto"/>
        </w:rPr>
      </w:pPr>
      <w:r>
        <w:rPr>
          <w:color w:val="auto"/>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idowControl/>
        <w:spacing w:before="0" w:beforeAutospacing="0" w:after="0" w:afterAutospacing="0" w:line="400" w:lineRule="exact"/>
        <w:ind w:firstLine="420" w:firstLineChars="200"/>
        <w:jc w:val="left"/>
        <w:rPr>
          <w:rFonts w:ascii="宋体" w:hAnsi="宋体" w:cs="楷体"/>
          <w:color w:val="auto"/>
          <w:kern w:val="0"/>
          <w:szCs w:val="21"/>
          <w:u w:val="single"/>
        </w:rPr>
      </w:pPr>
      <w:r>
        <w:rPr>
          <w:rFonts w:hint="eastAsia"/>
          <w:color w:val="auto"/>
        </w:rPr>
        <w:t>3.2.5评标基准价的确定：</w:t>
      </w:r>
      <w:r>
        <w:rPr>
          <w:rFonts w:hint="eastAsia"/>
          <w:color w:val="auto"/>
          <w:u w:val="single"/>
        </w:rPr>
        <w:t>见评标办法前附表</w:t>
      </w:r>
      <w:r>
        <w:rPr>
          <w:rFonts w:hint="eastAsia" w:ascii="宋体" w:hAnsi="宋体" w:cs="楷体"/>
          <w:color w:val="auto"/>
          <w:kern w:val="0"/>
          <w:szCs w:val="21"/>
          <w:u w:val="single"/>
        </w:rPr>
        <w:t>。</w:t>
      </w:r>
    </w:p>
    <w:p>
      <w:pPr>
        <w:pStyle w:val="7"/>
        <w:spacing w:line="240" w:lineRule="auto"/>
        <w:ind w:firstLine="137"/>
        <w:rPr>
          <w:rFonts w:ascii="Times New Roman"/>
          <w:color w:val="auto"/>
        </w:rPr>
      </w:pPr>
      <w:bookmarkStart w:id="93" w:name="_Toc492300635"/>
      <w:r>
        <w:rPr>
          <w:rFonts w:ascii="Times New Roman"/>
          <w:color w:val="auto"/>
        </w:rPr>
        <w:t>3.3 投标文件的澄清</w:t>
      </w:r>
      <w:bookmarkEnd w:id="93"/>
    </w:p>
    <w:p>
      <w:pPr>
        <w:spacing w:line="400" w:lineRule="exact"/>
        <w:ind w:firstLine="420" w:firstLineChars="200"/>
        <w:rPr>
          <w:color w:val="auto"/>
        </w:rPr>
      </w:pPr>
      <w:r>
        <w:rPr>
          <w:color w:val="auto"/>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color w:val="auto"/>
        </w:rPr>
      </w:pPr>
      <w:r>
        <w:rPr>
          <w:color w:val="auto"/>
        </w:rPr>
        <w:t>3.3.2 澄清、说明或补正不得超出投标文件的范围且不得改变投标文件的实质性内容，并构成投标文件的组成部分。</w:t>
      </w:r>
    </w:p>
    <w:p>
      <w:pPr>
        <w:spacing w:line="400" w:lineRule="exact"/>
        <w:ind w:firstLine="420" w:firstLineChars="200"/>
        <w:rPr>
          <w:color w:val="auto"/>
        </w:rPr>
      </w:pPr>
      <w:r>
        <w:rPr>
          <w:color w:val="auto"/>
        </w:rPr>
        <w:t>3.3.3 评标委员会对投标人提交的澄清、说明或补正有疑问的，可以要求投标人进一步澄清、说明或补正，直至满足评标委员会的要求。</w:t>
      </w:r>
    </w:p>
    <w:p>
      <w:pPr>
        <w:pStyle w:val="7"/>
        <w:spacing w:line="240" w:lineRule="auto"/>
        <w:ind w:firstLine="137"/>
        <w:rPr>
          <w:rFonts w:ascii="Times New Roman"/>
          <w:color w:val="auto"/>
        </w:rPr>
      </w:pPr>
      <w:bookmarkStart w:id="94" w:name="_Toc492300636"/>
      <w:r>
        <w:rPr>
          <w:rFonts w:ascii="Times New Roman"/>
          <w:color w:val="auto"/>
        </w:rPr>
        <w:t>3.4 评标结果</w:t>
      </w:r>
      <w:bookmarkEnd w:id="94"/>
    </w:p>
    <w:p>
      <w:pPr>
        <w:spacing w:line="400" w:lineRule="exact"/>
        <w:ind w:firstLine="420" w:firstLineChars="200"/>
        <w:rPr>
          <w:color w:val="auto"/>
        </w:rPr>
      </w:pPr>
      <w:r>
        <w:rPr>
          <w:color w:val="auto"/>
        </w:rPr>
        <w:t>3.4.1 除第二章“投标人须知”前附表授权直接确定中标人外，评标委员会按照得分由高到低的顺序推荐中标候选人，并标明排序。</w:t>
      </w:r>
    </w:p>
    <w:p>
      <w:pPr>
        <w:spacing w:line="400" w:lineRule="exact"/>
        <w:ind w:firstLine="420" w:firstLineChars="200"/>
        <w:rPr>
          <w:color w:val="auto"/>
        </w:rPr>
      </w:pPr>
      <w:r>
        <w:rPr>
          <w:color w:val="auto"/>
        </w:rPr>
        <w:t>3.4.2 评标委员会完成评标后，应当向招标人提交书面评标报告和中标候选人名单。</w:t>
      </w:r>
    </w:p>
    <w:p>
      <w:pPr>
        <w:pStyle w:val="5"/>
        <w:jc w:val="center"/>
        <w:rPr>
          <w:rFonts w:ascii="宋体" w:hAnsi="宋体" w:cs="宋体"/>
          <w:color w:val="auto"/>
        </w:rPr>
      </w:pPr>
      <w:bookmarkStart w:id="95" w:name="_Toc520310859"/>
      <w:r>
        <w:rPr>
          <w:rFonts w:ascii="宋体" w:hAnsi="宋体" w:cs="宋体"/>
          <w:color w:val="auto"/>
        </w:rPr>
        <w:br w:type="page"/>
      </w:r>
      <w:r>
        <w:rPr>
          <w:rFonts w:hint="eastAsia" w:ascii="宋体" w:hAnsi="宋体" w:cs="宋体"/>
          <w:color w:val="auto"/>
        </w:rPr>
        <w:t>第四章合同条款及格式</w:t>
      </w:r>
      <w:bookmarkEnd w:id="95"/>
    </w:p>
    <w:p>
      <w:pPr>
        <w:adjustRightInd w:val="0"/>
        <w:snapToGrid w:val="0"/>
        <w:spacing w:line="360" w:lineRule="auto"/>
        <w:jc w:val="center"/>
        <w:rPr>
          <w:rFonts w:ascii="宋体" w:hAnsi="宋体"/>
          <w:b/>
          <w:bCs/>
          <w:color w:val="auto"/>
          <w:sz w:val="48"/>
          <w:szCs w:val="56"/>
        </w:rPr>
      </w:pPr>
      <w:r>
        <w:rPr>
          <w:rFonts w:hint="eastAsia" w:ascii="宋体" w:hAnsi="宋体"/>
          <w:b/>
          <w:bCs/>
          <w:color w:val="auto"/>
          <w:sz w:val="48"/>
          <w:szCs w:val="56"/>
        </w:rPr>
        <w:t>（另册）</w:t>
      </w:r>
    </w:p>
    <w:p>
      <w:pPr>
        <w:spacing w:line="420" w:lineRule="exact"/>
        <w:ind w:firstLine="0"/>
        <w:jc w:val="center"/>
        <w:rPr>
          <w:rFonts w:hint="eastAsia" w:ascii="宋体" w:hAnsi="宋体"/>
          <w:b/>
          <w:bCs/>
          <w:color w:val="auto"/>
          <w:sz w:val="28"/>
          <w:szCs w:val="28"/>
          <w:lang w:val="en-US" w:eastAsia="zh-CN"/>
        </w:rPr>
      </w:pPr>
      <w:r>
        <w:rPr>
          <w:rFonts w:hint="eastAsia" w:ascii="宋体" w:hAnsi="宋体"/>
          <w:b/>
          <w:bCs/>
          <w:color w:val="auto"/>
          <w:sz w:val="28"/>
          <w:szCs w:val="28"/>
        </w:rPr>
        <w:t>注：中标后将根据立项分别签订服务合</w:t>
      </w:r>
      <w:r>
        <w:rPr>
          <w:rFonts w:hint="eastAsia" w:ascii="宋体" w:hAnsi="宋体"/>
          <w:b/>
          <w:bCs/>
          <w:color w:val="auto"/>
          <w:sz w:val="28"/>
          <w:szCs w:val="28"/>
          <w:lang w:val="en-US" w:eastAsia="zh-CN"/>
        </w:rPr>
        <w:t>同。</w:t>
      </w: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420" w:lineRule="exact"/>
        <w:ind w:firstLine="0"/>
        <w:rPr>
          <w:rFonts w:hint="eastAsia" w:ascii="宋体" w:hAnsi="宋体"/>
          <w:b/>
          <w:bCs/>
          <w:color w:val="auto"/>
          <w:sz w:val="28"/>
          <w:szCs w:val="28"/>
          <w:lang w:val="en-US" w:eastAsia="zh-CN"/>
        </w:rPr>
      </w:pPr>
    </w:p>
    <w:p>
      <w:pPr>
        <w:spacing w:line="360" w:lineRule="auto"/>
        <w:jc w:val="center"/>
        <w:rPr>
          <w:rFonts w:ascii="宋体" w:hAnsi="宋体" w:cs="宋体"/>
          <w:b/>
          <w:color w:val="auto"/>
          <w:kern w:val="44"/>
          <w:sz w:val="44"/>
          <w:szCs w:val="20"/>
        </w:rPr>
      </w:pPr>
      <w:bookmarkStart w:id="96" w:name="_Toc179632787"/>
      <w:bookmarkStart w:id="97" w:name="_Toc247085853"/>
      <w:bookmarkStart w:id="98" w:name="_Toc246996338"/>
      <w:bookmarkStart w:id="99" w:name="_Toc246997081"/>
      <w:bookmarkStart w:id="100" w:name="_Toc520310861"/>
      <w:bookmarkStart w:id="101" w:name="_Toc300835199"/>
      <w:bookmarkStart w:id="102" w:name="_Toc144974829"/>
      <w:bookmarkStart w:id="103" w:name="_Toc152045610"/>
      <w:bookmarkStart w:id="104" w:name="_Toc152042549"/>
      <w:bookmarkStart w:id="105" w:name="_Toc247514197"/>
      <w:bookmarkStart w:id="106" w:name="_Toc247527798"/>
      <w:bookmarkStart w:id="107" w:name="_Toc184635122"/>
      <w:bookmarkStart w:id="108" w:name="_Toc144974578"/>
      <w:bookmarkStart w:id="109" w:name="_Toc152042388"/>
      <w:r>
        <w:rPr>
          <w:rFonts w:hint="eastAsia" w:ascii="宋体" w:hAnsi="宋体" w:cs="宋体"/>
          <w:b/>
          <w:color w:val="auto"/>
          <w:kern w:val="44"/>
          <w:sz w:val="44"/>
          <w:szCs w:val="20"/>
        </w:rPr>
        <w:t>第五章委托人要求</w:t>
      </w:r>
    </w:p>
    <w:p>
      <w:pPr>
        <w:pStyle w:val="6"/>
        <w:jc w:val="center"/>
        <w:rPr>
          <w:rFonts w:ascii="宋体" w:hAnsi="宋体" w:eastAsia="宋体" w:cs="宋体"/>
          <w:b w:val="0"/>
          <w:bCs/>
          <w:color w:val="auto"/>
          <w:kern w:val="44"/>
          <w:sz w:val="24"/>
          <w:szCs w:val="24"/>
        </w:rPr>
      </w:pPr>
      <w:r>
        <w:rPr>
          <w:rFonts w:hint="eastAsia" w:ascii="宋体" w:hAnsi="宋体" w:eastAsia="宋体" w:cs="宋体"/>
          <w:b w:val="0"/>
          <w:bCs/>
          <w:color w:val="auto"/>
          <w:kern w:val="44"/>
          <w:sz w:val="24"/>
          <w:szCs w:val="24"/>
        </w:rPr>
        <w:t>（</w:t>
      </w:r>
      <w:r>
        <w:rPr>
          <w:rFonts w:hint="eastAsia" w:ascii="宋体" w:hAnsi="宋体" w:eastAsia="宋体" w:cs="宋体"/>
          <w:b w:val="0"/>
          <w:bCs/>
          <w:color w:val="auto"/>
          <w:kern w:val="44"/>
          <w:sz w:val="24"/>
          <w:szCs w:val="24"/>
          <w:lang w:val="en-US" w:eastAsia="zh-CN"/>
        </w:rPr>
        <w:t>另册，</w:t>
      </w:r>
      <w:r>
        <w:rPr>
          <w:rFonts w:hint="eastAsia" w:ascii="宋体" w:hAnsi="宋体" w:eastAsia="宋体" w:cs="宋体"/>
          <w:b w:val="0"/>
          <w:bCs/>
          <w:color w:val="auto"/>
          <w:kern w:val="44"/>
          <w:sz w:val="24"/>
          <w:szCs w:val="24"/>
        </w:rPr>
        <w:t>详</w:t>
      </w:r>
      <w:r>
        <w:rPr>
          <w:rFonts w:hint="eastAsia" w:ascii="宋体" w:hAnsi="宋体" w:eastAsia="宋体" w:cs="宋体"/>
          <w:b w:val="0"/>
          <w:bCs/>
          <w:color w:val="auto"/>
          <w:kern w:val="44"/>
          <w:sz w:val="24"/>
          <w:szCs w:val="24"/>
          <w:highlight w:val="none"/>
        </w:rPr>
        <w:t>见</w:t>
      </w:r>
      <w:r>
        <w:rPr>
          <w:rFonts w:hint="eastAsia" w:ascii="宋体" w:hAnsi="宋体" w:eastAsia="宋体" w:cs="宋体"/>
          <w:b w:val="0"/>
          <w:bCs/>
          <w:color w:val="auto"/>
          <w:kern w:val="44"/>
          <w:sz w:val="24"/>
          <w:szCs w:val="24"/>
          <w:highlight w:val="none"/>
          <w:lang w:eastAsia="zh-CN"/>
        </w:rPr>
        <w:t>合同中的</w:t>
      </w:r>
      <w:r>
        <w:rPr>
          <w:rFonts w:hint="eastAsia" w:ascii="宋体" w:hAnsi="宋体" w:eastAsia="宋体" w:cs="宋体"/>
          <w:b w:val="0"/>
          <w:bCs/>
          <w:color w:val="auto"/>
          <w:kern w:val="44"/>
          <w:sz w:val="24"/>
          <w:szCs w:val="24"/>
          <w:highlight w:val="none"/>
        </w:rPr>
        <w:t>《</w:t>
      </w:r>
      <w:r>
        <w:rPr>
          <w:rFonts w:hint="eastAsia" w:ascii="宋体" w:hAnsi="宋体" w:eastAsia="宋体" w:cs="宋体"/>
          <w:b w:val="0"/>
          <w:bCs/>
          <w:color w:val="auto"/>
          <w:kern w:val="44"/>
          <w:sz w:val="24"/>
          <w:szCs w:val="24"/>
          <w:highlight w:val="none"/>
          <w:u w:val="single"/>
        </w:rPr>
        <w:t>鱼珠隧道、会展西路过江隧道、车陂路-新滘东路隧道工程（二期）施工运维阶段BIM咨询工作要求</w:t>
      </w:r>
      <w:r>
        <w:rPr>
          <w:rFonts w:hint="eastAsia" w:ascii="宋体" w:hAnsi="宋体" w:eastAsia="宋体" w:cs="宋体"/>
          <w:b w:val="0"/>
          <w:bCs/>
          <w:color w:val="auto"/>
          <w:kern w:val="44"/>
          <w:sz w:val="24"/>
          <w:szCs w:val="24"/>
          <w:highlight w:val="none"/>
        </w:rPr>
        <w:t>》）</w:t>
      </w:r>
    </w:p>
    <w:p>
      <w:pPr>
        <w:rPr>
          <w:rFonts w:ascii="宋体" w:hAnsi="宋体" w:cs="宋体"/>
          <w:bCs/>
          <w:color w:val="auto"/>
          <w:kern w:val="44"/>
          <w:sz w:val="24"/>
          <w:szCs w:val="24"/>
        </w:rPr>
      </w:pPr>
    </w:p>
    <w:p>
      <w:pPr>
        <w:pStyle w:val="6"/>
        <w:rPr>
          <w:rFonts w:ascii="宋体" w:hAnsi="宋体" w:eastAsia="宋体" w:cs="宋体"/>
          <w:b w:val="0"/>
          <w:bCs/>
          <w:color w:val="auto"/>
          <w:kern w:val="44"/>
          <w:sz w:val="24"/>
          <w:szCs w:val="24"/>
        </w:rPr>
      </w:pPr>
    </w:p>
    <w:p>
      <w:pPr>
        <w:rPr>
          <w:rFonts w:ascii="宋体" w:hAnsi="宋体" w:cs="宋体"/>
          <w:bCs/>
          <w:color w:val="auto"/>
          <w:kern w:val="44"/>
          <w:sz w:val="24"/>
          <w:szCs w:val="24"/>
        </w:rPr>
      </w:pPr>
    </w:p>
    <w:p>
      <w:pPr>
        <w:pStyle w:val="6"/>
        <w:rPr>
          <w:color w:val="auto"/>
        </w:rPr>
      </w:pPr>
    </w:p>
    <w:bookmarkEnd w:id="96"/>
    <w:bookmarkEnd w:id="97"/>
    <w:bookmarkEnd w:id="98"/>
    <w:bookmarkEnd w:id="99"/>
    <w:bookmarkEnd w:id="100"/>
    <w:p>
      <w:pPr>
        <w:pStyle w:val="5"/>
        <w:ind w:left="210" w:leftChars="100"/>
        <w:jc w:val="center"/>
        <w:rPr>
          <w:rFonts w:ascii="宋体" w:hAnsi="宋体" w:cs="宋体"/>
          <w:color w:val="auto"/>
        </w:rPr>
      </w:pPr>
      <w:bookmarkStart w:id="110" w:name="_Toc520310871"/>
    </w:p>
    <w:p>
      <w:pPr>
        <w:pStyle w:val="5"/>
        <w:ind w:left="210" w:leftChars="100"/>
        <w:jc w:val="center"/>
        <w:rPr>
          <w:rFonts w:ascii="宋体" w:hAnsi="宋体" w:cs="宋体"/>
          <w:color w:val="auto"/>
        </w:rPr>
      </w:pPr>
    </w:p>
    <w:p>
      <w:pPr>
        <w:pStyle w:val="5"/>
        <w:ind w:left="210" w:leftChars="100"/>
        <w:jc w:val="center"/>
        <w:rPr>
          <w:rFonts w:ascii="宋体" w:hAnsi="宋体" w:cs="宋体"/>
          <w:color w:val="auto"/>
        </w:rPr>
      </w:pPr>
    </w:p>
    <w:p>
      <w:pPr>
        <w:pStyle w:val="5"/>
        <w:ind w:left="210" w:leftChars="100"/>
        <w:jc w:val="center"/>
        <w:rPr>
          <w:rFonts w:ascii="宋体" w:hAnsi="宋体" w:cs="宋体"/>
          <w:color w:val="auto"/>
        </w:rPr>
      </w:pPr>
    </w:p>
    <w:p>
      <w:pPr>
        <w:rPr>
          <w:rFonts w:ascii="宋体" w:hAnsi="宋体" w:cs="宋体"/>
          <w:color w:val="auto"/>
        </w:rPr>
      </w:pPr>
    </w:p>
    <w:p>
      <w:pPr>
        <w:pStyle w:val="6"/>
        <w:rPr>
          <w:color w:val="auto"/>
        </w:rPr>
      </w:pPr>
    </w:p>
    <w:p>
      <w:pPr>
        <w:pStyle w:val="5"/>
        <w:jc w:val="center"/>
        <w:rPr>
          <w:rFonts w:ascii="宋体" w:hAnsi="宋体" w:cs="宋体"/>
          <w:color w:val="auto"/>
        </w:rPr>
      </w:pPr>
      <w:r>
        <w:rPr>
          <w:rFonts w:hint="eastAsia" w:ascii="宋体" w:hAnsi="宋体" w:cs="宋体"/>
          <w:color w:val="auto"/>
        </w:rPr>
        <w:t>第六章投标文件格式</w:t>
      </w:r>
      <w:bookmarkEnd w:id="110"/>
    </w:p>
    <w:p>
      <w:pPr>
        <w:spacing w:line="360" w:lineRule="auto"/>
        <w:jc w:val="center"/>
        <w:rPr>
          <w:color w:val="auto"/>
        </w:rPr>
      </w:pPr>
      <w:r>
        <w:rPr>
          <w:color w:val="auto"/>
        </w:rPr>
        <w:br w:type="page"/>
      </w:r>
    </w:p>
    <w:p>
      <w:pPr>
        <w:spacing w:line="360" w:lineRule="auto"/>
        <w:jc w:val="center"/>
        <w:rPr>
          <w:color w:val="auto"/>
        </w:rPr>
      </w:pPr>
    </w:p>
    <w:p>
      <w:pPr>
        <w:spacing w:line="360" w:lineRule="auto"/>
        <w:jc w:val="center"/>
        <w:rPr>
          <w:rFonts w:hint="eastAsia" w:ascii="宋体" w:hAnsi="宋体" w:cs="宋体"/>
          <w:b/>
          <w:bCs/>
          <w:color w:val="auto"/>
          <w:sz w:val="72"/>
          <w:szCs w:val="72"/>
          <w:highlight w:val="yellow"/>
          <w:u w:val="single"/>
        </w:rPr>
      </w:pPr>
    </w:p>
    <w:p>
      <w:pPr>
        <w:spacing w:line="360" w:lineRule="auto"/>
        <w:jc w:val="center"/>
        <w:rPr>
          <w:rFonts w:ascii="宋体" w:hAnsi="宋体"/>
          <w:b/>
          <w:bCs/>
          <w:color w:val="auto"/>
          <w:sz w:val="72"/>
          <w:szCs w:val="72"/>
          <w:highlight w:val="none"/>
          <w:u w:val="single"/>
        </w:rPr>
      </w:pPr>
      <w:r>
        <w:rPr>
          <w:rFonts w:hint="eastAsia" w:ascii="宋体" w:hAnsi="宋体" w:cs="宋体"/>
          <w:b/>
          <w:bCs/>
          <w:color w:val="auto"/>
          <w:sz w:val="72"/>
          <w:szCs w:val="72"/>
          <w:highlight w:val="none"/>
          <w:u w:val="single"/>
        </w:rPr>
        <w:t>（项目名称）</w:t>
      </w:r>
    </w:p>
    <w:p>
      <w:pPr>
        <w:spacing w:line="360" w:lineRule="auto"/>
        <w:jc w:val="center"/>
        <w:rPr>
          <w:rFonts w:ascii="宋体" w:hAnsi="宋体"/>
          <w:b/>
          <w:bCs/>
          <w:color w:val="auto"/>
          <w:sz w:val="20"/>
        </w:rPr>
      </w:pPr>
    </w:p>
    <w:p>
      <w:pPr>
        <w:rPr>
          <w:rFonts w:ascii="宋体" w:hAnsi="宋体"/>
          <w:color w:val="auto"/>
          <w:sz w:val="20"/>
        </w:rPr>
      </w:pPr>
    </w:p>
    <w:p>
      <w:pPr>
        <w:rPr>
          <w:rFonts w:ascii="宋体" w:hAnsi="宋体"/>
          <w:color w:val="auto"/>
          <w:sz w:val="20"/>
        </w:rPr>
      </w:pPr>
    </w:p>
    <w:p>
      <w:pPr>
        <w:rPr>
          <w:rFonts w:ascii="宋体" w:hAnsi="宋体"/>
          <w:color w:val="auto"/>
          <w:sz w:val="20"/>
        </w:rPr>
      </w:pPr>
    </w:p>
    <w:p>
      <w:pPr>
        <w:rPr>
          <w:rFonts w:ascii="宋体" w:hAnsi="宋体"/>
          <w:color w:val="auto"/>
          <w:sz w:val="20"/>
        </w:rPr>
      </w:pPr>
    </w:p>
    <w:p>
      <w:pPr>
        <w:rPr>
          <w:rFonts w:ascii="宋体" w:hAnsi="宋体"/>
          <w:color w:val="auto"/>
          <w:sz w:val="20"/>
        </w:rPr>
      </w:pPr>
    </w:p>
    <w:p>
      <w:pPr>
        <w:pStyle w:val="19"/>
        <w:rPr>
          <w:rFonts w:ascii="宋体" w:hAnsi="宋体"/>
          <w:color w:val="auto"/>
        </w:rPr>
      </w:pPr>
    </w:p>
    <w:p>
      <w:pPr>
        <w:rPr>
          <w:rFonts w:ascii="宋体" w:hAnsi="宋体"/>
          <w:color w:val="auto"/>
          <w:sz w:val="20"/>
        </w:rPr>
      </w:pPr>
    </w:p>
    <w:p>
      <w:pPr>
        <w:rPr>
          <w:rFonts w:ascii="宋体" w:hAnsi="宋体"/>
          <w:color w:val="auto"/>
          <w:sz w:val="20"/>
        </w:rPr>
      </w:pPr>
    </w:p>
    <w:p>
      <w:pPr>
        <w:rPr>
          <w:rFonts w:ascii="宋体" w:hAnsi="宋体"/>
          <w:color w:val="auto"/>
          <w:sz w:val="20"/>
        </w:rPr>
      </w:pPr>
    </w:p>
    <w:p>
      <w:pPr>
        <w:rPr>
          <w:rFonts w:ascii="宋体" w:hAnsi="宋体"/>
          <w:color w:val="auto"/>
          <w:sz w:val="20"/>
        </w:rPr>
      </w:pPr>
    </w:p>
    <w:p>
      <w:pPr>
        <w:jc w:val="center"/>
        <w:rPr>
          <w:rFonts w:ascii="宋体" w:hAnsi="宋体"/>
          <w:b/>
          <w:color w:val="auto"/>
          <w:sz w:val="84"/>
          <w:szCs w:val="84"/>
        </w:rPr>
      </w:pPr>
      <w:r>
        <w:rPr>
          <w:rFonts w:ascii="宋体" w:hAnsi="宋体"/>
          <w:b/>
          <w:color w:val="auto"/>
          <w:sz w:val="84"/>
          <w:szCs w:val="84"/>
        </w:rPr>
        <w:t>投 标 文 件</w:t>
      </w:r>
    </w:p>
    <w:p>
      <w:pPr>
        <w:jc w:val="center"/>
        <w:rPr>
          <w:rFonts w:ascii="宋体" w:hAnsi="宋体"/>
          <w:color w:val="auto"/>
          <w:sz w:val="44"/>
        </w:rPr>
      </w:pPr>
    </w:p>
    <w:p>
      <w:pPr>
        <w:rPr>
          <w:rFonts w:ascii="宋体" w:hAnsi="宋体"/>
          <w:color w:val="auto"/>
          <w:sz w:val="28"/>
        </w:rPr>
      </w:pPr>
    </w:p>
    <w:p>
      <w:pPr>
        <w:pStyle w:val="19"/>
        <w:rPr>
          <w:rFonts w:ascii="宋体" w:hAnsi="宋体"/>
          <w:color w:val="auto"/>
          <w:sz w:val="28"/>
        </w:rPr>
      </w:pPr>
    </w:p>
    <w:p>
      <w:pPr>
        <w:pStyle w:val="19"/>
        <w:rPr>
          <w:rFonts w:ascii="宋体" w:hAnsi="宋体"/>
          <w:color w:val="auto"/>
          <w:sz w:val="28"/>
        </w:rPr>
      </w:pPr>
    </w:p>
    <w:p>
      <w:pPr>
        <w:rPr>
          <w:rFonts w:ascii="宋体" w:hAnsi="宋体"/>
          <w:color w:val="auto"/>
          <w:sz w:val="28"/>
        </w:rPr>
      </w:pPr>
    </w:p>
    <w:p>
      <w:pPr>
        <w:rPr>
          <w:rFonts w:ascii="宋体" w:hAnsi="宋体"/>
          <w:color w:val="auto"/>
          <w:sz w:val="28"/>
        </w:rPr>
      </w:pPr>
    </w:p>
    <w:p>
      <w:pPr>
        <w:rPr>
          <w:rFonts w:ascii="宋体" w:hAnsi="宋体"/>
          <w:color w:val="auto"/>
          <w:sz w:val="28"/>
        </w:rPr>
      </w:pPr>
    </w:p>
    <w:p>
      <w:pPr>
        <w:spacing w:line="360" w:lineRule="auto"/>
        <w:rPr>
          <w:rFonts w:ascii="宋体" w:hAnsi="宋体"/>
          <w:color w:val="auto"/>
          <w:sz w:val="28"/>
        </w:rPr>
      </w:pPr>
    </w:p>
    <w:p>
      <w:pPr>
        <w:spacing w:line="360" w:lineRule="auto"/>
        <w:ind w:firstLine="1120" w:firstLineChars="400"/>
        <w:rPr>
          <w:rFonts w:ascii="宋体" w:hAnsi="宋体"/>
          <w:color w:val="auto"/>
          <w:sz w:val="28"/>
          <w:u w:val="single"/>
        </w:rPr>
      </w:pPr>
      <w:r>
        <w:rPr>
          <w:rFonts w:ascii="宋体" w:hAnsi="宋体"/>
          <w:color w:val="auto"/>
          <w:sz w:val="28"/>
        </w:rPr>
        <w:t>投标人：</w:t>
      </w:r>
      <w:r>
        <w:rPr>
          <w:rFonts w:ascii="宋体" w:hAnsi="宋体"/>
          <w:color w:val="auto"/>
          <w:u w:val="single"/>
        </w:rPr>
        <w:t xml:space="preserve">                                            </w:t>
      </w:r>
      <w:r>
        <w:rPr>
          <w:rFonts w:ascii="宋体" w:hAnsi="宋体"/>
          <w:color w:val="auto"/>
          <w:sz w:val="28"/>
        </w:rPr>
        <w:t>（盖单位章）</w:t>
      </w:r>
    </w:p>
    <w:p>
      <w:pPr>
        <w:spacing w:line="360" w:lineRule="auto"/>
        <w:ind w:firstLine="1120" w:firstLineChars="400"/>
        <w:jc w:val="left"/>
        <w:rPr>
          <w:rFonts w:ascii="宋体" w:hAnsi="宋体"/>
          <w:color w:val="auto"/>
          <w:sz w:val="28"/>
        </w:rPr>
      </w:pPr>
      <w:r>
        <w:rPr>
          <w:rFonts w:ascii="宋体" w:hAnsi="宋体"/>
          <w:color w:val="auto"/>
          <w:sz w:val="28"/>
        </w:rPr>
        <w:t>法定代表人或其委托代理人：</w:t>
      </w:r>
      <w:r>
        <w:rPr>
          <w:rFonts w:ascii="宋体" w:hAnsi="宋体"/>
          <w:color w:val="auto"/>
          <w:u w:val="single"/>
        </w:rPr>
        <w:t xml:space="preserve">       </w:t>
      </w:r>
      <w:r>
        <w:rPr>
          <w:rFonts w:ascii="宋体" w:hAnsi="宋体"/>
          <w:color w:val="auto"/>
          <w:sz w:val="28"/>
        </w:rPr>
        <w:t>（签字</w:t>
      </w:r>
      <w:r>
        <w:rPr>
          <w:rFonts w:hint="eastAsia" w:ascii="宋体" w:hAnsi="宋体"/>
          <w:color w:val="auto"/>
          <w:sz w:val="28"/>
        </w:rPr>
        <w:t>或盖章</w:t>
      </w:r>
      <w:r>
        <w:rPr>
          <w:rFonts w:ascii="宋体" w:hAnsi="宋体"/>
          <w:color w:val="auto"/>
          <w:sz w:val="28"/>
        </w:rPr>
        <w:t>）</w:t>
      </w:r>
    </w:p>
    <w:p>
      <w:pPr>
        <w:jc w:val="center"/>
        <w:rPr>
          <w:rFonts w:ascii="宋体" w:hAnsi="宋体"/>
          <w:color w:val="auto"/>
          <w:sz w:val="28"/>
        </w:rPr>
      </w:pPr>
    </w:p>
    <w:p>
      <w:pPr>
        <w:spacing w:line="400" w:lineRule="exact"/>
        <w:jc w:val="center"/>
        <w:rPr>
          <w:rFonts w:ascii="宋体" w:hAnsi="宋体"/>
          <w:color w:val="auto"/>
        </w:rPr>
      </w:pPr>
      <w:r>
        <w:rPr>
          <w:rFonts w:ascii="宋体" w:hAnsi="宋体"/>
          <w:color w:val="auto"/>
          <w:u w:val="single"/>
        </w:rPr>
        <w:t xml:space="preserve">       </w:t>
      </w:r>
      <w:r>
        <w:rPr>
          <w:rFonts w:ascii="宋体" w:hAnsi="宋体"/>
          <w:color w:val="auto"/>
          <w:sz w:val="28"/>
        </w:rPr>
        <w:t>年</w:t>
      </w:r>
      <w:r>
        <w:rPr>
          <w:rFonts w:ascii="宋体" w:hAnsi="宋体"/>
          <w:color w:val="auto"/>
          <w:u w:val="single"/>
        </w:rPr>
        <w:t xml:space="preserve">       </w:t>
      </w:r>
      <w:r>
        <w:rPr>
          <w:rFonts w:ascii="宋体" w:hAnsi="宋体"/>
          <w:color w:val="auto"/>
          <w:sz w:val="28"/>
        </w:rPr>
        <w:t>月</w:t>
      </w:r>
      <w:r>
        <w:rPr>
          <w:rFonts w:ascii="宋体" w:hAnsi="宋体"/>
          <w:color w:val="auto"/>
          <w:u w:val="single"/>
        </w:rPr>
        <w:t xml:space="preserve">       </w:t>
      </w:r>
      <w:r>
        <w:rPr>
          <w:rFonts w:ascii="宋体" w:hAnsi="宋体"/>
          <w:color w:val="auto"/>
          <w:sz w:val="28"/>
        </w:rPr>
        <w:t>日</w:t>
      </w:r>
    </w:p>
    <w:p>
      <w:pPr>
        <w:jc w:val="center"/>
        <w:rPr>
          <w:rFonts w:ascii="宋体" w:hAnsi="宋体" w:cs="宋体"/>
          <w:color w:val="auto"/>
        </w:rPr>
      </w:pPr>
      <w:r>
        <w:rPr>
          <w:color w:val="auto"/>
        </w:rPr>
        <w:br w:type="page"/>
      </w:r>
      <w:r>
        <w:rPr>
          <w:rFonts w:hint="eastAsia"/>
          <w:b/>
          <w:color w:val="auto"/>
          <w:sz w:val="48"/>
        </w:rPr>
        <w:t>目  录</w:t>
      </w:r>
    </w:p>
    <w:p>
      <w:pPr>
        <w:spacing w:line="540" w:lineRule="exact"/>
        <w:rPr>
          <w:rFonts w:ascii="宋体" w:hAnsi="宋体" w:cs="宋体"/>
          <w:color w:val="auto"/>
          <w:sz w:val="24"/>
          <w:u w:val="single"/>
        </w:rPr>
      </w:pPr>
      <w:bookmarkStart w:id="111" w:name="_Toc369531691"/>
      <w:bookmarkStart w:id="112" w:name="_Toc7039"/>
      <w:bookmarkStart w:id="113" w:name="_Toc352691655"/>
      <w:r>
        <w:rPr>
          <w:rFonts w:hint="eastAsia" w:ascii="宋体" w:hAnsi="宋体" w:cs="宋体"/>
          <w:color w:val="auto"/>
          <w:sz w:val="24"/>
          <w:u w:val="single"/>
        </w:rPr>
        <w:t>（1）投标文件目录；</w:t>
      </w:r>
    </w:p>
    <w:p>
      <w:pPr>
        <w:spacing w:line="540" w:lineRule="exact"/>
        <w:rPr>
          <w:rFonts w:ascii="宋体" w:hAnsi="宋体" w:cs="宋体"/>
          <w:color w:val="auto"/>
          <w:sz w:val="24"/>
          <w:u w:val="single"/>
        </w:rPr>
      </w:pPr>
      <w:r>
        <w:rPr>
          <w:rFonts w:hint="eastAsia" w:ascii="宋体" w:hAnsi="宋体" w:cs="宋体"/>
          <w:color w:val="auto"/>
          <w:sz w:val="24"/>
          <w:u w:val="single"/>
        </w:rPr>
        <w:t>（2）投标函及投标函附录（按投标文件格式一）；</w:t>
      </w:r>
    </w:p>
    <w:p>
      <w:pPr>
        <w:spacing w:line="540" w:lineRule="exact"/>
        <w:rPr>
          <w:rFonts w:ascii="宋体" w:hAnsi="宋体" w:cs="宋体"/>
          <w:color w:val="auto"/>
          <w:sz w:val="24"/>
          <w:u w:val="single"/>
        </w:rPr>
      </w:pPr>
      <w:r>
        <w:rPr>
          <w:rFonts w:hint="eastAsia" w:ascii="宋体" w:hAnsi="宋体" w:cs="宋体"/>
          <w:color w:val="auto"/>
          <w:sz w:val="24"/>
          <w:u w:val="single"/>
        </w:rPr>
        <w:t>（3）法定代表人证明书、法定代表人授权委托书（限非法定代表人参加投标报名活动时提供）；</w:t>
      </w:r>
    </w:p>
    <w:p>
      <w:pPr>
        <w:spacing w:line="540" w:lineRule="exact"/>
        <w:rPr>
          <w:rFonts w:ascii="宋体" w:hAnsi="宋体" w:cs="宋体"/>
          <w:color w:val="auto"/>
          <w:sz w:val="24"/>
          <w:u w:val="single"/>
        </w:rPr>
      </w:pPr>
      <w:r>
        <w:rPr>
          <w:rFonts w:hint="eastAsia" w:ascii="宋体" w:hAnsi="宋体" w:cs="宋体"/>
          <w:color w:val="auto"/>
          <w:sz w:val="24"/>
          <w:u w:val="single"/>
        </w:rPr>
        <w:t>（4）投标报价表（按投标文件格式三）；</w:t>
      </w:r>
    </w:p>
    <w:p>
      <w:pPr>
        <w:spacing w:line="540" w:lineRule="exact"/>
        <w:rPr>
          <w:rFonts w:ascii="宋体" w:hAnsi="宋体" w:cs="宋体"/>
          <w:color w:val="auto"/>
          <w:sz w:val="24"/>
          <w:u w:val="single"/>
        </w:rPr>
      </w:pPr>
      <w:r>
        <w:rPr>
          <w:rFonts w:hint="eastAsia" w:ascii="宋体" w:hAnsi="宋体" w:cs="宋体"/>
          <w:color w:val="auto"/>
          <w:sz w:val="24"/>
          <w:u w:val="single"/>
        </w:rPr>
        <w:t>（5）投标人声明（按招标公告附件一）；</w:t>
      </w:r>
    </w:p>
    <w:p>
      <w:pPr>
        <w:spacing w:line="540" w:lineRule="exact"/>
        <w:rPr>
          <w:rFonts w:ascii="宋体" w:hAnsi="宋体" w:cs="宋体"/>
          <w:color w:val="auto"/>
          <w:sz w:val="24"/>
          <w:u w:val="single"/>
        </w:rPr>
      </w:pPr>
      <w:r>
        <w:rPr>
          <w:rFonts w:hint="eastAsia" w:ascii="宋体" w:hAnsi="宋体" w:cs="宋体"/>
          <w:color w:val="auto"/>
          <w:sz w:val="24"/>
          <w:u w:val="single"/>
        </w:rPr>
        <w:t>（6）企业营业执照或事业单位登记机构核发的事业单位法人证书。拟委派项目负责人职称证书扫描件。投标人在广州公共资源交易中心办理企业信息登记</w:t>
      </w:r>
      <w:r>
        <w:rPr>
          <w:rFonts w:hint="eastAsia" w:ascii="宋体" w:hAnsi="宋体"/>
          <w:color w:val="auto"/>
          <w:sz w:val="24"/>
          <w:u w:val="single"/>
        </w:rPr>
        <w:t>，不需提交网页截图</w:t>
      </w:r>
      <w:r>
        <w:rPr>
          <w:rFonts w:hint="eastAsia" w:ascii="宋体" w:hAnsi="宋体" w:cs="宋体"/>
          <w:color w:val="auto"/>
          <w:sz w:val="24"/>
          <w:u w:val="single"/>
        </w:rPr>
        <w:t>；</w:t>
      </w:r>
    </w:p>
    <w:p>
      <w:pPr>
        <w:spacing w:line="540" w:lineRule="exact"/>
        <w:rPr>
          <w:rFonts w:hint="eastAsia" w:ascii="宋体" w:hAnsi="宋体" w:cs="宋体"/>
          <w:color w:val="auto"/>
          <w:sz w:val="24"/>
          <w:u w:val="single"/>
        </w:rPr>
      </w:pPr>
      <w:r>
        <w:rPr>
          <w:rFonts w:hint="eastAsia" w:ascii="宋体" w:hAnsi="宋体" w:cs="宋体"/>
          <w:color w:val="auto"/>
          <w:sz w:val="24"/>
          <w:u w:val="single"/>
        </w:rPr>
        <w:t>（7）</w:t>
      </w:r>
      <w:r>
        <w:rPr>
          <w:rFonts w:hint="eastAsia" w:ascii="宋体" w:hAnsi="宋体" w:cs="宋体"/>
          <w:color w:val="auto"/>
          <w:sz w:val="24"/>
          <w:u w:val="single"/>
          <w:lang w:val="en-US" w:eastAsia="zh-CN"/>
        </w:rPr>
        <w:t>联合体协议（如有）</w:t>
      </w:r>
      <w:r>
        <w:rPr>
          <w:rFonts w:hint="eastAsia" w:ascii="宋体" w:hAnsi="宋体" w:cs="宋体"/>
          <w:color w:val="auto"/>
          <w:sz w:val="24"/>
          <w:u w:val="single"/>
        </w:rPr>
        <w:t>；</w:t>
      </w:r>
    </w:p>
    <w:p>
      <w:pPr>
        <w:spacing w:line="540" w:lineRule="exact"/>
        <w:rPr>
          <w:rFonts w:hint="eastAsia" w:eastAsia="宋体"/>
          <w:color w:val="auto"/>
          <w:lang w:eastAsia="zh-CN"/>
        </w:rPr>
      </w:pPr>
      <w:r>
        <w:rPr>
          <w:rFonts w:hint="eastAsia" w:ascii="宋体" w:hAnsi="宋体" w:cs="宋体"/>
          <w:color w:val="auto"/>
          <w:sz w:val="24"/>
          <w:u w:val="single"/>
        </w:rPr>
        <w:t>（</w:t>
      </w:r>
      <w:r>
        <w:rPr>
          <w:rFonts w:hint="eastAsia" w:ascii="宋体" w:hAnsi="宋体" w:cs="宋体"/>
          <w:color w:val="auto"/>
          <w:sz w:val="24"/>
          <w:u w:val="single"/>
          <w:lang w:val="en-US" w:eastAsia="zh-CN"/>
        </w:rPr>
        <w:t>8</w:t>
      </w:r>
      <w:r>
        <w:rPr>
          <w:rFonts w:hint="eastAsia" w:ascii="宋体" w:hAnsi="宋体" w:cs="宋体"/>
          <w:color w:val="auto"/>
          <w:sz w:val="24"/>
          <w:u w:val="single"/>
        </w:rPr>
        <w:t>）企业资信情况</w:t>
      </w:r>
      <w:r>
        <w:rPr>
          <w:rFonts w:hint="eastAsia" w:ascii="宋体" w:hAnsi="宋体" w:cs="宋体"/>
          <w:color w:val="auto"/>
          <w:sz w:val="24"/>
          <w:u w:val="single"/>
          <w:lang w:eastAsia="zh-CN"/>
        </w:rPr>
        <w:t>；</w:t>
      </w:r>
    </w:p>
    <w:p>
      <w:pPr>
        <w:spacing w:line="540" w:lineRule="exact"/>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val="en-US" w:eastAsia="zh-CN"/>
        </w:rPr>
        <w:t>9</w:t>
      </w:r>
      <w:r>
        <w:rPr>
          <w:rFonts w:hint="eastAsia" w:ascii="宋体" w:hAnsi="宋体" w:cs="宋体"/>
          <w:color w:val="auto"/>
          <w:sz w:val="24"/>
          <w:u w:val="single"/>
        </w:rPr>
        <w:t>）单位组织机构表（按投标文件格式四表格1）；</w:t>
      </w:r>
    </w:p>
    <w:p>
      <w:pPr>
        <w:spacing w:line="540" w:lineRule="exact"/>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val="en-US" w:eastAsia="zh-CN"/>
        </w:rPr>
        <w:t>10</w:t>
      </w:r>
      <w:r>
        <w:rPr>
          <w:rFonts w:hint="eastAsia" w:ascii="宋体" w:hAnsi="宋体" w:cs="宋体"/>
          <w:color w:val="auto"/>
          <w:sz w:val="24"/>
          <w:u w:val="single"/>
        </w:rPr>
        <w:t>）企业类似业绩（按投标文件格式四表格2）（附证明资料）；</w:t>
      </w:r>
    </w:p>
    <w:p>
      <w:pPr>
        <w:spacing w:line="540" w:lineRule="exact"/>
        <w:rPr>
          <w:rFonts w:ascii="宋体" w:hAnsi="宋体" w:cs="宋体"/>
          <w:color w:val="auto"/>
          <w:sz w:val="24"/>
          <w:u w:val="single"/>
        </w:rPr>
      </w:pPr>
      <w:r>
        <w:rPr>
          <w:rFonts w:hint="eastAsia" w:ascii="宋体" w:hAnsi="宋体" w:cs="宋体"/>
          <w:color w:val="auto"/>
          <w:sz w:val="24"/>
          <w:u w:val="single"/>
        </w:rPr>
        <w:t>（1</w:t>
      </w:r>
      <w:r>
        <w:rPr>
          <w:rFonts w:hint="eastAsia" w:ascii="宋体" w:hAnsi="宋体" w:cs="宋体"/>
          <w:color w:val="auto"/>
          <w:sz w:val="24"/>
          <w:u w:val="single"/>
          <w:lang w:val="en-US" w:eastAsia="zh-CN"/>
        </w:rPr>
        <w:t>1</w:t>
      </w:r>
      <w:r>
        <w:rPr>
          <w:rFonts w:hint="eastAsia" w:ascii="宋体" w:hAnsi="宋体" w:cs="宋体"/>
          <w:color w:val="auto"/>
          <w:sz w:val="24"/>
          <w:u w:val="single"/>
        </w:rPr>
        <w:t>）投入本项目的主要人员一览表（按投标文件格式四表格3）；</w:t>
      </w:r>
    </w:p>
    <w:p>
      <w:pPr>
        <w:spacing w:line="540" w:lineRule="exact"/>
        <w:rPr>
          <w:rFonts w:ascii="宋体" w:hAnsi="宋体" w:cs="宋体"/>
          <w:color w:val="auto"/>
          <w:sz w:val="24"/>
          <w:u w:val="single"/>
        </w:rPr>
      </w:pPr>
      <w:r>
        <w:rPr>
          <w:rFonts w:hint="eastAsia" w:ascii="宋体" w:hAnsi="宋体" w:cs="宋体"/>
          <w:color w:val="auto"/>
          <w:sz w:val="24"/>
          <w:u w:val="single"/>
        </w:rPr>
        <w:t>（1</w:t>
      </w:r>
      <w:r>
        <w:rPr>
          <w:rFonts w:hint="eastAsia" w:ascii="宋体" w:hAnsi="宋体" w:cs="宋体"/>
          <w:color w:val="auto"/>
          <w:sz w:val="24"/>
          <w:u w:val="single"/>
          <w:lang w:val="en-US" w:eastAsia="zh-CN"/>
        </w:rPr>
        <w:t>2</w:t>
      </w:r>
      <w:r>
        <w:rPr>
          <w:rFonts w:hint="eastAsia" w:ascii="宋体" w:hAnsi="宋体" w:cs="宋体"/>
          <w:color w:val="auto"/>
          <w:sz w:val="24"/>
          <w:u w:val="single"/>
        </w:rPr>
        <w:t>）主要技术人员简历表（按投标文件格式四表格3-1）（附证明资料）；</w:t>
      </w:r>
    </w:p>
    <w:p>
      <w:pPr>
        <w:spacing w:line="540" w:lineRule="exact"/>
        <w:rPr>
          <w:rFonts w:ascii="宋体" w:hAnsi="宋体" w:cs="宋体"/>
          <w:color w:val="auto"/>
          <w:sz w:val="24"/>
          <w:u w:val="single"/>
        </w:rPr>
      </w:pPr>
      <w:r>
        <w:rPr>
          <w:rFonts w:hint="eastAsia" w:ascii="宋体" w:hAnsi="宋体" w:cs="宋体"/>
          <w:color w:val="auto"/>
          <w:sz w:val="24"/>
          <w:u w:val="single"/>
        </w:rPr>
        <w:t>（1</w:t>
      </w:r>
      <w:r>
        <w:rPr>
          <w:rFonts w:hint="eastAsia" w:ascii="宋体" w:hAnsi="宋体" w:cs="宋体"/>
          <w:color w:val="auto"/>
          <w:sz w:val="24"/>
          <w:u w:val="single"/>
          <w:lang w:val="en-US" w:eastAsia="zh-CN"/>
        </w:rPr>
        <w:t>3</w:t>
      </w:r>
      <w:r>
        <w:rPr>
          <w:rFonts w:hint="eastAsia" w:ascii="宋体" w:hAnsi="宋体" w:cs="宋体"/>
          <w:color w:val="auto"/>
          <w:sz w:val="24"/>
          <w:u w:val="single"/>
        </w:rPr>
        <w:t>）服务方案；</w:t>
      </w:r>
    </w:p>
    <w:p>
      <w:pPr>
        <w:spacing w:line="540" w:lineRule="exact"/>
        <w:rPr>
          <w:color w:val="auto"/>
        </w:rPr>
      </w:pPr>
      <w:r>
        <w:rPr>
          <w:rFonts w:hint="eastAsia" w:ascii="宋体" w:hAnsi="宋体" w:cs="宋体"/>
          <w:color w:val="auto"/>
          <w:sz w:val="24"/>
          <w:u w:val="single"/>
        </w:rPr>
        <w:t>（1</w:t>
      </w:r>
      <w:r>
        <w:rPr>
          <w:rFonts w:hint="eastAsia" w:ascii="宋体" w:hAnsi="宋体" w:cs="宋体"/>
          <w:color w:val="auto"/>
          <w:sz w:val="24"/>
          <w:u w:val="single"/>
          <w:lang w:val="en-US" w:eastAsia="zh-CN"/>
        </w:rPr>
        <w:t>4</w:t>
      </w:r>
      <w:r>
        <w:rPr>
          <w:rFonts w:hint="eastAsia" w:ascii="宋体" w:hAnsi="宋体" w:cs="宋体"/>
          <w:color w:val="auto"/>
          <w:sz w:val="24"/>
          <w:u w:val="single"/>
        </w:rPr>
        <w:t>）《服务承诺》</w:t>
      </w:r>
      <w:r>
        <w:rPr>
          <w:rFonts w:hint="eastAsia"/>
          <w:color w:val="auto"/>
          <w:sz w:val="24"/>
          <w:u w:val="single"/>
        </w:rPr>
        <w:t>（按投标文件格式五）</w:t>
      </w:r>
      <w:r>
        <w:rPr>
          <w:rFonts w:hint="eastAsia" w:ascii="宋体" w:hAnsi="宋体" w:cs="宋体"/>
          <w:color w:val="auto"/>
          <w:sz w:val="24"/>
          <w:u w:val="single"/>
        </w:rPr>
        <w:t>；</w:t>
      </w:r>
    </w:p>
    <w:p>
      <w:pPr>
        <w:spacing w:line="540" w:lineRule="exact"/>
        <w:rPr>
          <w:rFonts w:ascii="宋体" w:hAnsi="宋体" w:cs="宋体"/>
          <w:color w:val="auto"/>
          <w:sz w:val="24"/>
          <w:u w:val="single"/>
        </w:rPr>
      </w:pPr>
      <w:r>
        <w:rPr>
          <w:rFonts w:hint="eastAsia" w:ascii="宋体" w:hAnsi="宋体" w:cs="宋体"/>
          <w:color w:val="auto"/>
          <w:sz w:val="24"/>
          <w:u w:val="single"/>
        </w:rPr>
        <w:t>（1</w:t>
      </w:r>
      <w:r>
        <w:rPr>
          <w:rFonts w:hint="eastAsia" w:ascii="宋体" w:hAnsi="宋体" w:cs="宋体"/>
          <w:color w:val="auto"/>
          <w:sz w:val="24"/>
          <w:u w:val="single"/>
          <w:lang w:val="en-US" w:eastAsia="zh-CN"/>
        </w:rPr>
        <w:t>5</w:t>
      </w:r>
      <w:r>
        <w:rPr>
          <w:rFonts w:hint="eastAsia" w:ascii="宋体" w:hAnsi="宋体" w:cs="宋体"/>
          <w:color w:val="auto"/>
          <w:sz w:val="24"/>
          <w:u w:val="single"/>
        </w:rPr>
        <w:t>）投标保证金；</w:t>
      </w:r>
    </w:p>
    <w:p>
      <w:pPr>
        <w:spacing w:line="540" w:lineRule="exact"/>
        <w:rPr>
          <w:rFonts w:ascii="宋体" w:hAnsi="宋体" w:cs="宋体"/>
          <w:color w:val="auto"/>
          <w:sz w:val="24"/>
          <w:u w:val="single"/>
        </w:rPr>
      </w:pPr>
      <w:r>
        <w:rPr>
          <w:rFonts w:hint="eastAsia" w:ascii="宋体" w:hAnsi="宋体" w:cs="宋体"/>
          <w:color w:val="auto"/>
          <w:sz w:val="24"/>
          <w:u w:val="single"/>
        </w:rPr>
        <w:t>（1</w:t>
      </w:r>
      <w:r>
        <w:rPr>
          <w:rFonts w:hint="eastAsia" w:ascii="宋体" w:hAnsi="宋体" w:cs="宋体"/>
          <w:color w:val="auto"/>
          <w:sz w:val="24"/>
          <w:u w:val="single"/>
          <w:lang w:val="en-US" w:eastAsia="zh-CN"/>
        </w:rPr>
        <w:t>6</w:t>
      </w:r>
      <w:r>
        <w:rPr>
          <w:rFonts w:hint="eastAsia" w:ascii="宋体" w:hAnsi="宋体" w:cs="宋体"/>
          <w:color w:val="auto"/>
          <w:sz w:val="24"/>
          <w:u w:val="single"/>
        </w:rPr>
        <w:t>）投标人认为需要提交的其他资料。</w:t>
      </w:r>
    </w:p>
    <w:p>
      <w:pPr>
        <w:pStyle w:val="19"/>
        <w:rPr>
          <w:color w:val="auto"/>
        </w:rPr>
      </w:pPr>
    </w:p>
    <w:p>
      <w:pPr>
        <w:pStyle w:val="19"/>
        <w:rPr>
          <w:color w:val="auto"/>
        </w:rPr>
      </w:pPr>
    </w:p>
    <w:p>
      <w:pPr>
        <w:pStyle w:val="19"/>
        <w:rPr>
          <w:color w:val="auto"/>
        </w:rPr>
      </w:pPr>
    </w:p>
    <w:p>
      <w:pPr>
        <w:pStyle w:val="19"/>
        <w:rPr>
          <w:color w:val="auto"/>
        </w:rPr>
      </w:pPr>
    </w:p>
    <w:p>
      <w:pPr>
        <w:pStyle w:val="19"/>
        <w:ind w:firstLine="0"/>
        <w:rPr>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sectPr>
          <w:headerReference r:id="rId9" w:type="default"/>
          <w:footerReference r:id="rId10" w:type="default"/>
          <w:pgSz w:w="11906" w:h="16838"/>
          <w:pgMar w:top="1440" w:right="1803" w:bottom="1440" w:left="1803" w:header="850" w:footer="992" w:gutter="0"/>
          <w:pgNumType w:fmt="decimal"/>
          <w:cols w:space="720" w:num="1"/>
          <w:docGrid w:linePitch="312" w:charSpace="0"/>
        </w:sectPr>
      </w:pPr>
    </w:p>
    <w:bookmarkEnd w:id="101"/>
    <w:bookmarkEnd w:id="102"/>
    <w:bookmarkEnd w:id="103"/>
    <w:bookmarkEnd w:id="104"/>
    <w:bookmarkEnd w:id="105"/>
    <w:bookmarkEnd w:id="106"/>
    <w:bookmarkEnd w:id="107"/>
    <w:bookmarkEnd w:id="108"/>
    <w:bookmarkEnd w:id="109"/>
    <w:bookmarkEnd w:id="111"/>
    <w:bookmarkEnd w:id="112"/>
    <w:bookmarkEnd w:id="113"/>
    <w:p>
      <w:pPr>
        <w:pStyle w:val="6"/>
        <w:jc w:val="left"/>
        <w:rPr>
          <w:rFonts w:ascii="宋体" w:hAnsi="宋体" w:cs="宋体"/>
          <w:color w:val="auto"/>
        </w:rPr>
      </w:pPr>
      <w:r>
        <w:rPr>
          <w:rFonts w:ascii="宋体" w:hAnsi="宋体" w:cs="宋体"/>
          <w:color w:val="auto"/>
        </w:rPr>
        <w:br w:type="page"/>
      </w:r>
      <w:bookmarkStart w:id="114" w:name="_Toc532778386"/>
      <w:bookmarkStart w:id="115" w:name="_Toc517280614"/>
      <w:bookmarkStart w:id="116" w:name="_Toc479286677"/>
      <w:r>
        <w:rPr>
          <w:rFonts w:hint="eastAsia" w:ascii="宋体" w:hAnsi="宋体" w:cs="宋体"/>
          <w:color w:val="auto"/>
        </w:rPr>
        <w:t>格式一：</w:t>
      </w:r>
    </w:p>
    <w:p>
      <w:pPr>
        <w:pStyle w:val="6"/>
        <w:jc w:val="center"/>
        <w:rPr>
          <w:rFonts w:ascii="宋体" w:hAnsi="宋体" w:eastAsia="宋体" w:cs="宋体"/>
          <w:color w:val="auto"/>
        </w:rPr>
      </w:pPr>
      <w:r>
        <w:rPr>
          <w:rFonts w:hint="eastAsia" w:ascii="宋体" w:hAnsi="宋体" w:eastAsia="宋体" w:cs="宋体"/>
          <w:color w:val="auto"/>
        </w:rPr>
        <w:t>一、投标函及投标函附录</w:t>
      </w:r>
      <w:bookmarkEnd w:id="114"/>
    </w:p>
    <w:p>
      <w:pPr>
        <w:pStyle w:val="7"/>
        <w:spacing w:before="48" w:beforeLines="20" w:after="48" w:afterLines="20"/>
        <w:ind w:firstLine="137"/>
        <w:rPr>
          <w:rFonts w:ascii="宋体" w:hAnsi="宋体" w:cs="宋体"/>
          <w:color w:val="auto"/>
          <w:szCs w:val="28"/>
        </w:rPr>
      </w:pPr>
      <w:bookmarkStart w:id="117" w:name="_Toc532778387"/>
      <w:r>
        <w:rPr>
          <w:rFonts w:hint="eastAsia" w:ascii="宋体" w:hAnsi="宋体" w:cs="宋体"/>
          <w:color w:val="auto"/>
          <w:szCs w:val="28"/>
        </w:rPr>
        <w:t>（一）投标函</w:t>
      </w:r>
      <w:bookmarkEnd w:id="117"/>
    </w:p>
    <w:p>
      <w:pPr>
        <w:snapToGrid w:val="0"/>
        <w:spacing w:line="340" w:lineRule="exact"/>
        <w:rPr>
          <w:rFonts w:ascii="宋体" w:hAnsi="宋体" w:cs="宋体"/>
          <w:color w:val="auto"/>
          <w:sz w:val="24"/>
          <w:szCs w:val="28"/>
        </w:rPr>
      </w:pPr>
      <w:r>
        <w:rPr>
          <w:rFonts w:hint="eastAsia" w:ascii="宋体" w:hAnsi="宋体" w:cs="宋体"/>
          <w:color w:val="auto"/>
          <w:sz w:val="24"/>
          <w:szCs w:val="24"/>
          <w:u w:val="single"/>
        </w:rPr>
        <w:t xml:space="preserve">                  </w:t>
      </w:r>
      <w:r>
        <w:rPr>
          <w:rFonts w:hint="eastAsia" w:ascii="宋体" w:hAnsi="宋体" w:cs="宋体"/>
          <w:color w:val="auto"/>
          <w:sz w:val="24"/>
          <w:szCs w:val="28"/>
        </w:rPr>
        <w:t>（招标人名称）：</w:t>
      </w:r>
    </w:p>
    <w:p>
      <w:pPr>
        <w:numPr>
          <w:ilvl w:val="0"/>
          <w:numId w:val="6"/>
        </w:num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我方已仔细研究了</w:t>
      </w:r>
      <w:r>
        <w:rPr>
          <w:rFonts w:hint="eastAsia" w:ascii="宋体" w:hAnsi="宋体" w:cs="宋体"/>
          <w:color w:val="auto"/>
          <w:sz w:val="24"/>
          <w:szCs w:val="24"/>
          <w:u w:val="single"/>
        </w:rPr>
        <w:t xml:space="preserve">                  </w:t>
      </w:r>
      <w:r>
        <w:rPr>
          <w:rFonts w:hint="eastAsia" w:ascii="宋体" w:hAnsi="宋体" w:cs="宋体"/>
          <w:color w:val="auto"/>
          <w:sz w:val="24"/>
          <w:szCs w:val="28"/>
        </w:rPr>
        <w:t>（项目名称）招标项目招标文件的全部内容，愿意以投标总报价人民币（大写）</w:t>
      </w:r>
      <w:r>
        <w:rPr>
          <w:rFonts w:hint="eastAsia" w:ascii="宋体" w:hAnsi="宋体" w:cs="宋体"/>
          <w:color w:val="auto"/>
          <w:sz w:val="24"/>
          <w:szCs w:val="24"/>
          <w:u w:val="single"/>
        </w:rPr>
        <w:t xml:space="preserve">             </w:t>
      </w:r>
      <w:r>
        <w:rPr>
          <w:rFonts w:hint="eastAsia" w:ascii="宋体" w:hAnsi="宋体" w:cs="宋体"/>
          <w:color w:val="auto"/>
          <w:sz w:val="24"/>
          <w:szCs w:val="28"/>
        </w:rPr>
        <w:t>（小写：¥</w:t>
      </w:r>
      <w:r>
        <w:rPr>
          <w:rFonts w:hint="eastAsia" w:ascii="宋体" w:hAnsi="宋体" w:cs="宋体"/>
          <w:color w:val="auto"/>
          <w:sz w:val="24"/>
          <w:szCs w:val="24"/>
          <w:u w:val="single"/>
        </w:rPr>
        <w:t xml:space="preserve">             </w:t>
      </w:r>
      <w:r>
        <w:rPr>
          <w:rFonts w:hint="eastAsia" w:ascii="宋体" w:hAnsi="宋体" w:cs="宋体"/>
          <w:color w:val="auto"/>
          <w:sz w:val="24"/>
          <w:szCs w:val="28"/>
        </w:rPr>
        <w:t>），按合同约定完成</w:t>
      </w:r>
      <w:r>
        <w:rPr>
          <w:rFonts w:hint="eastAsia" w:ascii="宋体" w:hAnsi="宋体" w:cs="宋体"/>
          <w:b/>
          <w:color w:val="auto"/>
          <w:sz w:val="24"/>
          <w:szCs w:val="28"/>
          <w:u w:val="single"/>
        </w:rPr>
        <w:t xml:space="preserve"> </w:t>
      </w:r>
      <w:r>
        <w:rPr>
          <w:rFonts w:ascii="宋体" w:hAnsi="宋体" w:cs="宋体"/>
          <w:b/>
          <w:color w:val="auto"/>
          <w:sz w:val="24"/>
          <w:szCs w:val="28"/>
          <w:u w:val="single"/>
        </w:rPr>
        <w:t xml:space="preserve">      </w:t>
      </w:r>
      <w:r>
        <w:rPr>
          <w:rFonts w:ascii="宋体" w:hAnsi="宋体" w:cs="宋体"/>
          <w:color w:val="auto"/>
          <w:sz w:val="24"/>
          <w:szCs w:val="28"/>
          <w:u w:val="single"/>
        </w:rPr>
        <w:t xml:space="preserve"> (</w:t>
      </w:r>
      <w:r>
        <w:rPr>
          <w:rFonts w:hint="eastAsia" w:ascii="宋体" w:hAnsi="宋体" w:cs="宋体"/>
          <w:color w:val="auto"/>
          <w:sz w:val="24"/>
          <w:szCs w:val="28"/>
          <w:u w:val="single"/>
        </w:rPr>
        <w:t>项目</w:t>
      </w:r>
      <w:r>
        <w:rPr>
          <w:rFonts w:ascii="宋体" w:hAnsi="宋体" w:cs="宋体"/>
          <w:color w:val="auto"/>
          <w:sz w:val="24"/>
          <w:szCs w:val="28"/>
          <w:u w:val="single"/>
        </w:rPr>
        <w:t xml:space="preserve">名称)  </w:t>
      </w:r>
      <w:r>
        <w:rPr>
          <w:rFonts w:ascii="宋体" w:hAnsi="宋体" w:cs="宋体"/>
          <w:b/>
          <w:color w:val="auto"/>
          <w:sz w:val="24"/>
          <w:szCs w:val="28"/>
          <w:u w:val="single"/>
        </w:rPr>
        <w:t xml:space="preserve">        </w:t>
      </w:r>
      <w:r>
        <w:rPr>
          <w:rFonts w:hint="eastAsia" w:ascii="宋体" w:hAnsi="宋体" w:cs="宋体"/>
          <w:color w:val="auto"/>
          <w:sz w:val="24"/>
          <w:szCs w:val="28"/>
        </w:rPr>
        <w:t>工作。</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2. 我方的投标文件包括下列内容：</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（1）投标函及投标函附录；</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（2）法定代表人身份证明或授权委托书；</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（3）投标报价表；</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（4）资格审查资料；</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（5）服务方案；</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（6）其他资料。</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投标文件的上述组成部分如存在内容不一致的，以投标函为准。</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3．我方承诺在招标文件规定的投标有效期内不撤销投标文件。</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4．如我方中标，我方承诺：</w:t>
      </w:r>
    </w:p>
    <w:p>
      <w:pPr>
        <w:snapToGrid w:val="0"/>
        <w:spacing w:line="340" w:lineRule="exact"/>
        <w:ind w:firstLine="960" w:firstLineChars="400"/>
        <w:rPr>
          <w:rFonts w:ascii="宋体" w:hAnsi="宋体" w:cs="宋体"/>
          <w:color w:val="auto"/>
          <w:sz w:val="24"/>
          <w:szCs w:val="28"/>
        </w:rPr>
      </w:pPr>
      <w:r>
        <w:rPr>
          <w:rFonts w:hint="eastAsia" w:ascii="宋体" w:hAnsi="宋体" w:cs="宋体"/>
          <w:color w:val="auto"/>
          <w:sz w:val="24"/>
          <w:szCs w:val="28"/>
        </w:rPr>
        <w:t>（1）在收到中标通知书后，在中标通知书规定的期限内与你方签订合同；</w:t>
      </w:r>
    </w:p>
    <w:p>
      <w:pPr>
        <w:snapToGrid w:val="0"/>
        <w:spacing w:line="340" w:lineRule="exact"/>
        <w:ind w:firstLine="960" w:firstLineChars="400"/>
        <w:rPr>
          <w:rFonts w:ascii="宋体" w:hAnsi="宋体" w:cs="宋体"/>
          <w:color w:val="auto"/>
          <w:sz w:val="24"/>
          <w:szCs w:val="28"/>
        </w:rPr>
      </w:pPr>
      <w:r>
        <w:rPr>
          <w:rFonts w:hint="eastAsia" w:ascii="宋体" w:hAnsi="宋体" w:cs="宋体"/>
          <w:color w:val="auto"/>
          <w:sz w:val="24"/>
          <w:szCs w:val="28"/>
        </w:rPr>
        <w:t>（2）在签订合同时不向你方提出附加条件；</w:t>
      </w:r>
    </w:p>
    <w:p>
      <w:pPr>
        <w:snapToGrid w:val="0"/>
        <w:spacing w:line="340" w:lineRule="exact"/>
        <w:ind w:firstLine="960" w:firstLineChars="400"/>
        <w:rPr>
          <w:rFonts w:ascii="宋体" w:hAnsi="宋体" w:cs="宋体"/>
          <w:color w:val="auto"/>
          <w:sz w:val="24"/>
          <w:szCs w:val="28"/>
        </w:rPr>
      </w:pPr>
      <w:r>
        <w:rPr>
          <w:rFonts w:hint="eastAsia" w:ascii="宋体" w:hAnsi="宋体" w:cs="宋体"/>
          <w:color w:val="auto"/>
          <w:sz w:val="24"/>
          <w:szCs w:val="28"/>
        </w:rPr>
        <w:t>（</w:t>
      </w:r>
      <w:r>
        <w:rPr>
          <w:rFonts w:hint="eastAsia" w:ascii="宋体" w:hAnsi="宋体" w:cs="宋体"/>
          <w:color w:val="auto"/>
          <w:sz w:val="24"/>
          <w:szCs w:val="28"/>
          <w:lang w:val="en-US" w:eastAsia="zh-CN"/>
        </w:rPr>
        <w:t>3</w:t>
      </w:r>
      <w:r>
        <w:rPr>
          <w:rFonts w:hint="eastAsia" w:ascii="宋体" w:hAnsi="宋体" w:cs="宋体"/>
          <w:color w:val="auto"/>
          <w:sz w:val="24"/>
          <w:szCs w:val="28"/>
        </w:rPr>
        <w:t>）在合同约定的期限内完成合同规定的全部义务。</w:t>
      </w:r>
    </w:p>
    <w:p>
      <w:pPr>
        <w:snapToGrid w:val="0"/>
        <w:spacing w:line="340" w:lineRule="exact"/>
        <w:ind w:left="1440" w:leftChars="457" w:hanging="480" w:hangingChars="200"/>
        <w:rPr>
          <w:rFonts w:ascii="宋体" w:hAnsi="宋体" w:cs="宋体"/>
          <w:color w:val="auto"/>
          <w:sz w:val="24"/>
          <w:szCs w:val="28"/>
          <w:u w:val="single"/>
        </w:rPr>
      </w:pPr>
      <w:r>
        <w:rPr>
          <w:rFonts w:hint="eastAsia" w:ascii="宋体" w:hAnsi="宋体" w:cs="宋体"/>
          <w:color w:val="auto"/>
          <w:sz w:val="24"/>
          <w:szCs w:val="28"/>
        </w:rPr>
        <w:t>（</w:t>
      </w:r>
      <w:r>
        <w:rPr>
          <w:rFonts w:hint="eastAsia" w:ascii="宋体" w:hAnsi="宋体" w:cs="宋体"/>
          <w:color w:val="auto"/>
          <w:sz w:val="24"/>
          <w:szCs w:val="28"/>
          <w:lang w:val="en-US" w:eastAsia="zh-CN"/>
        </w:rPr>
        <w:t>4</w:t>
      </w:r>
      <w:r>
        <w:rPr>
          <w:rFonts w:hint="eastAsia" w:ascii="宋体" w:hAnsi="宋体" w:cs="宋体"/>
          <w:color w:val="auto"/>
          <w:sz w:val="24"/>
          <w:szCs w:val="28"/>
        </w:rPr>
        <w:t>）</w:t>
      </w:r>
      <w:r>
        <w:rPr>
          <w:rFonts w:hint="eastAsia" w:ascii="宋体" w:hAnsi="宋体" w:cs="宋体"/>
          <w:color w:val="auto"/>
          <w:sz w:val="24"/>
          <w:szCs w:val="28"/>
          <w:u w:val="single"/>
        </w:rPr>
        <w:t>按贵单位要求配备要求的数量、专业及资历配备相应服务人员。</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5．我方在此声明，所递交的投标文件及有关资料内容完整、真实和准确，且不存在第二章“投标人须知”第 1.4.3 项规定的任何一种情形。</w:t>
      </w:r>
    </w:p>
    <w:p>
      <w:pPr>
        <w:snapToGrid w:val="0"/>
        <w:spacing w:line="340" w:lineRule="exact"/>
        <w:ind w:firstLine="480" w:firstLineChars="200"/>
        <w:rPr>
          <w:rFonts w:ascii="宋体" w:hAnsi="宋体" w:cs="宋体"/>
          <w:color w:val="auto"/>
          <w:sz w:val="24"/>
          <w:szCs w:val="28"/>
        </w:rPr>
      </w:pPr>
      <w:r>
        <w:rPr>
          <w:rFonts w:hint="eastAsia" w:ascii="宋体" w:hAnsi="宋体" w:cs="宋体"/>
          <w:color w:val="auto"/>
          <w:sz w:val="24"/>
          <w:szCs w:val="28"/>
        </w:rPr>
        <w:t>6．</w:t>
      </w:r>
      <w:r>
        <w:rPr>
          <w:rFonts w:hint="eastAsia" w:ascii="宋体" w:hAnsi="宋体" w:cs="宋体"/>
          <w:color w:val="auto"/>
          <w:sz w:val="24"/>
          <w:szCs w:val="24"/>
          <w:u w:val="single"/>
        </w:rPr>
        <w:t xml:space="preserve">                                     </w:t>
      </w:r>
      <w:r>
        <w:rPr>
          <w:rFonts w:hint="eastAsia" w:ascii="宋体" w:hAnsi="宋体" w:cs="宋体"/>
          <w:color w:val="auto"/>
          <w:sz w:val="24"/>
          <w:szCs w:val="28"/>
        </w:rPr>
        <w:t>（其他补充说明）。</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投 标 人：</w:t>
      </w:r>
      <w:r>
        <w:rPr>
          <w:rFonts w:hint="eastAsia" w:ascii="宋体" w:hAnsi="宋体" w:cs="宋体"/>
          <w:color w:val="auto"/>
          <w:sz w:val="24"/>
          <w:szCs w:val="24"/>
          <w:u w:val="single"/>
        </w:rPr>
        <w:t xml:space="preserve">                            </w:t>
      </w:r>
      <w:r>
        <w:rPr>
          <w:rFonts w:hint="eastAsia" w:ascii="宋体" w:hAnsi="宋体" w:cs="宋体"/>
          <w:color w:val="auto"/>
          <w:sz w:val="24"/>
          <w:szCs w:val="28"/>
        </w:rPr>
        <w:t>（盖单位章）</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法定代表人或其委托代理人：</w:t>
      </w:r>
      <w:r>
        <w:rPr>
          <w:rFonts w:hint="eastAsia" w:ascii="宋体" w:hAnsi="宋体" w:cs="宋体"/>
          <w:color w:val="auto"/>
          <w:sz w:val="24"/>
          <w:szCs w:val="24"/>
          <w:u w:val="single"/>
        </w:rPr>
        <w:t xml:space="preserve">             </w:t>
      </w:r>
      <w:r>
        <w:rPr>
          <w:rFonts w:hint="eastAsia" w:ascii="宋体" w:hAnsi="宋体" w:cs="宋体"/>
          <w:color w:val="auto"/>
          <w:sz w:val="24"/>
          <w:szCs w:val="28"/>
        </w:rPr>
        <w:t>（签字或盖章）</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地    址：</w:t>
      </w:r>
      <w:r>
        <w:rPr>
          <w:rFonts w:hint="eastAsia" w:ascii="宋体" w:hAnsi="宋体" w:cs="宋体"/>
          <w:color w:val="auto"/>
          <w:sz w:val="24"/>
          <w:szCs w:val="24"/>
          <w:u w:val="single"/>
        </w:rPr>
        <w:t xml:space="preserve">                                        </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网    址：</w:t>
      </w:r>
      <w:r>
        <w:rPr>
          <w:rFonts w:hint="eastAsia" w:ascii="宋体" w:hAnsi="宋体" w:cs="宋体"/>
          <w:color w:val="auto"/>
          <w:sz w:val="24"/>
          <w:szCs w:val="24"/>
          <w:u w:val="single"/>
        </w:rPr>
        <w:t xml:space="preserve">                                        </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电    话：</w:t>
      </w:r>
      <w:r>
        <w:rPr>
          <w:rFonts w:hint="eastAsia" w:ascii="宋体" w:hAnsi="宋体" w:cs="宋体"/>
          <w:color w:val="auto"/>
          <w:sz w:val="24"/>
          <w:szCs w:val="24"/>
          <w:u w:val="single"/>
        </w:rPr>
        <w:t xml:space="preserve">                                        </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传    真：</w:t>
      </w:r>
      <w:r>
        <w:rPr>
          <w:rFonts w:hint="eastAsia" w:ascii="宋体" w:hAnsi="宋体" w:cs="宋体"/>
          <w:color w:val="auto"/>
          <w:sz w:val="24"/>
          <w:szCs w:val="24"/>
          <w:u w:val="single"/>
        </w:rPr>
        <w:t xml:space="preserve">                                        </w:t>
      </w:r>
    </w:p>
    <w:p>
      <w:pPr>
        <w:spacing w:line="340" w:lineRule="exact"/>
        <w:ind w:firstLine="3240" w:firstLineChars="1350"/>
        <w:rPr>
          <w:rFonts w:ascii="宋体" w:hAnsi="宋体" w:cs="宋体"/>
          <w:color w:val="auto"/>
          <w:sz w:val="24"/>
          <w:szCs w:val="28"/>
        </w:rPr>
      </w:pPr>
      <w:r>
        <w:rPr>
          <w:rFonts w:hint="eastAsia" w:ascii="宋体" w:hAnsi="宋体" w:cs="宋体"/>
          <w:color w:val="auto"/>
          <w:sz w:val="24"/>
          <w:szCs w:val="28"/>
        </w:rPr>
        <w:t>邮政编码：</w:t>
      </w:r>
      <w:r>
        <w:rPr>
          <w:rFonts w:hint="eastAsia" w:ascii="宋体" w:hAnsi="宋体" w:cs="宋体"/>
          <w:color w:val="auto"/>
          <w:sz w:val="24"/>
          <w:szCs w:val="24"/>
          <w:u w:val="single"/>
        </w:rPr>
        <w:t xml:space="preserve">                                        </w:t>
      </w:r>
    </w:p>
    <w:p>
      <w:pPr>
        <w:spacing w:line="340" w:lineRule="exact"/>
        <w:jc w:val="right"/>
        <w:rPr>
          <w:rFonts w:ascii="宋体" w:hAnsi="宋体" w:cs="宋体"/>
          <w:color w:val="auto"/>
          <w:sz w:val="24"/>
          <w:szCs w:val="28"/>
        </w:rPr>
      </w:pPr>
      <w:r>
        <w:rPr>
          <w:rFonts w:hint="eastAsia" w:ascii="宋体" w:hAnsi="宋体" w:cs="宋体"/>
          <w:color w:val="auto"/>
          <w:sz w:val="24"/>
          <w:szCs w:val="24"/>
          <w:u w:val="single"/>
        </w:rPr>
        <w:t xml:space="preserve">        </w:t>
      </w:r>
      <w:r>
        <w:rPr>
          <w:rFonts w:hint="eastAsia" w:ascii="宋体" w:hAnsi="宋体" w:cs="宋体"/>
          <w:color w:val="auto"/>
          <w:sz w:val="24"/>
          <w:szCs w:val="28"/>
        </w:rPr>
        <w:t>年</w:t>
      </w:r>
      <w:r>
        <w:rPr>
          <w:rFonts w:hint="eastAsia" w:ascii="宋体" w:hAnsi="宋体" w:cs="宋体"/>
          <w:color w:val="auto"/>
          <w:sz w:val="24"/>
          <w:szCs w:val="24"/>
          <w:u w:val="single"/>
        </w:rPr>
        <w:t xml:space="preserve">        </w:t>
      </w:r>
      <w:r>
        <w:rPr>
          <w:rFonts w:hint="eastAsia" w:ascii="宋体" w:hAnsi="宋体" w:cs="宋体"/>
          <w:color w:val="auto"/>
          <w:sz w:val="24"/>
          <w:szCs w:val="28"/>
        </w:rPr>
        <w:t>月</w:t>
      </w:r>
      <w:r>
        <w:rPr>
          <w:rFonts w:hint="eastAsia" w:ascii="宋体" w:hAnsi="宋体" w:cs="宋体"/>
          <w:color w:val="auto"/>
          <w:sz w:val="24"/>
          <w:szCs w:val="24"/>
          <w:u w:val="single"/>
        </w:rPr>
        <w:t xml:space="preserve">        </w:t>
      </w:r>
      <w:r>
        <w:rPr>
          <w:rFonts w:hint="eastAsia" w:ascii="宋体" w:hAnsi="宋体" w:cs="宋体"/>
          <w:color w:val="auto"/>
          <w:sz w:val="24"/>
          <w:szCs w:val="28"/>
        </w:rPr>
        <w:t>日</w:t>
      </w:r>
    </w:p>
    <w:p>
      <w:pPr>
        <w:pStyle w:val="7"/>
        <w:spacing w:before="48" w:beforeLines="20" w:after="48" w:afterLines="20"/>
        <w:ind w:firstLine="137"/>
        <w:rPr>
          <w:rFonts w:ascii="宋体" w:hAnsi="宋体" w:cs="宋体"/>
          <w:color w:val="auto"/>
        </w:rPr>
      </w:pPr>
      <w:r>
        <w:rPr>
          <w:rFonts w:hint="eastAsia" w:ascii="宋体" w:hAnsi="宋体" w:cs="宋体"/>
          <w:color w:val="auto"/>
        </w:rPr>
        <w:br w:type="page"/>
      </w:r>
      <w:bookmarkStart w:id="118" w:name="_Toc532778388"/>
      <w:r>
        <w:rPr>
          <w:rFonts w:hint="eastAsia" w:ascii="宋体" w:hAnsi="宋体" w:cs="宋体"/>
          <w:color w:val="auto"/>
        </w:rPr>
        <w:t>（二）投标函附录</w:t>
      </w:r>
      <w:bookmarkEnd w:id="118"/>
    </w:p>
    <w:p>
      <w:pPr>
        <w:spacing w:line="360" w:lineRule="auto"/>
        <w:ind w:firstLine="420" w:firstLineChars="200"/>
        <w:rPr>
          <w:rFonts w:ascii="宋体" w:hAnsi="宋体" w:cs="宋体"/>
          <w:color w:val="auto"/>
        </w:rPr>
      </w:pPr>
    </w:p>
    <w:tbl>
      <w:tblPr>
        <w:tblStyle w:val="20"/>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77"/>
        <w:gridCol w:w="375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1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177"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项目</w:t>
            </w:r>
          </w:p>
        </w:tc>
        <w:tc>
          <w:tcPr>
            <w:tcW w:w="375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内容</w:t>
            </w:r>
          </w:p>
        </w:tc>
        <w:tc>
          <w:tcPr>
            <w:tcW w:w="2374"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1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17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项目负责人</w:t>
            </w:r>
          </w:p>
        </w:tc>
        <w:tc>
          <w:tcPr>
            <w:tcW w:w="37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 xml:space="preserve">姓名：                      </w:t>
            </w:r>
          </w:p>
        </w:tc>
        <w:tc>
          <w:tcPr>
            <w:tcW w:w="2374" w:type="dxa"/>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1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17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投标内容</w:t>
            </w:r>
          </w:p>
        </w:tc>
        <w:tc>
          <w:tcPr>
            <w:tcW w:w="37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按招标文件要求</w:t>
            </w:r>
          </w:p>
        </w:tc>
        <w:tc>
          <w:tcPr>
            <w:tcW w:w="2374" w:type="dxa"/>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17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服务期限</w:t>
            </w:r>
          </w:p>
        </w:tc>
        <w:tc>
          <w:tcPr>
            <w:tcW w:w="37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按招标文件要求</w:t>
            </w:r>
          </w:p>
        </w:tc>
        <w:tc>
          <w:tcPr>
            <w:tcW w:w="2374" w:type="dxa"/>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17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质量标准</w:t>
            </w:r>
          </w:p>
        </w:tc>
        <w:tc>
          <w:tcPr>
            <w:tcW w:w="37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按招标文件要求</w:t>
            </w:r>
          </w:p>
        </w:tc>
        <w:tc>
          <w:tcPr>
            <w:tcW w:w="2374" w:type="dxa"/>
            <w:vAlign w:val="center"/>
          </w:tcPr>
          <w:p>
            <w:pPr>
              <w:spacing w:line="360" w:lineRule="auto"/>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0"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217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投标有效期</w:t>
            </w:r>
          </w:p>
        </w:tc>
        <w:tc>
          <w:tcPr>
            <w:tcW w:w="37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按招标文件要求</w:t>
            </w:r>
          </w:p>
        </w:tc>
        <w:tc>
          <w:tcPr>
            <w:tcW w:w="2374" w:type="dxa"/>
            <w:vAlign w:val="center"/>
          </w:tcPr>
          <w:p>
            <w:pPr>
              <w:spacing w:line="360" w:lineRule="auto"/>
              <w:jc w:val="center"/>
              <w:rPr>
                <w:rFonts w:ascii="宋体" w:hAnsi="宋体" w:cs="宋体"/>
                <w:color w:val="auto"/>
                <w:sz w:val="24"/>
                <w:szCs w:val="24"/>
              </w:rPr>
            </w:pPr>
          </w:p>
        </w:tc>
      </w:tr>
    </w:tbl>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exact"/>
        <w:ind w:firstLine="2835" w:firstLineChars="1350"/>
        <w:rPr>
          <w:rFonts w:ascii="宋体" w:hAnsi="宋体" w:cs="宋体"/>
          <w:color w:val="auto"/>
        </w:rPr>
      </w:pPr>
      <w:r>
        <w:rPr>
          <w:rFonts w:hint="eastAsia" w:ascii="宋体" w:hAnsi="宋体" w:cs="宋体"/>
          <w:color w:val="auto"/>
        </w:rPr>
        <w:t>投 标 人：</w:t>
      </w:r>
      <w:r>
        <w:rPr>
          <w:rFonts w:hint="eastAsia" w:ascii="宋体" w:hAnsi="宋体" w:cs="宋体"/>
          <w:color w:val="auto"/>
          <w:szCs w:val="21"/>
          <w:u w:val="single"/>
        </w:rPr>
        <w:t xml:space="preserve">                            </w:t>
      </w:r>
      <w:r>
        <w:rPr>
          <w:rFonts w:hint="eastAsia" w:ascii="宋体" w:hAnsi="宋体" w:cs="宋体"/>
          <w:color w:val="auto"/>
        </w:rPr>
        <w:t>（盖单位章）</w:t>
      </w:r>
    </w:p>
    <w:p>
      <w:pPr>
        <w:spacing w:line="360" w:lineRule="exact"/>
        <w:ind w:firstLine="2835" w:firstLineChars="135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zCs w:val="21"/>
          <w:u w:val="single"/>
        </w:rPr>
        <w:t xml:space="preserve">                </w:t>
      </w:r>
      <w:r>
        <w:rPr>
          <w:rFonts w:hint="eastAsia" w:ascii="宋体" w:hAnsi="宋体" w:cs="宋体"/>
          <w:color w:val="auto"/>
        </w:rPr>
        <w:t>（签字或盖章）</w:t>
      </w:r>
    </w:p>
    <w:p>
      <w:pPr>
        <w:spacing w:line="360" w:lineRule="exact"/>
        <w:ind w:firstLine="4935" w:firstLineChars="2350"/>
        <w:rPr>
          <w:rFonts w:ascii="宋体" w:hAnsi="宋体" w:cs="宋体"/>
          <w:color w:val="auto"/>
        </w:rPr>
      </w:pPr>
      <w:r>
        <w:rPr>
          <w:rFonts w:hint="eastAsia" w:ascii="宋体" w:hAnsi="宋体" w:cs="宋体"/>
          <w:color w:val="auto"/>
          <w:szCs w:val="21"/>
          <w:u w:val="single"/>
        </w:rPr>
        <w:t xml:space="preserve">        </w:t>
      </w:r>
      <w:r>
        <w:rPr>
          <w:rFonts w:hint="eastAsia" w:ascii="宋体" w:hAnsi="宋体" w:cs="宋体"/>
          <w:color w:val="auto"/>
        </w:rPr>
        <w:t>年</w:t>
      </w:r>
      <w:r>
        <w:rPr>
          <w:rFonts w:hint="eastAsia" w:ascii="宋体" w:hAnsi="宋体" w:cs="宋体"/>
          <w:color w:val="auto"/>
          <w:szCs w:val="21"/>
          <w:u w:val="single"/>
        </w:rPr>
        <w:t xml:space="preserve">        </w:t>
      </w:r>
      <w:r>
        <w:rPr>
          <w:rFonts w:hint="eastAsia" w:ascii="宋体" w:hAnsi="宋体" w:cs="宋体"/>
          <w:color w:val="auto"/>
        </w:rPr>
        <w:t>月</w:t>
      </w:r>
      <w:r>
        <w:rPr>
          <w:rFonts w:hint="eastAsia" w:ascii="宋体" w:hAnsi="宋体" w:cs="宋体"/>
          <w:color w:val="auto"/>
          <w:szCs w:val="21"/>
          <w:u w:val="single"/>
        </w:rPr>
        <w:t xml:space="preserve">        </w:t>
      </w:r>
      <w:r>
        <w:rPr>
          <w:rFonts w:hint="eastAsia" w:ascii="宋体" w:hAnsi="宋体" w:cs="宋体"/>
          <w:color w:val="auto"/>
        </w:rPr>
        <w:t>日</w:t>
      </w:r>
    </w:p>
    <w:p>
      <w:pPr>
        <w:pStyle w:val="6"/>
        <w:jc w:val="left"/>
        <w:rPr>
          <w:rFonts w:ascii="宋体" w:hAnsi="宋体" w:eastAsia="宋体" w:cs="宋体"/>
          <w:color w:val="auto"/>
        </w:rPr>
      </w:pPr>
      <w:r>
        <w:rPr>
          <w:rFonts w:hint="eastAsia" w:ascii="宋体" w:hAnsi="宋体" w:eastAsia="宋体" w:cs="宋体"/>
          <w:color w:val="auto"/>
        </w:rPr>
        <w:br w:type="page"/>
      </w:r>
      <w:bookmarkStart w:id="119" w:name="_Toc532778389"/>
      <w:r>
        <w:rPr>
          <w:rFonts w:hint="eastAsia" w:ascii="宋体" w:hAnsi="宋体" w:cs="宋体"/>
          <w:color w:val="auto"/>
        </w:rPr>
        <w:t>格式二：</w:t>
      </w:r>
    </w:p>
    <w:p>
      <w:pPr>
        <w:pStyle w:val="6"/>
        <w:jc w:val="center"/>
        <w:rPr>
          <w:rFonts w:ascii="宋体" w:hAnsi="宋体" w:eastAsia="宋体" w:cs="宋体"/>
          <w:color w:val="auto"/>
          <w:sz w:val="24"/>
          <w:szCs w:val="24"/>
        </w:rPr>
      </w:pPr>
      <w:r>
        <w:rPr>
          <w:rFonts w:hint="eastAsia" w:ascii="宋体" w:hAnsi="宋体" w:eastAsia="宋体" w:cs="宋体"/>
          <w:color w:val="auto"/>
        </w:rPr>
        <w:t>二、法定代表人</w:t>
      </w:r>
      <w:bookmarkEnd w:id="119"/>
      <w:r>
        <w:rPr>
          <w:rFonts w:hint="eastAsia" w:ascii="宋体" w:hAnsi="宋体" w:eastAsia="宋体" w:cs="宋体"/>
          <w:color w:val="auto"/>
        </w:rPr>
        <w:t>证明书（格式可自定）</w:t>
      </w:r>
    </w:p>
    <w:p>
      <w:pPr>
        <w:pStyle w:val="19"/>
        <w:spacing w:line="360" w:lineRule="auto"/>
        <w:ind w:left="480" w:firstLine="240"/>
        <w:jc w:val="center"/>
        <w:rPr>
          <w:rFonts w:ascii="宋体" w:hAnsi="宋体" w:cs="宋体"/>
          <w:color w:val="auto"/>
          <w:sz w:val="24"/>
        </w:rPr>
      </w:pPr>
    </w:p>
    <w:p>
      <w:pPr>
        <w:snapToGrid w:val="0"/>
        <w:spacing w:line="360" w:lineRule="auto"/>
        <w:rPr>
          <w:rFonts w:ascii="宋体" w:hAnsi="宋体" w:cs="宋体"/>
          <w:b/>
          <w:color w:val="auto"/>
          <w:sz w:val="30"/>
        </w:rPr>
      </w:pPr>
      <w:bookmarkStart w:id="120" w:name="_Toc532778390"/>
      <w:r>
        <w:rPr>
          <w:rFonts w:hint="eastAsia" w:ascii="宋体" w:hAnsi="宋体" w:cs="宋体"/>
          <w:color w:val="auto"/>
          <w:sz w:val="30"/>
        </w:rPr>
        <w:t xml:space="preserve">                                            （　 ）第　号</w:t>
      </w:r>
    </w:p>
    <w:p>
      <w:pPr>
        <w:snapToGrid w:val="0"/>
        <w:spacing w:line="360" w:lineRule="auto"/>
        <w:ind w:right="-96"/>
        <w:rPr>
          <w:rFonts w:ascii="宋体" w:hAnsi="宋体" w:cs="宋体"/>
          <w:color w:val="auto"/>
          <w:sz w:val="30"/>
        </w:rPr>
      </w:pPr>
      <w:r>
        <w:rPr>
          <w:rFonts w:hint="eastAsia" w:ascii="宋体" w:hAnsi="宋体" w:cs="宋体"/>
          <w:color w:val="auto"/>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31115</wp:posOffset>
                </wp:positionV>
                <wp:extent cx="5943600" cy="2773680"/>
                <wp:effectExtent l="5080" t="5080" r="7620" b="15240"/>
                <wp:wrapNone/>
                <wp:docPr id="4" name="文本框 4"/>
                <wp:cNvGraphicFramePr/>
                <a:graphic xmlns:a="http://schemas.openxmlformats.org/drawingml/2006/main">
                  <a:graphicData uri="http://schemas.microsoft.com/office/word/2010/wordprocessingShape">
                    <wps:wsp>
                      <wps:cNvSpPr txBox="1"/>
                      <wps:spPr>
                        <a:xfrm>
                          <a:off x="0" y="0"/>
                          <a:ext cx="5943600"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70"/>
                              <w:rPr>
                                <w:sz w:val="28"/>
                                <w:u w:val="single"/>
                              </w:rPr>
                            </w:pPr>
                            <w:r>
                              <w:rPr>
                                <w:rFonts w:hint="eastAsia"/>
                                <w:sz w:val="28"/>
                              </w:rPr>
                              <w:t>经营范围：</w:t>
                            </w:r>
                            <w:r>
                              <w:rPr>
                                <w:sz w:val="28"/>
                                <w:u w:val="single"/>
                              </w:rPr>
                              <w:t xml:space="preserve">                       </w:t>
                            </w:r>
                          </w:p>
                          <w:p>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pPr>
                              <w:snapToGrid w:val="0"/>
                              <w:spacing w:line="480" w:lineRule="atLeast"/>
                              <w:ind w:firstLine="570"/>
                            </w:pPr>
                            <w:r>
                              <w:rPr>
                                <w:sz w:val="28"/>
                                <w:u w:val="single"/>
                              </w:rPr>
                              <w:t xml:space="preserve">                                  </w:t>
                            </w:r>
                            <w:r>
                              <w:rPr>
                                <w:sz w:val="28"/>
                              </w:rPr>
                              <w:t xml:space="preserve">       </w:t>
                            </w: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0pt;margin-top:2.45pt;height:218.4pt;width:468pt;z-index:251659264;mso-width-relative:page;mso-height-relative:page;" fillcolor="#FFFFFF" filled="t" stroked="t" coordsize="21600,21600" o:allowincell="f" o:gfxdata="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6Li1QAAAAYBAAAPAAAAAAAA&#10;AAEAIAAAACIAAABkcnMvZG93bnJldi54bWxQSwECFAAUAAAACACHTuJAyFtu+xUCAABFBAAADgAA&#10;AAAAAAABACAAAAAkAQAAZHJzL2Uyb0RvYy54bWxQSwUGAAAAAAYABgBZAQAAqwUAAAAA&#10;">
                <v:fill on="t" focussize="0,0"/>
                <v:stroke color="#000000" joinstyle="miter"/>
                <v:imagedata o:title=""/>
                <o:lock v:ext="edit" aspectratio="f"/>
                <v:textbox>
                  <w:txbxContent>
                    <w:p>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70"/>
                        <w:rPr>
                          <w:sz w:val="28"/>
                          <w:u w:val="single"/>
                        </w:rPr>
                      </w:pPr>
                      <w:r>
                        <w:rPr>
                          <w:rFonts w:hint="eastAsia"/>
                          <w:sz w:val="28"/>
                        </w:rPr>
                        <w:t>经营范围：</w:t>
                      </w:r>
                      <w:r>
                        <w:rPr>
                          <w:sz w:val="28"/>
                          <w:u w:val="single"/>
                        </w:rPr>
                        <w:t xml:space="preserve">                       </w:t>
                      </w:r>
                    </w:p>
                    <w:p>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pPr>
                        <w:snapToGrid w:val="0"/>
                        <w:spacing w:line="480" w:lineRule="atLeast"/>
                        <w:ind w:firstLine="570"/>
                      </w:pPr>
                      <w:r>
                        <w:rPr>
                          <w:sz w:val="28"/>
                          <w:u w:val="single"/>
                        </w:rPr>
                        <w:t xml:space="preserve">                                  </w:t>
                      </w:r>
                      <w:r>
                        <w:rPr>
                          <w:sz w:val="28"/>
                        </w:rPr>
                        <w:t xml:space="preserve">       </w:t>
                      </w: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p>
    <w:p>
      <w:pPr>
        <w:snapToGrid w:val="0"/>
        <w:spacing w:line="360" w:lineRule="auto"/>
        <w:ind w:right="-96"/>
        <w:rPr>
          <w:rFonts w:ascii="宋体" w:hAnsi="宋体" w:cs="宋体"/>
          <w:color w:val="auto"/>
          <w:sz w:val="30"/>
        </w:rPr>
      </w:pPr>
    </w:p>
    <w:p>
      <w:pPr>
        <w:snapToGrid w:val="0"/>
        <w:spacing w:line="360" w:lineRule="auto"/>
        <w:ind w:right="-96"/>
        <w:rPr>
          <w:rFonts w:ascii="宋体" w:hAnsi="宋体" w:cs="宋体"/>
          <w:color w:val="auto"/>
          <w:sz w:val="30"/>
        </w:rPr>
      </w:pPr>
    </w:p>
    <w:p>
      <w:pPr>
        <w:snapToGrid w:val="0"/>
        <w:spacing w:line="360" w:lineRule="auto"/>
        <w:ind w:right="-96"/>
        <w:rPr>
          <w:rFonts w:ascii="宋体" w:hAnsi="宋体" w:cs="宋体"/>
          <w:color w:val="auto"/>
          <w:sz w:val="30"/>
        </w:rPr>
      </w:pPr>
    </w:p>
    <w:p>
      <w:pPr>
        <w:snapToGrid w:val="0"/>
        <w:spacing w:line="360" w:lineRule="auto"/>
        <w:ind w:right="-96"/>
        <w:rPr>
          <w:rFonts w:ascii="宋体" w:hAnsi="宋体" w:cs="宋体"/>
          <w:color w:val="auto"/>
          <w:sz w:val="30"/>
        </w:rPr>
      </w:pPr>
    </w:p>
    <w:p>
      <w:pPr>
        <w:snapToGrid w:val="0"/>
        <w:spacing w:line="360" w:lineRule="auto"/>
        <w:ind w:right="-96"/>
        <w:rPr>
          <w:rFonts w:ascii="宋体" w:hAnsi="宋体" w:cs="宋体"/>
          <w:color w:val="auto"/>
          <w:sz w:val="30"/>
        </w:rPr>
      </w:pPr>
    </w:p>
    <w:p>
      <w:pPr>
        <w:snapToGrid w:val="0"/>
        <w:spacing w:line="360" w:lineRule="auto"/>
        <w:ind w:right="-96"/>
        <w:rPr>
          <w:rFonts w:ascii="宋体" w:hAnsi="宋体" w:cs="宋体"/>
          <w:color w:val="auto"/>
          <w:sz w:val="30"/>
        </w:rPr>
      </w:pPr>
    </w:p>
    <w:p>
      <w:pPr>
        <w:snapToGrid w:val="0"/>
        <w:spacing w:line="360" w:lineRule="auto"/>
        <w:ind w:right="-96"/>
        <w:rPr>
          <w:rFonts w:ascii="宋体" w:hAnsi="宋体" w:cs="宋体"/>
          <w:color w:val="auto"/>
          <w:sz w:val="30"/>
        </w:rPr>
      </w:pPr>
      <w:r>
        <w:rPr>
          <w:rFonts w:hint="eastAsia" w:ascii="宋体" w:hAnsi="宋体" w:cs="宋体"/>
          <w:b/>
          <w:color w:val="auto"/>
        </w:rPr>
        <w:t>备注：也可使用从工商管理部门购买的格式填写</w:t>
      </w:r>
    </w:p>
    <w:p>
      <w:pPr>
        <w:snapToGrid w:val="0"/>
        <w:spacing w:line="360" w:lineRule="auto"/>
        <w:ind w:right="-96"/>
        <w:jc w:val="center"/>
        <w:rPr>
          <w:rFonts w:ascii="宋体" w:hAnsi="宋体" w:cs="宋体"/>
          <w:b/>
          <w:color w:val="auto"/>
          <w:sz w:val="30"/>
        </w:rPr>
      </w:pPr>
    </w:p>
    <w:p>
      <w:pPr>
        <w:pStyle w:val="19"/>
        <w:numPr>
          <w:ilvl w:val="1"/>
          <w:numId w:val="7"/>
        </w:numPr>
        <w:tabs>
          <w:tab w:val="left" w:pos="0"/>
          <w:tab w:val="clear" w:pos="360"/>
        </w:tabs>
        <w:spacing w:line="360" w:lineRule="auto"/>
        <w:ind w:firstLine="0"/>
        <w:jc w:val="center"/>
        <w:outlineLvl w:val="1"/>
        <w:rPr>
          <w:rFonts w:ascii="宋体" w:hAnsi="宋体" w:cs="宋体"/>
          <w:bCs/>
          <w:color w:val="auto"/>
          <w:sz w:val="24"/>
        </w:rPr>
      </w:pPr>
      <w:bookmarkStart w:id="121" w:name="_Toc32276"/>
      <w:r>
        <w:rPr>
          <w:rFonts w:hint="eastAsia" w:ascii="宋体" w:hAnsi="宋体" w:cs="宋体"/>
          <w:bCs/>
          <w:color w:val="auto"/>
          <w:sz w:val="24"/>
        </w:rPr>
        <w:t>（附法定代表人身份证扫描件正反面）</w:t>
      </w:r>
      <w:bookmarkEnd w:id="121"/>
    </w:p>
    <w:p>
      <w:pPr>
        <w:snapToGrid w:val="0"/>
        <w:spacing w:line="360" w:lineRule="auto"/>
        <w:ind w:right="-96"/>
        <w:jc w:val="center"/>
        <w:rPr>
          <w:rFonts w:ascii="宋体" w:hAnsi="宋体" w:cs="宋体"/>
          <w:b/>
          <w:color w:val="auto"/>
          <w:sz w:val="30"/>
        </w:rPr>
      </w:pPr>
    </w:p>
    <w:p>
      <w:pPr>
        <w:spacing w:line="360" w:lineRule="auto"/>
        <w:ind w:right="538" w:firstLine="482" w:firstLineChars="200"/>
        <w:rPr>
          <w:rFonts w:ascii="宋体" w:hAnsi="宋体" w:cs="宋体"/>
          <w:color w:val="auto"/>
          <w:sz w:val="24"/>
        </w:rPr>
      </w:pPr>
      <w:r>
        <w:rPr>
          <w:rFonts w:hint="eastAsia" w:ascii="宋体" w:hAnsi="宋体" w:cs="宋体"/>
          <w:b/>
          <w:bCs/>
          <w:color w:val="auto"/>
          <w:sz w:val="24"/>
        </w:rPr>
        <w:t>注：本格式仅供参考，也可使用工商管理部门提供的格式。</w:t>
      </w:r>
    </w:p>
    <w:p>
      <w:pPr>
        <w:snapToGrid w:val="0"/>
        <w:spacing w:line="360" w:lineRule="auto"/>
        <w:ind w:right="-96"/>
        <w:jc w:val="center"/>
        <w:rPr>
          <w:rFonts w:ascii="宋体" w:hAnsi="宋体" w:cs="宋体"/>
          <w:b/>
          <w:color w:val="auto"/>
          <w:sz w:val="30"/>
        </w:rPr>
      </w:pPr>
      <w:r>
        <w:rPr>
          <w:rFonts w:hint="eastAsia" w:ascii="宋体" w:hAnsi="宋体" w:cs="宋体"/>
          <w:b/>
          <w:color w:val="auto"/>
          <w:sz w:val="30"/>
        </w:rPr>
        <w:br w:type="page"/>
      </w:r>
    </w:p>
    <w:p>
      <w:pPr>
        <w:pStyle w:val="6"/>
        <w:jc w:val="center"/>
        <w:rPr>
          <w:rFonts w:ascii="宋体" w:hAnsi="宋体" w:eastAsia="宋体" w:cs="宋体"/>
          <w:color w:val="auto"/>
        </w:rPr>
      </w:pPr>
      <w:r>
        <w:rPr>
          <w:rFonts w:hint="eastAsia" w:ascii="宋体" w:hAnsi="宋体" w:eastAsia="宋体" w:cs="宋体"/>
          <w:color w:val="auto"/>
        </w:rPr>
        <w:t>二、法定代表人授权委托书</w:t>
      </w:r>
      <w:bookmarkEnd w:id="120"/>
      <w:r>
        <w:rPr>
          <w:rFonts w:hint="eastAsia" w:ascii="宋体" w:hAnsi="宋体" w:eastAsia="宋体" w:cs="宋体"/>
          <w:color w:val="auto"/>
        </w:rPr>
        <w:t>（格式可自定）</w:t>
      </w:r>
    </w:p>
    <w:p>
      <w:pPr>
        <w:snapToGrid w:val="0"/>
        <w:spacing w:line="360" w:lineRule="auto"/>
        <w:ind w:firstLine="4216"/>
        <w:jc w:val="center"/>
        <w:rPr>
          <w:rFonts w:ascii="宋体" w:hAnsi="宋体" w:cs="宋体"/>
          <w:color w:val="auto"/>
          <w:sz w:val="30"/>
        </w:rPr>
      </w:pPr>
      <w:r>
        <w:rPr>
          <w:rFonts w:hint="eastAsia" w:ascii="宋体"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wp:posOffset>
                </wp:positionV>
                <wp:extent cx="5943600" cy="3021965"/>
                <wp:effectExtent l="5080" t="4445" r="7620" b="8890"/>
                <wp:wrapNone/>
                <wp:docPr id="1" name="文本框 1"/>
                <wp:cNvGraphicFramePr/>
                <a:graphic xmlns:a="http://schemas.openxmlformats.org/drawingml/2006/main">
                  <a:graphicData uri="http://schemas.microsoft.com/office/word/2010/wordprocessingShape">
                    <wps:wsp>
                      <wps:cNvSpPr txBox="1"/>
                      <wps:spPr>
                        <a:xfrm>
                          <a:off x="0" y="0"/>
                          <a:ext cx="5943600" cy="3021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pPr>
                              <w:snapToGrid w:val="0"/>
                              <w:spacing w:line="480" w:lineRule="atLeast"/>
                              <w:rPr>
                                <w:sz w:val="28"/>
                                <w:u w:val="single"/>
                              </w:rPr>
                            </w:pPr>
                            <w:r>
                              <w:rPr>
                                <w:sz w:val="28"/>
                                <w:u w:val="single"/>
                              </w:rPr>
                              <w:t xml:space="preserve">                                                                </w:t>
                            </w:r>
                          </w:p>
                          <w:p>
                            <w:pPr>
                              <w:snapToGrid w:val="0"/>
                              <w:spacing w:line="480" w:lineRule="atLeast"/>
                              <w:rPr>
                                <w:sz w:val="28"/>
                                <w:u w:val="single"/>
                              </w:rPr>
                            </w:pPr>
                            <w:r>
                              <w:rPr>
                                <w:rFonts w:hint="eastAsia"/>
                                <w:sz w:val="28"/>
                              </w:rPr>
                              <w:t>有效期限：</w:t>
                            </w:r>
                            <w:r>
                              <w:rPr>
                                <w:sz w:val="28"/>
                                <w:u w:val="single"/>
                              </w:rPr>
                              <w:t xml:space="preserve">                                                      </w:t>
                            </w:r>
                          </w:p>
                          <w:p>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60"/>
                              <w:rPr>
                                <w:sz w:val="28"/>
                                <w:u w:val="single"/>
                              </w:rPr>
                            </w:pPr>
                            <w:r>
                              <w:rPr>
                                <w:rFonts w:hint="eastAsia"/>
                                <w:sz w:val="28"/>
                              </w:rPr>
                              <w:t>经营范围：</w:t>
                            </w:r>
                            <w:r>
                              <w:rPr>
                                <w:sz w:val="28"/>
                                <w:u w:val="single"/>
                              </w:rPr>
                              <w:t xml:space="preserve">                                                  </w:t>
                            </w:r>
                          </w:p>
                          <w:p>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w:t>
                            </w:r>
                          </w:p>
                          <w:p>
                            <w:pPr>
                              <w:snapToGrid w:val="0"/>
                              <w:spacing w:line="480" w:lineRule="atLeast"/>
                              <w:ind w:firstLine="560"/>
                              <w:rPr>
                                <w:sz w:val="28"/>
                              </w:rPr>
                            </w:pPr>
                            <w:r>
                              <w:rPr>
                                <w:rFonts w:hint="eastAsia"/>
                                <w:sz w:val="28"/>
                              </w:rPr>
                              <w:t>授权单位：（盖章）</w:t>
                            </w:r>
                            <w:r>
                              <w:rPr>
                                <w:sz w:val="28"/>
                                <w:u w:val="single"/>
                              </w:rPr>
                              <w:t xml:space="preserve">                     </w:t>
                            </w:r>
                          </w:p>
                          <w:p>
                            <w:pPr>
                              <w:ind w:firstLine="5880" w:firstLineChars="2100"/>
                            </w:pP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9pt;margin-top:0.2pt;height:237.95pt;width:468pt;z-index:251660288;mso-width-relative:page;mso-height-relative:page;" fillcolor="#FFFFFF" filled="t" stroked="t" coordsize="21600,21600" o:gfxdata="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DI2InWAAAACAEAAA8AAAAAAAAAAQAg&#10;AAAAIgAAAGRycy9kb3ducmV2LnhtbFBLAQIUABQAAAAIAIdO4kD0I6E4EAIAAEUEAAAOAAAAAAAA&#10;AAEAIAAAACUBAABkcnMvZTJvRG9jLnhtbFBLBQYAAAAABgAGAFkBAACnBQAAAAA=&#10;">
                <v:fill on="t" focussize="0,0"/>
                <v:stroke color="#000000" joinstyle="miter"/>
                <v:imagedata o:title=""/>
                <o:lock v:ext="edit" aspectratio="f"/>
                <v:textbox>
                  <w:txbxContent>
                    <w:p>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pPr>
                        <w:snapToGrid w:val="0"/>
                        <w:spacing w:line="480" w:lineRule="atLeast"/>
                        <w:rPr>
                          <w:sz w:val="28"/>
                          <w:u w:val="single"/>
                        </w:rPr>
                      </w:pPr>
                      <w:r>
                        <w:rPr>
                          <w:sz w:val="28"/>
                          <w:u w:val="single"/>
                        </w:rPr>
                        <w:t xml:space="preserve">                                                                </w:t>
                      </w:r>
                    </w:p>
                    <w:p>
                      <w:pPr>
                        <w:snapToGrid w:val="0"/>
                        <w:spacing w:line="480" w:lineRule="atLeast"/>
                        <w:rPr>
                          <w:sz w:val="28"/>
                          <w:u w:val="single"/>
                        </w:rPr>
                      </w:pPr>
                      <w:r>
                        <w:rPr>
                          <w:rFonts w:hint="eastAsia"/>
                          <w:sz w:val="28"/>
                        </w:rPr>
                        <w:t>有效期限：</w:t>
                      </w:r>
                      <w:r>
                        <w:rPr>
                          <w:sz w:val="28"/>
                          <w:u w:val="single"/>
                        </w:rPr>
                        <w:t xml:space="preserve">                                                      </w:t>
                      </w:r>
                    </w:p>
                    <w:p>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60"/>
                        <w:rPr>
                          <w:sz w:val="28"/>
                          <w:u w:val="single"/>
                        </w:rPr>
                      </w:pPr>
                      <w:r>
                        <w:rPr>
                          <w:rFonts w:hint="eastAsia"/>
                          <w:sz w:val="28"/>
                        </w:rPr>
                        <w:t>经营范围：</w:t>
                      </w:r>
                      <w:r>
                        <w:rPr>
                          <w:sz w:val="28"/>
                          <w:u w:val="single"/>
                        </w:rPr>
                        <w:t xml:space="preserve">                                                  </w:t>
                      </w:r>
                    </w:p>
                    <w:p>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w:t>
                      </w:r>
                    </w:p>
                    <w:p>
                      <w:pPr>
                        <w:snapToGrid w:val="0"/>
                        <w:spacing w:line="480" w:lineRule="atLeast"/>
                        <w:ind w:firstLine="560"/>
                        <w:rPr>
                          <w:sz w:val="28"/>
                        </w:rPr>
                      </w:pPr>
                      <w:r>
                        <w:rPr>
                          <w:rFonts w:hint="eastAsia"/>
                          <w:sz w:val="28"/>
                        </w:rPr>
                        <w:t>授权单位：（盖章）</w:t>
                      </w:r>
                      <w:r>
                        <w:rPr>
                          <w:sz w:val="28"/>
                          <w:u w:val="single"/>
                        </w:rPr>
                        <w:t xml:space="preserve">                     </w:t>
                      </w:r>
                    </w:p>
                    <w:p>
                      <w:pPr>
                        <w:ind w:firstLine="5880" w:firstLineChars="2100"/>
                      </w:pP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rFonts w:hint="eastAsia" w:ascii="宋体" w:hAnsi="宋体" w:cs="宋体"/>
          <w:color w:val="auto"/>
          <w:sz w:val="30"/>
        </w:rPr>
        <w:t xml:space="preserve">         （　 ）第　号</w:t>
      </w:r>
    </w:p>
    <w:p>
      <w:pPr>
        <w:snapToGrid w:val="0"/>
        <w:spacing w:line="360" w:lineRule="auto"/>
        <w:ind w:firstLine="4427"/>
        <w:rPr>
          <w:rFonts w:ascii="宋体" w:hAnsi="宋体" w:cs="宋体"/>
          <w:b/>
          <w:color w:val="auto"/>
        </w:rPr>
      </w:pPr>
    </w:p>
    <w:p>
      <w:pPr>
        <w:snapToGrid w:val="0"/>
        <w:spacing w:line="360" w:lineRule="auto"/>
        <w:ind w:left="949" w:hanging="949"/>
        <w:rPr>
          <w:rFonts w:ascii="宋体" w:hAnsi="宋体" w:cs="宋体"/>
          <w:b/>
          <w:color w:val="auto"/>
        </w:rPr>
      </w:pPr>
    </w:p>
    <w:p>
      <w:pPr>
        <w:snapToGrid w:val="0"/>
        <w:spacing w:line="360" w:lineRule="auto"/>
        <w:ind w:left="949" w:hanging="949"/>
        <w:rPr>
          <w:rFonts w:ascii="宋体" w:hAnsi="宋体" w:cs="宋体"/>
          <w:b/>
          <w:color w:val="auto"/>
        </w:rPr>
      </w:pPr>
    </w:p>
    <w:p>
      <w:pPr>
        <w:snapToGrid w:val="0"/>
        <w:spacing w:line="360" w:lineRule="auto"/>
        <w:ind w:left="949" w:hanging="949"/>
        <w:rPr>
          <w:rFonts w:ascii="宋体" w:hAnsi="宋体" w:cs="宋体"/>
          <w:b/>
          <w:color w:val="auto"/>
        </w:rPr>
      </w:pPr>
    </w:p>
    <w:p>
      <w:pPr>
        <w:snapToGrid w:val="0"/>
        <w:spacing w:line="360" w:lineRule="auto"/>
        <w:ind w:left="949" w:hanging="949"/>
        <w:rPr>
          <w:rFonts w:ascii="宋体" w:hAnsi="宋体" w:cs="宋体"/>
          <w:b/>
          <w:color w:val="auto"/>
        </w:rPr>
      </w:pPr>
    </w:p>
    <w:p>
      <w:pPr>
        <w:snapToGrid w:val="0"/>
        <w:spacing w:line="360" w:lineRule="auto"/>
        <w:ind w:left="949" w:hanging="949"/>
        <w:rPr>
          <w:rFonts w:ascii="宋体" w:hAnsi="宋体" w:cs="宋体"/>
          <w:b/>
          <w:color w:val="auto"/>
        </w:rPr>
      </w:pPr>
    </w:p>
    <w:p>
      <w:pPr>
        <w:snapToGrid w:val="0"/>
        <w:spacing w:line="360" w:lineRule="auto"/>
        <w:ind w:left="949" w:hanging="949"/>
        <w:rPr>
          <w:rFonts w:ascii="宋体" w:hAnsi="宋体" w:cs="宋体"/>
          <w:b/>
          <w:color w:val="auto"/>
        </w:rPr>
      </w:pPr>
    </w:p>
    <w:p>
      <w:pPr>
        <w:snapToGrid w:val="0"/>
        <w:spacing w:line="360" w:lineRule="auto"/>
        <w:ind w:left="949" w:hanging="949"/>
        <w:rPr>
          <w:rFonts w:ascii="宋体" w:hAnsi="宋体" w:cs="宋体"/>
          <w:b/>
          <w:color w:val="auto"/>
        </w:rPr>
      </w:pPr>
    </w:p>
    <w:p>
      <w:pPr>
        <w:tabs>
          <w:tab w:val="left" w:pos="0"/>
        </w:tabs>
        <w:autoSpaceDE w:val="0"/>
        <w:autoSpaceDN w:val="0"/>
        <w:snapToGrid w:val="0"/>
        <w:spacing w:line="360" w:lineRule="auto"/>
        <w:rPr>
          <w:rFonts w:ascii="宋体" w:hAnsi="宋体" w:cs="宋体"/>
          <w:b/>
          <w:color w:val="auto"/>
          <w:spacing w:val="20"/>
          <w:sz w:val="28"/>
          <w:szCs w:val="28"/>
        </w:rPr>
      </w:pPr>
      <w:r>
        <w:rPr>
          <w:rFonts w:hint="eastAsia" w:ascii="宋体" w:hAnsi="宋体" w:cs="宋体"/>
          <w:b/>
          <w:color w:val="auto"/>
        </w:rPr>
        <w:t>备注：也可使用从工商管理部门购买的格式填写</w:t>
      </w:r>
    </w:p>
    <w:p>
      <w:pPr>
        <w:snapToGrid w:val="0"/>
        <w:spacing w:line="360" w:lineRule="auto"/>
        <w:rPr>
          <w:rFonts w:ascii="宋体" w:hAnsi="宋体" w:cs="宋体"/>
          <w:color w:val="auto"/>
        </w:rPr>
      </w:pPr>
    </w:p>
    <w:p>
      <w:pPr>
        <w:spacing w:line="360" w:lineRule="auto"/>
        <w:ind w:right="538" w:firstLine="562" w:firstLineChars="200"/>
        <w:rPr>
          <w:rFonts w:ascii="宋体" w:hAnsi="宋体" w:cs="宋体"/>
          <w:b/>
          <w:bCs/>
          <w:color w:val="auto"/>
          <w:sz w:val="28"/>
        </w:rPr>
      </w:pPr>
    </w:p>
    <w:p>
      <w:pPr>
        <w:tabs>
          <w:tab w:val="left" w:pos="5070"/>
        </w:tabs>
        <w:adjustRightInd w:val="0"/>
        <w:snapToGrid w:val="0"/>
        <w:spacing w:line="360" w:lineRule="auto"/>
        <w:ind w:firstLine="240" w:firstLineChars="100"/>
        <w:jc w:val="center"/>
        <w:rPr>
          <w:rFonts w:ascii="宋体" w:hAnsi="宋体" w:cs="宋体"/>
          <w:color w:val="auto"/>
          <w:sz w:val="24"/>
        </w:rPr>
      </w:pPr>
      <w:r>
        <w:rPr>
          <w:rFonts w:hint="eastAsia" w:ascii="宋体" w:hAnsi="宋体" w:cs="宋体"/>
          <w:color w:val="auto"/>
          <w:sz w:val="24"/>
        </w:rPr>
        <w:t>（附授权委托人身份证扫描件正反面）</w:t>
      </w:r>
    </w:p>
    <w:p>
      <w:pPr>
        <w:spacing w:line="360" w:lineRule="auto"/>
        <w:ind w:right="538" w:firstLine="482" w:firstLineChars="200"/>
        <w:rPr>
          <w:rFonts w:ascii="宋体" w:hAnsi="宋体" w:cs="宋体"/>
          <w:color w:val="auto"/>
          <w:sz w:val="24"/>
        </w:rPr>
      </w:pPr>
      <w:r>
        <w:rPr>
          <w:rFonts w:hint="eastAsia" w:ascii="宋体" w:hAnsi="宋体" w:cs="宋体"/>
          <w:b/>
          <w:bCs/>
          <w:color w:val="auto"/>
          <w:sz w:val="24"/>
        </w:rPr>
        <w:t>注：本格式仅供参考，也可使用工商管理部门提供的格式。</w:t>
      </w:r>
    </w:p>
    <w:p>
      <w:pPr>
        <w:spacing w:line="360" w:lineRule="auto"/>
        <w:ind w:firstLine="420" w:firstLineChars="200"/>
        <w:rPr>
          <w:rFonts w:ascii="宋体" w:hAnsi="宋体" w:cs="宋体"/>
          <w:color w:val="auto"/>
        </w:rPr>
      </w:pPr>
      <w:r>
        <w:rPr>
          <w:rFonts w:hint="eastAsia" w:ascii="宋体" w:hAnsi="宋体" w:cs="宋体"/>
          <w:color w:val="auto"/>
        </w:rPr>
        <w:br w:type="page"/>
      </w:r>
      <w:bookmarkStart w:id="122" w:name="_Toc532778393"/>
      <w:r>
        <w:rPr>
          <w:rFonts w:hint="eastAsia" w:ascii="黑体" w:hAnsi="黑体" w:eastAsia="黑体" w:cs="黑体"/>
          <w:b/>
          <w:bCs/>
          <w:color w:val="auto"/>
          <w:sz w:val="32"/>
          <w:szCs w:val="36"/>
        </w:rPr>
        <w:t>格式三：</w:t>
      </w:r>
    </w:p>
    <w:p>
      <w:pPr>
        <w:numPr>
          <w:ilvl w:val="0"/>
          <w:numId w:val="8"/>
        </w:numPr>
        <w:spacing w:line="360" w:lineRule="auto"/>
        <w:ind w:firstLine="643" w:firstLineChars="200"/>
        <w:jc w:val="center"/>
        <w:rPr>
          <w:rFonts w:hint="eastAsia" w:ascii="宋体" w:hAnsi="宋体" w:cs="宋体"/>
          <w:b/>
          <w:bCs/>
          <w:color w:val="auto"/>
          <w:sz w:val="32"/>
          <w:szCs w:val="36"/>
        </w:rPr>
      </w:pPr>
      <w:r>
        <w:rPr>
          <w:rFonts w:hint="eastAsia" w:ascii="宋体" w:hAnsi="宋体" w:cs="宋体"/>
          <w:b/>
          <w:bCs/>
          <w:color w:val="auto"/>
          <w:sz w:val="32"/>
          <w:szCs w:val="36"/>
        </w:rPr>
        <w:t>投标报价表</w:t>
      </w:r>
      <w:bookmarkEnd w:id="122"/>
    </w:p>
    <w:p>
      <w:pPr>
        <w:pStyle w:val="12"/>
        <w:numPr>
          <w:ilvl w:val="-1"/>
          <w:numId w:val="0"/>
        </w:numPr>
        <w:rPr>
          <w:color w:val="auto"/>
        </w:rPr>
      </w:pPr>
      <w:r>
        <w:rPr>
          <w:rFonts w:hint="eastAsia" w:cs="宋体"/>
          <w:color w:val="auto"/>
        </w:rPr>
        <w:t>项目名称</w:t>
      </w:r>
      <w:r>
        <w:rPr>
          <w:rFonts w:hint="eastAsia" w:cs="宋体"/>
          <w:color w:val="auto"/>
          <w:lang w:eastAsia="zh-CN"/>
        </w:rPr>
        <w:t>：鱼珠隧道、会展西路过江隧道、车陂路-新滘东路隧道工程（二期）三项目BIM管理咨询服务</w:t>
      </w:r>
    </w:p>
    <w:tbl>
      <w:tblPr>
        <w:tblStyle w:val="20"/>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890"/>
        <w:gridCol w:w="231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序号</w:t>
            </w:r>
          </w:p>
        </w:tc>
        <w:tc>
          <w:tcPr>
            <w:tcW w:w="3890"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rPr>
            </w:pPr>
          </w:p>
          <w:p>
            <w:pPr>
              <w:pStyle w:val="11"/>
              <w:ind w:right="31" w:firstLine="422"/>
              <w:rPr>
                <w:rFonts w:cs="宋体"/>
                <w:color w:val="auto"/>
              </w:rPr>
            </w:pPr>
            <w:r>
              <w:rPr>
                <w:rFonts w:hint="eastAsia" w:cs="宋体"/>
                <w:color w:val="auto"/>
              </w:rPr>
              <w:t>项目名称</w:t>
            </w:r>
          </w:p>
        </w:tc>
        <w:tc>
          <w:tcPr>
            <w:tcW w:w="231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jc w:val="center"/>
              <w:rPr>
                <w:rFonts w:hint="eastAsia" w:cs="宋体"/>
                <w:color w:val="auto"/>
              </w:rPr>
            </w:pPr>
            <w:r>
              <w:rPr>
                <w:rFonts w:hint="eastAsia" w:cs="宋体"/>
                <w:color w:val="auto"/>
              </w:rPr>
              <w:t>最高投标限价（元）</w:t>
            </w:r>
          </w:p>
        </w:tc>
        <w:tc>
          <w:tcPr>
            <w:tcW w:w="2198"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rPr>
                <w:rFonts w:cs="宋体"/>
                <w:color w:val="auto"/>
              </w:rPr>
            </w:pPr>
            <w:r>
              <w:rPr>
                <w:rFonts w:hint="eastAsia" w:cs="宋体"/>
                <w:color w:val="auto"/>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4"/>
                <w:szCs w:val="22"/>
                <w:lang w:val="en-US" w:eastAsia="zh-CN" w:bidi="ar-SA"/>
              </w:rPr>
            </w:pPr>
            <w:r>
              <w:rPr>
                <w:rFonts w:hint="eastAsia" w:ascii="宋体" w:hAnsi="宋体" w:cs="宋体"/>
                <w:b/>
                <w:color w:val="auto"/>
                <w:sz w:val="24"/>
              </w:rPr>
              <w:t>1</w:t>
            </w:r>
          </w:p>
        </w:tc>
        <w:tc>
          <w:tcPr>
            <w:tcW w:w="3890"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rPr>
                <w:rFonts w:hint="eastAsia" w:ascii="宋体" w:hAnsi="宋体" w:eastAsia="宋体" w:cs="宋体"/>
                <w:b/>
                <w:color w:val="auto"/>
                <w:kern w:val="2"/>
                <w:sz w:val="21"/>
                <w:szCs w:val="20"/>
                <w:lang w:val="en-US" w:eastAsia="zh-CN" w:bidi="ar-SA"/>
              </w:rPr>
            </w:pPr>
            <w:r>
              <w:rPr>
                <w:rFonts w:hint="eastAsia" w:cs="宋体"/>
                <w:color w:val="auto"/>
              </w:rPr>
              <w:t>鱼珠隧道工程</w:t>
            </w:r>
          </w:p>
        </w:tc>
        <w:tc>
          <w:tcPr>
            <w:tcW w:w="231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jc w:val="center"/>
              <w:rPr>
                <w:rFonts w:hint="eastAsia" w:cs="宋体"/>
                <w:color w:val="auto"/>
              </w:rPr>
            </w:pPr>
            <w:r>
              <w:rPr>
                <w:rFonts w:hint="eastAsia" w:ascii="宋体" w:hAnsi="宋体" w:cs="宋体"/>
                <w:color w:val="auto"/>
                <w:u w:val="none"/>
              </w:rPr>
              <w:t>1308550.00</w:t>
            </w:r>
          </w:p>
        </w:tc>
        <w:tc>
          <w:tcPr>
            <w:tcW w:w="2198"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4"/>
                <w:szCs w:val="22"/>
                <w:lang w:val="en-US" w:eastAsia="zh-CN" w:bidi="ar-SA"/>
              </w:rPr>
            </w:pPr>
            <w:r>
              <w:rPr>
                <w:rFonts w:hint="eastAsia" w:ascii="宋体" w:hAnsi="宋体" w:cs="宋体"/>
                <w:b/>
                <w:color w:val="auto"/>
                <w:sz w:val="24"/>
                <w:lang w:val="en-US" w:eastAsia="zh-CN"/>
              </w:rPr>
              <w:t>2</w:t>
            </w:r>
          </w:p>
        </w:tc>
        <w:tc>
          <w:tcPr>
            <w:tcW w:w="3890"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rPr>
                <w:rFonts w:hint="eastAsia" w:ascii="宋体" w:hAnsi="宋体" w:eastAsia="宋体" w:cs="宋体"/>
                <w:b/>
                <w:color w:val="auto"/>
                <w:kern w:val="2"/>
                <w:sz w:val="21"/>
                <w:szCs w:val="20"/>
                <w:lang w:val="en-US" w:eastAsia="zh-CN" w:bidi="ar-SA"/>
              </w:rPr>
            </w:pPr>
            <w:r>
              <w:rPr>
                <w:rFonts w:hint="eastAsia" w:cs="宋体"/>
                <w:color w:val="auto"/>
              </w:rPr>
              <w:t>车陂路-新滘东路隧道（二期）工程</w:t>
            </w:r>
          </w:p>
        </w:tc>
        <w:tc>
          <w:tcPr>
            <w:tcW w:w="231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jc w:val="center"/>
              <w:rPr>
                <w:rFonts w:hint="eastAsia" w:cs="宋体"/>
                <w:color w:val="auto"/>
              </w:rPr>
            </w:pPr>
            <w:r>
              <w:rPr>
                <w:rFonts w:hint="eastAsia" w:ascii="宋体" w:hAnsi="宋体" w:cs="宋体"/>
                <w:color w:val="auto"/>
                <w:u w:val="none"/>
              </w:rPr>
              <w:t>166210.00</w:t>
            </w:r>
          </w:p>
        </w:tc>
        <w:tc>
          <w:tcPr>
            <w:tcW w:w="2198"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4"/>
                <w:szCs w:val="22"/>
                <w:lang w:val="en-US" w:eastAsia="zh-CN" w:bidi="ar-SA"/>
              </w:rPr>
            </w:pPr>
            <w:r>
              <w:rPr>
                <w:rFonts w:hint="eastAsia" w:ascii="宋体" w:hAnsi="宋体" w:cs="宋体"/>
                <w:b/>
                <w:color w:val="auto"/>
                <w:sz w:val="24"/>
                <w:lang w:val="en-US" w:eastAsia="zh-CN"/>
              </w:rPr>
              <w:t>3</w:t>
            </w:r>
          </w:p>
        </w:tc>
        <w:tc>
          <w:tcPr>
            <w:tcW w:w="3890"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rPr>
                <w:rFonts w:hint="eastAsia" w:ascii="宋体" w:hAnsi="宋体" w:eastAsia="宋体" w:cs="宋体"/>
                <w:b/>
                <w:color w:val="auto"/>
                <w:kern w:val="2"/>
                <w:sz w:val="21"/>
                <w:szCs w:val="20"/>
                <w:lang w:val="en-US" w:eastAsia="zh-CN" w:bidi="ar-SA"/>
              </w:rPr>
            </w:pPr>
            <w:r>
              <w:rPr>
                <w:rFonts w:hint="eastAsia" w:cs="宋体"/>
                <w:color w:val="auto"/>
              </w:rPr>
              <w:t>会展西路过江隧道工程</w:t>
            </w:r>
          </w:p>
        </w:tc>
        <w:tc>
          <w:tcPr>
            <w:tcW w:w="2314" w:type="dxa"/>
            <w:tcBorders>
              <w:top w:val="single" w:color="auto" w:sz="4" w:space="0"/>
              <w:left w:val="single" w:color="auto" w:sz="4" w:space="0"/>
              <w:bottom w:val="single" w:color="auto" w:sz="4" w:space="0"/>
              <w:right w:val="single" w:color="auto" w:sz="4" w:space="0"/>
            </w:tcBorders>
            <w:vAlign w:val="center"/>
          </w:tcPr>
          <w:p>
            <w:pPr>
              <w:pStyle w:val="11"/>
              <w:ind w:left="0" w:leftChars="0" w:right="31" w:rightChars="15" w:firstLine="0" w:firstLineChars="0"/>
              <w:jc w:val="center"/>
              <w:rPr>
                <w:rFonts w:hint="eastAsia" w:cs="宋体"/>
                <w:color w:val="auto"/>
              </w:rPr>
            </w:pPr>
            <w:r>
              <w:rPr>
                <w:rFonts w:hint="eastAsia" w:ascii="宋体" w:hAnsi="宋体" w:cs="宋体"/>
                <w:color w:val="auto"/>
                <w:u w:val="none"/>
              </w:rPr>
              <w:t>930120.00</w:t>
            </w:r>
          </w:p>
        </w:tc>
        <w:tc>
          <w:tcPr>
            <w:tcW w:w="2198"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688" w:type="dxa"/>
            <w:gridSpan w:val="2"/>
            <w:tcBorders>
              <w:top w:val="single" w:color="auto" w:sz="4" w:space="0"/>
              <w:left w:val="single" w:color="auto" w:sz="4" w:space="0"/>
              <w:bottom w:val="single" w:color="auto" w:sz="4" w:space="0"/>
              <w:right w:val="single" w:color="auto" w:sz="4" w:space="0"/>
            </w:tcBorders>
            <w:vAlign w:val="center"/>
          </w:tcPr>
          <w:p>
            <w:pPr>
              <w:pStyle w:val="11"/>
              <w:ind w:left="0" w:leftChars="0" w:right="31" w:firstLine="0" w:firstLineChars="0"/>
              <w:jc w:val="center"/>
              <w:rPr>
                <w:rFonts w:hint="eastAsia" w:cs="宋体"/>
                <w:color w:val="auto"/>
              </w:rPr>
            </w:pPr>
            <w:r>
              <w:rPr>
                <w:rFonts w:hint="eastAsia" w:cs="宋体"/>
                <w:color w:val="auto"/>
                <w:lang w:val="en-US" w:eastAsia="zh-CN"/>
              </w:rPr>
              <w:t>合计（1+2+3）</w:t>
            </w:r>
          </w:p>
        </w:tc>
        <w:tc>
          <w:tcPr>
            <w:tcW w:w="2314" w:type="dxa"/>
            <w:tcBorders>
              <w:top w:val="single" w:color="auto" w:sz="4" w:space="0"/>
              <w:left w:val="single" w:color="auto" w:sz="4" w:space="0"/>
              <w:right w:val="single" w:color="auto" w:sz="4" w:space="0"/>
            </w:tcBorders>
            <w:vAlign w:val="center"/>
          </w:tcPr>
          <w:p>
            <w:pPr>
              <w:pStyle w:val="11"/>
              <w:ind w:left="0" w:leftChars="0" w:right="31" w:rightChars="15" w:firstLine="0" w:firstLineChars="0"/>
              <w:jc w:val="center"/>
              <w:rPr>
                <w:rFonts w:hint="eastAsia" w:cs="宋体"/>
                <w:color w:val="auto"/>
              </w:rPr>
            </w:pPr>
            <w:r>
              <w:rPr>
                <w:rFonts w:hint="eastAsia" w:cs="宋体"/>
                <w:color w:val="auto"/>
              </w:rPr>
              <w:t>2404880.00</w:t>
            </w:r>
          </w:p>
        </w:tc>
        <w:tc>
          <w:tcPr>
            <w:tcW w:w="2198" w:type="dxa"/>
            <w:tcBorders>
              <w:top w:val="single" w:color="auto" w:sz="4" w:space="0"/>
              <w:left w:val="single" w:color="auto" w:sz="4" w:space="0"/>
              <w:bottom w:val="single" w:color="auto" w:sz="4" w:space="0"/>
              <w:right w:val="single" w:color="auto" w:sz="4" w:space="0"/>
            </w:tcBorders>
            <w:vAlign w:val="center"/>
          </w:tcPr>
          <w:p>
            <w:pPr>
              <w:pStyle w:val="11"/>
              <w:ind w:right="31" w:firstLine="422"/>
              <w:rPr>
                <w:rFonts w:cs="宋体"/>
                <w:color w:val="auto"/>
              </w:rPr>
            </w:pPr>
          </w:p>
        </w:tc>
      </w:tr>
    </w:tbl>
    <w:p>
      <w:pPr>
        <w:spacing w:line="360" w:lineRule="auto"/>
        <w:rPr>
          <w:rFonts w:ascii="宋体" w:hAnsi="宋体" w:cs="宋体"/>
          <w:color w:val="auto"/>
          <w:sz w:val="24"/>
        </w:rPr>
      </w:pPr>
      <w:r>
        <w:rPr>
          <w:rFonts w:hint="eastAsia" w:ascii="宋体" w:hAnsi="宋体" w:cs="宋体"/>
          <w:color w:val="auto"/>
          <w:sz w:val="24"/>
        </w:rPr>
        <w:t>注：1.该报价已包含完成本项目各项服务可能发生的全部费用，以及合同明示或暗示的所有一般风险、责任和义务等。</w:t>
      </w:r>
    </w:p>
    <w:p>
      <w:pPr>
        <w:spacing w:line="360" w:lineRule="auto"/>
        <w:rPr>
          <w:rFonts w:ascii="宋体" w:hAnsi="宋体" w:cs="宋体"/>
          <w:color w:val="auto"/>
          <w:sz w:val="24"/>
          <w:szCs w:val="20"/>
        </w:rPr>
      </w:pPr>
      <w:r>
        <w:rPr>
          <w:rFonts w:hint="eastAsia" w:ascii="宋体" w:hAnsi="宋体" w:cs="宋体"/>
          <w:color w:val="auto"/>
          <w:sz w:val="24"/>
          <w:lang w:val="en-US" w:eastAsia="zh-CN"/>
        </w:rPr>
        <w:t>2</w:t>
      </w:r>
      <w:r>
        <w:rPr>
          <w:rFonts w:hint="eastAsia" w:ascii="宋体" w:hAnsi="宋体" w:cs="宋体"/>
          <w:color w:val="auto"/>
          <w:sz w:val="24"/>
        </w:rPr>
        <w:t>.投标报价以元为单位，保留两位小数，第三位小数四舍五入。</w:t>
      </w:r>
    </w:p>
    <w:p>
      <w:pPr>
        <w:spacing w:line="360" w:lineRule="auto"/>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投标单位（盖公章）：</w:t>
      </w:r>
    </w:p>
    <w:p>
      <w:pPr>
        <w:spacing w:line="360" w:lineRule="auto"/>
        <w:ind w:right="-108" w:firstLine="480" w:firstLineChars="200"/>
        <w:rPr>
          <w:rFonts w:ascii="宋体" w:hAnsi="宋体" w:cs="宋体"/>
          <w:color w:val="auto"/>
          <w:sz w:val="24"/>
        </w:rPr>
      </w:pPr>
      <w:r>
        <w:rPr>
          <w:rFonts w:hint="eastAsia" w:ascii="宋体" w:hAnsi="宋体" w:cs="宋体"/>
          <w:color w:val="auto"/>
          <w:sz w:val="24"/>
        </w:rPr>
        <w:t xml:space="preserve">法定代表人或授权委托人（签字或盖章） </w:t>
      </w:r>
    </w:p>
    <w:p>
      <w:pPr>
        <w:spacing w:line="360" w:lineRule="auto"/>
        <w:ind w:right="538" w:firstLine="480" w:firstLineChars="200"/>
        <w:rPr>
          <w:rFonts w:ascii="宋体" w:hAnsi="宋体" w:cs="宋体"/>
          <w:color w:val="auto"/>
          <w:sz w:val="24"/>
        </w:rPr>
      </w:pPr>
      <w:r>
        <w:rPr>
          <w:rFonts w:hint="eastAsia" w:ascii="宋体" w:hAnsi="宋体" w:cs="宋体"/>
          <w:color w:val="auto"/>
          <w:sz w:val="24"/>
        </w:rPr>
        <w:t>日　　　期：　　　年　　月 　日</w:t>
      </w:r>
    </w:p>
    <w:p>
      <w:pPr>
        <w:numPr>
          <w:ilvl w:val="0"/>
          <w:numId w:val="9"/>
        </w:numPr>
        <w:jc w:val="center"/>
        <w:rPr>
          <w:rFonts w:ascii="宋体" w:hAnsi="宋体" w:cs="宋体"/>
          <w:b/>
          <w:color w:val="auto"/>
          <w:sz w:val="28"/>
          <w:szCs w:val="28"/>
        </w:rPr>
      </w:pPr>
      <w:r>
        <w:rPr>
          <w:rFonts w:hint="eastAsia" w:ascii="宋体" w:hAnsi="宋体" w:cs="宋体"/>
          <w:color w:val="auto"/>
        </w:rPr>
        <w:br w:type="page"/>
      </w:r>
      <w:r>
        <w:rPr>
          <w:rFonts w:hint="eastAsia" w:ascii="宋体" w:hAnsi="宋体" w:cs="宋体"/>
          <w:b/>
          <w:color w:val="auto"/>
          <w:sz w:val="28"/>
          <w:szCs w:val="28"/>
        </w:rPr>
        <w:t>投标人声明（格式见招标公告）</w:t>
      </w:r>
    </w:p>
    <w:p>
      <w:pPr>
        <w:rPr>
          <w:rFonts w:ascii="宋体" w:hAnsi="宋体" w:cs="宋体"/>
          <w:b/>
          <w:color w:val="auto"/>
          <w:sz w:val="28"/>
          <w:szCs w:val="28"/>
        </w:rPr>
      </w:pPr>
    </w:p>
    <w:p>
      <w:pPr>
        <w:rPr>
          <w:rFonts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rPr>
          <w:rFonts w:hint="eastAsia" w:ascii="宋体" w:hAnsi="宋体" w:cs="宋体"/>
          <w:b/>
          <w:color w:val="auto"/>
          <w:sz w:val="28"/>
          <w:szCs w:val="28"/>
        </w:rPr>
      </w:pPr>
    </w:p>
    <w:p>
      <w:pPr>
        <w:jc w:val="center"/>
        <w:rPr>
          <w:rFonts w:hint="eastAsia" w:ascii="宋体" w:hAnsi="宋体" w:cs="宋体"/>
          <w:b/>
          <w:color w:val="auto"/>
          <w:sz w:val="28"/>
          <w:szCs w:val="28"/>
        </w:rPr>
      </w:pPr>
      <w:r>
        <w:rPr>
          <w:rFonts w:hint="eastAsia" w:ascii="宋体" w:hAnsi="宋体" w:cs="宋体"/>
          <w:b/>
          <w:color w:val="auto"/>
          <w:sz w:val="28"/>
          <w:szCs w:val="28"/>
        </w:rPr>
        <w:t>五、</w:t>
      </w:r>
      <w:r>
        <w:rPr>
          <w:rFonts w:hint="eastAsia" w:ascii="宋体" w:hAnsi="宋体" w:cs="宋体"/>
          <w:b/>
          <w:color w:val="auto"/>
          <w:sz w:val="28"/>
          <w:szCs w:val="28"/>
          <w:lang w:val="en-US" w:eastAsia="zh-CN"/>
        </w:rPr>
        <w:t>联合体协议</w:t>
      </w:r>
      <w:r>
        <w:rPr>
          <w:rFonts w:hint="eastAsia" w:ascii="宋体" w:hAnsi="宋体" w:cs="宋体"/>
          <w:b/>
          <w:color w:val="auto"/>
          <w:sz w:val="28"/>
          <w:szCs w:val="28"/>
        </w:rPr>
        <w:t>（格式见招标公告）</w:t>
      </w: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hint="eastAsia" w:ascii="宋体" w:hAnsi="宋体" w:cs="宋体"/>
          <w:b/>
          <w:color w:val="auto"/>
          <w:sz w:val="28"/>
          <w:szCs w:val="28"/>
        </w:rPr>
      </w:pPr>
    </w:p>
    <w:p>
      <w:pPr>
        <w:jc w:val="center"/>
        <w:rPr>
          <w:rFonts w:ascii="宋体" w:hAnsi="宋体" w:cs="宋体"/>
          <w:b/>
          <w:color w:val="auto"/>
          <w:sz w:val="28"/>
          <w:szCs w:val="28"/>
        </w:rPr>
      </w:pPr>
      <w:r>
        <w:rPr>
          <w:rFonts w:hint="eastAsia" w:ascii="宋体" w:hAnsi="宋体" w:cs="宋体"/>
          <w:b/>
          <w:color w:val="auto"/>
          <w:sz w:val="28"/>
          <w:szCs w:val="28"/>
          <w:lang w:val="en-US" w:eastAsia="zh-CN"/>
        </w:rPr>
        <w:t>六</w:t>
      </w:r>
      <w:r>
        <w:rPr>
          <w:rFonts w:hint="eastAsia" w:ascii="宋体" w:hAnsi="宋体" w:cs="宋体"/>
          <w:b/>
          <w:color w:val="auto"/>
          <w:sz w:val="28"/>
          <w:szCs w:val="28"/>
        </w:rPr>
        <w:t>、企业资信情况（参照评分办法格式自拟）</w:t>
      </w:r>
    </w:p>
    <w:p>
      <w:pPr>
        <w:pStyle w:val="6"/>
        <w:jc w:val="left"/>
        <w:rPr>
          <w:rFonts w:ascii="宋体" w:hAnsi="宋体" w:cs="宋体"/>
          <w:color w:val="auto"/>
          <w:sz w:val="28"/>
          <w:szCs w:val="28"/>
        </w:rPr>
      </w:pPr>
      <w:r>
        <w:rPr>
          <w:rFonts w:hint="eastAsia" w:ascii="宋体" w:hAnsi="宋体" w:cs="宋体"/>
          <w:color w:val="auto"/>
          <w:sz w:val="28"/>
          <w:szCs w:val="28"/>
        </w:rPr>
        <w:br w:type="page"/>
      </w:r>
      <w:r>
        <w:rPr>
          <w:rFonts w:hint="eastAsia" w:ascii="宋体" w:hAnsi="宋体" w:cs="宋体"/>
          <w:color w:val="auto"/>
        </w:rPr>
        <w:t>格式四：</w:t>
      </w:r>
    </w:p>
    <w:p>
      <w:pPr>
        <w:pStyle w:val="6"/>
        <w:jc w:val="center"/>
        <w:rPr>
          <w:rFonts w:ascii="宋体" w:hAnsi="宋体" w:eastAsia="宋体" w:cs="宋体"/>
          <w:color w:val="auto"/>
        </w:rPr>
      </w:pPr>
      <w:r>
        <w:rPr>
          <w:rFonts w:hint="eastAsia" w:ascii="宋体" w:hAnsi="宋体" w:eastAsia="宋体" w:cs="宋体"/>
          <w:color w:val="auto"/>
          <w:lang w:val="en-US" w:eastAsia="zh-CN"/>
        </w:rPr>
        <w:t>七</w:t>
      </w:r>
      <w:r>
        <w:rPr>
          <w:rFonts w:hint="eastAsia" w:ascii="宋体" w:hAnsi="宋体" w:eastAsia="宋体" w:cs="宋体"/>
          <w:color w:val="auto"/>
        </w:rPr>
        <w:t>、其他资料</w:t>
      </w:r>
    </w:p>
    <w:p>
      <w:pPr>
        <w:pStyle w:val="6"/>
        <w:spacing w:before="240" w:after="240" w:line="360" w:lineRule="auto"/>
        <w:rPr>
          <w:rFonts w:ascii="宋体" w:hAnsi="宋体" w:eastAsia="宋体" w:cs="宋体"/>
          <w:b w:val="0"/>
          <w:color w:val="auto"/>
          <w:position w:val="12"/>
          <w:sz w:val="28"/>
          <w:szCs w:val="28"/>
        </w:rPr>
      </w:pPr>
      <w:r>
        <w:rPr>
          <w:rFonts w:hint="eastAsia" w:ascii="宋体" w:hAnsi="宋体" w:eastAsia="宋体" w:cs="宋体"/>
          <w:b w:val="0"/>
          <w:color w:val="auto"/>
          <w:position w:val="12"/>
          <w:sz w:val="28"/>
          <w:szCs w:val="28"/>
        </w:rPr>
        <w:t>表格1</w:t>
      </w:r>
    </w:p>
    <w:p>
      <w:pPr>
        <w:pStyle w:val="6"/>
        <w:jc w:val="center"/>
        <w:rPr>
          <w:rFonts w:ascii="宋体" w:hAnsi="宋体" w:eastAsia="宋体" w:cs="宋体"/>
          <w:bCs/>
          <w:color w:val="auto"/>
        </w:rPr>
      </w:pPr>
      <w:r>
        <w:rPr>
          <w:rFonts w:hint="eastAsia" w:ascii="宋体" w:hAnsi="宋体" w:eastAsia="宋体" w:cs="宋体"/>
          <w:bCs/>
          <w:color w:val="auto"/>
        </w:rPr>
        <w:t>单位组织机构表</w:t>
      </w:r>
    </w:p>
    <w:tbl>
      <w:tblPr>
        <w:tblStyle w:val="2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2293"/>
        <w:gridCol w:w="157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1、简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单位名称</w:t>
            </w:r>
          </w:p>
        </w:tc>
        <w:tc>
          <w:tcPr>
            <w:tcW w:w="63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上级管理单位名称：</w:t>
            </w:r>
          </w:p>
        </w:tc>
        <w:tc>
          <w:tcPr>
            <w:tcW w:w="63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成立日期：</w:t>
            </w:r>
          </w:p>
        </w:tc>
        <w:tc>
          <w:tcPr>
            <w:tcW w:w="63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2、法定代表人及领导层名单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姓名</w:t>
            </w: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职务</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职称</w:t>
            </w: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trPr>
        <w:tc>
          <w:tcPr>
            <w:tcW w:w="9514"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szCs w:val="20"/>
              </w:rPr>
            </w:pPr>
          </w:p>
          <w:p>
            <w:pPr>
              <w:spacing w:line="360" w:lineRule="auto"/>
              <w:jc w:val="center"/>
              <w:rPr>
                <w:rFonts w:ascii="宋体" w:hAnsi="宋体" w:cs="宋体"/>
                <w:color w:val="auto"/>
                <w:sz w:val="24"/>
              </w:rPr>
            </w:pPr>
            <w:r>
              <w:rPr>
                <w:rFonts w:hint="eastAsia" w:ascii="宋体" w:hAnsi="宋体" w:cs="宋体"/>
                <w:color w:val="auto"/>
                <w:sz w:val="24"/>
              </w:rPr>
              <w:t>3  组织机构框图</w:t>
            </w:r>
          </w:p>
          <w:p>
            <w:pPr>
              <w:spacing w:line="360" w:lineRule="auto"/>
              <w:jc w:val="center"/>
              <w:rPr>
                <w:rFonts w:ascii="宋体" w:hAnsi="宋体" w:cs="宋体"/>
                <w:color w:val="auto"/>
                <w:sz w:val="24"/>
              </w:rPr>
            </w:pPr>
            <w:r>
              <w:rPr>
                <w:rFonts w:hint="eastAsia" w:ascii="宋体" w:hAnsi="宋体" w:cs="宋体"/>
                <w:color w:val="auto"/>
                <w:sz w:val="24"/>
              </w:rPr>
              <w:t>以框图的形式表示出组织机构、负责人及各职能部门</w:t>
            </w:r>
          </w:p>
        </w:tc>
      </w:tr>
    </w:tbl>
    <w:p>
      <w:pPr>
        <w:spacing w:line="360" w:lineRule="auto"/>
        <w:ind w:firstLine="435"/>
        <w:rPr>
          <w:rFonts w:ascii="宋体" w:hAnsi="宋体" w:cs="宋体"/>
          <w:color w:val="auto"/>
          <w:sz w:val="24"/>
          <w:szCs w:val="20"/>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投标单位（盖公章）：</w:t>
      </w:r>
    </w:p>
    <w:p>
      <w:pPr>
        <w:spacing w:line="360" w:lineRule="auto"/>
        <w:ind w:right="-108"/>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 xml:space="preserve">法定代表人或授权委托人（签字或盖章） </w:t>
      </w:r>
    </w:p>
    <w:p>
      <w:pPr>
        <w:spacing w:line="360" w:lineRule="auto"/>
        <w:ind w:right="-108"/>
        <w:rPr>
          <w:rFonts w:ascii="宋体" w:hAnsi="宋体" w:cs="宋体"/>
          <w:color w:val="auto"/>
          <w:sz w:val="24"/>
        </w:rPr>
      </w:pPr>
    </w:p>
    <w:p>
      <w:pPr>
        <w:spacing w:line="360" w:lineRule="auto"/>
        <w:ind w:right="538" w:firstLine="480" w:firstLineChars="200"/>
        <w:rPr>
          <w:rFonts w:ascii="宋体" w:hAnsi="宋体" w:cs="宋体"/>
          <w:b/>
          <w:color w:val="auto"/>
          <w:sz w:val="28"/>
          <w:szCs w:val="28"/>
        </w:rPr>
      </w:pPr>
      <w:r>
        <w:rPr>
          <w:rFonts w:hint="eastAsia" w:ascii="宋体" w:hAnsi="宋体" w:cs="宋体"/>
          <w:color w:val="auto"/>
          <w:sz w:val="24"/>
        </w:rPr>
        <w:t>日　　　期：　　　年　　月 　日</w:t>
      </w:r>
    </w:p>
    <w:p>
      <w:pPr>
        <w:pStyle w:val="6"/>
        <w:spacing w:before="240" w:after="240" w:line="360" w:lineRule="auto"/>
        <w:rPr>
          <w:rFonts w:ascii="宋体" w:hAnsi="宋体" w:eastAsia="宋体" w:cs="宋体"/>
          <w:b w:val="0"/>
          <w:color w:val="auto"/>
          <w:position w:val="12"/>
          <w:sz w:val="28"/>
          <w:szCs w:val="28"/>
        </w:rPr>
      </w:pPr>
      <w:r>
        <w:rPr>
          <w:rFonts w:hint="eastAsia" w:ascii="宋体" w:hAnsi="宋体" w:eastAsia="宋体" w:cs="宋体"/>
          <w:b w:val="0"/>
          <w:color w:val="auto"/>
          <w:position w:val="12"/>
          <w:sz w:val="28"/>
          <w:szCs w:val="28"/>
        </w:rPr>
        <w:t>表格2</w:t>
      </w:r>
    </w:p>
    <w:p>
      <w:pPr>
        <w:pStyle w:val="6"/>
        <w:jc w:val="center"/>
        <w:rPr>
          <w:rFonts w:ascii="宋体" w:hAnsi="宋体" w:eastAsia="宋体" w:cs="宋体"/>
          <w:bCs/>
          <w:color w:val="auto"/>
        </w:rPr>
      </w:pPr>
      <w:r>
        <w:rPr>
          <w:rFonts w:hint="eastAsia" w:ascii="宋体" w:hAnsi="宋体" w:eastAsia="宋体" w:cs="宋体"/>
          <w:bCs/>
          <w:color w:val="auto"/>
        </w:rPr>
        <w:t>企业类似业绩（资格审查）</w:t>
      </w:r>
    </w:p>
    <w:p>
      <w:pPr>
        <w:pStyle w:val="19"/>
        <w:ind w:firstLine="240"/>
        <w:jc w:val="center"/>
        <w:rPr>
          <w:color w:val="auto"/>
        </w:rPr>
      </w:pPr>
      <w:r>
        <w:rPr>
          <w:color w:val="auto"/>
          <w:sz w:val="24"/>
        </w:rPr>
        <w:t>2</w:t>
      </w:r>
      <w:r>
        <w:rPr>
          <w:rFonts w:hint="eastAsia"/>
          <w:color w:val="auto"/>
          <w:sz w:val="24"/>
        </w:rPr>
        <w:t>01</w:t>
      </w:r>
      <w:r>
        <w:rPr>
          <w:rFonts w:hint="eastAsia"/>
          <w:color w:val="auto"/>
          <w:sz w:val="24"/>
          <w:lang w:val="en-US" w:eastAsia="zh-CN"/>
        </w:rPr>
        <w:t>7</w:t>
      </w:r>
      <w:r>
        <w:rPr>
          <w:rFonts w:hint="eastAsia"/>
          <w:color w:val="auto"/>
          <w:sz w:val="24"/>
        </w:rPr>
        <w:t>年1月1日以来承接的项目业绩一览表</w:t>
      </w:r>
    </w:p>
    <w:tbl>
      <w:tblPr>
        <w:tblStyle w:val="20"/>
        <w:tblW w:w="992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943"/>
        <w:gridCol w:w="1498"/>
        <w:gridCol w:w="1173"/>
        <w:gridCol w:w="1541"/>
        <w:gridCol w:w="1486"/>
        <w:gridCol w:w="1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序号</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合同名称</w:t>
            </w: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合同起始时间</w:t>
            </w: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委托单位</w:t>
            </w: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r>
              <w:rPr>
                <w:rFonts w:hint="eastAsia"/>
                <w:color w:val="auto"/>
                <w:szCs w:val="21"/>
              </w:rPr>
              <w:t>委托单位联系人/联系电话</w:t>
            </w: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r>
              <w:rPr>
                <w:rFonts w:hint="eastAsia"/>
                <w:color w:val="auto"/>
                <w:szCs w:val="21"/>
              </w:rPr>
              <w:t>合同金额</w:t>
            </w: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备注（投标文件所在页码）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bl>
    <w:p>
      <w:pPr>
        <w:spacing w:before="120"/>
        <w:ind w:firstLine="420"/>
        <w:jc w:val="right"/>
        <w:rPr>
          <w:rFonts w:ascii="宋体" w:hAnsi="宋体" w:cs="宋体"/>
          <w:bCs/>
          <w:color w:val="auto"/>
          <w:kern w:val="0"/>
          <w:szCs w:val="21"/>
        </w:rPr>
      </w:pPr>
    </w:p>
    <w:p>
      <w:pPr>
        <w:widowControl/>
        <w:spacing w:line="360" w:lineRule="exact"/>
        <w:ind w:firstLine="735" w:firstLineChars="350"/>
        <w:jc w:val="left"/>
        <w:rPr>
          <w:rFonts w:ascii="宋体" w:hAnsi="宋体"/>
          <w:color w:val="auto"/>
          <w:szCs w:val="21"/>
        </w:rPr>
      </w:pPr>
      <w:r>
        <w:rPr>
          <w:rFonts w:hint="eastAsia"/>
          <w:color w:val="auto"/>
        </w:rPr>
        <w:t>注：</w:t>
      </w:r>
      <w:r>
        <w:rPr>
          <w:rFonts w:hint="eastAsia"/>
          <w:color w:val="auto"/>
          <w:lang w:eastAsia="zh-CN"/>
        </w:rPr>
        <w:t>按招标公告要求提供相关证明材料。</w:t>
      </w:r>
    </w:p>
    <w:p>
      <w:pPr>
        <w:spacing w:line="360" w:lineRule="auto"/>
        <w:rPr>
          <w:color w:val="auto"/>
        </w:rPr>
      </w:pPr>
    </w:p>
    <w:p>
      <w:pPr>
        <w:spacing w:line="360" w:lineRule="auto"/>
        <w:ind w:right="-108" w:firstLine="480" w:firstLineChars="200"/>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投标单位（盖公章）：</w:t>
      </w:r>
    </w:p>
    <w:p>
      <w:pPr>
        <w:spacing w:line="360" w:lineRule="auto"/>
        <w:ind w:right="-108"/>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 xml:space="preserve">法定代表人或授权委托人（签字或盖章） </w:t>
      </w:r>
    </w:p>
    <w:p>
      <w:pPr>
        <w:spacing w:line="360" w:lineRule="auto"/>
        <w:ind w:right="-108"/>
        <w:rPr>
          <w:rFonts w:ascii="宋体" w:hAnsi="宋体" w:cs="宋体"/>
          <w:color w:val="auto"/>
          <w:sz w:val="24"/>
        </w:rPr>
      </w:pPr>
    </w:p>
    <w:p>
      <w:pPr>
        <w:spacing w:line="360" w:lineRule="auto"/>
        <w:ind w:right="538" w:firstLine="480" w:firstLineChars="200"/>
        <w:rPr>
          <w:rFonts w:ascii="宋体" w:hAnsi="宋体" w:cs="宋体"/>
          <w:color w:val="auto"/>
          <w:sz w:val="24"/>
        </w:rPr>
      </w:pPr>
      <w:r>
        <w:rPr>
          <w:rFonts w:hint="eastAsia" w:ascii="宋体" w:hAnsi="宋体" w:cs="宋体"/>
          <w:color w:val="auto"/>
          <w:sz w:val="24"/>
        </w:rPr>
        <w:t>日　　　期：　　　年　　月 　日</w:t>
      </w:r>
    </w:p>
    <w:p>
      <w:pPr>
        <w:pStyle w:val="6"/>
        <w:jc w:val="center"/>
        <w:rPr>
          <w:rFonts w:ascii="宋体" w:hAnsi="宋体" w:eastAsia="宋体" w:cs="宋体"/>
          <w:bCs/>
          <w:color w:val="auto"/>
        </w:rPr>
      </w:pPr>
      <w:r>
        <w:rPr>
          <w:rFonts w:hint="eastAsia"/>
          <w:color w:val="auto"/>
        </w:rPr>
        <w:br w:type="page"/>
      </w:r>
      <w:r>
        <w:rPr>
          <w:rFonts w:hint="eastAsia" w:ascii="宋体" w:hAnsi="宋体" w:eastAsia="宋体" w:cs="宋体"/>
          <w:bCs/>
          <w:color w:val="auto"/>
        </w:rPr>
        <w:t>企业类似业绩（评标）</w:t>
      </w:r>
    </w:p>
    <w:p>
      <w:pPr>
        <w:pStyle w:val="19"/>
        <w:ind w:firstLine="240"/>
        <w:jc w:val="center"/>
        <w:rPr>
          <w:color w:val="auto"/>
        </w:rPr>
      </w:pPr>
      <w:r>
        <w:rPr>
          <w:color w:val="auto"/>
          <w:sz w:val="24"/>
        </w:rPr>
        <w:t>2</w:t>
      </w:r>
      <w:r>
        <w:rPr>
          <w:rFonts w:hint="eastAsia"/>
          <w:color w:val="auto"/>
          <w:sz w:val="24"/>
        </w:rPr>
        <w:t>01</w:t>
      </w:r>
      <w:r>
        <w:rPr>
          <w:rFonts w:hint="eastAsia"/>
          <w:color w:val="auto"/>
          <w:sz w:val="24"/>
          <w:lang w:val="en-US" w:eastAsia="zh-CN"/>
        </w:rPr>
        <w:t>7</w:t>
      </w:r>
      <w:r>
        <w:rPr>
          <w:rFonts w:hint="eastAsia"/>
          <w:color w:val="auto"/>
          <w:sz w:val="24"/>
        </w:rPr>
        <w:t>年1月1日以来承接的项目业绩一览表</w:t>
      </w:r>
    </w:p>
    <w:tbl>
      <w:tblPr>
        <w:tblStyle w:val="20"/>
        <w:tblW w:w="992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943"/>
        <w:gridCol w:w="1498"/>
        <w:gridCol w:w="1173"/>
        <w:gridCol w:w="1541"/>
        <w:gridCol w:w="1486"/>
        <w:gridCol w:w="17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序号</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合同名称</w:t>
            </w: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合同起始时间</w:t>
            </w: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委托单位</w:t>
            </w: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r>
              <w:rPr>
                <w:rFonts w:hint="eastAsia"/>
                <w:color w:val="auto"/>
                <w:szCs w:val="21"/>
              </w:rPr>
              <w:t>委托单位联系人/联系电话</w:t>
            </w: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color w:val="auto"/>
                <w:szCs w:val="21"/>
              </w:rPr>
              <w:t>合同金额（元）</w:t>
            </w: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Arial"/>
                <w:bCs/>
                <w:color w:val="auto"/>
                <w:szCs w:val="21"/>
              </w:rPr>
            </w:pPr>
            <w:r>
              <w:rPr>
                <w:rFonts w:hint="eastAsia" w:ascii="宋体" w:hAnsi="宋体" w:cs="Arial"/>
                <w:bCs/>
                <w:color w:val="auto"/>
                <w:szCs w:val="21"/>
              </w:rPr>
              <w:t>备注（投标文件所在页码）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r>
              <w:rPr>
                <w:rFonts w:hint="eastAsia" w:ascii="宋体" w:hAnsi="宋体" w:cs="Arial"/>
                <w:color w:val="auto"/>
                <w:szCs w:val="21"/>
              </w:rPr>
              <w:t>1</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r>
              <w:rPr>
                <w:rFonts w:hint="eastAsia" w:ascii="宋体" w:hAnsi="宋体" w:cs="Arial"/>
                <w:color w:val="auto"/>
                <w:szCs w:val="21"/>
              </w:rPr>
              <w:t>2</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r>
              <w:rPr>
                <w:rFonts w:hint="eastAsia" w:ascii="宋体" w:hAnsi="宋体" w:cs="Arial"/>
                <w:color w:val="auto"/>
                <w:szCs w:val="21"/>
              </w:rPr>
              <w:t>3</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r>
              <w:rPr>
                <w:rFonts w:hint="eastAsia" w:ascii="宋体" w:hAnsi="宋体" w:cs="Arial"/>
                <w:color w:val="auto"/>
                <w:szCs w:val="21"/>
              </w:rPr>
              <w:t>4</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r>
              <w:rPr>
                <w:rFonts w:hint="eastAsia" w:ascii="宋体" w:hAnsi="宋体" w:cs="Arial"/>
                <w:color w:val="auto"/>
                <w:szCs w:val="21"/>
              </w:rPr>
              <w:t>5</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6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r>
              <w:rPr>
                <w:rFonts w:hint="eastAsia" w:ascii="宋体" w:hAnsi="宋体" w:cs="Arial"/>
                <w:color w:val="auto"/>
                <w:szCs w:val="21"/>
              </w:rPr>
              <w:t>...</w:t>
            </w:r>
          </w:p>
        </w:tc>
        <w:tc>
          <w:tcPr>
            <w:tcW w:w="19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Cs w:val="21"/>
              </w:rPr>
            </w:pPr>
          </w:p>
        </w:tc>
        <w:tc>
          <w:tcPr>
            <w:tcW w:w="149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17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54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48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c>
          <w:tcPr>
            <w:tcW w:w="171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Arial"/>
                <w:color w:val="auto"/>
                <w:szCs w:val="21"/>
              </w:rPr>
            </w:pPr>
          </w:p>
        </w:tc>
      </w:tr>
    </w:tbl>
    <w:p>
      <w:pPr>
        <w:spacing w:before="120"/>
        <w:ind w:firstLine="420"/>
        <w:jc w:val="right"/>
        <w:rPr>
          <w:rFonts w:ascii="宋体" w:hAnsi="宋体" w:cs="宋体"/>
          <w:bCs/>
          <w:color w:val="auto"/>
          <w:kern w:val="0"/>
          <w:szCs w:val="21"/>
        </w:rPr>
      </w:pPr>
    </w:p>
    <w:p>
      <w:pPr>
        <w:widowControl/>
        <w:spacing w:line="360" w:lineRule="exact"/>
        <w:ind w:firstLine="735" w:firstLineChars="350"/>
        <w:jc w:val="left"/>
        <w:rPr>
          <w:rFonts w:hint="eastAsia" w:ascii="宋体" w:hAnsi="宋体" w:eastAsia="宋体"/>
          <w:color w:val="auto"/>
          <w:szCs w:val="21"/>
          <w:lang w:eastAsia="zh-CN"/>
        </w:rPr>
      </w:pPr>
      <w:r>
        <w:rPr>
          <w:rFonts w:hint="eastAsia"/>
          <w:color w:val="auto"/>
        </w:rPr>
        <w:t>注：</w:t>
      </w:r>
      <w:r>
        <w:rPr>
          <w:rFonts w:hint="eastAsia"/>
          <w:color w:val="auto"/>
          <w:lang w:eastAsia="zh-CN"/>
        </w:rPr>
        <w:t>按招标文件《综合评分表》要求提供相关证明材料</w:t>
      </w:r>
      <w:r>
        <w:rPr>
          <w:rFonts w:hint="eastAsia" w:ascii="宋体" w:hAnsi="宋体"/>
          <w:color w:val="auto"/>
          <w:szCs w:val="21"/>
          <w:lang w:eastAsia="zh-CN"/>
        </w:rPr>
        <w:t>。</w:t>
      </w:r>
    </w:p>
    <w:p>
      <w:pPr>
        <w:widowControl/>
        <w:spacing w:line="360" w:lineRule="exact"/>
        <w:ind w:firstLine="735" w:firstLineChars="350"/>
        <w:jc w:val="left"/>
        <w:rPr>
          <w:rFonts w:ascii="宋体" w:hAnsi="宋体"/>
          <w:color w:val="auto"/>
          <w:szCs w:val="21"/>
        </w:rPr>
      </w:pPr>
    </w:p>
    <w:p>
      <w:pPr>
        <w:spacing w:line="360" w:lineRule="auto"/>
        <w:rPr>
          <w:color w:val="auto"/>
        </w:rPr>
      </w:pPr>
    </w:p>
    <w:p>
      <w:pPr>
        <w:spacing w:line="360" w:lineRule="auto"/>
        <w:ind w:right="-108" w:firstLine="480" w:firstLineChars="200"/>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投标单位（盖公章）：</w:t>
      </w:r>
    </w:p>
    <w:p>
      <w:pPr>
        <w:spacing w:line="360" w:lineRule="auto"/>
        <w:ind w:right="-108"/>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 xml:space="preserve">法定代表人或授权委托人（签字或盖章） </w:t>
      </w:r>
    </w:p>
    <w:p>
      <w:pPr>
        <w:spacing w:line="360" w:lineRule="auto"/>
        <w:ind w:right="-108"/>
        <w:rPr>
          <w:rFonts w:ascii="宋体" w:hAnsi="宋体" w:cs="宋体"/>
          <w:color w:val="auto"/>
          <w:sz w:val="24"/>
        </w:rPr>
      </w:pPr>
    </w:p>
    <w:p>
      <w:pPr>
        <w:spacing w:line="360" w:lineRule="auto"/>
        <w:ind w:right="538" w:firstLine="480" w:firstLineChars="200"/>
        <w:rPr>
          <w:rFonts w:ascii="宋体" w:hAnsi="宋体" w:cs="宋体"/>
          <w:color w:val="auto"/>
          <w:sz w:val="24"/>
        </w:rPr>
      </w:pPr>
      <w:r>
        <w:rPr>
          <w:rFonts w:hint="eastAsia" w:ascii="宋体" w:hAnsi="宋体" w:cs="宋体"/>
          <w:color w:val="auto"/>
          <w:sz w:val="24"/>
        </w:rPr>
        <w:t>日　　　期：　　　年　　月 　日</w:t>
      </w:r>
    </w:p>
    <w:p>
      <w:pPr>
        <w:rPr>
          <w:rFonts w:ascii="宋体" w:hAnsi="宋体" w:cs="宋体"/>
          <w:bCs/>
          <w:color w:val="auto"/>
          <w:position w:val="12"/>
          <w:sz w:val="28"/>
          <w:szCs w:val="28"/>
        </w:rPr>
      </w:pPr>
    </w:p>
    <w:p>
      <w:pPr>
        <w:rPr>
          <w:rFonts w:ascii="宋体" w:hAnsi="宋体" w:cs="宋体"/>
          <w:bCs/>
          <w:color w:val="auto"/>
          <w:position w:val="12"/>
          <w:sz w:val="28"/>
          <w:szCs w:val="28"/>
        </w:rPr>
      </w:pPr>
    </w:p>
    <w:p>
      <w:pPr>
        <w:rPr>
          <w:rFonts w:ascii="宋体" w:hAnsi="宋体" w:cs="宋体"/>
          <w:bCs/>
          <w:color w:val="auto"/>
          <w:position w:val="12"/>
          <w:sz w:val="28"/>
          <w:szCs w:val="28"/>
        </w:rPr>
      </w:pPr>
    </w:p>
    <w:p>
      <w:pPr>
        <w:rPr>
          <w:rFonts w:ascii="宋体" w:hAnsi="宋体" w:cs="宋体"/>
          <w:bCs/>
          <w:color w:val="auto"/>
          <w:position w:val="12"/>
          <w:sz w:val="28"/>
          <w:szCs w:val="28"/>
        </w:rPr>
      </w:pPr>
    </w:p>
    <w:p>
      <w:pPr>
        <w:pStyle w:val="6"/>
        <w:rPr>
          <w:rFonts w:ascii="Times New Roman" w:hAnsi="Times New Roman" w:eastAsia="宋体"/>
          <w:color w:val="auto"/>
        </w:rPr>
      </w:pPr>
    </w:p>
    <w:p>
      <w:pPr>
        <w:rPr>
          <w:color w:val="auto"/>
        </w:rPr>
      </w:pPr>
    </w:p>
    <w:p>
      <w:pPr>
        <w:rPr>
          <w:rFonts w:hint="eastAsia" w:ascii="宋体" w:hAnsi="宋体" w:cs="宋体"/>
          <w:bCs/>
          <w:color w:val="auto"/>
          <w:position w:val="12"/>
          <w:sz w:val="28"/>
          <w:szCs w:val="28"/>
        </w:rPr>
      </w:pPr>
    </w:p>
    <w:p>
      <w:pPr>
        <w:rPr>
          <w:rFonts w:ascii="宋体" w:hAnsi="宋体" w:cs="宋体"/>
          <w:b/>
          <w:color w:val="auto"/>
          <w:sz w:val="24"/>
        </w:rPr>
      </w:pPr>
      <w:r>
        <w:rPr>
          <w:rFonts w:hint="eastAsia" w:ascii="宋体" w:hAnsi="宋体" w:cs="宋体"/>
          <w:bCs/>
          <w:color w:val="auto"/>
          <w:position w:val="12"/>
          <w:sz w:val="28"/>
          <w:szCs w:val="28"/>
        </w:rPr>
        <w:t>表格3</w:t>
      </w:r>
    </w:p>
    <w:p>
      <w:pPr>
        <w:spacing w:line="360" w:lineRule="auto"/>
        <w:rPr>
          <w:color w:val="auto"/>
        </w:rPr>
      </w:pPr>
    </w:p>
    <w:p>
      <w:pPr>
        <w:jc w:val="center"/>
        <w:rPr>
          <w:rFonts w:ascii="宋体" w:hAnsi="宋体" w:cs="宋体"/>
          <w:b/>
          <w:bCs/>
          <w:color w:val="auto"/>
          <w:sz w:val="32"/>
          <w:szCs w:val="20"/>
        </w:rPr>
      </w:pPr>
      <w:r>
        <w:rPr>
          <w:rFonts w:hint="eastAsia" w:ascii="宋体" w:hAnsi="宋体" w:cs="宋体"/>
          <w:b/>
          <w:bCs/>
          <w:color w:val="auto"/>
          <w:sz w:val="32"/>
          <w:szCs w:val="20"/>
        </w:rPr>
        <w:t>投入本项目的主要人员一览表</w:t>
      </w:r>
    </w:p>
    <w:p>
      <w:pPr>
        <w:pStyle w:val="12"/>
        <w:adjustRightInd w:val="0"/>
        <w:snapToGrid w:val="0"/>
        <w:spacing w:line="240" w:lineRule="exact"/>
        <w:jc w:val="center"/>
        <w:rPr>
          <w:rFonts w:hAnsi="宋体" w:cs="宋体"/>
          <w:b/>
          <w:color w:val="auto"/>
          <w:sz w:val="30"/>
        </w:rPr>
      </w:pPr>
    </w:p>
    <w:tbl>
      <w:tblPr>
        <w:tblStyle w:val="20"/>
        <w:tblW w:w="110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
        <w:gridCol w:w="789"/>
        <w:gridCol w:w="678"/>
        <w:gridCol w:w="2422"/>
        <w:gridCol w:w="1122"/>
        <w:gridCol w:w="878"/>
        <w:gridCol w:w="874"/>
        <w:gridCol w:w="1401"/>
        <w:gridCol w:w="1247"/>
        <w:gridCol w:w="1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97"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序号</w:t>
            </w:r>
          </w:p>
        </w:tc>
        <w:tc>
          <w:tcPr>
            <w:tcW w:w="789" w:type="dxa"/>
            <w:tcBorders>
              <w:bottom w:val="single" w:color="auto" w:sz="12" w:space="0"/>
              <w:right w:val="single" w:color="auto" w:sz="6" w:space="0"/>
            </w:tcBorders>
            <w:vAlign w:val="center"/>
          </w:tcPr>
          <w:p>
            <w:pPr>
              <w:jc w:val="center"/>
              <w:rPr>
                <w:rFonts w:ascii="宋体" w:hAnsi="宋体"/>
                <w:color w:val="auto"/>
                <w:position w:val="-30"/>
                <w:sz w:val="22"/>
              </w:rPr>
            </w:pPr>
            <w:r>
              <w:rPr>
                <w:rFonts w:hint="eastAsia" w:ascii="宋体" w:hAnsi="宋体"/>
                <w:color w:val="auto"/>
                <w:position w:val="-30"/>
                <w:sz w:val="22"/>
              </w:rPr>
              <w:t>姓名</w:t>
            </w:r>
          </w:p>
        </w:tc>
        <w:tc>
          <w:tcPr>
            <w:tcW w:w="678" w:type="dxa"/>
            <w:tcBorders>
              <w:left w:val="single" w:color="auto" w:sz="6" w:space="0"/>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年龄</w:t>
            </w:r>
          </w:p>
        </w:tc>
        <w:tc>
          <w:tcPr>
            <w:tcW w:w="2422"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拟在本项目任职</w:t>
            </w:r>
          </w:p>
        </w:tc>
        <w:tc>
          <w:tcPr>
            <w:tcW w:w="1122"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毕业学校/专业</w:t>
            </w:r>
          </w:p>
        </w:tc>
        <w:tc>
          <w:tcPr>
            <w:tcW w:w="878"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学历</w:t>
            </w:r>
          </w:p>
        </w:tc>
        <w:tc>
          <w:tcPr>
            <w:tcW w:w="874"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职称</w:t>
            </w:r>
          </w:p>
        </w:tc>
        <w:tc>
          <w:tcPr>
            <w:tcW w:w="1401"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资格证书号</w:t>
            </w:r>
          </w:p>
        </w:tc>
        <w:tc>
          <w:tcPr>
            <w:tcW w:w="1247" w:type="dxa"/>
            <w:tcBorders>
              <w:bottom w:val="single" w:color="auto" w:sz="12" w:space="0"/>
            </w:tcBorders>
            <w:vAlign w:val="center"/>
          </w:tcPr>
          <w:p>
            <w:pPr>
              <w:jc w:val="center"/>
              <w:rPr>
                <w:rFonts w:ascii="宋体" w:hAnsi="宋体"/>
                <w:color w:val="auto"/>
                <w:position w:val="-30"/>
                <w:sz w:val="22"/>
              </w:rPr>
            </w:pPr>
            <w:r>
              <w:rPr>
                <w:rFonts w:hint="eastAsia" w:ascii="宋体" w:hAnsi="宋体"/>
                <w:color w:val="auto"/>
                <w:position w:val="-30"/>
                <w:sz w:val="22"/>
              </w:rPr>
              <w:t>工作年限</w:t>
            </w:r>
          </w:p>
        </w:tc>
        <w:tc>
          <w:tcPr>
            <w:tcW w:w="1024" w:type="dxa"/>
            <w:tcBorders>
              <w:bottom w:val="single" w:color="auto" w:sz="12" w:space="0"/>
            </w:tcBorders>
            <w:vAlign w:val="center"/>
          </w:tcPr>
          <w:p>
            <w:pPr>
              <w:jc w:val="center"/>
              <w:rPr>
                <w:rFonts w:ascii="宋体" w:hAnsi="宋体"/>
                <w:color w:val="auto"/>
                <w:sz w:val="22"/>
              </w:rPr>
            </w:pPr>
            <w:r>
              <w:rPr>
                <w:rFonts w:hint="eastAsia" w:ascii="宋体" w:hAnsi="宋体"/>
                <w:color w:val="auto"/>
                <w:position w:val="-30"/>
                <w:sz w:val="22"/>
              </w:rPr>
              <w:t>参加工作时间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97" w:type="dxa"/>
            <w:tcBorders>
              <w:top w:val="single" w:color="auto" w:sz="12" w:space="0"/>
            </w:tcBorders>
            <w:vAlign w:val="center"/>
          </w:tcPr>
          <w:p>
            <w:pPr>
              <w:jc w:val="center"/>
              <w:rPr>
                <w:rFonts w:ascii="宋体" w:hAnsi="宋体"/>
                <w:color w:val="auto"/>
                <w:sz w:val="22"/>
              </w:rPr>
            </w:pPr>
            <w:r>
              <w:rPr>
                <w:rFonts w:hint="eastAsia" w:ascii="宋体" w:hAnsi="宋体"/>
                <w:color w:val="auto"/>
                <w:sz w:val="22"/>
              </w:rPr>
              <w:t>1</w:t>
            </w:r>
          </w:p>
        </w:tc>
        <w:tc>
          <w:tcPr>
            <w:tcW w:w="789" w:type="dxa"/>
            <w:tcBorders>
              <w:top w:val="single" w:color="auto" w:sz="12" w:space="0"/>
              <w:right w:val="single" w:color="auto" w:sz="6" w:space="0"/>
            </w:tcBorders>
            <w:vAlign w:val="center"/>
          </w:tcPr>
          <w:p>
            <w:pPr>
              <w:jc w:val="center"/>
              <w:rPr>
                <w:rFonts w:ascii="宋体" w:hAnsi="宋体"/>
                <w:color w:val="auto"/>
                <w:sz w:val="22"/>
              </w:rPr>
            </w:pPr>
          </w:p>
        </w:tc>
        <w:tc>
          <w:tcPr>
            <w:tcW w:w="678" w:type="dxa"/>
            <w:tcBorders>
              <w:top w:val="single" w:color="auto" w:sz="12" w:space="0"/>
              <w:left w:val="single" w:color="auto" w:sz="6" w:space="0"/>
            </w:tcBorders>
            <w:vAlign w:val="center"/>
          </w:tcPr>
          <w:p>
            <w:pPr>
              <w:jc w:val="center"/>
              <w:rPr>
                <w:rFonts w:ascii="宋体" w:hAnsi="宋体"/>
                <w:color w:val="auto"/>
                <w:sz w:val="22"/>
              </w:rPr>
            </w:pPr>
          </w:p>
        </w:tc>
        <w:tc>
          <w:tcPr>
            <w:tcW w:w="2422" w:type="dxa"/>
            <w:tcBorders>
              <w:top w:val="single" w:color="auto" w:sz="12" w:space="0"/>
            </w:tcBorders>
            <w:vAlign w:val="center"/>
          </w:tcPr>
          <w:p>
            <w:pPr>
              <w:jc w:val="center"/>
              <w:rPr>
                <w:rFonts w:ascii="宋体" w:hAnsi="宋体"/>
                <w:color w:val="auto"/>
                <w:sz w:val="22"/>
              </w:rPr>
            </w:pPr>
            <w:r>
              <w:rPr>
                <w:rFonts w:hint="eastAsia" w:ascii="宋体" w:hAnsi="宋体" w:cs="宋体"/>
                <w:color w:val="auto"/>
              </w:rPr>
              <w:t>项目负责人</w:t>
            </w:r>
          </w:p>
        </w:tc>
        <w:tc>
          <w:tcPr>
            <w:tcW w:w="1122" w:type="dxa"/>
            <w:tcBorders>
              <w:top w:val="single" w:color="auto" w:sz="12" w:space="0"/>
            </w:tcBorders>
            <w:vAlign w:val="center"/>
          </w:tcPr>
          <w:p>
            <w:pPr>
              <w:jc w:val="center"/>
              <w:rPr>
                <w:rFonts w:ascii="宋体" w:hAnsi="宋体"/>
                <w:color w:val="auto"/>
                <w:sz w:val="22"/>
              </w:rPr>
            </w:pPr>
          </w:p>
        </w:tc>
        <w:tc>
          <w:tcPr>
            <w:tcW w:w="878" w:type="dxa"/>
            <w:tcBorders>
              <w:top w:val="single" w:color="auto" w:sz="12" w:space="0"/>
            </w:tcBorders>
            <w:vAlign w:val="center"/>
          </w:tcPr>
          <w:p>
            <w:pPr>
              <w:jc w:val="center"/>
              <w:rPr>
                <w:rFonts w:ascii="宋体" w:hAnsi="宋体"/>
                <w:color w:val="auto"/>
                <w:sz w:val="22"/>
              </w:rPr>
            </w:pPr>
          </w:p>
        </w:tc>
        <w:tc>
          <w:tcPr>
            <w:tcW w:w="874" w:type="dxa"/>
            <w:tcBorders>
              <w:top w:val="single" w:color="auto" w:sz="12" w:space="0"/>
            </w:tcBorders>
            <w:vAlign w:val="center"/>
          </w:tcPr>
          <w:p>
            <w:pPr>
              <w:jc w:val="center"/>
              <w:rPr>
                <w:rFonts w:ascii="宋体" w:hAnsi="宋体"/>
                <w:color w:val="auto"/>
                <w:sz w:val="22"/>
              </w:rPr>
            </w:pPr>
          </w:p>
        </w:tc>
        <w:tc>
          <w:tcPr>
            <w:tcW w:w="1401" w:type="dxa"/>
            <w:tcBorders>
              <w:top w:val="single" w:color="auto" w:sz="12" w:space="0"/>
            </w:tcBorders>
          </w:tcPr>
          <w:p>
            <w:pPr>
              <w:jc w:val="center"/>
              <w:rPr>
                <w:rFonts w:ascii="宋体" w:hAnsi="宋体"/>
                <w:color w:val="auto"/>
                <w:sz w:val="22"/>
              </w:rPr>
            </w:pPr>
          </w:p>
        </w:tc>
        <w:tc>
          <w:tcPr>
            <w:tcW w:w="1247" w:type="dxa"/>
            <w:tcBorders>
              <w:top w:val="single" w:color="auto" w:sz="12" w:space="0"/>
            </w:tcBorders>
            <w:vAlign w:val="center"/>
          </w:tcPr>
          <w:p>
            <w:pPr>
              <w:jc w:val="center"/>
              <w:rPr>
                <w:rFonts w:ascii="宋体" w:hAnsi="宋体"/>
                <w:color w:val="auto"/>
                <w:sz w:val="22"/>
              </w:rPr>
            </w:pPr>
          </w:p>
        </w:tc>
        <w:tc>
          <w:tcPr>
            <w:tcW w:w="1024" w:type="dxa"/>
            <w:tcBorders>
              <w:top w:val="single" w:color="auto" w:sz="12" w:space="0"/>
            </w:tcBorders>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exact"/>
          <w:jc w:val="center"/>
        </w:trPr>
        <w:tc>
          <w:tcPr>
            <w:tcW w:w="597" w:type="dxa"/>
            <w:vAlign w:val="center"/>
          </w:tcPr>
          <w:p>
            <w:pPr>
              <w:jc w:val="center"/>
              <w:rPr>
                <w:rFonts w:ascii="宋体" w:hAnsi="宋体"/>
                <w:color w:val="auto"/>
                <w:sz w:val="22"/>
              </w:rPr>
            </w:pPr>
            <w:r>
              <w:rPr>
                <w:rFonts w:hint="eastAsia" w:ascii="宋体" w:hAnsi="宋体"/>
                <w:color w:val="auto"/>
                <w:sz w:val="22"/>
              </w:rPr>
              <w:t>2</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olor w:val="auto"/>
                <w:sz w:val="22"/>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597" w:type="dxa"/>
            <w:vAlign w:val="center"/>
          </w:tcPr>
          <w:p>
            <w:pPr>
              <w:jc w:val="center"/>
              <w:rPr>
                <w:rFonts w:ascii="宋体" w:hAnsi="宋体"/>
                <w:color w:val="auto"/>
                <w:sz w:val="22"/>
              </w:rPr>
            </w:pPr>
            <w:r>
              <w:rPr>
                <w:rFonts w:hint="eastAsia" w:ascii="宋体" w:hAnsi="宋体"/>
                <w:color w:val="auto"/>
                <w:sz w:val="22"/>
              </w:rPr>
              <w:t>3</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olor w:val="auto"/>
                <w:sz w:val="22"/>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597" w:type="dxa"/>
            <w:vAlign w:val="center"/>
          </w:tcPr>
          <w:p>
            <w:pPr>
              <w:jc w:val="center"/>
              <w:rPr>
                <w:rFonts w:ascii="宋体" w:hAnsi="宋体"/>
                <w:color w:val="auto"/>
                <w:sz w:val="22"/>
              </w:rPr>
            </w:pPr>
            <w:r>
              <w:rPr>
                <w:rFonts w:hint="eastAsia" w:ascii="宋体" w:hAnsi="宋体"/>
                <w:color w:val="auto"/>
                <w:sz w:val="22"/>
              </w:rPr>
              <w:t>4</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s="宋体"/>
                <w:color w:val="auto"/>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597" w:type="dxa"/>
            <w:vAlign w:val="center"/>
          </w:tcPr>
          <w:p>
            <w:pPr>
              <w:jc w:val="center"/>
              <w:rPr>
                <w:rFonts w:ascii="宋体" w:hAnsi="宋体"/>
                <w:color w:val="auto"/>
                <w:sz w:val="22"/>
              </w:rPr>
            </w:pPr>
            <w:r>
              <w:rPr>
                <w:rFonts w:hint="eastAsia" w:ascii="宋体" w:hAnsi="宋体"/>
                <w:color w:val="auto"/>
                <w:sz w:val="22"/>
              </w:rPr>
              <w:t>5</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s="宋体"/>
                <w:color w:val="auto"/>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597" w:type="dxa"/>
            <w:vAlign w:val="center"/>
          </w:tcPr>
          <w:p>
            <w:pPr>
              <w:jc w:val="center"/>
              <w:rPr>
                <w:rFonts w:ascii="宋体" w:hAnsi="宋体"/>
                <w:color w:val="auto"/>
                <w:sz w:val="22"/>
              </w:rPr>
            </w:pPr>
            <w:r>
              <w:rPr>
                <w:rFonts w:hint="eastAsia" w:ascii="宋体" w:hAnsi="宋体"/>
                <w:color w:val="auto"/>
                <w:sz w:val="22"/>
              </w:rPr>
              <w:t>6</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s="宋体"/>
                <w:color w:val="auto"/>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597" w:type="dxa"/>
            <w:vAlign w:val="center"/>
          </w:tcPr>
          <w:p>
            <w:pPr>
              <w:jc w:val="center"/>
              <w:rPr>
                <w:rFonts w:ascii="宋体" w:hAnsi="宋体"/>
                <w:color w:val="auto"/>
                <w:sz w:val="22"/>
              </w:rPr>
            </w:pPr>
            <w:r>
              <w:rPr>
                <w:rFonts w:hint="eastAsia" w:ascii="宋体" w:hAnsi="宋体"/>
                <w:color w:val="auto"/>
                <w:sz w:val="22"/>
              </w:rPr>
              <w:t>7</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olor w:val="auto"/>
                <w:sz w:val="22"/>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597" w:type="dxa"/>
            <w:vAlign w:val="center"/>
          </w:tcPr>
          <w:p>
            <w:pPr>
              <w:jc w:val="center"/>
              <w:rPr>
                <w:rFonts w:ascii="宋体" w:hAnsi="宋体"/>
                <w:color w:val="auto"/>
                <w:sz w:val="22"/>
              </w:rPr>
            </w:pPr>
            <w:r>
              <w:rPr>
                <w:rFonts w:hint="eastAsia" w:ascii="宋体" w:hAnsi="宋体"/>
                <w:color w:val="auto"/>
                <w:sz w:val="22"/>
              </w:rPr>
              <w:t>8</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s="宋体"/>
                <w:color w:val="auto"/>
              </w:rPr>
            </w:pP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97" w:type="dxa"/>
            <w:vAlign w:val="center"/>
          </w:tcPr>
          <w:p>
            <w:pPr>
              <w:jc w:val="center"/>
              <w:rPr>
                <w:rFonts w:ascii="宋体" w:hAnsi="宋体"/>
                <w:color w:val="auto"/>
                <w:sz w:val="22"/>
              </w:rPr>
            </w:pPr>
            <w:r>
              <w:rPr>
                <w:rFonts w:hint="eastAsia" w:ascii="宋体" w:hAnsi="宋体"/>
                <w:color w:val="auto"/>
                <w:sz w:val="22"/>
              </w:rPr>
              <w:t>9</w:t>
            </w:r>
          </w:p>
        </w:tc>
        <w:tc>
          <w:tcPr>
            <w:tcW w:w="789" w:type="dxa"/>
            <w:tcBorders>
              <w:right w:val="single" w:color="auto" w:sz="6" w:space="0"/>
            </w:tcBorders>
            <w:vAlign w:val="center"/>
          </w:tcPr>
          <w:p>
            <w:pPr>
              <w:jc w:val="center"/>
              <w:rPr>
                <w:rFonts w:ascii="宋体" w:hAnsi="宋体"/>
                <w:color w:val="auto"/>
                <w:sz w:val="22"/>
              </w:rPr>
            </w:pPr>
          </w:p>
        </w:tc>
        <w:tc>
          <w:tcPr>
            <w:tcW w:w="678" w:type="dxa"/>
            <w:tcBorders>
              <w:left w:val="single" w:color="auto" w:sz="6" w:space="0"/>
            </w:tcBorders>
            <w:vAlign w:val="center"/>
          </w:tcPr>
          <w:p>
            <w:pPr>
              <w:jc w:val="center"/>
              <w:rPr>
                <w:rFonts w:ascii="宋体" w:hAnsi="宋体"/>
                <w:color w:val="auto"/>
                <w:sz w:val="22"/>
              </w:rPr>
            </w:pPr>
          </w:p>
        </w:tc>
        <w:tc>
          <w:tcPr>
            <w:tcW w:w="2422" w:type="dxa"/>
            <w:vAlign w:val="center"/>
          </w:tcPr>
          <w:p>
            <w:pPr>
              <w:jc w:val="center"/>
              <w:rPr>
                <w:rFonts w:ascii="宋体" w:hAnsi="宋体"/>
                <w:color w:val="auto"/>
                <w:sz w:val="22"/>
              </w:rPr>
            </w:pPr>
            <w:r>
              <w:rPr>
                <w:rFonts w:hint="eastAsia" w:ascii="宋体" w:hAnsi="宋体"/>
                <w:color w:val="auto"/>
                <w:sz w:val="22"/>
              </w:rPr>
              <w:t>...</w:t>
            </w:r>
          </w:p>
        </w:tc>
        <w:tc>
          <w:tcPr>
            <w:tcW w:w="1122" w:type="dxa"/>
            <w:vAlign w:val="center"/>
          </w:tcPr>
          <w:p>
            <w:pPr>
              <w:jc w:val="center"/>
              <w:rPr>
                <w:rFonts w:ascii="宋体" w:hAnsi="宋体"/>
                <w:color w:val="auto"/>
                <w:sz w:val="22"/>
              </w:rPr>
            </w:pPr>
          </w:p>
        </w:tc>
        <w:tc>
          <w:tcPr>
            <w:tcW w:w="878" w:type="dxa"/>
            <w:vAlign w:val="center"/>
          </w:tcPr>
          <w:p>
            <w:pPr>
              <w:jc w:val="center"/>
              <w:rPr>
                <w:rFonts w:ascii="宋体" w:hAnsi="宋体"/>
                <w:color w:val="auto"/>
                <w:sz w:val="22"/>
              </w:rPr>
            </w:pPr>
          </w:p>
        </w:tc>
        <w:tc>
          <w:tcPr>
            <w:tcW w:w="874" w:type="dxa"/>
            <w:vAlign w:val="center"/>
          </w:tcPr>
          <w:p>
            <w:pPr>
              <w:jc w:val="center"/>
              <w:rPr>
                <w:rFonts w:ascii="宋体" w:hAnsi="宋体"/>
                <w:color w:val="auto"/>
                <w:sz w:val="22"/>
              </w:rPr>
            </w:pPr>
          </w:p>
        </w:tc>
        <w:tc>
          <w:tcPr>
            <w:tcW w:w="1401" w:type="dxa"/>
          </w:tcPr>
          <w:p>
            <w:pPr>
              <w:jc w:val="center"/>
              <w:rPr>
                <w:rFonts w:ascii="宋体" w:hAnsi="宋体"/>
                <w:color w:val="auto"/>
                <w:sz w:val="22"/>
              </w:rPr>
            </w:pPr>
          </w:p>
        </w:tc>
        <w:tc>
          <w:tcPr>
            <w:tcW w:w="1247" w:type="dxa"/>
            <w:vAlign w:val="center"/>
          </w:tcPr>
          <w:p>
            <w:pPr>
              <w:jc w:val="center"/>
              <w:rPr>
                <w:rFonts w:ascii="宋体" w:hAnsi="宋体"/>
                <w:color w:val="auto"/>
                <w:sz w:val="22"/>
              </w:rPr>
            </w:pPr>
          </w:p>
        </w:tc>
        <w:tc>
          <w:tcPr>
            <w:tcW w:w="1024" w:type="dxa"/>
            <w:vAlign w:val="center"/>
          </w:tcPr>
          <w:p>
            <w:pPr>
              <w:jc w:val="center"/>
              <w:rPr>
                <w:rFonts w:ascii="宋体" w:hAnsi="宋体"/>
                <w:color w:val="auto"/>
                <w:sz w:val="22"/>
              </w:rPr>
            </w:pPr>
          </w:p>
        </w:tc>
      </w:tr>
    </w:tbl>
    <w:p>
      <w:pPr>
        <w:ind w:firstLine="420" w:firstLineChars="200"/>
        <w:rPr>
          <w:rFonts w:ascii="宋体" w:hAnsi="宋体" w:cs="宋体"/>
          <w:color w:val="auto"/>
          <w:szCs w:val="21"/>
        </w:rPr>
      </w:pPr>
      <w:r>
        <w:rPr>
          <w:rFonts w:hint="eastAsia" w:ascii="宋体" w:hAnsi="宋体" w:cs="宋体"/>
          <w:color w:val="auto"/>
          <w:szCs w:val="21"/>
        </w:rPr>
        <w:t>注：1、上述各专业人员不得兼任。</w:t>
      </w:r>
    </w:p>
    <w:p>
      <w:pPr>
        <w:ind w:firstLine="420" w:firstLineChars="200"/>
        <w:rPr>
          <w:rFonts w:ascii="宋体" w:hAnsi="宋体" w:cs="宋体"/>
          <w:color w:val="auto"/>
          <w:szCs w:val="21"/>
        </w:rPr>
      </w:pPr>
      <w:r>
        <w:rPr>
          <w:rFonts w:hint="eastAsia" w:ascii="宋体" w:hAnsi="宋体" w:cs="宋体"/>
          <w:color w:val="auto"/>
          <w:szCs w:val="21"/>
        </w:rPr>
        <w:t>2、根据《综合评分表》中团队人员评审要求，本表后附相应证明资料。</w:t>
      </w:r>
    </w:p>
    <w:p>
      <w:pPr>
        <w:ind w:firstLine="420" w:firstLineChars="200"/>
        <w:rPr>
          <w:rFonts w:ascii="宋体" w:hAnsi="宋体" w:cs="宋体"/>
          <w:color w:val="auto"/>
          <w:szCs w:val="21"/>
        </w:rPr>
      </w:pPr>
      <w:r>
        <w:rPr>
          <w:rFonts w:hint="eastAsia" w:ascii="宋体" w:hAnsi="宋体" w:cs="宋体"/>
          <w:color w:val="auto"/>
          <w:szCs w:val="21"/>
        </w:rPr>
        <w:t>3、上述人员需按《主要技术人员简历表》提供简历表，并在简历表后附上相应证明资料；投入人员工作年限、工作经验以《主要技术人员简历表》中填报的信息为准。</w:t>
      </w:r>
    </w:p>
    <w:p>
      <w:pPr>
        <w:ind w:firstLine="420" w:firstLineChars="200"/>
        <w:rPr>
          <w:rFonts w:ascii="宋体" w:hAnsi="宋体" w:cs="宋体"/>
          <w:color w:val="auto"/>
          <w:szCs w:val="21"/>
        </w:rPr>
      </w:pPr>
      <w:r>
        <w:rPr>
          <w:rFonts w:hint="eastAsia" w:ascii="宋体" w:hAnsi="宋体" w:cs="宋体"/>
          <w:color w:val="auto"/>
          <w:szCs w:val="21"/>
        </w:rPr>
        <w:t>4、本表主要人员如不满足招标文件要求的，中标后，需按招标人要求进行更换或补充。</w:t>
      </w:r>
    </w:p>
    <w:p>
      <w:pPr>
        <w:pStyle w:val="19"/>
        <w:spacing w:after="0" w:line="360" w:lineRule="auto"/>
        <w:ind w:firstLine="241"/>
        <w:outlineLvl w:val="1"/>
        <w:rPr>
          <w:rFonts w:hAnsi="宋体" w:cs="宋体"/>
          <w:b/>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投标单位（盖公章）：</w:t>
      </w:r>
    </w:p>
    <w:p>
      <w:pPr>
        <w:spacing w:line="360" w:lineRule="auto"/>
        <w:ind w:right="-108"/>
        <w:rPr>
          <w:rFonts w:ascii="宋体" w:hAnsi="宋体" w:cs="宋体"/>
          <w:color w:val="auto"/>
          <w:sz w:val="24"/>
        </w:rPr>
      </w:pPr>
    </w:p>
    <w:p>
      <w:pPr>
        <w:spacing w:line="360" w:lineRule="auto"/>
        <w:ind w:right="-108" w:firstLine="480" w:firstLineChars="200"/>
        <w:rPr>
          <w:rFonts w:ascii="宋体" w:hAnsi="宋体" w:cs="宋体"/>
          <w:color w:val="auto"/>
          <w:sz w:val="24"/>
        </w:rPr>
      </w:pPr>
      <w:r>
        <w:rPr>
          <w:rFonts w:hint="eastAsia" w:ascii="宋体" w:hAnsi="宋体" w:cs="宋体"/>
          <w:color w:val="auto"/>
          <w:sz w:val="24"/>
        </w:rPr>
        <w:t xml:space="preserve">法定代表人或授权委托人（签字或盖章） </w:t>
      </w:r>
    </w:p>
    <w:p>
      <w:pPr>
        <w:spacing w:line="360" w:lineRule="auto"/>
        <w:ind w:right="-108"/>
        <w:rPr>
          <w:rFonts w:ascii="宋体" w:hAnsi="宋体" w:cs="宋体"/>
          <w:color w:val="auto"/>
          <w:sz w:val="24"/>
        </w:rPr>
      </w:pPr>
    </w:p>
    <w:p>
      <w:pPr>
        <w:spacing w:line="360" w:lineRule="auto"/>
        <w:ind w:right="538" w:firstLine="480" w:firstLineChars="200"/>
        <w:rPr>
          <w:rFonts w:ascii="宋体" w:hAnsi="宋体" w:cs="宋体"/>
          <w:color w:val="auto"/>
          <w:sz w:val="24"/>
        </w:rPr>
      </w:pPr>
      <w:r>
        <w:rPr>
          <w:rFonts w:hint="eastAsia" w:ascii="宋体" w:hAnsi="宋体" w:cs="宋体"/>
          <w:color w:val="auto"/>
          <w:sz w:val="24"/>
        </w:rPr>
        <w:t>日　　　期：　　　年　　月 　日</w:t>
      </w:r>
    </w:p>
    <w:p>
      <w:pPr>
        <w:pStyle w:val="19"/>
        <w:spacing w:after="0" w:line="360" w:lineRule="auto"/>
        <w:ind w:firstLine="0"/>
        <w:outlineLvl w:val="1"/>
        <w:rPr>
          <w:rFonts w:hAnsi="宋体" w:cs="宋体"/>
          <w:b/>
          <w:color w:val="auto"/>
          <w:sz w:val="24"/>
        </w:rPr>
        <w:sectPr>
          <w:headerReference r:id="rId13" w:type="first"/>
          <w:footerReference r:id="rId15" w:type="first"/>
          <w:headerReference r:id="rId11" w:type="default"/>
          <w:headerReference r:id="rId12" w:type="even"/>
          <w:footerReference r:id="rId14" w:type="even"/>
          <w:type w:val="continuous"/>
          <w:pgSz w:w="11906" w:h="16838"/>
          <w:pgMar w:top="1440" w:right="1134" w:bottom="1440" w:left="1134" w:header="851" w:footer="992" w:gutter="0"/>
          <w:pgNumType w:fmt="decimal"/>
          <w:cols w:space="720" w:num="1"/>
          <w:docGrid w:linePitch="312" w:charSpace="0"/>
        </w:sectPr>
      </w:pPr>
    </w:p>
    <w:p>
      <w:pPr>
        <w:pStyle w:val="19"/>
        <w:spacing w:after="0" w:line="360" w:lineRule="auto"/>
        <w:ind w:firstLine="0"/>
        <w:outlineLvl w:val="1"/>
        <w:rPr>
          <w:b/>
          <w:color w:val="auto"/>
          <w:sz w:val="24"/>
        </w:rPr>
      </w:pPr>
      <w:r>
        <w:rPr>
          <w:rFonts w:hint="eastAsia"/>
          <w:b/>
          <w:color w:val="auto"/>
          <w:sz w:val="24"/>
        </w:rPr>
        <w:t>3-1主要人员简历表</w:t>
      </w:r>
    </w:p>
    <w:p>
      <w:pPr>
        <w:pStyle w:val="30"/>
        <w:rPr>
          <w:b w:val="0"/>
          <w:color w:val="auto"/>
        </w:rPr>
      </w:pPr>
      <w:r>
        <w:rPr>
          <w:rFonts w:hint="eastAsia"/>
          <w:b w:val="0"/>
          <w:color w:val="auto"/>
        </w:rPr>
        <w:t>主要技术人员简历表</w:t>
      </w:r>
    </w:p>
    <w:tbl>
      <w:tblPr>
        <w:tblStyle w:val="20"/>
        <w:tblpPr w:leftFromText="180" w:rightFromText="180" w:vertAnchor="text" w:tblpX="-206" w:tblpY="7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36"/>
        <w:gridCol w:w="1441"/>
        <w:gridCol w:w="239"/>
        <w:gridCol w:w="352"/>
        <w:gridCol w:w="1153"/>
        <w:gridCol w:w="325"/>
        <w:gridCol w:w="1873"/>
        <w:gridCol w:w="227"/>
        <w:gridCol w:w="9"/>
        <w:gridCol w:w="523"/>
        <w:gridCol w:w="621"/>
        <w:gridCol w:w="2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24" w:type="dxa"/>
            <w:vAlign w:val="center"/>
          </w:tcPr>
          <w:p>
            <w:pPr>
              <w:pStyle w:val="28"/>
              <w:jc w:val="center"/>
              <w:rPr>
                <w:color w:val="auto"/>
                <w:sz w:val="24"/>
                <w:szCs w:val="24"/>
              </w:rPr>
            </w:pPr>
            <w:r>
              <w:rPr>
                <w:rFonts w:hint="eastAsia"/>
                <w:color w:val="auto"/>
                <w:sz w:val="24"/>
                <w:szCs w:val="24"/>
              </w:rPr>
              <w:t>姓名</w:t>
            </w:r>
          </w:p>
        </w:tc>
        <w:tc>
          <w:tcPr>
            <w:tcW w:w="2168" w:type="dxa"/>
            <w:gridSpan w:val="4"/>
            <w:vAlign w:val="center"/>
          </w:tcPr>
          <w:p>
            <w:pPr>
              <w:pStyle w:val="31"/>
              <w:ind w:firstLine="0" w:firstLineChars="0"/>
              <w:jc w:val="center"/>
              <w:rPr>
                <w:snapToGrid w:val="0"/>
                <w:color w:val="auto"/>
              </w:rPr>
            </w:pPr>
          </w:p>
        </w:tc>
        <w:tc>
          <w:tcPr>
            <w:tcW w:w="1153" w:type="dxa"/>
            <w:vAlign w:val="center"/>
          </w:tcPr>
          <w:p>
            <w:pPr>
              <w:pStyle w:val="28"/>
              <w:jc w:val="center"/>
              <w:rPr>
                <w:color w:val="auto"/>
                <w:sz w:val="24"/>
                <w:szCs w:val="24"/>
              </w:rPr>
            </w:pPr>
            <w:r>
              <w:rPr>
                <w:rFonts w:hint="eastAsia"/>
                <w:color w:val="auto"/>
                <w:sz w:val="24"/>
                <w:szCs w:val="24"/>
              </w:rPr>
              <w:t>性别</w:t>
            </w:r>
          </w:p>
        </w:tc>
        <w:tc>
          <w:tcPr>
            <w:tcW w:w="2198" w:type="dxa"/>
            <w:gridSpan w:val="2"/>
            <w:vAlign w:val="center"/>
          </w:tcPr>
          <w:p>
            <w:pPr>
              <w:pStyle w:val="31"/>
              <w:ind w:firstLine="0" w:firstLineChars="0"/>
              <w:jc w:val="center"/>
              <w:rPr>
                <w:snapToGrid w:val="0"/>
                <w:color w:val="auto"/>
              </w:rPr>
            </w:pPr>
          </w:p>
        </w:tc>
        <w:tc>
          <w:tcPr>
            <w:tcW w:w="1380" w:type="dxa"/>
            <w:gridSpan w:val="4"/>
            <w:vAlign w:val="center"/>
          </w:tcPr>
          <w:p>
            <w:pPr>
              <w:pStyle w:val="28"/>
              <w:jc w:val="center"/>
              <w:rPr>
                <w:color w:val="auto"/>
                <w:sz w:val="24"/>
                <w:szCs w:val="24"/>
              </w:rPr>
            </w:pPr>
            <w:r>
              <w:rPr>
                <w:rFonts w:hint="eastAsia"/>
                <w:color w:val="auto"/>
                <w:sz w:val="24"/>
                <w:szCs w:val="24"/>
              </w:rPr>
              <w:t>年龄</w:t>
            </w:r>
          </w:p>
        </w:tc>
        <w:tc>
          <w:tcPr>
            <w:tcW w:w="1266" w:type="dxa"/>
            <w:gridSpan w:val="2"/>
            <w:vAlign w:val="center"/>
          </w:tcPr>
          <w:p>
            <w:pPr>
              <w:pStyle w:val="31"/>
              <w:ind w:firstLine="0" w:firstLineChars="0"/>
              <w:jc w:val="center"/>
              <w:rPr>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24" w:type="dxa"/>
            <w:vAlign w:val="center"/>
          </w:tcPr>
          <w:p>
            <w:pPr>
              <w:pStyle w:val="28"/>
              <w:jc w:val="center"/>
              <w:rPr>
                <w:color w:val="auto"/>
                <w:sz w:val="24"/>
                <w:szCs w:val="24"/>
              </w:rPr>
            </w:pPr>
            <w:r>
              <w:rPr>
                <w:rFonts w:hint="eastAsia"/>
                <w:color w:val="auto"/>
                <w:sz w:val="24"/>
                <w:szCs w:val="24"/>
              </w:rPr>
              <w:t>本项目拟担任职务</w:t>
            </w:r>
          </w:p>
        </w:tc>
        <w:tc>
          <w:tcPr>
            <w:tcW w:w="2168" w:type="dxa"/>
            <w:gridSpan w:val="4"/>
            <w:vAlign w:val="center"/>
          </w:tcPr>
          <w:p>
            <w:pPr>
              <w:pStyle w:val="31"/>
              <w:ind w:firstLine="0" w:firstLineChars="0"/>
              <w:jc w:val="center"/>
              <w:rPr>
                <w:snapToGrid w:val="0"/>
                <w:color w:val="auto"/>
              </w:rPr>
            </w:pPr>
          </w:p>
        </w:tc>
        <w:tc>
          <w:tcPr>
            <w:tcW w:w="1153" w:type="dxa"/>
            <w:vAlign w:val="center"/>
          </w:tcPr>
          <w:p>
            <w:pPr>
              <w:pStyle w:val="28"/>
              <w:jc w:val="center"/>
              <w:rPr>
                <w:color w:val="auto"/>
                <w:sz w:val="24"/>
                <w:szCs w:val="24"/>
              </w:rPr>
            </w:pPr>
            <w:r>
              <w:rPr>
                <w:rFonts w:hint="eastAsia"/>
                <w:color w:val="auto"/>
                <w:sz w:val="24"/>
                <w:szCs w:val="24"/>
              </w:rPr>
              <w:t>职称</w:t>
            </w:r>
          </w:p>
        </w:tc>
        <w:tc>
          <w:tcPr>
            <w:tcW w:w="2198" w:type="dxa"/>
            <w:gridSpan w:val="2"/>
            <w:vAlign w:val="center"/>
          </w:tcPr>
          <w:p>
            <w:pPr>
              <w:pStyle w:val="31"/>
              <w:ind w:firstLine="0" w:firstLineChars="0"/>
              <w:jc w:val="center"/>
              <w:rPr>
                <w:snapToGrid w:val="0"/>
                <w:color w:val="auto"/>
              </w:rPr>
            </w:pPr>
          </w:p>
        </w:tc>
        <w:tc>
          <w:tcPr>
            <w:tcW w:w="1380" w:type="dxa"/>
            <w:gridSpan w:val="4"/>
            <w:vAlign w:val="center"/>
          </w:tcPr>
          <w:p>
            <w:pPr>
              <w:pStyle w:val="28"/>
              <w:jc w:val="center"/>
              <w:rPr>
                <w:color w:val="auto"/>
                <w:sz w:val="24"/>
                <w:szCs w:val="24"/>
              </w:rPr>
            </w:pPr>
            <w:r>
              <w:rPr>
                <w:rFonts w:hint="eastAsia"/>
                <w:color w:val="auto"/>
                <w:sz w:val="24"/>
                <w:szCs w:val="24"/>
              </w:rPr>
              <w:t>学历</w:t>
            </w:r>
          </w:p>
        </w:tc>
        <w:tc>
          <w:tcPr>
            <w:tcW w:w="1266" w:type="dxa"/>
            <w:gridSpan w:val="2"/>
            <w:vAlign w:val="center"/>
          </w:tcPr>
          <w:p>
            <w:pPr>
              <w:pStyle w:val="31"/>
              <w:ind w:firstLine="0" w:firstLineChars="0"/>
              <w:jc w:val="center"/>
              <w:rPr>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01" w:type="dxa"/>
            <w:gridSpan w:val="3"/>
            <w:vAlign w:val="center"/>
          </w:tcPr>
          <w:p>
            <w:pPr>
              <w:pStyle w:val="28"/>
              <w:jc w:val="center"/>
              <w:rPr>
                <w:color w:val="auto"/>
                <w:sz w:val="24"/>
                <w:szCs w:val="24"/>
              </w:rPr>
            </w:pPr>
            <w:r>
              <w:rPr>
                <w:rFonts w:hint="eastAsia"/>
                <w:color w:val="auto"/>
                <w:sz w:val="24"/>
                <w:szCs w:val="24"/>
              </w:rPr>
              <w:t>参加工作时间</w:t>
            </w:r>
          </w:p>
        </w:tc>
        <w:tc>
          <w:tcPr>
            <w:tcW w:w="1744" w:type="dxa"/>
            <w:gridSpan w:val="3"/>
            <w:vAlign w:val="center"/>
          </w:tcPr>
          <w:p>
            <w:pPr>
              <w:pStyle w:val="31"/>
              <w:ind w:firstLine="0" w:firstLineChars="0"/>
              <w:jc w:val="center"/>
              <w:rPr>
                <w:snapToGrid w:val="0"/>
                <w:color w:val="auto"/>
              </w:rPr>
            </w:pPr>
          </w:p>
        </w:tc>
        <w:tc>
          <w:tcPr>
            <w:tcW w:w="2957" w:type="dxa"/>
            <w:gridSpan w:val="5"/>
            <w:vAlign w:val="center"/>
          </w:tcPr>
          <w:p>
            <w:pPr>
              <w:pStyle w:val="31"/>
              <w:ind w:firstLine="0" w:firstLineChars="0"/>
              <w:jc w:val="center"/>
              <w:rPr>
                <w:snapToGrid w:val="0"/>
                <w:color w:val="auto"/>
              </w:rPr>
            </w:pPr>
            <w:r>
              <w:rPr>
                <w:rFonts w:hint="eastAsia"/>
                <w:snapToGrid w:val="0"/>
                <w:color w:val="auto"/>
              </w:rPr>
              <w:t>担任相应职务年限</w:t>
            </w:r>
          </w:p>
        </w:tc>
        <w:tc>
          <w:tcPr>
            <w:tcW w:w="1887" w:type="dxa"/>
            <w:gridSpan w:val="3"/>
            <w:vAlign w:val="center"/>
          </w:tcPr>
          <w:p>
            <w:pPr>
              <w:pStyle w:val="31"/>
              <w:ind w:firstLine="0" w:firstLineChars="0"/>
              <w:jc w:val="center"/>
              <w:rPr>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301" w:type="dxa"/>
            <w:gridSpan w:val="3"/>
            <w:vAlign w:val="center"/>
          </w:tcPr>
          <w:p>
            <w:pPr>
              <w:pStyle w:val="28"/>
              <w:jc w:val="center"/>
              <w:rPr>
                <w:color w:val="auto"/>
                <w:sz w:val="24"/>
                <w:szCs w:val="24"/>
              </w:rPr>
            </w:pPr>
            <w:r>
              <w:rPr>
                <w:rFonts w:hint="eastAsia"/>
                <w:color w:val="auto"/>
                <w:sz w:val="24"/>
                <w:szCs w:val="24"/>
              </w:rPr>
              <w:t>资格证书号</w:t>
            </w:r>
          </w:p>
        </w:tc>
        <w:tc>
          <w:tcPr>
            <w:tcW w:w="6588" w:type="dxa"/>
            <w:gridSpan w:val="11"/>
            <w:vAlign w:val="center"/>
          </w:tcPr>
          <w:p>
            <w:pPr>
              <w:pStyle w:val="31"/>
              <w:ind w:firstLine="0" w:firstLineChars="0"/>
              <w:jc w:val="center"/>
              <w:rPr>
                <w:snapToGrid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89" w:type="dxa"/>
            <w:gridSpan w:val="14"/>
            <w:vAlign w:val="center"/>
          </w:tcPr>
          <w:p>
            <w:pPr>
              <w:pStyle w:val="31"/>
              <w:ind w:firstLine="0" w:firstLineChars="0"/>
              <w:jc w:val="center"/>
              <w:rPr>
                <w:snapToGrid w:val="0"/>
                <w:color w:val="auto"/>
              </w:rPr>
            </w:pPr>
            <w:r>
              <w:rPr>
                <w:rFonts w:hint="eastAsia"/>
                <w:snapToGrid w:val="0"/>
                <w:color w:val="auto"/>
                <w:szCs w:val="24"/>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60" w:type="dxa"/>
            <w:gridSpan w:val="2"/>
            <w:vAlign w:val="center"/>
          </w:tcPr>
          <w:p>
            <w:pPr>
              <w:pStyle w:val="28"/>
              <w:jc w:val="center"/>
              <w:rPr>
                <w:color w:val="auto"/>
                <w:sz w:val="24"/>
                <w:szCs w:val="24"/>
              </w:rPr>
            </w:pPr>
            <w:r>
              <w:rPr>
                <w:rFonts w:hint="eastAsia"/>
                <w:color w:val="auto"/>
                <w:sz w:val="24"/>
                <w:szCs w:val="24"/>
              </w:rPr>
              <w:t>项目名称</w:t>
            </w:r>
          </w:p>
        </w:tc>
        <w:tc>
          <w:tcPr>
            <w:tcW w:w="1680" w:type="dxa"/>
            <w:gridSpan w:val="2"/>
            <w:vAlign w:val="center"/>
          </w:tcPr>
          <w:p>
            <w:pPr>
              <w:pStyle w:val="28"/>
              <w:jc w:val="center"/>
              <w:rPr>
                <w:color w:val="auto"/>
                <w:sz w:val="24"/>
                <w:szCs w:val="24"/>
              </w:rPr>
            </w:pPr>
            <w:r>
              <w:rPr>
                <w:rFonts w:hint="eastAsia"/>
                <w:color w:val="auto"/>
                <w:sz w:val="24"/>
                <w:szCs w:val="24"/>
              </w:rPr>
              <w:t>建设单位</w:t>
            </w:r>
          </w:p>
        </w:tc>
        <w:tc>
          <w:tcPr>
            <w:tcW w:w="1830" w:type="dxa"/>
            <w:gridSpan w:val="3"/>
            <w:vAlign w:val="center"/>
          </w:tcPr>
          <w:p>
            <w:pPr>
              <w:pStyle w:val="28"/>
              <w:jc w:val="center"/>
              <w:rPr>
                <w:color w:val="auto"/>
                <w:sz w:val="24"/>
                <w:szCs w:val="24"/>
              </w:rPr>
            </w:pPr>
            <w:r>
              <w:rPr>
                <w:rFonts w:hint="eastAsia"/>
                <w:color w:val="auto"/>
                <w:sz w:val="24"/>
                <w:szCs w:val="24"/>
              </w:rPr>
              <w:t>项目时间</w:t>
            </w:r>
          </w:p>
        </w:tc>
        <w:tc>
          <w:tcPr>
            <w:tcW w:w="2109" w:type="dxa"/>
            <w:gridSpan w:val="3"/>
            <w:vAlign w:val="center"/>
          </w:tcPr>
          <w:p>
            <w:pPr>
              <w:pStyle w:val="28"/>
              <w:jc w:val="center"/>
              <w:rPr>
                <w:color w:val="auto"/>
                <w:sz w:val="24"/>
                <w:szCs w:val="24"/>
              </w:rPr>
            </w:pPr>
            <w:r>
              <w:rPr>
                <w:rFonts w:hint="eastAsia"/>
                <w:color w:val="auto"/>
                <w:sz w:val="24"/>
                <w:szCs w:val="24"/>
              </w:rPr>
              <w:t>合同金额（元）</w:t>
            </w:r>
          </w:p>
        </w:tc>
        <w:tc>
          <w:tcPr>
            <w:tcW w:w="1418" w:type="dxa"/>
            <w:gridSpan w:val="3"/>
            <w:vAlign w:val="center"/>
          </w:tcPr>
          <w:p>
            <w:pPr>
              <w:pStyle w:val="28"/>
              <w:jc w:val="center"/>
              <w:rPr>
                <w:color w:val="auto"/>
                <w:sz w:val="24"/>
                <w:szCs w:val="24"/>
              </w:rPr>
            </w:pPr>
            <w:r>
              <w:rPr>
                <w:rFonts w:hint="eastAsia"/>
                <w:color w:val="auto"/>
                <w:sz w:val="24"/>
                <w:szCs w:val="24"/>
              </w:rPr>
              <w:t>建设单位项目负责人</w:t>
            </w:r>
          </w:p>
        </w:tc>
        <w:tc>
          <w:tcPr>
            <w:tcW w:w="992" w:type="dxa"/>
            <w:vAlign w:val="center"/>
          </w:tcPr>
          <w:p>
            <w:pPr>
              <w:pStyle w:val="28"/>
              <w:jc w:val="center"/>
              <w:rPr>
                <w:color w:val="auto"/>
                <w:sz w:val="24"/>
                <w:szCs w:val="24"/>
              </w:rPr>
            </w:pPr>
            <w:r>
              <w:rPr>
                <w:rFonts w:hint="eastAsia"/>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60" w:type="dxa"/>
            <w:gridSpan w:val="2"/>
            <w:vAlign w:val="center"/>
          </w:tcPr>
          <w:p>
            <w:pPr>
              <w:pStyle w:val="28"/>
              <w:jc w:val="center"/>
              <w:rPr>
                <w:color w:val="auto"/>
                <w:sz w:val="24"/>
                <w:szCs w:val="24"/>
              </w:rPr>
            </w:pPr>
          </w:p>
        </w:tc>
        <w:tc>
          <w:tcPr>
            <w:tcW w:w="1680" w:type="dxa"/>
            <w:gridSpan w:val="2"/>
            <w:vAlign w:val="center"/>
          </w:tcPr>
          <w:p>
            <w:pPr>
              <w:pStyle w:val="28"/>
              <w:jc w:val="center"/>
              <w:rPr>
                <w:color w:val="auto"/>
                <w:sz w:val="24"/>
                <w:szCs w:val="24"/>
              </w:rPr>
            </w:pPr>
          </w:p>
        </w:tc>
        <w:tc>
          <w:tcPr>
            <w:tcW w:w="1830" w:type="dxa"/>
            <w:gridSpan w:val="3"/>
            <w:vAlign w:val="center"/>
          </w:tcPr>
          <w:p>
            <w:pPr>
              <w:pStyle w:val="28"/>
              <w:jc w:val="center"/>
              <w:rPr>
                <w:color w:val="auto"/>
                <w:sz w:val="24"/>
                <w:szCs w:val="24"/>
              </w:rPr>
            </w:pPr>
          </w:p>
        </w:tc>
        <w:tc>
          <w:tcPr>
            <w:tcW w:w="2100" w:type="dxa"/>
            <w:gridSpan w:val="2"/>
            <w:vAlign w:val="center"/>
          </w:tcPr>
          <w:p>
            <w:pPr>
              <w:pStyle w:val="28"/>
              <w:jc w:val="center"/>
              <w:rPr>
                <w:color w:val="auto"/>
                <w:sz w:val="24"/>
                <w:szCs w:val="24"/>
              </w:rPr>
            </w:pPr>
          </w:p>
        </w:tc>
        <w:tc>
          <w:tcPr>
            <w:tcW w:w="1427" w:type="dxa"/>
            <w:gridSpan w:val="4"/>
            <w:vAlign w:val="center"/>
          </w:tcPr>
          <w:p>
            <w:pPr>
              <w:pStyle w:val="28"/>
              <w:jc w:val="center"/>
              <w:rPr>
                <w:color w:val="auto"/>
                <w:sz w:val="24"/>
                <w:szCs w:val="24"/>
              </w:rPr>
            </w:pPr>
          </w:p>
        </w:tc>
        <w:tc>
          <w:tcPr>
            <w:tcW w:w="992" w:type="dxa"/>
            <w:vAlign w:val="center"/>
          </w:tcPr>
          <w:p>
            <w:pPr>
              <w:pStyle w:val="28"/>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60" w:type="dxa"/>
            <w:gridSpan w:val="2"/>
            <w:vAlign w:val="center"/>
          </w:tcPr>
          <w:p>
            <w:pPr>
              <w:pStyle w:val="28"/>
              <w:jc w:val="center"/>
              <w:rPr>
                <w:color w:val="auto"/>
                <w:sz w:val="24"/>
                <w:szCs w:val="24"/>
              </w:rPr>
            </w:pPr>
            <w:r>
              <w:rPr>
                <w:color w:val="auto"/>
                <w:sz w:val="24"/>
                <w:szCs w:val="24"/>
              </w:rPr>
              <w:t>…</w:t>
            </w:r>
          </w:p>
        </w:tc>
        <w:tc>
          <w:tcPr>
            <w:tcW w:w="1680" w:type="dxa"/>
            <w:gridSpan w:val="2"/>
            <w:vAlign w:val="center"/>
          </w:tcPr>
          <w:p>
            <w:pPr>
              <w:pStyle w:val="28"/>
              <w:jc w:val="center"/>
              <w:rPr>
                <w:color w:val="auto"/>
                <w:sz w:val="24"/>
                <w:szCs w:val="24"/>
              </w:rPr>
            </w:pPr>
          </w:p>
        </w:tc>
        <w:tc>
          <w:tcPr>
            <w:tcW w:w="1830" w:type="dxa"/>
            <w:gridSpan w:val="3"/>
            <w:vAlign w:val="center"/>
          </w:tcPr>
          <w:p>
            <w:pPr>
              <w:pStyle w:val="28"/>
              <w:jc w:val="center"/>
              <w:rPr>
                <w:color w:val="auto"/>
                <w:sz w:val="24"/>
                <w:szCs w:val="24"/>
              </w:rPr>
            </w:pPr>
          </w:p>
        </w:tc>
        <w:tc>
          <w:tcPr>
            <w:tcW w:w="2100" w:type="dxa"/>
            <w:gridSpan w:val="2"/>
            <w:vAlign w:val="center"/>
          </w:tcPr>
          <w:p>
            <w:pPr>
              <w:pStyle w:val="28"/>
              <w:jc w:val="center"/>
              <w:rPr>
                <w:color w:val="auto"/>
                <w:sz w:val="24"/>
                <w:szCs w:val="24"/>
              </w:rPr>
            </w:pPr>
          </w:p>
        </w:tc>
        <w:tc>
          <w:tcPr>
            <w:tcW w:w="1427" w:type="dxa"/>
            <w:gridSpan w:val="4"/>
            <w:vAlign w:val="center"/>
          </w:tcPr>
          <w:p>
            <w:pPr>
              <w:pStyle w:val="28"/>
              <w:jc w:val="center"/>
              <w:rPr>
                <w:color w:val="auto"/>
                <w:sz w:val="24"/>
                <w:szCs w:val="24"/>
              </w:rPr>
            </w:pPr>
          </w:p>
        </w:tc>
        <w:tc>
          <w:tcPr>
            <w:tcW w:w="992" w:type="dxa"/>
            <w:vAlign w:val="center"/>
          </w:tcPr>
          <w:p>
            <w:pPr>
              <w:pStyle w:val="28"/>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9" w:type="dxa"/>
            <w:gridSpan w:val="14"/>
            <w:vAlign w:val="center"/>
          </w:tcPr>
          <w:p>
            <w:pPr>
              <w:pStyle w:val="28"/>
              <w:jc w:val="center"/>
              <w:rPr>
                <w:color w:val="auto"/>
                <w:sz w:val="24"/>
                <w:szCs w:val="24"/>
              </w:rPr>
            </w:pPr>
          </w:p>
        </w:tc>
      </w:tr>
    </w:tbl>
    <w:p>
      <w:pPr>
        <w:rPr>
          <w:rFonts w:ascii="宋体" w:hAnsi="宋体" w:cs="宋体"/>
          <w:color w:val="auto"/>
          <w:sz w:val="20"/>
        </w:rPr>
      </w:pPr>
      <w:r>
        <w:rPr>
          <w:rFonts w:hint="eastAsia" w:ascii="宋体" w:hAnsi="宋体" w:cs="宋体"/>
          <w:color w:val="auto"/>
          <w:sz w:val="20"/>
        </w:rPr>
        <w:t>注：该表作为表格3的详表，请投标人按表格3的人员配置逐个填写人员简历。</w:t>
      </w:r>
    </w:p>
    <w:p>
      <w:pPr>
        <w:widowControl/>
        <w:jc w:val="left"/>
        <w:rPr>
          <w:rFonts w:ascii="宋体" w:hAnsi="宋体" w:cs="宋体"/>
          <w:snapToGrid w:val="0"/>
          <w:color w:val="auto"/>
          <w:spacing w:val="4"/>
          <w:kern w:val="0"/>
          <w:sz w:val="20"/>
          <w:szCs w:val="20"/>
          <w:lang w:bidi="ar"/>
        </w:rPr>
      </w:pPr>
    </w:p>
    <w:p>
      <w:pPr>
        <w:pStyle w:val="31"/>
        <w:ind w:firstLine="0" w:firstLineChars="0"/>
        <w:jc w:val="left"/>
        <w:rPr>
          <w:rFonts w:ascii="宋体" w:hAnsi="宋体"/>
          <w:color w:val="auto"/>
          <w:sz w:val="22"/>
        </w:rPr>
      </w:pPr>
    </w:p>
    <w:p>
      <w:pPr>
        <w:ind w:left="3360" w:leftChars="1600" w:firstLine="960" w:firstLineChars="400"/>
        <w:rPr>
          <w:rFonts w:ascii="宋体" w:hAnsi="宋体"/>
          <w:color w:val="auto"/>
          <w:sz w:val="24"/>
        </w:rPr>
      </w:pPr>
      <w:r>
        <w:rPr>
          <w:rFonts w:hint="eastAsia" w:ascii="宋体" w:hAnsi="宋体"/>
          <w:color w:val="auto"/>
          <w:sz w:val="24"/>
        </w:rPr>
        <w:t>投标人（单位公章）：</w:t>
      </w:r>
      <w:r>
        <w:rPr>
          <w:rFonts w:hint="eastAsia"/>
          <w:color w:val="auto"/>
          <w:sz w:val="24"/>
          <w:szCs w:val="24"/>
          <w:u w:val="single"/>
        </w:rPr>
        <w:t xml:space="preserve">                   </w:t>
      </w:r>
    </w:p>
    <w:p>
      <w:pPr>
        <w:ind w:left="3360" w:leftChars="1600" w:firstLine="960" w:firstLineChars="400"/>
        <w:rPr>
          <w:rFonts w:ascii="宋体" w:hAnsi="宋体"/>
          <w:color w:val="auto"/>
          <w:sz w:val="24"/>
        </w:rPr>
      </w:pPr>
      <w:r>
        <w:rPr>
          <w:rFonts w:hint="eastAsia" w:ascii="宋体" w:hAnsi="宋体"/>
          <w:color w:val="auto"/>
          <w:sz w:val="24"/>
        </w:rPr>
        <w:t>法定代表人或授权委托人（签字或盖章）</w:t>
      </w:r>
    </w:p>
    <w:p>
      <w:pPr>
        <w:pStyle w:val="19"/>
        <w:spacing w:after="0" w:line="360" w:lineRule="auto"/>
        <w:ind w:left="481" w:leftChars="229" w:right="480" w:firstLine="3780" w:firstLineChars="1575"/>
        <w:rPr>
          <w:b/>
          <w:color w:val="auto"/>
          <w:sz w:val="24"/>
        </w:rPr>
      </w:pPr>
      <w:r>
        <w:rPr>
          <w:rFonts w:ascii="宋体" w:hAnsi="宋体"/>
          <w:color w:val="auto"/>
          <w:sz w:val="24"/>
        </w:rPr>
        <w:t>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color w:val="auto"/>
          <w:sz w:val="24"/>
          <w:u w:val="single"/>
        </w:rPr>
        <w:t xml:space="preserve">     </w:t>
      </w:r>
      <w:r>
        <w:rPr>
          <w:rFonts w:hint="eastAsia" w:ascii="宋体" w:hAnsi="宋体" w:cs="Arial"/>
          <w:color w:val="auto"/>
          <w:sz w:val="24"/>
        </w:rPr>
        <w:t>月</w:t>
      </w:r>
      <w:r>
        <w:rPr>
          <w:rFonts w:hint="eastAsia"/>
          <w:color w:val="auto"/>
          <w:sz w:val="24"/>
          <w:u w:val="single"/>
        </w:rPr>
        <w:t xml:space="preserve">     </w:t>
      </w:r>
      <w:r>
        <w:rPr>
          <w:rFonts w:hint="eastAsia" w:ascii="宋体" w:hAnsi="宋体" w:cs="Arial"/>
          <w:color w:val="auto"/>
          <w:sz w:val="24"/>
        </w:rPr>
        <w:t>日</w:t>
      </w:r>
    </w:p>
    <w:p>
      <w:pPr>
        <w:pStyle w:val="19"/>
        <w:spacing w:after="0" w:line="360" w:lineRule="auto"/>
        <w:ind w:firstLine="0"/>
        <w:outlineLvl w:val="1"/>
        <w:rPr>
          <w:rFonts w:ascii="宋体" w:hAnsi="宋体" w:cs="宋体"/>
          <w:color w:val="auto"/>
        </w:rPr>
        <w:sectPr>
          <w:pgSz w:w="11906" w:h="16838"/>
          <w:pgMar w:top="1440" w:right="1134" w:bottom="1440" w:left="1134" w:header="851" w:footer="992" w:gutter="0"/>
          <w:pgNumType w:fmt="decimal"/>
          <w:cols w:space="720" w:num="1"/>
          <w:docGrid w:linePitch="312" w:charSpace="0"/>
        </w:sectPr>
      </w:pPr>
    </w:p>
    <w:p>
      <w:pPr>
        <w:pStyle w:val="19"/>
        <w:ind w:firstLine="0"/>
        <w:rPr>
          <w:rFonts w:ascii="宋体" w:hAnsi="宋体" w:cs="宋体"/>
          <w:b/>
          <w:color w:val="auto"/>
          <w:sz w:val="28"/>
          <w:szCs w:val="28"/>
        </w:rPr>
      </w:pPr>
    </w:p>
    <w:p>
      <w:pPr>
        <w:pStyle w:val="19"/>
        <w:ind w:firstLine="0"/>
        <w:rPr>
          <w:rFonts w:ascii="宋体" w:hAnsi="宋体" w:cs="宋体"/>
          <w:b/>
          <w:color w:val="auto"/>
          <w:sz w:val="28"/>
          <w:szCs w:val="28"/>
        </w:rPr>
      </w:pPr>
    </w:p>
    <w:p>
      <w:pPr>
        <w:pStyle w:val="19"/>
        <w:ind w:firstLine="0"/>
        <w:rPr>
          <w:rFonts w:ascii="宋体" w:hAnsi="宋体" w:cs="宋体"/>
          <w:b/>
          <w:color w:val="auto"/>
          <w:sz w:val="28"/>
          <w:szCs w:val="28"/>
        </w:rPr>
      </w:pPr>
    </w:p>
    <w:p>
      <w:pPr>
        <w:pStyle w:val="19"/>
        <w:ind w:firstLine="0"/>
        <w:rPr>
          <w:rFonts w:ascii="宋体" w:hAnsi="宋体" w:cs="宋体"/>
          <w:b/>
          <w:color w:val="auto"/>
          <w:sz w:val="28"/>
          <w:szCs w:val="28"/>
        </w:rPr>
      </w:pPr>
    </w:p>
    <w:p>
      <w:pPr>
        <w:pStyle w:val="19"/>
        <w:ind w:firstLine="0"/>
        <w:rPr>
          <w:rFonts w:ascii="宋体" w:hAnsi="宋体" w:cs="宋体"/>
          <w:b/>
          <w:color w:val="auto"/>
          <w:sz w:val="28"/>
          <w:szCs w:val="28"/>
        </w:rPr>
      </w:pPr>
    </w:p>
    <w:p>
      <w:pPr>
        <w:rPr>
          <w:rFonts w:ascii="宋体" w:hAnsi="宋体" w:cs="宋体"/>
          <w:color w:val="auto"/>
        </w:rPr>
      </w:pPr>
    </w:p>
    <w:p>
      <w:pPr>
        <w:rPr>
          <w:rFonts w:ascii="宋体" w:hAnsi="宋体" w:cs="宋体"/>
          <w:b/>
          <w:color w:val="auto"/>
          <w:sz w:val="28"/>
          <w:szCs w:val="28"/>
        </w:rPr>
      </w:pPr>
      <w:bookmarkStart w:id="123" w:name="_Toc532778395"/>
      <w:r>
        <w:rPr>
          <w:rFonts w:hint="eastAsia" w:ascii="宋体" w:hAnsi="宋体" w:cs="宋体"/>
          <w:b/>
          <w:color w:val="auto"/>
          <w:sz w:val="28"/>
          <w:szCs w:val="28"/>
          <w:lang w:val="en-US" w:eastAsia="zh-CN"/>
        </w:rPr>
        <w:t>八</w:t>
      </w:r>
      <w:r>
        <w:rPr>
          <w:rFonts w:hint="eastAsia" w:ascii="宋体" w:hAnsi="宋体" w:cs="宋体"/>
          <w:b/>
          <w:color w:val="auto"/>
          <w:sz w:val="28"/>
          <w:szCs w:val="28"/>
        </w:rPr>
        <w:t>、服务方案</w:t>
      </w:r>
      <w:bookmarkEnd w:id="123"/>
      <w:r>
        <w:rPr>
          <w:rFonts w:hint="eastAsia" w:ascii="宋体" w:hAnsi="宋体" w:cs="宋体"/>
          <w:b/>
          <w:color w:val="auto"/>
          <w:sz w:val="28"/>
          <w:szCs w:val="28"/>
        </w:rPr>
        <w:t>（格式自定）</w:t>
      </w:r>
    </w:p>
    <w:p>
      <w:pPr>
        <w:rPr>
          <w:rFonts w:ascii="宋体" w:hAnsi="宋体" w:cs="宋体"/>
          <w:b/>
          <w:color w:val="auto"/>
          <w:sz w:val="28"/>
          <w:szCs w:val="28"/>
        </w:rPr>
      </w:pPr>
    </w:p>
    <w:bookmarkEnd w:id="115"/>
    <w:bookmarkEnd w:id="116"/>
    <w:p>
      <w:pPr>
        <w:pStyle w:val="6"/>
        <w:keepNext w:val="0"/>
        <w:keepLines w:val="0"/>
        <w:spacing w:after="0" w:line="360" w:lineRule="auto"/>
        <w:jc w:val="left"/>
        <w:rPr>
          <w:rFonts w:hint="eastAsia" w:ascii="宋体" w:hAnsi="宋体" w:eastAsia="宋体" w:cs="宋体"/>
          <w:color w:val="auto"/>
          <w:sz w:val="28"/>
          <w:szCs w:val="28"/>
        </w:rPr>
      </w:pPr>
      <w:bookmarkStart w:id="124" w:name="_Toc11955291"/>
      <w:bookmarkStart w:id="125" w:name="_Toc517280615"/>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ascii="宋体" w:hAnsi="宋体" w:eastAsia="宋体" w:cs="宋体"/>
          <w:color w:val="auto"/>
          <w:sz w:val="28"/>
          <w:szCs w:val="28"/>
        </w:rPr>
      </w:pPr>
      <w:r>
        <w:rPr>
          <w:rFonts w:hint="eastAsia" w:ascii="宋体" w:hAnsi="宋体" w:eastAsia="宋体" w:cs="宋体"/>
          <w:color w:val="auto"/>
          <w:sz w:val="28"/>
          <w:szCs w:val="28"/>
          <w:lang w:val="en-US" w:eastAsia="zh-CN"/>
        </w:rPr>
        <w:t>九</w:t>
      </w:r>
      <w:r>
        <w:rPr>
          <w:rFonts w:hint="eastAsia" w:ascii="宋体" w:hAnsi="宋体" w:eastAsia="宋体" w:cs="宋体"/>
          <w:color w:val="auto"/>
          <w:sz w:val="28"/>
          <w:szCs w:val="28"/>
        </w:rPr>
        <w:t>、投标保证金</w:t>
      </w:r>
    </w:p>
    <w:p>
      <w:pPr>
        <w:pStyle w:val="6"/>
        <w:keepNext w:val="0"/>
        <w:keepLines w:val="0"/>
        <w:spacing w:before="120" w:after="120" w:line="360" w:lineRule="auto"/>
        <w:jc w:val="center"/>
        <w:rPr>
          <w:rFonts w:ascii="Times New Roman" w:hAnsi="Times New Roman"/>
          <w:color w:val="auto"/>
        </w:rPr>
      </w:pPr>
      <w:bookmarkStart w:id="126" w:name="_Toc36814974"/>
      <w:bookmarkStart w:id="127" w:name="_Toc352691666"/>
      <w:bookmarkStart w:id="128" w:name="_Toc144974861"/>
      <w:bookmarkStart w:id="129" w:name="_Toc247527832"/>
      <w:bookmarkStart w:id="130" w:name="_Toc152042581"/>
      <w:bookmarkStart w:id="131" w:name="_Toc152045792"/>
      <w:bookmarkStart w:id="132" w:name="_Toc369531702"/>
      <w:bookmarkStart w:id="133" w:name="_Toc13469"/>
      <w:bookmarkStart w:id="134" w:name="_Toc361508757"/>
      <w:bookmarkStart w:id="135" w:name="_Toc384308381"/>
      <w:bookmarkStart w:id="136" w:name="_Toc300835214"/>
      <w:bookmarkStart w:id="137" w:name="_Toc247514284"/>
      <w:r>
        <w:rPr>
          <w:rFonts w:ascii="Times New Roman" w:hAnsi="Times New Roman"/>
          <w:color w:val="auto"/>
        </w:rPr>
        <w:t>投标保证金</w:t>
      </w:r>
      <w:bookmarkEnd w:id="126"/>
    </w:p>
    <w:p>
      <w:pPr>
        <w:spacing w:line="360" w:lineRule="auto"/>
        <w:ind w:firstLine="480" w:firstLineChars="200"/>
        <w:rPr>
          <w:color w:val="auto"/>
          <w:sz w:val="24"/>
          <w:szCs w:val="24"/>
          <w:u w:val="single"/>
        </w:rPr>
      </w:pPr>
      <w:r>
        <w:rPr>
          <w:rFonts w:hint="eastAsia"/>
          <w:color w:val="auto"/>
          <w:sz w:val="24"/>
          <w:szCs w:val="24"/>
        </w:rPr>
        <w:t>由广州交易集团有限公司代收</w:t>
      </w:r>
      <w:r>
        <w:rPr>
          <w:rFonts w:hint="eastAsia"/>
          <w:color w:val="auto"/>
          <w:sz w:val="24"/>
          <w:szCs w:val="24"/>
          <w:lang w:eastAsia="zh-CN"/>
        </w:rPr>
        <w:t>，</w:t>
      </w:r>
      <w:r>
        <w:rPr>
          <w:rFonts w:hint="eastAsia"/>
          <w:color w:val="auto"/>
          <w:sz w:val="24"/>
          <w:szCs w:val="24"/>
        </w:rPr>
        <w:t>缴纳情况以开标时广州交易集团有限公司网站查询为准。（详见本招标文件第二章投标人须知前附表</w:t>
      </w:r>
      <w:r>
        <w:rPr>
          <w:color w:val="auto"/>
          <w:sz w:val="24"/>
          <w:szCs w:val="24"/>
        </w:rPr>
        <w:t>3.4.1</w:t>
      </w:r>
      <w:r>
        <w:rPr>
          <w:rFonts w:hint="eastAsia"/>
          <w:color w:val="auto"/>
          <w:sz w:val="24"/>
          <w:szCs w:val="24"/>
        </w:rPr>
        <w:t>）</w:t>
      </w:r>
      <w:bookmarkEnd w:id="127"/>
      <w:bookmarkEnd w:id="128"/>
      <w:bookmarkEnd w:id="129"/>
      <w:bookmarkEnd w:id="130"/>
      <w:bookmarkEnd w:id="131"/>
      <w:bookmarkEnd w:id="132"/>
      <w:bookmarkEnd w:id="133"/>
      <w:bookmarkEnd w:id="134"/>
      <w:bookmarkEnd w:id="135"/>
      <w:bookmarkEnd w:id="136"/>
      <w:bookmarkEnd w:id="137"/>
    </w:p>
    <w:p>
      <w:pPr>
        <w:rPr>
          <w:rFonts w:ascii="Times New Roman" w:hAnsi="Times New Roman"/>
          <w:color w:val="auto"/>
        </w:rPr>
      </w:pPr>
      <w:r>
        <w:rPr>
          <w:rFonts w:hint="eastAsia"/>
          <w:color w:val="auto"/>
          <w:sz w:val="24"/>
          <w:szCs w:val="24"/>
          <w:u w:val="single"/>
        </w:rPr>
        <w:t>（投标人可以放投标保证金汇款凭证扫描件，也可以不放。）</w:t>
      </w:r>
    </w:p>
    <w:p>
      <w:pPr>
        <w:pStyle w:val="6"/>
        <w:keepNext w:val="0"/>
        <w:keepLines w:val="0"/>
        <w:spacing w:after="0" w:line="360" w:lineRule="auto"/>
        <w:jc w:val="left"/>
        <w:rPr>
          <w:rFonts w:ascii="宋体" w:hAnsi="宋体" w:eastAsia="宋体" w:cs="宋体"/>
          <w:color w:val="auto"/>
          <w:sz w:val="28"/>
          <w:szCs w:val="28"/>
        </w:rPr>
      </w:pPr>
    </w:p>
    <w:p>
      <w:pPr>
        <w:pStyle w:val="6"/>
        <w:keepNext w:val="0"/>
        <w:keepLines w:val="0"/>
        <w:spacing w:after="0" w:line="360" w:lineRule="auto"/>
        <w:jc w:val="left"/>
        <w:rPr>
          <w:rFonts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hint="eastAsia" w:ascii="宋体" w:hAnsi="宋体" w:eastAsia="宋体" w:cs="宋体"/>
          <w:color w:val="auto"/>
          <w:sz w:val="28"/>
          <w:szCs w:val="28"/>
        </w:rPr>
      </w:pPr>
    </w:p>
    <w:p>
      <w:pPr>
        <w:pStyle w:val="6"/>
        <w:keepNext w:val="0"/>
        <w:keepLines w:val="0"/>
        <w:spacing w:after="0" w:line="360" w:lineRule="auto"/>
        <w:jc w:val="left"/>
        <w:rPr>
          <w:rFonts w:ascii="宋体" w:hAnsi="宋体" w:eastAsia="宋体" w:cs="宋体"/>
          <w:color w:val="auto"/>
          <w:sz w:val="28"/>
          <w:szCs w:val="28"/>
        </w:rPr>
      </w:pPr>
      <w:r>
        <w:rPr>
          <w:rFonts w:hint="eastAsia" w:ascii="宋体" w:hAnsi="宋体" w:eastAsia="宋体" w:cs="宋体"/>
          <w:color w:val="auto"/>
          <w:sz w:val="28"/>
          <w:szCs w:val="28"/>
          <w:lang w:val="en-US" w:eastAsia="zh-CN"/>
        </w:rPr>
        <w:t>十</w:t>
      </w:r>
      <w:r>
        <w:rPr>
          <w:rFonts w:hint="eastAsia" w:ascii="宋体" w:hAnsi="宋体" w:eastAsia="宋体" w:cs="宋体"/>
          <w:color w:val="auto"/>
          <w:sz w:val="28"/>
          <w:szCs w:val="28"/>
        </w:rPr>
        <w:t>、其他资料</w:t>
      </w:r>
      <w:bookmarkEnd w:id="124"/>
      <w:bookmarkEnd w:id="125"/>
    </w:p>
    <w:p>
      <w:pPr>
        <w:spacing w:line="360" w:lineRule="auto"/>
        <w:rPr>
          <w:rFonts w:ascii="宋体" w:hAnsi="宋体"/>
          <w:color w:val="auto"/>
        </w:rPr>
      </w:pPr>
      <w:r>
        <w:rPr>
          <w:rFonts w:hint="eastAsia" w:ascii="宋体" w:hAnsi="宋体" w:cs="宋体"/>
          <w:color w:val="auto"/>
          <w:sz w:val="24"/>
          <w:szCs w:val="24"/>
        </w:rPr>
        <w:t>投标人认为需要提交的其他资料。</w:t>
      </w:r>
    </w:p>
    <w:p>
      <w:pPr>
        <w:pStyle w:val="19"/>
        <w:ind w:firstLine="211"/>
        <w:jc w:val="left"/>
        <w:rPr>
          <w:rFonts w:ascii="宋体" w:hAnsi="宋体" w:cs="宋体"/>
          <w:color w:val="auto"/>
        </w:rPr>
        <w:sectPr>
          <w:headerReference r:id="rId16" w:type="default"/>
          <w:type w:val="continuous"/>
          <w:pgSz w:w="11906" w:h="16838"/>
          <w:pgMar w:top="1440" w:right="1803" w:bottom="1440" w:left="1803" w:header="850" w:footer="992" w:gutter="0"/>
          <w:pgNumType w:fmt="decimal"/>
          <w:cols w:space="720" w:num="1"/>
          <w:docGrid w:linePitch="285" w:charSpace="0"/>
        </w:sectPr>
      </w:pPr>
    </w:p>
    <w:p>
      <w:pPr>
        <w:pStyle w:val="19"/>
        <w:ind w:firstLine="211"/>
        <w:jc w:val="left"/>
        <w:rPr>
          <w:rFonts w:ascii="黑体" w:hAnsi="黑体" w:eastAsia="黑体" w:cs="黑体"/>
          <w:b/>
          <w:bCs/>
          <w:color w:val="auto"/>
          <w:sz w:val="32"/>
          <w:szCs w:val="36"/>
        </w:rPr>
      </w:pPr>
      <w:r>
        <w:rPr>
          <w:rFonts w:hint="eastAsia" w:ascii="黑体" w:hAnsi="黑体" w:eastAsia="黑体" w:cs="黑体"/>
          <w:b/>
          <w:bCs/>
          <w:color w:val="auto"/>
          <w:sz w:val="32"/>
          <w:szCs w:val="36"/>
        </w:rPr>
        <w:t>格式五：</w:t>
      </w:r>
    </w:p>
    <w:p>
      <w:pPr>
        <w:spacing w:line="360" w:lineRule="auto"/>
        <w:jc w:val="center"/>
        <w:rPr>
          <w:rFonts w:ascii="宋体" w:hAnsi="宋体"/>
          <w:b/>
          <w:color w:val="auto"/>
          <w:sz w:val="24"/>
        </w:rPr>
      </w:pPr>
      <w:r>
        <w:rPr>
          <w:rFonts w:hint="eastAsia" w:ascii="方正魏碑简体" w:hAnsi="宋体" w:eastAsia="方正魏碑简体"/>
          <w:b/>
          <w:bCs/>
          <w:color w:val="auto"/>
          <w:sz w:val="32"/>
          <w:szCs w:val="32"/>
        </w:rPr>
        <w:t>服务承诺</w:t>
      </w:r>
    </w:p>
    <w:p>
      <w:pPr>
        <w:spacing w:line="360" w:lineRule="auto"/>
        <w:ind w:left="0" w:leftChars="0" w:firstLine="480" w:firstLineChars="200"/>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广州市中心区交通项目管理中心</w:t>
      </w:r>
    </w:p>
    <w:p>
      <w:pPr>
        <w:spacing w:line="360" w:lineRule="auto"/>
        <w:ind w:left="420" w:leftChars="200" w:firstLine="420" w:firstLineChars="175"/>
        <w:rPr>
          <w:rFonts w:hint="eastAsia" w:ascii="宋体" w:hAnsi="宋体"/>
          <w:color w:val="auto"/>
          <w:sz w:val="24"/>
        </w:rPr>
      </w:pPr>
      <w:r>
        <w:rPr>
          <w:rFonts w:hint="eastAsia" w:ascii="宋体" w:hAnsi="宋体"/>
          <w:color w:val="auto"/>
          <w:sz w:val="24"/>
        </w:rPr>
        <w:t>经详细阅读本</w:t>
      </w:r>
      <w:r>
        <w:rPr>
          <w:rFonts w:hint="eastAsia" w:ascii="宋体" w:hAnsi="宋体"/>
          <w:color w:val="auto"/>
          <w:sz w:val="24"/>
          <w:lang w:val="en-US" w:eastAsia="zh-CN"/>
        </w:rPr>
        <w:t>项目</w:t>
      </w:r>
      <w:r>
        <w:rPr>
          <w:rFonts w:hint="eastAsia" w:ascii="宋体" w:hAnsi="宋体"/>
          <w:color w:val="auto"/>
          <w:sz w:val="24"/>
        </w:rPr>
        <w:t>招标文件</w:t>
      </w:r>
      <w:r>
        <w:rPr>
          <w:rFonts w:hint="eastAsia" w:ascii="宋体" w:hAnsi="宋体"/>
          <w:color w:val="auto"/>
          <w:sz w:val="24"/>
          <w:lang w:val="en-US" w:eastAsia="zh-CN"/>
        </w:rPr>
        <w:t>等资料</w:t>
      </w:r>
      <w:r>
        <w:rPr>
          <w:rFonts w:hint="eastAsia" w:ascii="宋体" w:hAnsi="宋体"/>
          <w:color w:val="auto"/>
          <w:sz w:val="24"/>
        </w:rPr>
        <w:t>，我司已理解招标人对本招标项目工程管理的高标准及严格要求，在此，我司郑重作出以下承诺：</w:t>
      </w:r>
    </w:p>
    <w:p>
      <w:pPr>
        <w:spacing w:line="360" w:lineRule="auto"/>
        <w:ind w:left="420" w:leftChars="200" w:firstLine="420" w:firstLineChars="175"/>
        <w:rPr>
          <w:rFonts w:ascii="宋体" w:hAnsi="宋体"/>
          <w:color w:val="auto"/>
          <w:sz w:val="24"/>
        </w:rPr>
      </w:pPr>
      <w:r>
        <w:rPr>
          <w:rFonts w:hint="eastAsia" w:ascii="宋体" w:hAnsi="宋体"/>
          <w:color w:val="auto"/>
          <w:sz w:val="24"/>
        </w:rPr>
        <w:t>1、如果我司中标，我司承诺能提供项目本身的施工运维阶段BIM技术应用</w:t>
      </w:r>
      <w:r>
        <w:rPr>
          <w:rFonts w:hint="eastAsia" w:ascii="宋体" w:hAnsi="宋体"/>
          <w:color w:val="auto"/>
          <w:sz w:val="24"/>
          <w:lang w:val="en-US" w:eastAsia="zh-CN"/>
        </w:rPr>
        <w:t>管理、</w:t>
      </w:r>
      <w:r>
        <w:rPr>
          <w:rFonts w:hint="eastAsia" w:ascii="宋体" w:hAnsi="宋体"/>
          <w:color w:val="auto"/>
          <w:sz w:val="24"/>
        </w:rPr>
        <w:t>日常服务，并满足与项目相关的临时性、突发性需求服务；及时响应。在招标人提出明确人员配备或变更需求后，承诺</w:t>
      </w:r>
      <w:r>
        <w:rPr>
          <w:rFonts w:hint="eastAsia" w:ascii="宋体" w:hAnsi="宋体"/>
          <w:color w:val="auto"/>
          <w:sz w:val="24"/>
          <w:u w:val="single"/>
        </w:rPr>
        <w:t xml:space="preserve">    </w:t>
      </w:r>
      <w:r>
        <w:rPr>
          <w:rFonts w:hint="eastAsia" w:ascii="宋体" w:hAnsi="宋体"/>
          <w:color w:val="auto"/>
          <w:sz w:val="24"/>
        </w:rPr>
        <w:t>个工作日内完成需求人员配备或变更；</w:t>
      </w:r>
    </w:p>
    <w:p>
      <w:pPr>
        <w:spacing w:line="360" w:lineRule="auto"/>
        <w:ind w:left="420" w:leftChars="200" w:firstLine="420" w:firstLineChars="175"/>
        <w:rPr>
          <w:rFonts w:hint="default"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如果我司中标，我司承诺</w:t>
      </w:r>
      <w:r>
        <w:rPr>
          <w:rFonts w:ascii="宋体" w:hAnsi="宋体"/>
          <w:color w:val="auto"/>
          <w:sz w:val="24"/>
          <w:highlight w:val="none"/>
        </w:rPr>
        <w:t>在服务保障措施方面，（投标方承诺有实际意义的内容，如团队稳定性、驻点联络、响应时间、驻场人员技术水平等）：</w:t>
      </w:r>
      <w:r>
        <w:rPr>
          <w:rFonts w:hint="eastAsia" w:ascii="宋体" w:hAnsi="宋体"/>
          <w:color w:val="auto"/>
          <w:sz w:val="24"/>
          <w:highlight w:val="none"/>
          <w:u w:val="single"/>
          <w:lang w:val="en-US" w:eastAsia="zh-CN"/>
        </w:rPr>
        <w:t xml:space="preserve">                                。</w:t>
      </w:r>
    </w:p>
    <w:p>
      <w:pPr>
        <w:spacing w:line="360" w:lineRule="auto"/>
        <w:ind w:left="420" w:leftChars="200" w:firstLine="420" w:firstLineChars="175"/>
        <w:rPr>
          <w:rFonts w:ascii="宋体" w:hAnsi="宋体"/>
          <w:color w:val="auto"/>
          <w:sz w:val="24"/>
        </w:rPr>
      </w:pPr>
      <w:r>
        <w:rPr>
          <w:rFonts w:hint="eastAsia" w:ascii="宋体" w:hAnsi="宋体"/>
          <w:color w:val="auto"/>
          <w:sz w:val="24"/>
        </w:rPr>
        <w:t>3、如果我司中标，</w:t>
      </w:r>
      <w:r>
        <w:rPr>
          <w:rFonts w:hint="eastAsia" w:ascii="宋体" w:hAnsi="宋体" w:eastAsia="宋体" w:cs="宋体"/>
          <w:color w:val="auto"/>
          <w:sz w:val="24"/>
          <w:szCs w:val="24"/>
          <w:highlight w:val="none"/>
          <w:u w:val="single"/>
        </w:rPr>
        <w:t>我司</w:t>
      </w:r>
      <w:r>
        <w:rPr>
          <w:rFonts w:hint="eastAsia" w:ascii="宋体" w:hAnsi="宋体" w:cs="宋体"/>
          <w:color w:val="auto"/>
          <w:sz w:val="24"/>
          <w:szCs w:val="24"/>
          <w:highlight w:val="none"/>
          <w:u w:val="single"/>
          <w:lang w:val="en-US" w:eastAsia="zh-CN"/>
        </w:rPr>
        <w:t>承诺将无条件配合招标人申报省部级或国家级等各类奖项，不再额外增加任何费用</w:t>
      </w:r>
      <w:r>
        <w:rPr>
          <w:rFonts w:hint="eastAsia" w:ascii="宋体" w:hAnsi="宋体"/>
          <w:color w:val="auto"/>
          <w:sz w:val="24"/>
        </w:rPr>
        <w:t>。</w:t>
      </w:r>
    </w:p>
    <w:p>
      <w:pPr>
        <w:spacing w:line="324" w:lineRule="auto"/>
        <w:ind w:firstLine="840"/>
        <w:jc w:val="left"/>
        <w:rPr>
          <w:rFonts w:ascii="宋体" w:hAnsi="宋体"/>
          <w:color w:val="auto"/>
          <w:sz w:val="24"/>
        </w:rPr>
      </w:pPr>
      <w:r>
        <w:rPr>
          <w:rFonts w:hint="eastAsia" w:ascii="宋体" w:hAnsi="宋体"/>
          <w:color w:val="auto"/>
          <w:sz w:val="24"/>
        </w:rPr>
        <w:t>除上述承诺以外，我单位还承诺提供以下增值服务：(如没有填写“无”)</w:t>
      </w:r>
    </w:p>
    <w:tbl>
      <w:tblPr>
        <w:tblStyle w:val="20"/>
        <w:tblW w:w="7979" w:type="dxa"/>
        <w:jc w:val="center"/>
        <w:tblLayout w:type="fixed"/>
        <w:tblCellMar>
          <w:top w:w="0" w:type="dxa"/>
          <w:left w:w="108" w:type="dxa"/>
          <w:bottom w:w="0" w:type="dxa"/>
          <w:right w:w="108" w:type="dxa"/>
        </w:tblCellMar>
      </w:tblPr>
      <w:tblGrid>
        <w:gridCol w:w="1891"/>
        <w:gridCol w:w="4461"/>
        <w:gridCol w:w="1627"/>
      </w:tblGrid>
      <w:tr>
        <w:tblPrEx>
          <w:tblCellMar>
            <w:top w:w="0" w:type="dxa"/>
            <w:left w:w="108" w:type="dxa"/>
            <w:bottom w:w="0" w:type="dxa"/>
            <w:right w:w="108" w:type="dxa"/>
          </w:tblCellMar>
        </w:tblPrEx>
        <w:trPr>
          <w:trHeight w:val="536" w:hRule="atLeast"/>
          <w:jc w:val="center"/>
        </w:trPr>
        <w:tc>
          <w:tcPr>
            <w:tcW w:w="1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4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增值服务</w:t>
            </w:r>
            <w:r>
              <w:rPr>
                <w:rFonts w:hint="eastAsia" w:ascii="宋体" w:hAnsi="宋体" w:cs="宋体"/>
                <w:color w:val="auto"/>
                <w:kern w:val="0"/>
                <w:szCs w:val="21"/>
                <w:lang w:val="en-US" w:eastAsia="zh-CN"/>
              </w:rPr>
              <w:t>内容</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备注</w:t>
            </w: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r>
      <w:tr>
        <w:tblPrEx>
          <w:tblCellMar>
            <w:top w:w="0" w:type="dxa"/>
            <w:left w:w="108" w:type="dxa"/>
            <w:bottom w:w="0" w:type="dxa"/>
            <w:right w:w="108" w:type="dxa"/>
          </w:tblCellMar>
        </w:tblPrEx>
        <w:trPr>
          <w:trHeight w:val="536" w:hRule="atLeast"/>
          <w:jc w:val="center"/>
        </w:trPr>
        <w:tc>
          <w:tcPr>
            <w:tcW w:w="18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w:t>
            </w:r>
          </w:p>
        </w:tc>
        <w:tc>
          <w:tcPr>
            <w:tcW w:w="44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rPr>
            </w:pPr>
          </w:p>
        </w:tc>
      </w:tr>
    </w:tbl>
    <w:p>
      <w:pPr>
        <w:spacing w:line="360" w:lineRule="auto"/>
        <w:ind w:firstLine="1200" w:firstLineChars="500"/>
        <w:jc w:val="left"/>
        <w:rPr>
          <w:rFonts w:ascii="宋体" w:hAnsi="宋体"/>
          <w:color w:val="auto"/>
          <w:sz w:val="24"/>
        </w:rPr>
      </w:pPr>
      <w:r>
        <w:rPr>
          <w:rFonts w:hint="eastAsia" w:ascii="宋体" w:hAnsi="宋体"/>
          <w:color w:val="auto"/>
          <w:sz w:val="24"/>
        </w:rPr>
        <w:t>承诺单位：（盖公章）</w:t>
      </w:r>
    </w:p>
    <w:p>
      <w:pPr>
        <w:spacing w:line="360" w:lineRule="auto"/>
        <w:ind w:firstLine="1200" w:firstLineChars="500"/>
        <w:rPr>
          <w:rFonts w:ascii="宋体" w:hAnsi="宋体"/>
          <w:color w:val="auto"/>
          <w:sz w:val="24"/>
        </w:rPr>
      </w:pPr>
      <w:r>
        <w:rPr>
          <w:rFonts w:hint="eastAsia" w:ascii="宋体" w:hAnsi="宋体"/>
          <w:color w:val="auto"/>
          <w:sz w:val="24"/>
        </w:rPr>
        <w:t>法定代表人或授权委托人（签字或盖章）</w:t>
      </w:r>
    </w:p>
    <w:p>
      <w:pPr>
        <w:pStyle w:val="19"/>
        <w:spacing w:after="0" w:line="360" w:lineRule="auto"/>
        <w:ind w:right="480" w:firstLine="1200" w:firstLineChars="500"/>
        <w:rPr>
          <w:b/>
          <w:color w:val="auto"/>
          <w:sz w:val="24"/>
        </w:rPr>
      </w:pPr>
      <w:r>
        <w:rPr>
          <w:rFonts w:ascii="宋体" w:hAnsi="宋体"/>
          <w:color w:val="auto"/>
          <w:sz w:val="24"/>
        </w:rPr>
        <w:t>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color w:val="auto"/>
          <w:sz w:val="24"/>
          <w:u w:val="single"/>
        </w:rPr>
        <w:t xml:space="preserve">     </w:t>
      </w:r>
      <w:r>
        <w:rPr>
          <w:rFonts w:hint="eastAsia" w:ascii="宋体" w:hAnsi="宋体" w:cs="Arial"/>
          <w:color w:val="auto"/>
          <w:sz w:val="24"/>
        </w:rPr>
        <w:t>月</w:t>
      </w:r>
      <w:r>
        <w:rPr>
          <w:rFonts w:hint="eastAsia"/>
          <w:color w:val="auto"/>
          <w:sz w:val="24"/>
          <w:u w:val="single"/>
        </w:rPr>
        <w:t xml:space="preserve">     </w:t>
      </w:r>
      <w:r>
        <w:rPr>
          <w:rFonts w:hint="eastAsia" w:ascii="宋体" w:hAnsi="宋体" w:cs="Arial"/>
          <w:color w:val="auto"/>
          <w:sz w:val="24"/>
        </w:rPr>
        <w:t>日</w:t>
      </w:r>
    </w:p>
    <w:p>
      <w:pPr>
        <w:rPr>
          <w:color w:val="auto"/>
        </w:rPr>
      </w:pPr>
    </w:p>
    <w:bookmarkEnd w:id="138"/>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魏碑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14"/>
                            <w:rPr>
                              <w:rFonts w:eastAsia="楷体_GB2312"/>
                            </w:rPr>
                          </w:pPr>
                          <w:r>
                            <w:rPr>
                              <w:rFonts w:eastAsia="楷体_GB2312"/>
                            </w:rPr>
                            <w:fldChar w:fldCharType="begin"/>
                          </w:r>
                          <w:r>
                            <w:rPr>
                              <w:rFonts w:eastAsia="楷体_GB2312"/>
                            </w:rPr>
                            <w:instrText xml:space="preserve"> PAGE  \* MERGEFORMAT </w:instrText>
                          </w:r>
                          <w:r>
                            <w:rPr>
                              <w:rFonts w:eastAsia="楷体_GB2312"/>
                            </w:rPr>
                            <w:fldChar w:fldCharType="separate"/>
                          </w:r>
                          <w:r>
                            <w:rPr>
                              <w:rFonts w:eastAsia="楷体_GB2312"/>
                            </w:rPr>
                            <w:t>2</w:t>
                          </w:r>
                          <w:r>
                            <w:rPr>
                              <w:rFonts w:eastAsia="楷体_GB231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AdKPTHzQEAAJgDAAAOAAAAAAAAAAEAIAAAACABAABkcnMv&#10;ZTJvRG9jLnhtbFBLBQYAAAAABgAGAFkBAABfBQAAAAA=&#10;">
              <v:fill on="f" focussize="0,0"/>
              <v:stroke on="f"/>
              <v:imagedata o:title=""/>
              <o:lock v:ext="edit" aspectratio="f"/>
              <v:textbox inset="0mm,0mm,0mm,0mm" style="mso-fit-shape-to-text:t;">
                <w:txbxContent>
                  <w:p>
                    <w:pPr>
                      <w:pStyle w:val="14"/>
                      <w:rPr>
                        <w:rFonts w:eastAsia="楷体_GB2312"/>
                      </w:rPr>
                    </w:pPr>
                    <w:r>
                      <w:rPr>
                        <w:rFonts w:eastAsia="楷体_GB2312"/>
                      </w:rPr>
                      <w:fldChar w:fldCharType="begin"/>
                    </w:r>
                    <w:r>
                      <w:rPr>
                        <w:rFonts w:eastAsia="楷体_GB2312"/>
                      </w:rPr>
                      <w:instrText xml:space="preserve"> PAGE  \* MERGEFORMAT </w:instrText>
                    </w:r>
                    <w:r>
                      <w:rPr>
                        <w:rFonts w:eastAsia="楷体_GB2312"/>
                      </w:rPr>
                      <w:fldChar w:fldCharType="separate"/>
                    </w:r>
                    <w:r>
                      <w:rPr>
                        <w:rFonts w:eastAsia="楷体_GB2312"/>
                      </w:rPr>
                      <w:t>2</w:t>
                    </w:r>
                    <w:r>
                      <w:rPr>
                        <w:rFonts w:eastAsia="楷体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195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1955" cy="278765"/>
                      </a:xfrm>
                      <a:prstGeom prst="rect">
                        <a:avLst/>
                      </a:prstGeom>
                      <a:noFill/>
                      <a:ln>
                        <a:noFill/>
                      </a:ln>
                    </wps:spPr>
                    <wps:txbx>
                      <w:txbxContent>
                        <w:p>
                          <w:pPr>
                            <w:pStyle w:val="14"/>
                            <w:ind w:right="360"/>
                            <w:jc w:val="center"/>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31.65pt;mso-position-horizontal:center;mso-position-horizontal-relative:margin;mso-wrap-style:none;z-index:251659264;mso-width-relative:page;mso-height-relative:page;" filled="f" stroked="f" coordsize="21600,21600" o:gfxdata="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lrmKTSAAAAAwEAAA8AAAAAAAAAAQAgAAAAIgAAAGRycy9k&#10;b3ducmV2LnhtbFBLAQIUABQAAAAIAIdO4kC9kC0bzwEAAJcDAAAOAAAAAAAAAAEAIAAAACEBAABk&#10;cnMvZTJvRG9jLnhtbFBLBQYAAAAABgAGAFkBAABiBQAAAAA=&#10;">
              <v:fill on="f" focussize="0,0"/>
              <v:stroke on="f"/>
              <v:imagedata o:title=""/>
              <o:lock v:ext="edit" aspectratio="f"/>
              <v:textbox inset="0mm,0mm,0mm,0mm" style="mso-fit-shape-to-text:t;">
                <w:txbxContent>
                  <w:p>
                    <w:pPr>
                      <w:pStyle w:val="14"/>
                      <w:ind w:right="360"/>
                      <w:jc w:val="center"/>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Fonts w:hint="eastAsia"/>
      </w:rPr>
      <w:t>一–2</w:t>
    </w:r>
    <w:r>
      <w:fldChar w:fldCharType="end"/>
    </w:r>
  </w:p>
  <w:p>
    <w:pPr>
      <w:pStyle w:val="14"/>
      <w:ind w:right="360" w:firstLine="360"/>
      <w:jc w:val="center"/>
    </w:pPr>
    <w:r>
      <w:rP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403DA"/>
    <w:multiLevelType w:val="singleLevel"/>
    <w:tmpl w:val="AB8403DA"/>
    <w:lvl w:ilvl="0" w:tentative="0">
      <w:start w:val="3"/>
      <w:numFmt w:val="chineseCounting"/>
      <w:suff w:val="nothing"/>
      <w:lvlText w:val="%1、"/>
      <w:lvlJc w:val="left"/>
      <w:rPr>
        <w:rFonts w:hint="eastAsia"/>
      </w:rPr>
    </w:lvl>
  </w:abstractNum>
  <w:abstractNum w:abstractNumId="1">
    <w:nsid w:val="BCA96032"/>
    <w:multiLevelType w:val="singleLevel"/>
    <w:tmpl w:val="BCA96032"/>
    <w:lvl w:ilvl="0" w:tentative="0">
      <w:start w:val="2"/>
      <w:numFmt w:val="decimal"/>
      <w:suff w:val="nothing"/>
      <w:lvlText w:val="（%1）"/>
      <w:lvlJc w:val="left"/>
    </w:lvl>
  </w:abstractNum>
  <w:abstractNum w:abstractNumId="2">
    <w:nsid w:val="E1795B11"/>
    <w:multiLevelType w:val="singleLevel"/>
    <w:tmpl w:val="E1795B11"/>
    <w:lvl w:ilvl="0" w:tentative="0">
      <w:start w:val="1"/>
      <w:numFmt w:val="decimal"/>
      <w:suff w:val="nothing"/>
      <w:lvlText w:val="（%1）"/>
      <w:lvlJc w:val="left"/>
    </w:lvl>
  </w:abstractNum>
  <w:abstractNum w:abstractNumId="3">
    <w:nsid w:val="00000001"/>
    <w:multiLevelType w:val="singleLevel"/>
    <w:tmpl w:val="00000001"/>
    <w:lvl w:ilvl="0" w:tentative="0">
      <w:start w:val="4"/>
      <w:numFmt w:val="chineseCounting"/>
      <w:suff w:val="nothing"/>
      <w:lvlText w:val="%1、"/>
      <w:lvlJc w:val="left"/>
      <w:rPr>
        <w:rFonts w:hint="eastAsia"/>
      </w:rPr>
    </w:lvl>
  </w:abstractNum>
  <w:abstractNum w:abstractNumId="4">
    <w:nsid w:val="00000005"/>
    <w:multiLevelType w:val="multilevel"/>
    <w:tmpl w:val="00000005"/>
    <w:lvl w:ilvl="0" w:tentative="0">
      <w:start w:val="1"/>
      <w:numFmt w:val="decimal"/>
      <w:lvlText w:val="%1."/>
      <w:lvlJc w:val="left"/>
      <w:pPr>
        <w:tabs>
          <w:tab w:val="left" w:pos="840"/>
        </w:tabs>
        <w:ind w:left="840" w:hanging="360"/>
      </w:pPr>
      <w:rPr>
        <w:rFonts w:hint="eastAsia"/>
      </w:rPr>
    </w:lvl>
    <w:lvl w:ilvl="1" w:tentative="0">
      <w:start w:val="0"/>
      <w:numFmt w:val="none"/>
      <w:lvlText w:val=""/>
      <w:lvlJc w:val="left"/>
      <w:pPr>
        <w:tabs>
          <w:tab w:val="left" w:pos="360"/>
        </w:tabs>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4CAD"/>
    <w:multiLevelType w:val="multilevel"/>
    <w:tmpl w:val="00004CAD"/>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4DF2"/>
    <w:multiLevelType w:val="multilevel"/>
    <w:tmpl w:val="00004DF2"/>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26C3389"/>
    <w:multiLevelType w:val="singleLevel"/>
    <w:tmpl w:val="426C3389"/>
    <w:lvl w:ilvl="0" w:tentative="0">
      <w:start w:val="3"/>
      <w:numFmt w:val="decimal"/>
      <w:suff w:val="nothing"/>
      <w:lvlText w:val="（%1）"/>
      <w:lvlJc w:val="left"/>
    </w:lvl>
  </w:abstractNum>
  <w:num w:numId="1">
    <w:abstractNumId w:val="8"/>
  </w:num>
  <w:num w:numId="2">
    <w:abstractNumId w:val="6"/>
  </w:num>
  <w:num w:numId="3">
    <w:abstractNumId w:val="7"/>
  </w:num>
  <w:num w:numId="4">
    <w:abstractNumId w:val="2"/>
  </w:num>
  <w:num w:numId="5">
    <w:abstractNumId w:val="1"/>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20372"/>
    <w:rsid w:val="0002198F"/>
    <w:rsid w:val="00067960"/>
    <w:rsid w:val="001231F2"/>
    <w:rsid w:val="001B0A8F"/>
    <w:rsid w:val="001E0EBA"/>
    <w:rsid w:val="0022706A"/>
    <w:rsid w:val="00243060"/>
    <w:rsid w:val="002572DB"/>
    <w:rsid w:val="0026424D"/>
    <w:rsid w:val="0026668A"/>
    <w:rsid w:val="00272B36"/>
    <w:rsid w:val="00290DC0"/>
    <w:rsid w:val="002B2844"/>
    <w:rsid w:val="002B42BF"/>
    <w:rsid w:val="002E2FF8"/>
    <w:rsid w:val="00336A63"/>
    <w:rsid w:val="003C6B04"/>
    <w:rsid w:val="00467305"/>
    <w:rsid w:val="0047051C"/>
    <w:rsid w:val="00477A87"/>
    <w:rsid w:val="00480E29"/>
    <w:rsid w:val="004A2C92"/>
    <w:rsid w:val="004A6BFD"/>
    <w:rsid w:val="004C1D83"/>
    <w:rsid w:val="004C42D3"/>
    <w:rsid w:val="0050135F"/>
    <w:rsid w:val="00586D03"/>
    <w:rsid w:val="00596DCA"/>
    <w:rsid w:val="005A6D23"/>
    <w:rsid w:val="005C3095"/>
    <w:rsid w:val="006143ED"/>
    <w:rsid w:val="0061708B"/>
    <w:rsid w:val="00633F76"/>
    <w:rsid w:val="0063476D"/>
    <w:rsid w:val="006506A4"/>
    <w:rsid w:val="00651E67"/>
    <w:rsid w:val="006672B1"/>
    <w:rsid w:val="006942CB"/>
    <w:rsid w:val="006A7A6A"/>
    <w:rsid w:val="006D420E"/>
    <w:rsid w:val="0070450B"/>
    <w:rsid w:val="00731261"/>
    <w:rsid w:val="00757592"/>
    <w:rsid w:val="007D231E"/>
    <w:rsid w:val="008028BC"/>
    <w:rsid w:val="00806175"/>
    <w:rsid w:val="008946CD"/>
    <w:rsid w:val="008C0337"/>
    <w:rsid w:val="008E4D7B"/>
    <w:rsid w:val="009A1F53"/>
    <w:rsid w:val="009A7096"/>
    <w:rsid w:val="009D76B1"/>
    <w:rsid w:val="00A15E9F"/>
    <w:rsid w:val="00A842B3"/>
    <w:rsid w:val="00AD118B"/>
    <w:rsid w:val="00B063B4"/>
    <w:rsid w:val="00B450B4"/>
    <w:rsid w:val="00B505D6"/>
    <w:rsid w:val="00B66571"/>
    <w:rsid w:val="00BC0D59"/>
    <w:rsid w:val="00BD3DB3"/>
    <w:rsid w:val="00C35CA3"/>
    <w:rsid w:val="00C40AE0"/>
    <w:rsid w:val="00C643F8"/>
    <w:rsid w:val="00CA70DC"/>
    <w:rsid w:val="00D22305"/>
    <w:rsid w:val="00D47759"/>
    <w:rsid w:val="00E0741D"/>
    <w:rsid w:val="00E44A31"/>
    <w:rsid w:val="00EA6E77"/>
    <w:rsid w:val="00EC7DC2"/>
    <w:rsid w:val="00EE6226"/>
    <w:rsid w:val="00F1048E"/>
    <w:rsid w:val="00F25128"/>
    <w:rsid w:val="00FF65F0"/>
    <w:rsid w:val="014A32CD"/>
    <w:rsid w:val="021B26EE"/>
    <w:rsid w:val="026A190E"/>
    <w:rsid w:val="03B06F8B"/>
    <w:rsid w:val="04952C56"/>
    <w:rsid w:val="062A5770"/>
    <w:rsid w:val="068D1F8B"/>
    <w:rsid w:val="07D27FDC"/>
    <w:rsid w:val="08820E52"/>
    <w:rsid w:val="0A494764"/>
    <w:rsid w:val="0B37272C"/>
    <w:rsid w:val="0B873648"/>
    <w:rsid w:val="0C9E7766"/>
    <w:rsid w:val="0CEF7214"/>
    <w:rsid w:val="0D5936F9"/>
    <w:rsid w:val="0E2464D7"/>
    <w:rsid w:val="0E8E79A6"/>
    <w:rsid w:val="0EC27D07"/>
    <w:rsid w:val="0F2B6831"/>
    <w:rsid w:val="11576506"/>
    <w:rsid w:val="118213BB"/>
    <w:rsid w:val="11945DB1"/>
    <w:rsid w:val="12036C31"/>
    <w:rsid w:val="12555067"/>
    <w:rsid w:val="1312555E"/>
    <w:rsid w:val="14BA5C08"/>
    <w:rsid w:val="15447A35"/>
    <w:rsid w:val="15692AB4"/>
    <w:rsid w:val="166A77DA"/>
    <w:rsid w:val="19791F29"/>
    <w:rsid w:val="19932AFE"/>
    <w:rsid w:val="1AB70689"/>
    <w:rsid w:val="1AD04833"/>
    <w:rsid w:val="1C3366E0"/>
    <w:rsid w:val="1E43335C"/>
    <w:rsid w:val="20E41AA0"/>
    <w:rsid w:val="223C1951"/>
    <w:rsid w:val="231D674A"/>
    <w:rsid w:val="23500D30"/>
    <w:rsid w:val="24E001CA"/>
    <w:rsid w:val="25827CE3"/>
    <w:rsid w:val="26DF04BE"/>
    <w:rsid w:val="26EB4AAE"/>
    <w:rsid w:val="2742231A"/>
    <w:rsid w:val="27A779FB"/>
    <w:rsid w:val="28ED4526"/>
    <w:rsid w:val="2917124E"/>
    <w:rsid w:val="2AE12780"/>
    <w:rsid w:val="2C494F7F"/>
    <w:rsid w:val="2D1277DD"/>
    <w:rsid w:val="2EF32EF0"/>
    <w:rsid w:val="2F180ECC"/>
    <w:rsid w:val="2F3B5C9E"/>
    <w:rsid w:val="30F47F3D"/>
    <w:rsid w:val="33BB349E"/>
    <w:rsid w:val="350A6529"/>
    <w:rsid w:val="355B0BD7"/>
    <w:rsid w:val="377A6A97"/>
    <w:rsid w:val="3A724F8D"/>
    <w:rsid w:val="3B145C19"/>
    <w:rsid w:val="3B6F113E"/>
    <w:rsid w:val="3B7363F2"/>
    <w:rsid w:val="3BDA2339"/>
    <w:rsid w:val="3C0B6A79"/>
    <w:rsid w:val="3CF56C6E"/>
    <w:rsid w:val="3D42727B"/>
    <w:rsid w:val="3F024A19"/>
    <w:rsid w:val="3F42335A"/>
    <w:rsid w:val="3FCC1FDC"/>
    <w:rsid w:val="3FDC3C58"/>
    <w:rsid w:val="40B82BE4"/>
    <w:rsid w:val="40BF52C1"/>
    <w:rsid w:val="41103B02"/>
    <w:rsid w:val="428C270C"/>
    <w:rsid w:val="43851D7C"/>
    <w:rsid w:val="449054B0"/>
    <w:rsid w:val="45A85DD9"/>
    <w:rsid w:val="46481943"/>
    <w:rsid w:val="46FB582B"/>
    <w:rsid w:val="48992190"/>
    <w:rsid w:val="48C610E5"/>
    <w:rsid w:val="49E10EB2"/>
    <w:rsid w:val="4A3C2537"/>
    <w:rsid w:val="4B0A3EDB"/>
    <w:rsid w:val="4B777C59"/>
    <w:rsid w:val="4C974A9C"/>
    <w:rsid w:val="4CF14F77"/>
    <w:rsid w:val="4DA749BE"/>
    <w:rsid w:val="4DFB4289"/>
    <w:rsid w:val="4ECE1701"/>
    <w:rsid w:val="50942CF5"/>
    <w:rsid w:val="50B93CAE"/>
    <w:rsid w:val="52D7774D"/>
    <w:rsid w:val="52F906A3"/>
    <w:rsid w:val="57766872"/>
    <w:rsid w:val="583D38A4"/>
    <w:rsid w:val="58AF1903"/>
    <w:rsid w:val="58AF6A44"/>
    <w:rsid w:val="5BD3167F"/>
    <w:rsid w:val="5C7E3B51"/>
    <w:rsid w:val="5CC75335"/>
    <w:rsid w:val="5EE42D4A"/>
    <w:rsid w:val="5F250663"/>
    <w:rsid w:val="61040158"/>
    <w:rsid w:val="63AC2143"/>
    <w:rsid w:val="654E6AD2"/>
    <w:rsid w:val="6659436D"/>
    <w:rsid w:val="66EF61EF"/>
    <w:rsid w:val="67CB02C1"/>
    <w:rsid w:val="687A065C"/>
    <w:rsid w:val="694903C7"/>
    <w:rsid w:val="69B2022F"/>
    <w:rsid w:val="6C45761B"/>
    <w:rsid w:val="6E98508E"/>
    <w:rsid w:val="6F3F60CB"/>
    <w:rsid w:val="6FF16066"/>
    <w:rsid w:val="6FFC36DD"/>
    <w:rsid w:val="70960B7E"/>
    <w:rsid w:val="717C353C"/>
    <w:rsid w:val="722B7DE9"/>
    <w:rsid w:val="737F6CB9"/>
    <w:rsid w:val="74392929"/>
    <w:rsid w:val="75063E6D"/>
    <w:rsid w:val="751E6066"/>
    <w:rsid w:val="7565608D"/>
    <w:rsid w:val="770A2E14"/>
    <w:rsid w:val="77170C89"/>
    <w:rsid w:val="7732029D"/>
    <w:rsid w:val="77420372"/>
    <w:rsid w:val="775120EB"/>
    <w:rsid w:val="78371A05"/>
    <w:rsid w:val="78C74C01"/>
    <w:rsid w:val="7D42064A"/>
    <w:rsid w:val="7D5C2236"/>
    <w:rsid w:val="7D953005"/>
    <w:rsid w:val="7E524798"/>
    <w:rsid w:val="7EE43D34"/>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6">
    <w:name w:val="heading 2"/>
    <w:basedOn w:val="1"/>
    <w:next w:val="1"/>
    <w:link w:val="37"/>
    <w:qFormat/>
    <w:uiPriority w:val="0"/>
    <w:pPr>
      <w:keepNext/>
      <w:keepLines/>
      <w:spacing w:before="260" w:after="260" w:line="412" w:lineRule="auto"/>
      <w:outlineLvl w:val="1"/>
    </w:pPr>
    <w:rPr>
      <w:rFonts w:ascii="Arial" w:hAnsi="Arial" w:eastAsia="黑体"/>
      <w:b/>
      <w:sz w:val="32"/>
      <w:szCs w:val="20"/>
    </w:rPr>
  </w:style>
  <w:style w:type="paragraph" w:styleId="7">
    <w:name w:val="heading 3"/>
    <w:basedOn w:val="1"/>
    <w:next w:val="1"/>
    <w:qFormat/>
    <w:uiPriority w:val="0"/>
    <w:pPr>
      <w:keepNext/>
      <w:keepLines/>
      <w:spacing w:before="260" w:after="260" w:line="412" w:lineRule="auto"/>
      <w:ind w:firstLine="49" w:firstLineChars="49"/>
      <w:outlineLvl w:val="2"/>
    </w:pPr>
    <w:rPr>
      <w:rFonts w:ascii="黑体" w:hAnsi="Times New Roman" w:eastAsia="黑体"/>
      <w:sz w:val="28"/>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8">
    <w:name w:val="annotation text"/>
    <w:basedOn w:val="1"/>
    <w:link w:val="34"/>
    <w:qFormat/>
    <w:uiPriority w:val="0"/>
    <w:pPr>
      <w:jc w:val="left"/>
    </w:pPr>
    <w:rPr>
      <w:rFonts w:ascii="Times New Roman" w:hAnsi="Times New Roman"/>
      <w:szCs w:val="20"/>
    </w:rPr>
  </w:style>
  <w:style w:type="paragraph" w:styleId="9">
    <w:name w:val="Body Text 3"/>
    <w:basedOn w:val="1"/>
    <w:qFormat/>
    <w:uiPriority w:val="0"/>
    <w:rPr>
      <w:rFonts w:ascii="宋体" w:hAnsi="Times New Roman"/>
      <w:sz w:val="24"/>
      <w:szCs w:val="20"/>
    </w:rPr>
  </w:style>
  <w:style w:type="paragraph" w:styleId="10">
    <w:name w:val="Body Text"/>
    <w:basedOn w:val="1"/>
    <w:next w:val="1"/>
    <w:qFormat/>
    <w:uiPriority w:val="0"/>
    <w:pPr>
      <w:spacing w:after="120"/>
    </w:pPr>
    <w:rPr>
      <w:rFonts w:ascii="Times New Roman" w:hAnsi="Times New Roman"/>
      <w:kern w:val="0"/>
      <w:sz w:val="20"/>
      <w:szCs w:val="24"/>
    </w:rPr>
  </w:style>
  <w:style w:type="paragraph" w:styleId="11">
    <w:name w:val="Block Text"/>
    <w:basedOn w:val="1"/>
    <w:qFormat/>
    <w:uiPriority w:val="0"/>
    <w:pPr>
      <w:spacing w:line="360" w:lineRule="auto"/>
      <w:ind w:left="598" w:leftChars="285" w:right="15" w:rightChars="15" w:firstLine="420" w:firstLineChars="200"/>
    </w:pPr>
    <w:rPr>
      <w:rFonts w:ascii="宋体" w:hAnsi="宋体"/>
      <w:b/>
      <w:szCs w:val="20"/>
    </w:rPr>
  </w:style>
  <w:style w:type="paragraph" w:styleId="12">
    <w:name w:val="Plain Text"/>
    <w:basedOn w:val="1"/>
    <w:qFormat/>
    <w:uiPriority w:val="0"/>
    <w:rPr>
      <w:rFonts w:ascii="宋体" w:hAnsi="Times New Roman"/>
    </w:rPr>
  </w:style>
  <w:style w:type="paragraph" w:styleId="13">
    <w:name w:val="Balloon Text"/>
    <w:basedOn w:val="1"/>
    <w:link w:val="33"/>
    <w:qFormat/>
    <w:uiPriority w:val="0"/>
    <w:rPr>
      <w:sz w:val="18"/>
      <w:szCs w:val="18"/>
    </w:rPr>
  </w:style>
  <w:style w:type="paragraph" w:styleId="14">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qFormat/>
    <w:uiPriority w:val="0"/>
    <w:rPr>
      <w:rFonts w:ascii="Times New Roman" w:hAnsi="Times New Roman"/>
    </w:rPr>
  </w:style>
  <w:style w:type="paragraph" w:styleId="17">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8">
    <w:name w:val="annotation subject"/>
    <w:basedOn w:val="8"/>
    <w:next w:val="8"/>
    <w:link w:val="35"/>
    <w:qFormat/>
    <w:uiPriority w:val="0"/>
    <w:rPr>
      <w:rFonts w:ascii="Calibri" w:hAnsi="Calibri"/>
      <w:b/>
      <w:bCs/>
      <w:szCs w:val="22"/>
    </w:rPr>
  </w:style>
  <w:style w:type="paragraph" w:styleId="19">
    <w:name w:val="Body Text First Indent"/>
    <w:basedOn w:val="10"/>
    <w:link w:val="38"/>
    <w:qFormat/>
    <w:uiPriority w:val="0"/>
    <w:pPr>
      <w:spacing w:line="312" w:lineRule="auto"/>
      <w:ind w:firstLine="420"/>
    </w:pPr>
  </w:style>
  <w:style w:type="character" w:styleId="22">
    <w:name w:val="page number"/>
    <w:qFormat/>
    <w:uiPriority w:val="0"/>
    <w:rPr>
      <w:rFonts w:ascii="Times New Roman" w:hAnsi="Times New Roman" w:eastAsia="宋体" w:cs="Times New Roman"/>
    </w:rPr>
  </w:style>
  <w:style w:type="character" w:styleId="23">
    <w:name w:val="annotation reference"/>
    <w:basedOn w:val="21"/>
    <w:qFormat/>
    <w:uiPriority w:val="0"/>
    <w:rPr>
      <w:sz w:val="21"/>
      <w:szCs w:val="21"/>
    </w:rPr>
  </w:style>
  <w:style w:type="paragraph" w:customStyle="1" w:styleId="24">
    <w:name w:val="Default"/>
    <w:qFormat/>
    <w:uiPriority w:val="0"/>
    <w:pPr>
      <w:widowControl w:val="0"/>
      <w:autoSpaceDE w:val="0"/>
      <w:autoSpaceDN w:val="0"/>
      <w:adjustRightInd w:val="0"/>
    </w:pPr>
    <w:rPr>
      <w:rFonts w:ascii="ˎ̥" w:hAnsi="Times New Roman" w:eastAsia="ˎ̥" w:cs="Times New Roman"/>
      <w:color w:val="000000"/>
      <w:sz w:val="24"/>
      <w:szCs w:val="24"/>
      <w:lang w:val="en-US" w:eastAsia="zh-CN" w:bidi="ar-SA"/>
    </w:rPr>
  </w:style>
  <w:style w:type="paragraph" w:customStyle="1" w:styleId="25">
    <w:name w:val="_Style 53"/>
    <w:basedOn w:val="10"/>
    <w:next w:val="19"/>
    <w:qFormat/>
    <w:uiPriority w:val="0"/>
    <w:pPr>
      <w:ind w:firstLine="420" w:firstLineChars="100"/>
    </w:pPr>
  </w:style>
  <w:style w:type="paragraph" w:customStyle="1" w:styleId="26">
    <w:name w:val="_Style 6"/>
    <w:basedOn w:val="5"/>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7">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 w:type="paragraph" w:customStyle="1" w:styleId="28">
    <w:name w:val="文二"/>
    <w:basedOn w:val="1"/>
    <w:qFormat/>
    <w:uiPriority w:val="0"/>
    <w:pPr>
      <w:jc w:val="left"/>
    </w:pPr>
    <w:rPr>
      <w:rFonts w:ascii="宋体" w:hAnsi="宋体"/>
      <w:szCs w:val="21"/>
    </w:rPr>
  </w:style>
  <w:style w:type="paragraph" w:customStyle="1" w:styleId="29">
    <w:name w:val="样式 正文文本 + 首行缩进:  2 字符"/>
    <w:basedOn w:val="10"/>
    <w:qFormat/>
    <w:uiPriority w:val="0"/>
    <w:rPr>
      <w:rFonts w:cs="宋体"/>
    </w:rPr>
  </w:style>
  <w:style w:type="paragraph" w:customStyle="1" w:styleId="30">
    <w:name w:val="正题"/>
    <w:basedOn w:val="31"/>
    <w:next w:val="31"/>
    <w:qFormat/>
    <w:uiPriority w:val="0"/>
    <w:pPr>
      <w:ind w:firstLine="0" w:firstLineChars="0"/>
      <w:jc w:val="center"/>
    </w:pPr>
    <w:rPr>
      <w:rFonts w:eastAsia="黑体"/>
      <w:b/>
      <w:snapToGrid w:val="0"/>
      <w:sz w:val="36"/>
      <w:szCs w:val="36"/>
    </w:rPr>
  </w:style>
  <w:style w:type="paragraph" w:customStyle="1" w:styleId="31">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0"/>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批注框文本 Char"/>
    <w:basedOn w:val="21"/>
    <w:link w:val="13"/>
    <w:qFormat/>
    <w:uiPriority w:val="0"/>
    <w:rPr>
      <w:rFonts w:ascii="Calibri" w:hAnsi="Calibri"/>
      <w:kern w:val="2"/>
      <w:sz w:val="18"/>
      <w:szCs w:val="18"/>
    </w:rPr>
  </w:style>
  <w:style w:type="character" w:customStyle="1" w:styleId="34">
    <w:name w:val="批注文字 Char"/>
    <w:basedOn w:val="21"/>
    <w:link w:val="8"/>
    <w:qFormat/>
    <w:uiPriority w:val="0"/>
    <w:rPr>
      <w:kern w:val="2"/>
      <w:sz w:val="21"/>
    </w:rPr>
  </w:style>
  <w:style w:type="character" w:customStyle="1" w:styleId="35">
    <w:name w:val="批注主题 Char"/>
    <w:basedOn w:val="34"/>
    <w:link w:val="18"/>
    <w:qFormat/>
    <w:uiPriority w:val="0"/>
    <w:rPr>
      <w:rFonts w:ascii="Calibri" w:hAnsi="Calibri"/>
      <w:b/>
      <w:bCs/>
      <w:kern w:val="2"/>
      <w:sz w:val="21"/>
      <w:szCs w:val="22"/>
    </w:rPr>
  </w:style>
  <w:style w:type="paragraph" w:customStyle="1" w:styleId="36">
    <w:name w:val="修订1"/>
    <w:hidden/>
    <w:semiHidden/>
    <w:qFormat/>
    <w:uiPriority w:val="99"/>
    <w:rPr>
      <w:rFonts w:ascii="Calibri" w:hAnsi="Calibri" w:eastAsia="宋体" w:cs="Times New Roman"/>
      <w:kern w:val="2"/>
      <w:sz w:val="21"/>
      <w:szCs w:val="22"/>
      <w:lang w:val="en-US" w:eastAsia="zh-CN" w:bidi="ar-SA"/>
    </w:rPr>
  </w:style>
  <w:style w:type="character" w:customStyle="1" w:styleId="37">
    <w:name w:val="标题 2 Char"/>
    <w:basedOn w:val="21"/>
    <w:link w:val="6"/>
    <w:qFormat/>
    <w:uiPriority w:val="0"/>
    <w:rPr>
      <w:rFonts w:ascii="Arial" w:hAnsi="Arial" w:eastAsia="黑体"/>
      <w:b/>
      <w:kern w:val="2"/>
      <w:sz w:val="32"/>
    </w:rPr>
  </w:style>
  <w:style w:type="character" w:customStyle="1" w:styleId="38">
    <w:name w:val="正文首行缩进 Char"/>
    <w:basedOn w:val="21"/>
    <w:link w:val="19"/>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56</Pages>
  <Words>4056</Words>
  <Characters>23121</Characters>
  <Lines>192</Lines>
  <Paragraphs>54</Paragraphs>
  <TotalTime>108</TotalTime>
  <ScaleCrop>false</ScaleCrop>
  <LinksUpToDate>false</LinksUpToDate>
  <CharactersWithSpaces>27123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2021-10-19T04:44:00Z</dcterms:created>
  <dc:creator>brian</dc:creator>
  <cp:lastModifiedBy>ower</cp:lastModifiedBy>
  <cp:lastPrinted>2021-12-23T06:39:00Z</cp:lastPrinted>
  <dcterms:modified xsi:type="dcterms:W3CDTF">2022-02-10T08:27:16Z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141D0EF7ED104E31A7C11C8403D53124</vt:lpwstr>
  </property>
</Properties>
</file>