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宋体" w:hAnsi="宋体"/>
          <w:color w:val="auto"/>
          <w:szCs w:val="21"/>
          <w:highlight w:val="none"/>
        </w:rPr>
      </w:pPr>
    </w:p>
    <w:p>
      <w:pPr>
        <w:pStyle w:val="2"/>
        <w:ind w:left="0" w:leftChars="0" w:firstLine="0" w:firstLineChars="0"/>
        <w:jc w:val="center"/>
        <w:rPr>
          <w:rFonts w:ascii="宋体" w:hAnsi="宋体" w:cs="宋体"/>
          <w:color w:val="auto"/>
          <w:sz w:val="52"/>
          <w:szCs w:val="52"/>
          <w:highlight w:val="none"/>
        </w:rPr>
      </w:pPr>
      <w:r>
        <w:rPr>
          <w:rFonts w:hint="eastAsia" w:ascii="宋体" w:hAnsi="宋体" w:cs="宋体"/>
          <w:color w:val="auto"/>
          <w:sz w:val="52"/>
          <w:szCs w:val="52"/>
          <w:highlight w:val="none"/>
          <w:lang w:eastAsia="zh-CN"/>
        </w:rPr>
        <w:t>国家工业信息安全发展研究中心•华南分中心星河东悦汇载体项目</w:t>
      </w:r>
    </w:p>
    <w:p>
      <w:pPr>
        <w:rPr>
          <w:rFonts w:ascii="宋体" w:hAnsi="宋体" w:cs="宋体"/>
          <w:color w:val="auto"/>
          <w:sz w:val="52"/>
          <w:szCs w:val="52"/>
          <w:highlight w:val="none"/>
        </w:rPr>
      </w:pPr>
    </w:p>
    <w:p>
      <w:pPr>
        <w:pStyle w:val="2"/>
        <w:rPr>
          <w:color w:val="auto"/>
          <w:highlight w:val="none"/>
        </w:rPr>
      </w:pPr>
    </w:p>
    <w:p>
      <w:pPr>
        <w:rPr>
          <w:color w:val="auto"/>
          <w:highlight w:val="none"/>
        </w:rPr>
      </w:pPr>
    </w:p>
    <w:p>
      <w:pPr>
        <w:rPr>
          <w:color w:val="auto"/>
          <w:highlight w:val="none"/>
        </w:rPr>
      </w:pPr>
    </w:p>
    <w:p>
      <w:pPr>
        <w:spacing w:line="360" w:lineRule="auto"/>
        <w:jc w:val="center"/>
        <w:rPr>
          <w:color w:val="auto"/>
          <w:sz w:val="36"/>
          <w:highlight w:val="none"/>
          <w:u w:val="single"/>
        </w:rPr>
      </w:pPr>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pStyle w:val="2"/>
      </w:pPr>
    </w:p>
    <w:p>
      <w:pPr>
        <w:pStyle w:val="2"/>
        <w:rPr>
          <w:color w:val="auto"/>
          <w:highlight w:val="none"/>
        </w:rPr>
      </w:pPr>
    </w:p>
    <w:p>
      <w:pPr>
        <w:spacing w:line="360" w:lineRule="auto"/>
        <w:ind w:firstLine="900" w:firstLineChars="300"/>
        <w:rPr>
          <w:rFonts w:hint="eastAsia" w:eastAsia="宋体"/>
          <w:color w:val="auto"/>
          <w:sz w:val="30"/>
          <w:szCs w:val="30"/>
          <w:highlight w:val="none"/>
          <w:u w:val="single"/>
          <w:lang w:eastAsia="zh-CN"/>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lang w:eastAsia="zh-CN"/>
        </w:rPr>
        <w:t>赛昇数字经济研究院（广州）有限公司</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0"/>
          <w:szCs w:val="30"/>
          <w:highlight w:val="none"/>
        </w:rPr>
        <w:t>广州粤信工程项目管理有限公司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w:t>
      </w:r>
      <w:r>
        <w:rPr>
          <w:rFonts w:hint="eastAsia"/>
          <w:color w:val="auto"/>
          <w:sz w:val="32"/>
          <w:highlight w:val="none"/>
          <w:u w:val="single"/>
          <w:lang w:val="en-US" w:eastAsia="zh-CN"/>
        </w:rPr>
        <w:t>4</w:t>
      </w:r>
      <w:r>
        <w:rPr>
          <w:rFonts w:hint="eastAsia"/>
          <w:color w:val="auto"/>
          <w:sz w:val="32"/>
          <w:highlight w:val="none"/>
        </w:rPr>
        <w:t>年</w:t>
      </w:r>
      <w:r>
        <w:rPr>
          <w:rFonts w:hint="eastAsia"/>
          <w:color w:val="auto"/>
          <w:sz w:val="32"/>
          <w:highlight w:val="none"/>
          <w:u w:val="single"/>
        </w:rPr>
        <w:t xml:space="preserve">  </w:t>
      </w:r>
      <w:r>
        <w:rPr>
          <w:rFonts w:hint="eastAsia"/>
          <w:color w:val="auto"/>
          <w:sz w:val="32"/>
          <w:highlight w:val="none"/>
          <w:u w:val="single"/>
          <w:lang w:val="en-US" w:eastAsia="zh-CN"/>
        </w:rPr>
        <w:t>4</w:t>
      </w:r>
      <w:r>
        <w:rPr>
          <w:rFonts w:hint="eastAsia"/>
          <w:color w:val="auto"/>
          <w:sz w:val="32"/>
          <w:highlight w:val="none"/>
          <w:u w:val="single"/>
        </w:rPr>
        <w:t xml:space="preserve"> </w:t>
      </w:r>
      <w:r>
        <w:rPr>
          <w:rFonts w:hint="eastAsia"/>
          <w:color w:val="auto"/>
          <w:sz w:val="32"/>
          <w:highlight w:val="none"/>
        </w:rPr>
        <w:t>月</w:t>
      </w:r>
    </w:p>
    <w:p>
      <w:pPr>
        <w:jc w:val="center"/>
        <w:rPr>
          <w:rFonts w:ascii="宋体" w:hAnsi="宋体"/>
          <w:b/>
          <w:caps/>
          <w:color w:val="auto"/>
          <w:kern w:val="0"/>
          <w:highlight w:val="none"/>
        </w:rPr>
      </w:pPr>
      <w:r>
        <w:rPr>
          <w:rStyle w:val="43"/>
          <w:b/>
          <w:bCs/>
          <w:color w:val="auto"/>
          <w:highlight w:val="none"/>
        </w:rPr>
        <w:br w:type="page"/>
      </w:r>
      <w:r>
        <w:rPr>
          <w:rStyle w:val="43"/>
          <w:rFonts w:hint="eastAsia"/>
          <w:b/>
          <w:bCs/>
          <w:color w:val="auto"/>
          <w:sz w:val="28"/>
          <w:szCs w:val="28"/>
          <w:highlight w:val="none"/>
        </w:rPr>
        <w:t>目录</w:t>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43"/>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43"/>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43"/>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_Toc21525491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43"/>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43"/>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43"/>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43"/>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43"/>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43"/>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43"/>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43"/>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3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43"/>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"_Toc21525501" </w:instrText>
      </w:r>
      <w:r>
        <w:rPr>
          <w:color w:val="auto"/>
          <w:highlight w:val="none"/>
        </w:rPr>
        <w:fldChar w:fldCharType="separate"/>
      </w:r>
      <w:r>
        <w:rPr>
          <w:rStyle w:val="43"/>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_Toc21525501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"_Toc21525502" </w:instrText>
      </w:r>
      <w:r>
        <w:rPr>
          <w:color w:val="auto"/>
          <w:highlight w:val="none"/>
        </w:rPr>
        <w:fldChar w:fldCharType="separate"/>
      </w:r>
      <w:r>
        <w:rPr>
          <w:rStyle w:val="43"/>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_Toc21525502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"_Toc21525509" </w:instrText>
      </w:r>
      <w:r>
        <w:rPr>
          <w:color w:val="auto"/>
          <w:highlight w:val="none"/>
        </w:rPr>
        <w:fldChar w:fldCharType="separate"/>
      </w:r>
      <w:r>
        <w:rPr>
          <w:rStyle w:val="43"/>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_Toc21525509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43"/>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43"/>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43"/>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6</w:t>
      </w:r>
      <w:r>
        <w:rPr>
          <w:rFonts w:hint="eastAsia"/>
          <w:color w:val="auto"/>
          <w:highlight w:val="none"/>
          <w:lang w:val="en-US" w:eastAsia="zh-CN"/>
        </w:rPr>
        <w:t>6</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43"/>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43"/>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7"/>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43"/>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3"/>
        <w:rPr>
          <w:color w:val="auto"/>
          <w:highlight w:val="none"/>
        </w:rPr>
      </w:pPr>
      <w:r>
        <w:rPr>
          <w:color w:val="auto"/>
          <w:highlight w:val="none"/>
        </w:rPr>
        <w:fldChar w:fldCharType="end"/>
      </w:r>
      <w:bookmarkStart w:id="0" w:name="_Toc2272545"/>
      <w:bookmarkStart w:id="1" w:name="_Toc21525489"/>
    </w:p>
    <w:p>
      <w:pPr>
        <w:pStyle w:val="5"/>
        <w:rPr>
          <w:color w:val="auto"/>
          <w:highlight w:val="none"/>
        </w:rPr>
      </w:pPr>
    </w:p>
    <w:p>
      <w:pPr>
        <w:pStyle w:val="5"/>
        <w:rPr>
          <w:color w:val="auto"/>
          <w:highlight w:val="none"/>
        </w:rPr>
      </w:pPr>
    </w:p>
    <w:p>
      <w:pPr>
        <w:rPr>
          <w:color w:val="auto"/>
          <w:highlight w:val="none"/>
        </w:rPr>
      </w:pPr>
      <w:r>
        <w:rPr>
          <w:rFonts w:hint="eastAsia"/>
          <w:color w:val="auto"/>
          <w:highlight w:val="none"/>
        </w:rPr>
        <w:br w:type="page"/>
      </w:r>
    </w:p>
    <w:p>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2"/>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9"/>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赛昇数字经济研究院（广州）有限公司</w:t>
            </w:r>
            <w:r>
              <w:rPr>
                <w:rFonts w:hint="eastAsia" w:ascii="宋体" w:hAnsi="宋体"/>
                <w:color w:val="auto"/>
                <w:szCs w:val="21"/>
                <w:highlight w:val="none"/>
              </w:rPr>
              <w:t>招标代理：</w:t>
            </w:r>
            <w:r>
              <w:rPr>
                <w:rFonts w:hint="eastAsia" w:ascii="宋体" w:hAnsi="宋体" w:cs="宋体"/>
                <w:color w:val="auto"/>
                <w:szCs w:val="21"/>
                <w:highlight w:val="none"/>
                <w:u w:val="single"/>
              </w:rPr>
              <w:t>广州粤信工程项目管理有限公司</w:t>
            </w:r>
          </w:p>
          <w:p>
            <w:pPr>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设计单位：</w:t>
            </w:r>
            <w:r>
              <w:rPr>
                <w:rFonts w:hint="eastAsia" w:ascii="宋体" w:hAnsi="宋体"/>
                <w:color w:val="auto"/>
                <w:szCs w:val="21"/>
                <w:highlight w:val="none"/>
                <w:u w:val="single"/>
              </w:rPr>
              <w:t>深圳市卓艺建设装饰工程股份有限公司</w:t>
            </w:r>
          </w:p>
          <w:p>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国家工业信息安全发展研究中心•华南分中心星河东悦汇载体项目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项目位于广州市南沙区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default" w:ascii="宋体" w:hAnsi="宋体" w:eastAsia="宋体" w:cs="宋体"/>
                <w:color w:val="auto"/>
                <w:szCs w:val="21"/>
                <w:highlight w:val="none"/>
                <w:u w:val="single"/>
                <w:lang w:val="en-US" w:eastAsia="zh-CN"/>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执行国家、地方或行业现行的工程建设质量验收标准及规范，须达到合格标准。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rPr>
              <w:t>按招标人提供的招标文件、工程量清单、招标答疑文件、全套施工图设计、设计说明及补充说明（具体以招标人所发施工图纸为准）。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   月   日计划开工，施工总期：</w:t>
            </w:r>
            <w:r>
              <w:rPr>
                <w:rFonts w:hint="eastAsia" w:ascii="宋体" w:hAnsi="宋体"/>
                <w:color w:val="auto"/>
                <w:szCs w:val="21"/>
                <w:highlight w:val="none"/>
                <w:u w:val="single"/>
                <w:lang w:val="en-US" w:eastAsia="zh-CN"/>
              </w:rPr>
              <w:t>90</w:t>
            </w:r>
            <w:r>
              <w:rPr>
                <w:rFonts w:hint="eastAsia" w:ascii="宋体" w:hAnsi="宋体"/>
                <w:color w:val="auto"/>
                <w:szCs w:val="21"/>
                <w:highlight w:val="none"/>
                <w:u w:val="single"/>
              </w:rPr>
              <w:t xml:space="preserve">日历天。 </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color w:val="auto"/>
                <w:szCs w:val="21"/>
                <w:highlight w:val="none"/>
                <w:u w:val="single"/>
                <w:lang w:val="en-US" w:eastAsia="zh-CN"/>
              </w:rPr>
              <w:t>自筹</w:t>
            </w:r>
            <w:r>
              <w:rPr>
                <w:rFonts w:hint="eastAsia" w:ascii="宋体" w:hAnsi="宋体" w:cs="宋体"/>
                <w:color w:val="auto"/>
                <w:szCs w:val="21"/>
                <w:highlight w:val="none"/>
                <w:u w:val="singl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bookmarkStart w:id="4" w:name="EBdfd7e3fe86a241738f1c1d356c309534"/>
            <w:r>
              <w:rPr>
                <w:rFonts w:hint="eastAsia" w:ascii="宋体" w:hAnsi="宋体" w:cs="宋体"/>
                <w:color w:val="auto"/>
                <w:szCs w:val="21"/>
                <w:highlight w:val="none"/>
                <w:u w:val="single"/>
              </w:rPr>
              <w:t>工程量清单计价，按国家、省有关计价规范执行。</w:t>
            </w:r>
            <w:bookmarkEnd w:id="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bookmarkStart w:id="5" w:name="EB638049d390fa45cfa3556d92c0ccd421"/>
            <w:r>
              <w:rPr>
                <w:rFonts w:hint="eastAsia" w:ascii="宋体" w:hAnsi="宋体" w:cs="宋体"/>
                <w:color w:val="auto"/>
                <w:szCs w:val="21"/>
                <w:highlight w:val="none"/>
                <w:u w:val="single"/>
              </w:rPr>
              <w:t>90日历天（从递交投标文件截止之日计起）。如投标有效期内发生异议或投诉的，则投标有效期自动延长至异议或投诉处理结束后90日历天。</w:t>
            </w:r>
            <w:bookmarkEnd w:id="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default" w:eastAsia="宋体"/>
                <w:color w:val="auto"/>
                <w:highlight w:val="none"/>
                <w:lang w:val="en-US" w:eastAsia="zh-CN"/>
              </w:rPr>
            </w:pPr>
            <w:r>
              <w:rPr>
                <w:rFonts w:hint="eastAsia" w:ascii="宋体" w:hAnsi="宋体" w:cs="宋体"/>
                <w:color w:val="auto"/>
                <w:szCs w:val="21"/>
                <w:highlight w:val="none"/>
                <w:lang w:val="en-US" w:eastAsia="zh-CN"/>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时间：自发布招标公告之日起具备现场踏勘条件；</w:t>
            </w:r>
          </w:p>
          <w:p>
            <w:pPr>
              <w:rPr>
                <w:rFonts w:ascii="宋体" w:hAnsi="宋体"/>
                <w:color w:val="auto"/>
                <w:szCs w:val="21"/>
                <w:highlight w:val="none"/>
              </w:rPr>
            </w:pPr>
            <w:r>
              <w:rPr>
                <w:rFonts w:hint="eastAsia" w:ascii="宋体" w:hAnsi="宋体" w:cs="宋体"/>
                <w:color w:val="auto"/>
                <w:szCs w:val="21"/>
                <w:highlight w:val="none"/>
                <w:u w:val="single"/>
              </w:rPr>
              <w:t>方式：招标人不集中组织，由投标人自行踏勘；</w:t>
            </w:r>
            <w:r>
              <w:rPr>
                <w:rFonts w:ascii="宋体" w:hAnsi="宋体"/>
                <w:color w:val="auto"/>
                <w:szCs w:val="21"/>
                <w:highlight w:val="none"/>
              </w:rPr>
              <w:t xml:space="preserve"> </w:t>
            </w:r>
          </w:p>
          <w:p>
            <w:pPr>
              <w:rPr>
                <w:rFonts w:ascii="宋体" w:hAnsi="宋体"/>
                <w:color w:val="auto"/>
                <w:szCs w:val="21"/>
                <w:highlight w:val="none"/>
              </w:rPr>
            </w:pPr>
            <w:r>
              <w:rPr>
                <w:rFonts w:hint="eastAsia" w:ascii="宋体" w:hAnsi="宋体" w:cs="宋体"/>
                <w:color w:val="auto"/>
                <w:szCs w:val="21"/>
                <w:highlight w:val="none"/>
                <w:u w:val="single"/>
              </w:rPr>
              <w:t>现场详细地点：详见招标公告</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时前；</w:t>
            </w:r>
          </w:p>
          <w:p>
            <w:pPr>
              <w:rPr>
                <w:rFonts w:ascii="宋体" w:hAnsi="宋体" w:cs="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交易平台提交。</w:t>
            </w:r>
          </w:p>
          <w:p>
            <w:pPr>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w:t>
            </w:r>
            <w:r>
              <w:rPr>
                <w:rFonts w:hint="eastAsia" w:ascii="宋体" w:hAnsi="宋体"/>
                <w:color w:val="auto"/>
                <w:szCs w:val="21"/>
                <w:highlight w:val="none"/>
              </w:rPr>
              <w:t>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r>
              <w:rPr>
                <w:rFonts w:hint="eastAsia" w:ascii="宋体" w:hAnsi="宋体" w:cs="宋体"/>
                <w:b/>
                <w:bCs/>
                <w:color w:val="auto"/>
                <w:szCs w:val="21"/>
                <w:highlight w:val="none"/>
                <w:u w:val="single"/>
              </w:rPr>
              <w:t>注：中标单位中标后须按招标人要求提供完整的纸质版投标文件一式四份。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（技术标和经济标同时开标）</w:t>
            </w:r>
          </w:p>
          <w:p>
            <w:pPr>
              <w:rPr>
                <w:rFonts w:ascii="宋体" w:hAnsi="宋体"/>
                <w:color w:val="auto"/>
                <w:szCs w:val="21"/>
                <w:highlight w:val="none"/>
              </w:rPr>
            </w:pPr>
            <w:r>
              <w:rPr>
                <w:rFonts w:hint="eastAsia" w:ascii="宋体" w:hAnsi="宋体"/>
                <w:color w:val="auto"/>
                <w:szCs w:val="21"/>
                <w:highlight w:val="none"/>
              </w:rPr>
              <w:t>1、开标开始时间：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rPr>
              <w:t>具体时间和地点可以到</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交易平台“建设工程→项目查询（日程安排、答疑纪要）”输入本项目编号或项目名称进行查询</w:t>
            </w:r>
            <w:r>
              <w:rPr>
                <w:rFonts w:hint="eastAsia" w:ascii="宋体" w:hAnsi="宋体" w:cs="宋体"/>
                <w:color w:val="auto"/>
                <w:szCs w:val="21"/>
                <w:highlight w:val="none"/>
              </w:rPr>
              <w:t>。</w:t>
            </w:r>
          </w:p>
          <w:p>
            <w:pPr>
              <w:rPr>
                <w:rFonts w:ascii="宋体" w:hAnsi="宋体"/>
                <w:color w:val="auto"/>
                <w:highlight w:val="none"/>
              </w:rPr>
            </w:pPr>
            <w:r>
              <w:rPr>
                <w:rFonts w:hint="eastAsia" w:ascii="宋体" w:hAnsi="宋体"/>
                <w:color w:val="auto"/>
                <w:szCs w:val="21"/>
                <w:highlight w:val="none"/>
              </w:rPr>
              <w:t>2、递交投标文件备用光盘时间：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color w:val="auto"/>
                <w:szCs w:val="21"/>
                <w:highlight w:val="none"/>
                <w:u w:val="single"/>
              </w:rPr>
              <w:t>具体时间和地点可以到</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交易平台“建设工程→项目查询（日程安排、答疑纪要）”输入本项目编号或项目名称进行查询</w:t>
            </w:r>
            <w:r>
              <w:rPr>
                <w:rFonts w:hint="eastAsia" w:ascii="宋体" w:hAnsi="宋体"/>
                <w:color w:val="auto"/>
                <w:highlight w:val="none"/>
              </w:rPr>
              <w:t>。(建议安排在投标文件截止时间前15分钟至投标文件截止时间）。</w:t>
            </w:r>
          </w:p>
          <w:p>
            <w:pPr>
              <w:rPr>
                <w:rFonts w:ascii="宋体" w:hAnsi="宋体"/>
                <w:color w:val="auto"/>
                <w:szCs w:val="21"/>
                <w:highlight w:val="none"/>
              </w:rPr>
            </w:pPr>
            <w:r>
              <w:rPr>
                <w:rFonts w:hint="eastAsia" w:ascii="宋体" w:hAnsi="宋体" w:cs="仿宋_GB2312"/>
                <w:color w:val="auto"/>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s="宋体"/>
                <w:color w:val="auto"/>
                <w:szCs w:val="21"/>
                <w:highlight w:val="none"/>
                <w:u w:val="single"/>
              </w:rPr>
            </w:pPr>
            <w:r>
              <w:rPr>
                <w:rFonts w:hint="eastAsia" w:ascii="宋体" w:hAnsi="宋体"/>
                <w:color w:val="auto"/>
                <w:szCs w:val="21"/>
                <w:highlight w:val="none"/>
              </w:rPr>
              <w:t>方式一：选取方法</w:t>
            </w:r>
            <w:r>
              <w:rPr>
                <w:rFonts w:hint="eastAsia" w:ascii="宋体" w:hAnsi="宋体" w:cs="宋体"/>
                <w:color w:val="auto"/>
                <w:szCs w:val="21"/>
                <w:highlight w:val="none"/>
                <w:u w:val="single"/>
              </w:rPr>
              <w:t>办法七（适合综合评分法四，技术标与经济标同时开启）</w:t>
            </w:r>
          </w:p>
          <w:p>
            <w:pPr>
              <w:pStyle w:val="5"/>
              <w:keepNext w:val="0"/>
              <w:keepLines w:val="0"/>
              <w:suppressLineNumbers w:val="0"/>
              <w:spacing w:before="0" w:beforeAutospacing="0" w:afterAutospacing="0"/>
              <w:ind w:left="0" w:right="0" w:firstLine="0"/>
              <w:rPr>
                <w:rFonts w:hint="default" w:ascii="宋体" w:hAnsi="宋体" w:cs="宋体"/>
                <w:b/>
                <w:bCs/>
                <w:color w:val="auto"/>
                <w:szCs w:val="21"/>
                <w:highlight w:val="none"/>
                <w:u w:val="single"/>
              </w:rPr>
            </w:pPr>
            <w:r>
              <w:rPr>
                <w:rFonts w:hint="eastAsia" w:ascii="宋体" w:hAnsi="宋体" w:cs="宋体"/>
                <w:b/>
                <w:bCs/>
                <w:color w:val="auto"/>
                <w:szCs w:val="21"/>
                <w:highlight w:val="none"/>
                <w:u w:val="single"/>
              </w:rPr>
              <w:t>投标人总得分=技术得分（</w:t>
            </w:r>
            <w:r>
              <w:rPr>
                <w:rFonts w:hint="eastAsia" w:ascii="宋体" w:hAnsi="宋体" w:cs="宋体"/>
                <w:b/>
                <w:bCs/>
                <w:color w:val="auto"/>
                <w:szCs w:val="21"/>
                <w:highlight w:val="none"/>
                <w:u w:val="single"/>
                <w:lang w:val="en-US" w:eastAsia="zh-CN"/>
              </w:rPr>
              <w:t>满分20分</w:t>
            </w:r>
            <w:r>
              <w:rPr>
                <w:rFonts w:hint="eastAsia" w:ascii="宋体" w:hAnsi="宋体" w:cs="宋体"/>
                <w:b/>
                <w:bCs/>
                <w:color w:val="auto"/>
                <w:szCs w:val="21"/>
                <w:highlight w:val="none"/>
                <w:u w:val="single"/>
              </w:rPr>
              <w:t>）＋经济得分（满分100分）×经济得分权重（</w:t>
            </w:r>
            <w:r>
              <w:rPr>
                <w:rFonts w:hint="eastAsia" w:ascii="宋体" w:hAnsi="宋体" w:cs="宋体"/>
                <w:b/>
                <w:bCs/>
                <w:color w:val="auto"/>
                <w:szCs w:val="21"/>
                <w:highlight w:val="none"/>
                <w:u w:val="single"/>
                <w:lang w:val="en-US" w:eastAsia="zh-CN"/>
              </w:rPr>
              <w:t>80</w:t>
            </w:r>
            <w:r>
              <w:rPr>
                <w:rFonts w:hint="eastAsia" w:ascii="宋体" w:hAnsi="宋体" w:cs="宋体"/>
                <w:b/>
                <w:bCs/>
                <w:color w:val="auto"/>
                <w:szCs w:val="21"/>
                <w:highlight w:val="none"/>
                <w:u w:val="single"/>
              </w:rPr>
              <w:t>%）。</w:t>
            </w:r>
          </w:p>
          <w:p>
            <w:pPr>
              <w:pStyle w:val="5"/>
              <w:ind w:firstLine="0"/>
              <w:rPr>
                <w:rFonts w:ascii="宋体" w:hAnsi="宋体"/>
                <w:color w:val="auto"/>
                <w:szCs w:val="21"/>
                <w:highlight w:val="none"/>
              </w:rPr>
            </w:pPr>
            <w:r>
              <w:rPr>
                <w:rFonts w:hint="eastAsia" w:ascii="宋体" w:hAnsi="宋体" w:cs="宋体"/>
                <w:color w:val="auto"/>
                <w:szCs w:val="21"/>
                <w:highlight w:val="none"/>
              </w:rPr>
              <w:t>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highlight w:val="none"/>
              </w:rPr>
            </w:pPr>
            <w:r>
              <w:rPr>
                <w:rFonts w:hint="eastAsia" w:ascii="宋体" w:hAnsi="宋体"/>
                <w:color w:val="auto"/>
                <w:highlight w:val="none"/>
              </w:rPr>
              <w:t>方式一：中标人提供的履约保证金为中标价款的</w:t>
            </w:r>
            <w:r>
              <w:rPr>
                <w:rFonts w:hint="eastAsia" w:ascii="宋体" w:hAnsi="宋体"/>
                <w:color w:val="auto"/>
                <w:highlight w:val="none"/>
                <w:lang w:val="en-US" w:eastAsia="zh-CN"/>
              </w:rPr>
              <w:t>0</w:t>
            </w:r>
            <w:r>
              <w:rPr>
                <w:rFonts w:hint="eastAsia" w:ascii="宋体" w:hAnsi="宋体"/>
                <w:color w:val="auto"/>
                <w:highlight w:val="none"/>
              </w:rPr>
              <w:t>%。</w:t>
            </w:r>
          </w:p>
          <w:p>
            <w:pPr>
              <w:pStyle w:val="5"/>
              <w:spacing w:after="0"/>
              <w:ind w:firstLine="0"/>
              <w:rPr>
                <w:rFonts w:ascii="宋体" w:hAnsi="宋体"/>
                <w:color w:val="auto"/>
                <w:highlight w:val="none"/>
              </w:rPr>
            </w:pPr>
            <w:r>
              <w:rPr>
                <w:rFonts w:hint="eastAsia" w:ascii="宋体" w:hAnsi="宋体" w:cs="宋体"/>
                <w:color w:val="auto"/>
                <w:szCs w:val="21"/>
                <w:highlight w:val="none"/>
              </w:rPr>
              <w:t>中标人的履约担保可采用以现金、银行保函、保证保险、专业担保公司担保等的形式提供。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本项目最高投标限价人民币</w:t>
            </w:r>
            <w:r>
              <w:rPr>
                <w:rFonts w:hint="eastAsia" w:ascii="宋体" w:hAnsi="宋体"/>
                <w:color w:val="auto"/>
                <w:szCs w:val="21"/>
                <w:highlight w:val="none"/>
                <w:u w:val="single"/>
                <w:lang w:val="en-US" w:eastAsia="zh-CN"/>
              </w:rPr>
              <w:t>6012059.94</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201</w:t>
            </w:r>
            <w:bookmarkStart w:id="47" w:name="_GoBack"/>
            <w:bookmarkEnd w:id="47"/>
            <w:r>
              <w:rPr>
                <w:rFonts w:hint="eastAsia" w:ascii="宋体" w:hAnsi="宋体"/>
                <w:color w:val="auto"/>
                <w:szCs w:val="21"/>
                <w:highlight w:val="none"/>
                <w:u w:val="single"/>
                <w:lang w:val="en-US" w:eastAsia="zh-CN"/>
              </w:rPr>
              <w:t>461.00</w:t>
            </w:r>
            <w:r>
              <w:rPr>
                <w:rFonts w:hint="eastAsia" w:ascii="宋体" w:hAnsi="宋体"/>
                <w:color w:val="auto"/>
                <w:szCs w:val="21"/>
                <w:highlight w:val="none"/>
              </w:rPr>
              <w:t>元，暂列金额为</w:t>
            </w:r>
          </w:p>
          <w:p>
            <w:pPr>
              <w:rPr>
                <w:rFonts w:ascii="宋体" w:hAnsi="宋体"/>
                <w:color w:val="auto"/>
                <w:szCs w:val="21"/>
                <w:highlight w:val="none"/>
              </w:rPr>
            </w:pPr>
            <w:r>
              <w:rPr>
                <w:rFonts w:hint="eastAsia" w:ascii="宋体" w:hAnsi="宋体"/>
                <w:color w:val="auto"/>
                <w:szCs w:val="21"/>
                <w:highlight w:val="none"/>
                <w:u w:val="single"/>
                <w:lang w:val="en-US" w:eastAsia="zh-CN"/>
              </w:rPr>
              <w:t>300000.00</w:t>
            </w:r>
            <w:r>
              <w:rPr>
                <w:rFonts w:hint="eastAsia" w:ascii="宋体" w:hAnsi="宋体"/>
                <w:color w:val="auto"/>
                <w:szCs w:val="21"/>
                <w:highlight w:val="none"/>
              </w:rPr>
              <w:t>元，暂估价为</w:t>
            </w:r>
            <w:r>
              <w:rPr>
                <w:rFonts w:hint="eastAsia" w:ascii="宋体" w:hAnsi="宋体"/>
                <w:color w:val="auto"/>
                <w:szCs w:val="21"/>
                <w:highlight w:val="none"/>
                <w:u w:val="single"/>
                <w:lang w:val="en-US" w:eastAsia="zh-CN"/>
              </w:rPr>
              <w:t>0.00</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5711456.94</w:t>
            </w:r>
            <w:r>
              <w:rPr>
                <w:rFonts w:hint="eastAsia" w:ascii="宋体" w:hAnsi="宋体"/>
                <w:color w:val="auto"/>
                <w:szCs w:val="21"/>
                <w:highlight w:val="none"/>
              </w:rPr>
              <w:t>元</w:t>
            </w:r>
            <w:r>
              <w:rPr>
                <w:rFonts w:hint="eastAsia" w:ascii="宋体" w:hAnsi="宋体" w:cs="宋体"/>
                <w:color w:val="auto"/>
                <w:szCs w:val="21"/>
                <w:highlight w:val="none"/>
                <w:u w:val="single"/>
              </w:rPr>
              <w:t>(最高投标限价的95%设置为工程成本警戒价)</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bCs/>
                <w:color w:val="auto"/>
                <w:szCs w:val="21"/>
                <w:highlight w:val="none"/>
                <w:u w:val="single"/>
              </w:rPr>
              <w:t>按招标文件及合同条款相关约定调整。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u w:val="single"/>
                <w:lang w:val="zh-CN"/>
              </w:rPr>
            </w:pPr>
            <w:r>
              <w:rPr>
                <w:rFonts w:hint="eastAsia" w:ascii="宋体" w:hAnsi="宋体" w:cs="宋体"/>
                <w:bCs/>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A3"/>
            </w:r>
            <w:r>
              <w:rPr>
                <w:rFonts w:hint="eastAsia" w:ascii="宋体" w:hAnsi="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olor w:val="auto"/>
                <w:kern w:val="0"/>
                <w:szCs w:val="21"/>
                <w:highlight w:val="none"/>
                <w:lang w:val="zh-CN"/>
              </w:rPr>
              <w:sym w:font="Wingdings 2" w:char="0052"/>
            </w:r>
            <w:r>
              <w:rPr>
                <w:rFonts w:hint="eastAsia" w:ascii="宋体" w:hAnsi="宋体"/>
                <w:color w:val="auto"/>
                <w:kern w:val="0"/>
                <w:szCs w:val="21"/>
                <w:highlight w:val="none"/>
                <w:lang w:val="zh-CN"/>
              </w:rPr>
              <w:t>允许：分包内容要要求：</w:t>
            </w:r>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pPr>
              <w:rPr>
                <w:rFonts w:ascii="宋体" w:hAnsi="宋体" w:cs="宋体"/>
                <w:color w:val="auto"/>
                <w:kern w:val="0"/>
                <w:szCs w:val="21"/>
                <w:highlight w:val="none"/>
                <w:lang w:val="zh-CN"/>
              </w:rPr>
            </w:pPr>
            <w:r>
              <w:rPr>
                <w:rFonts w:hint="eastAsia" w:ascii="宋体" w:hAnsi="宋体"/>
                <w:color w:val="auto"/>
                <w:kern w:val="0"/>
                <w:szCs w:val="21"/>
                <w:highlight w:val="none"/>
                <w:lang w:val="zh-CN"/>
              </w:rPr>
              <w:t xml:space="preserve">      </w:t>
            </w: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根据实际情况确定。</w:t>
            </w:r>
          </w:p>
          <w:p>
            <w:pPr>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zh-CN"/>
              </w:rPr>
              <w:t>按国家资质管理规定执行。</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rPr>
              <w:t xml:space="preserve">  </w:t>
            </w: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kern w:val="0"/>
                <w:szCs w:val="21"/>
                <w:highlight w:val="none"/>
                <w:u w:val="single"/>
                <w:lang w:val="zh-CN"/>
              </w:rPr>
              <w:t>广州交易集团有限公司(广州公共资源交易中心）网站</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s="宋体"/>
                <w:b/>
                <w:color w:val="auto"/>
                <w:highlight w:val="none"/>
                <w:u w:val="single"/>
              </w:rPr>
              <w:t>其它</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ascii="宋体" w:hAnsi="宋体" w:cs="宋体"/>
                <w:b/>
                <w:color w:val="auto"/>
                <w:highlight w:val="none"/>
                <w:u w:val="single"/>
              </w:rPr>
              <w:t>各级住建主管部门审批的资质证书过期的，如能提供有关顺延资质资格有效期有关文件且符合文件规定的，则视为仍然有效。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s="宋体"/>
                <w:b/>
                <w:color w:val="auto"/>
                <w:highlight w:val="none"/>
                <w:u w:val="single"/>
              </w:rPr>
              <w:t>其他费用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宋体"/>
                <w:b/>
                <w:color w:val="auto"/>
                <w:szCs w:val="21"/>
                <w:highlight w:val="none"/>
                <w:u w:val="single"/>
              </w:rPr>
              <w:t>交易服务费：根据广州市政府相关文件的规定，向</w:t>
            </w:r>
            <w:r>
              <w:rPr>
                <w:rFonts w:hint="eastAsia" w:ascii="宋体" w:hAnsi="宋体" w:cs="宋体"/>
                <w:b/>
                <w:color w:val="auto"/>
                <w:szCs w:val="21"/>
                <w:highlight w:val="none"/>
                <w:u w:val="single"/>
                <w:lang w:eastAsia="zh-CN"/>
              </w:rPr>
              <w:t>广州交易集团有限公司(广州公共资源交易中心）</w:t>
            </w:r>
            <w:r>
              <w:rPr>
                <w:rFonts w:hint="eastAsia" w:ascii="宋体" w:hAnsi="宋体" w:cs="宋体"/>
                <w:b/>
                <w:color w:val="auto"/>
                <w:szCs w:val="21"/>
                <w:highlight w:val="none"/>
                <w:u w:val="single"/>
              </w:rPr>
              <w:t>交纳交易服务费。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39</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cs="宋体"/>
                <w:b/>
                <w:color w:val="auto"/>
                <w:highlight w:val="none"/>
                <w:u w:val="singl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rPr>
                <w:rFonts w:hint="eastAsia" w:ascii="宋体" w:hAnsi="宋体" w:cs="宋体"/>
                <w:b/>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bl>
    <w:p>
      <w:pPr>
        <w:spacing w:line="480" w:lineRule="auto"/>
        <w:rPr>
          <w:rFonts w:ascii="宋体" w:hAnsi="宋体" w:cs="宋体"/>
          <w:strike/>
          <w:color w:val="auto"/>
          <w:kern w:val="0"/>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pPr>
        <w:pStyle w:val="6"/>
        <w:rPr>
          <w:color w:val="auto"/>
          <w:highlight w:val="none"/>
        </w:rPr>
      </w:pPr>
    </w:p>
    <w:p>
      <w:pPr>
        <w:pStyle w:val="2"/>
        <w:ind w:left="0" w:leftChars="0" w:firstLine="0" w:firstLineChars="0"/>
        <w:jc w:val="center"/>
        <w:rPr>
          <w:color w:val="auto"/>
          <w:highlight w:val="none"/>
        </w:rPr>
      </w:pPr>
      <w:bookmarkStart w:id="6" w:name="_Toc21525491"/>
      <w:bookmarkStart w:id="7" w:name="_Toc2272547"/>
      <w:r>
        <w:rPr>
          <w:rFonts w:hint="eastAsia"/>
          <w:color w:val="auto"/>
          <w:highlight w:val="none"/>
        </w:rPr>
        <w:t>二、投标须知修改表</w:t>
      </w:r>
      <w:bookmarkEnd w:id="6"/>
      <w:bookmarkEnd w:id="7"/>
    </w:p>
    <w:p>
      <w:pPr>
        <w:pStyle w:val="5"/>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b/>
          <w:color w:val="auto"/>
          <w:szCs w:val="21"/>
          <w:highlight w:val="none"/>
        </w:rPr>
        <w:t>http://www.gzcc.gov.cn/</w:t>
      </w:r>
      <w:r>
        <w:rPr>
          <w:rFonts w:hint="eastAsia"/>
          <w:b/>
          <w:color w:val="auto"/>
          <w:szCs w:val="21"/>
          <w:highlight w:val="none"/>
        </w:rPr>
        <w:t>）下载查阅。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2.5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hint="eastAsia" w:ascii="宋体" w:hAnsi="宋体" w:cs="宋体"/>
          <w:b/>
          <w:color w:val="auto"/>
          <w:szCs w:val="21"/>
          <w:highlight w:val="none"/>
          <w:u w:val="single"/>
        </w:rPr>
        <w:t>2.5</w:t>
      </w:r>
      <w:r>
        <w:rPr>
          <w:rFonts w:hint="eastAsia" w:ascii="宋体" w:hAnsi="宋体" w:cs="宋体"/>
          <w:color w:val="auto"/>
          <w:szCs w:val="21"/>
          <w:highlight w:val="none"/>
          <w:u w:val="singl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bCs/>
          <w:color w:val="auto"/>
          <w:sz w:val="24"/>
          <w:highlight w:val="none"/>
          <w:u w:val="single"/>
        </w:rPr>
      </w:pPr>
      <w:r>
        <w:rPr>
          <w:rFonts w:hint="eastAsia"/>
          <w:b/>
          <w:color w:val="auto"/>
          <w:szCs w:val="21"/>
          <w:highlight w:val="none"/>
        </w:rPr>
        <w:t>原文：</w:t>
      </w:r>
      <w:r>
        <w:rPr>
          <w:rFonts w:hint="eastAsia" w:ascii="宋体" w:hAnsi="宋体" w:cs="宋体"/>
          <w:color w:val="auto"/>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投标须知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开标、评标及定标办法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合同条款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投标文件格式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技术条件（工程建设标准）（另册）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图纸及勘察资料（另册）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第一章  </w:t>
      </w:r>
      <w:r>
        <w:rPr>
          <w:rFonts w:hint="eastAsia" w:ascii="宋体" w:hAnsi="宋体" w:cs="宋体"/>
          <w:color w:val="auto"/>
          <w:szCs w:val="21"/>
          <w:highlight w:val="none"/>
        </w:rPr>
        <w:t>投标须知</w:t>
      </w:r>
    </w:p>
    <w:p>
      <w:pPr>
        <w:pStyle w:val="5"/>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第二章  </w:t>
      </w:r>
      <w:r>
        <w:rPr>
          <w:rFonts w:hint="eastAsia" w:ascii="宋体" w:hAnsi="宋体" w:cs="宋体"/>
          <w:color w:val="auto"/>
          <w:szCs w:val="21"/>
          <w:highlight w:val="none"/>
        </w:rPr>
        <w:t>开标、评标及定标办法</w:t>
      </w:r>
    </w:p>
    <w:p>
      <w:pPr>
        <w:pStyle w:val="5"/>
        <w:spacing w:after="0" w:line="360" w:lineRule="auto"/>
        <w:ind w:left="-2" w:firstLineChars="200"/>
        <w:rPr>
          <w:rFonts w:ascii="宋体" w:hAnsi="宋体" w:cs="宋体"/>
          <w:color w:val="auto"/>
          <w:szCs w:val="21"/>
          <w:highlight w:val="none"/>
        </w:rPr>
      </w:pPr>
      <w:r>
        <w:rPr>
          <w:rFonts w:hint="eastAsia" w:ascii="宋体" w:hAnsi="宋体" w:cs="宋体"/>
          <w:color w:val="auto"/>
          <w:szCs w:val="21"/>
          <w:highlight w:val="none"/>
        </w:rPr>
        <w:t>第三章  合同条款</w:t>
      </w:r>
    </w:p>
    <w:p>
      <w:pPr>
        <w:pStyle w:val="5"/>
        <w:spacing w:after="0" w:line="360" w:lineRule="auto"/>
        <w:ind w:firstLineChars="200"/>
        <w:rPr>
          <w:rFonts w:ascii="宋体" w:hAnsi="宋体" w:cs="宋体"/>
          <w:color w:val="auto"/>
          <w:szCs w:val="21"/>
          <w:highlight w:val="none"/>
        </w:rPr>
      </w:pPr>
      <w:r>
        <w:rPr>
          <w:rFonts w:hint="eastAsia" w:ascii="宋体" w:hAnsi="宋体" w:cs="宋体"/>
          <w:bCs/>
          <w:color w:val="auto"/>
          <w:szCs w:val="21"/>
          <w:highlight w:val="none"/>
        </w:rPr>
        <w:t xml:space="preserve">第四章  </w:t>
      </w:r>
      <w:r>
        <w:rPr>
          <w:rFonts w:hint="eastAsia" w:ascii="宋体" w:hAnsi="宋体" w:cs="宋体"/>
          <w:color w:val="auto"/>
          <w:szCs w:val="21"/>
          <w:highlight w:val="none"/>
        </w:rPr>
        <w:t>投标文件格式</w:t>
      </w:r>
    </w:p>
    <w:p>
      <w:pPr>
        <w:pStyle w:val="5"/>
        <w:spacing w:after="0" w:line="360" w:lineRule="auto"/>
        <w:ind w:left="-2" w:firstLineChars="200"/>
        <w:rPr>
          <w:rFonts w:ascii="宋体" w:hAnsi="宋体" w:cs="宋体"/>
          <w:color w:val="auto"/>
          <w:szCs w:val="21"/>
          <w:highlight w:val="none"/>
          <w:u w:val="single"/>
        </w:rPr>
      </w:pPr>
      <w:r>
        <w:rPr>
          <w:rFonts w:hint="eastAsia" w:ascii="宋体" w:hAnsi="宋体" w:cs="宋体"/>
          <w:bCs/>
          <w:color w:val="auto"/>
          <w:szCs w:val="21"/>
          <w:highlight w:val="none"/>
          <w:u w:val="single"/>
        </w:rPr>
        <w:t xml:space="preserve">第五章  </w:t>
      </w:r>
      <w:r>
        <w:rPr>
          <w:rFonts w:hint="eastAsia" w:ascii="宋体" w:hAnsi="宋体" w:cs="宋体"/>
          <w:color w:val="auto"/>
          <w:szCs w:val="21"/>
          <w:highlight w:val="none"/>
          <w:u w:val="single"/>
        </w:rPr>
        <w:t>技术条件（工程建设标准）（另册）</w:t>
      </w:r>
    </w:p>
    <w:p>
      <w:pPr>
        <w:pStyle w:val="5"/>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第六章  </w:t>
      </w:r>
      <w:r>
        <w:rPr>
          <w:rFonts w:hint="eastAsia" w:ascii="宋体" w:hAnsi="宋体" w:cs="宋体"/>
          <w:color w:val="auto"/>
          <w:szCs w:val="21"/>
          <w:highlight w:val="none"/>
        </w:rPr>
        <w:t>图纸及勘察资料（另册）</w:t>
      </w:r>
    </w:p>
    <w:p>
      <w:pPr>
        <w:pStyle w:val="5"/>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第七章  招标</w:t>
      </w:r>
      <w:r>
        <w:rPr>
          <w:rFonts w:hint="eastAsia" w:ascii="宋体" w:hAnsi="宋体" w:cs="宋体"/>
          <w:color w:val="auto"/>
          <w:szCs w:val="21"/>
          <w:highlight w:val="none"/>
        </w:rPr>
        <w:t xml:space="preserve">工程量清单（另册） </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pPr>
        <w:pBdr>
          <w:bottom w:val="single" w:color="auto" w:sz="6" w:space="1"/>
        </w:pBdr>
        <w:spacing w:line="360" w:lineRule="auto"/>
        <w:ind w:firstLine="422" w:firstLineChars="200"/>
        <w:rPr>
          <w:rFonts w:hint="eastAsia" w:eastAsia="宋体"/>
          <w:b/>
          <w:bCs/>
          <w:color w:val="auto"/>
          <w:highlight w:val="none"/>
          <w:u w:val="single"/>
          <w:lang w:eastAsia="zh-CN"/>
        </w:rPr>
      </w:pPr>
      <w:r>
        <w:rPr>
          <w:rFonts w:hint="eastAsia" w:ascii="宋体" w:hAnsi="宋体" w:cs="宋体"/>
          <w:b/>
          <w:bCs/>
          <w:color w:val="auto"/>
          <w:szCs w:val="21"/>
          <w:highlight w:val="none"/>
          <w:u w:val="single"/>
        </w:rPr>
        <w:t>注：招标人应在技术条件（工程建设标准）中明确施工现场建筑垃圾源头减量的具体要求和建筑垃圾综合利用产品的使用要求</w:t>
      </w:r>
      <w:r>
        <w:rPr>
          <w:rFonts w:hint="eastAsia" w:ascii="宋体" w:hAnsi="宋体" w:cs="宋体"/>
          <w:b/>
          <w:bCs/>
          <w:color w:val="auto"/>
          <w:szCs w:val="21"/>
          <w:highlight w:val="none"/>
          <w:u w:val="single"/>
          <w:lang w:eastAsia="zh-CN"/>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8.1 投标人若对招标文件（包括招标图纸）中有疑问，可以书面形式通过        交易平台提交给招标人或招标代理人，提交形式见本须知前附表第16项。</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rPr>
        <w:t>8.1</w:t>
      </w:r>
      <w:r>
        <w:rPr>
          <w:rFonts w:hint="eastAsia" w:ascii="宋体" w:hAnsi="宋体" w:cs="宋体"/>
          <w:color w:val="auto"/>
          <w:szCs w:val="21"/>
          <w:highlight w:val="none"/>
          <w:u w:val="single"/>
        </w:rPr>
        <w:t>招标答疑采用网上答疑方式进行。投标人若对招标文件（包括招标图纸、清单、招标控制价、合同条款）有疑问的，可在规定的时间内通过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房建市政全流程电子化项目操作专章》。</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8.2招标答疑会会议纪要将在提交投标文件截止时间15日前</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网站“项目答疑纪要”专区公开发布。答疑纪要一经在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网站发布，视作已发放给所有投标人。</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“项目答疑纪要”专区公开发布。答疑纪要一经在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发布时间作为送达时间。</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9.4</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9.4招标文件的澄清或修改</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网站“项目答疑纪要”专区公开发布</w:t>
      </w:r>
      <w:r>
        <w:rPr>
          <w:rFonts w:hint="eastAsia" w:ascii="宋体" w:hAnsi="宋体" w:cs="宋体"/>
          <w:color w:val="auto"/>
          <w:szCs w:val="21"/>
          <w:highlight w:val="none"/>
        </w:rPr>
        <w:t>。当招标文件的澄清、修改、补充等在同一内容的表述不一致时，以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最后发布的内容为准。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Cs/>
          <w:color w:val="auto"/>
          <w:szCs w:val="21"/>
          <w:highlight w:val="none"/>
        </w:rPr>
        <w:t>11.2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11.2投标文件技术标部分主要包括下列内容: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（1）投标人声明；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（9）拟委派项目负责人的建造师注册证书或小型项目负责人相关证明（取自平台内上传件）；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（10）项目负责人安全培训考核合格证明或在有效期内的安全考核合格证书（B类）或建筑施工企业项目负责人安全生产考核合格证书（取自平台内上传件）；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pPr>
        <w:spacing w:line="360" w:lineRule="auto"/>
        <w:ind w:firstLine="422" w:firstLineChars="200"/>
        <w:rPr>
          <w:rFonts w:ascii="宋体" w:hAnsi="宋体" w:cs="宋体"/>
          <w:bCs/>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11.2投标文件技术标部分主要包括下列内容: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11.2.1 </w:t>
      </w:r>
      <w:r>
        <w:rPr>
          <w:rFonts w:hint="eastAsia" w:ascii="宋体" w:hAnsi="宋体" w:cs="宋体"/>
          <w:bCs/>
          <w:color w:val="auto"/>
          <w:szCs w:val="21"/>
          <w:highlight w:val="none"/>
          <w:u w:val="single"/>
        </w:rPr>
        <w:t>技术标投标书</w:t>
      </w:r>
      <w:r>
        <w:rPr>
          <w:rFonts w:hint="eastAsia" w:ascii="宋体" w:hAnsi="宋体" w:cs="宋体"/>
          <w:bCs/>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bCs/>
          <w:color w:val="auto"/>
          <w:szCs w:val="21"/>
          <w:highlight w:val="none"/>
        </w:rPr>
        <w:t>的要求填写)；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（须按本工程招标公告附件一格式）</w:t>
      </w:r>
      <w:r>
        <w:rPr>
          <w:rFonts w:hint="eastAsia" w:ascii="宋体" w:hAnsi="宋体" w:cs="宋体"/>
          <w:bCs/>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w:t>
      </w:r>
      <w:r>
        <w:rPr>
          <w:rFonts w:hint="eastAsia" w:ascii="宋体" w:hAnsi="宋体" w:cs="宋体"/>
          <w:bCs/>
          <w:color w:val="auto"/>
          <w:szCs w:val="21"/>
          <w:highlight w:val="none"/>
          <w:u w:val="single"/>
        </w:rPr>
        <w:t>职称证书；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w:t>
      </w:r>
      <w:r>
        <w:rPr>
          <w:rFonts w:hint="eastAsia" w:ascii="宋体" w:hAnsi="宋体" w:cs="宋体"/>
          <w:bCs/>
          <w:color w:val="auto"/>
          <w:szCs w:val="21"/>
          <w:highlight w:val="none"/>
          <w:u w:val="single"/>
        </w:rPr>
        <w:t>建造师注册证书</w:t>
      </w:r>
      <w:r>
        <w:rPr>
          <w:rFonts w:hint="eastAsia" w:ascii="宋体" w:hAnsi="宋体" w:cs="宋体"/>
          <w:bCs/>
          <w:color w:val="auto"/>
          <w:szCs w:val="21"/>
          <w:highlight w:val="none"/>
        </w:rPr>
        <w:t xml:space="preserve">（提供证书扫描件）；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（11）专职安全员须具有在有效期内的安全生产考核合格证（C类）或建筑施工企业专职安全生产管理人员安全生产考核合格证书（C3）（提供证书扫描件）；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（12）投标登记前，投标人须在</w:t>
      </w:r>
      <w:r>
        <w:rPr>
          <w:rFonts w:hint="eastAsia" w:ascii="宋体" w:hAnsi="宋体" w:cs="宋体"/>
          <w:bCs/>
          <w:color w:val="auto"/>
          <w:szCs w:val="21"/>
          <w:highlight w:val="none"/>
          <w:lang w:eastAsia="zh-CN"/>
        </w:rPr>
        <w:t>广州交易集团有限公司(广州公共资源交易中心）</w:t>
      </w:r>
      <w:r>
        <w:rPr>
          <w:rFonts w:hint="eastAsia" w:ascii="宋体" w:hAnsi="宋体" w:cs="宋体"/>
          <w:bCs/>
          <w:color w:val="auto"/>
          <w:szCs w:val="21"/>
          <w:highlight w:val="none"/>
        </w:rPr>
        <w:t>办理企业信息登记及拟担任本工程项目负责人、专职安全员须是本企业信息登记信息中的在册人员。企业信息取自投标截止时间投标人在</w:t>
      </w:r>
      <w:r>
        <w:rPr>
          <w:rFonts w:hint="eastAsia" w:ascii="宋体" w:hAnsi="宋体" w:cs="宋体"/>
          <w:bCs/>
          <w:color w:val="auto"/>
          <w:szCs w:val="21"/>
          <w:highlight w:val="none"/>
          <w:lang w:eastAsia="zh-CN"/>
        </w:rPr>
        <w:t>广州交易集团有限公司(广州公共资源交易中心）</w:t>
      </w:r>
      <w:r>
        <w:rPr>
          <w:rFonts w:hint="eastAsia" w:ascii="宋体" w:hAnsi="宋体" w:cs="宋体"/>
          <w:bCs/>
          <w:color w:val="auto"/>
          <w:szCs w:val="21"/>
          <w:highlight w:val="none"/>
        </w:rPr>
        <w:t>企业库内登记的信息，投标人无需提交相关资料，若招标人延长递交投标文件截止时间的，企业信息的评审时点也相应延长。（企业信息登记办理详见《施工类企业信息登记办事指引》，网址：http://ggzy.gz.gov.cn/qyxxd1/508420.jhtml）</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11.2.3《施工</w:t>
      </w:r>
      <w:r>
        <w:rPr>
          <w:rFonts w:hint="eastAsia" w:ascii="宋体" w:hAnsi="宋体" w:cs="宋体"/>
          <w:bCs/>
          <w:color w:val="auto"/>
          <w:szCs w:val="21"/>
          <w:highlight w:val="none"/>
          <w:u w:val="single"/>
          <w:lang w:val="zh-CN"/>
        </w:rPr>
        <w:t>项目管理团队人员信息表</w:t>
      </w:r>
      <w:r>
        <w:rPr>
          <w:rFonts w:hint="eastAsia" w:ascii="宋体" w:hAnsi="宋体" w:cs="宋体"/>
          <w:bCs/>
          <w:color w:val="auto"/>
          <w:szCs w:val="21"/>
          <w:highlight w:val="none"/>
          <w:u w:val="single"/>
        </w:rPr>
        <w:t>》（格式见第四章）</w:t>
      </w:r>
      <w:r>
        <w:rPr>
          <w:rFonts w:hint="eastAsia" w:ascii="宋体" w:hAnsi="宋体" w:cs="宋体"/>
          <w:bCs/>
          <w:color w:val="auto"/>
          <w:szCs w:val="21"/>
          <w:highlight w:val="none"/>
          <w:u w:val="single"/>
          <w:lang w:val="zh-CN"/>
        </w:rPr>
        <w:t>。</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lang w:val="zh-CN"/>
        </w:rPr>
        <w:t>11.2.4企业技术标得分证明材料（按《技术标详细审查评分表》要求提交，格式见第四章，无规定格式要求的，格式自拟）</w:t>
      </w:r>
      <w:r>
        <w:rPr>
          <w:rFonts w:hint="eastAsia" w:ascii="宋体" w:hAnsi="宋体" w:cs="宋体"/>
          <w:bCs/>
          <w:color w:val="auto"/>
          <w:szCs w:val="21"/>
          <w:highlight w:val="none"/>
          <w:u w:val="single"/>
        </w:rPr>
        <w:t>。</w:t>
      </w:r>
    </w:p>
    <w:p>
      <w:pPr>
        <w:pBdr>
          <w:bottom w:val="single" w:color="auto" w:sz="6" w:space="1"/>
        </w:pBdr>
        <w:spacing w:line="5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11.2.5《响应招标文件所附施工组织设计要点的承诺书》（格式见第四章）。</w:t>
      </w:r>
    </w:p>
    <w:p>
      <w:pPr>
        <w:pBdr>
          <w:bottom w:val="single" w:color="auto" w:sz="6" w:space="1"/>
        </w:pBdr>
        <w:spacing w:line="520" w:lineRule="exact"/>
        <w:ind w:firstLine="420" w:firstLineChars="200"/>
        <w:rPr>
          <w:rFonts w:ascii="宋体" w:hAnsi="宋体" w:cs="宋体"/>
          <w:bCs/>
          <w:color w:val="auto"/>
          <w:szCs w:val="21"/>
          <w:highlight w:val="none"/>
          <w:u w:val="single"/>
        </w:rPr>
      </w:pPr>
      <w:r>
        <w:rPr>
          <w:rFonts w:ascii="宋体" w:hAnsi="宋体" w:cs="宋体"/>
          <w:bCs/>
          <w:color w:val="auto"/>
          <w:szCs w:val="21"/>
          <w:highlight w:val="none"/>
          <w:u w:val="single"/>
        </w:rPr>
        <w:t>11.2.</w:t>
      </w:r>
      <w:r>
        <w:rPr>
          <w:rFonts w:hint="eastAsia" w:ascii="宋体" w:hAnsi="宋体" w:cs="宋体"/>
          <w:bCs/>
          <w:color w:val="auto"/>
          <w:szCs w:val="21"/>
          <w:highlight w:val="none"/>
          <w:u w:val="single"/>
        </w:rPr>
        <w:t>6按照招标文件要求填写的《参与编制技术标投标文件人员名单》（格式见第四章）。</w:t>
      </w:r>
    </w:p>
    <w:p>
      <w:pPr>
        <w:pBdr>
          <w:bottom w:val="single" w:color="auto" w:sz="6" w:space="1"/>
        </w:pBdr>
        <w:spacing w:line="520" w:lineRule="exact"/>
        <w:ind w:firstLine="420" w:firstLineChars="200"/>
        <w:rPr>
          <w:rFonts w:ascii="宋体" w:hAnsi="宋体" w:cs="宋体"/>
          <w:bCs/>
          <w:color w:val="auto"/>
          <w:szCs w:val="21"/>
          <w:highlight w:val="none"/>
        </w:rPr>
      </w:pPr>
      <w:r>
        <w:rPr>
          <w:rFonts w:ascii="宋体" w:hAnsi="宋体" w:cs="宋体"/>
          <w:bCs/>
          <w:color w:val="auto"/>
          <w:szCs w:val="21"/>
          <w:highlight w:val="none"/>
          <w:u w:val="single"/>
        </w:rPr>
        <w:t>11.2.</w:t>
      </w:r>
      <w:r>
        <w:rPr>
          <w:rFonts w:hint="eastAsia" w:ascii="宋体" w:hAnsi="宋体" w:cs="宋体"/>
          <w:bCs/>
          <w:color w:val="auto"/>
          <w:szCs w:val="21"/>
          <w:highlight w:val="none"/>
          <w:u w:val="single"/>
        </w:rPr>
        <w:t>7</w:t>
      </w:r>
      <w:r>
        <w:rPr>
          <w:rFonts w:ascii="宋体" w:hAnsi="宋体" w:cs="宋体"/>
          <w:bCs/>
          <w:color w:val="auto"/>
          <w:szCs w:val="21"/>
          <w:highlight w:val="none"/>
          <w:u w:val="single"/>
        </w:rPr>
        <w:t>投标人认为应提供的其他资料。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11.3.1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11.3.1 经济投标文件(按招标文件的要求填写)。</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rPr>
        <w:t>经济标投标书</w:t>
      </w:r>
      <w:r>
        <w:rPr>
          <w:rFonts w:hint="eastAsia" w:ascii="宋体" w:hAnsi="宋体" w:cs="宋体"/>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color w:val="auto"/>
          <w:szCs w:val="21"/>
          <w:highlight w:val="none"/>
        </w:rPr>
        <w:t>的要求填写)。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highlight w:val="none"/>
        </w:rPr>
        <w:t>11.3.2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（17）人工、主要材料和设备一览表</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11.3.2</w:t>
      </w:r>
      <w:r>
        <w:rPr>
          <w:rFonts w:hint="eastAsia" w:ascii="宋体" w:hAnsi="宋体" w:cs="宋体"/>
          <w:color w:val="auto"/>
          <w:szCs w:val="21"/>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pBdr>
          <w:bottom w:val="single" w:color="auto" w:sz="6" w:space="1"/>
        </w:pBdr>
        <w:spacing w:line="360" w:lineRule="auto"/>
        <w:ind w:firstLine="470" w:firstLineChars="224"/>
        <w:rPr>
          <w:color w:val="auto"/>
          <w:highlight w:val="none"/>
        </w:rPr>
      </w:pPr>
      <w:r>
        <w:rPr>
          <w:rFonts w:hint="eastAsia" w:ascii="宋体" w:hAnsi="宋体" w:cs="宋体"/>
          <w:color w:val="auto"/>
          <w:szCs w:val="21"/>
          <w:highlight w:val="none"/>
          <w:u w:val="single"/>
        </w:rPr>
        <w:t>（3）</w:t>
      </w:r>
      <w:r>
        <w:rPr>
          <w:color w:val="auto"/>
          <w:highlight w:val="none"/>
          <w:u w:val="single"/>
        </w:rPr>
        <w:t>工程量</w:t>
      </w:r>
      <w:r>
        <w:rPr>
          <w:rFonts w:hint="eastAsia" w:ascii="宋体" w:hAnsi="宋体"/>
          <w:color w:val="auto"/>
          <w:szCs w:val="21"/>
          <w:highlight w:val="none"/>
          <w:u w:val="single"/>
        </w:rPr>
        <w:t>清单报价表及综合单价分析表（相关表格的内容及格式要求以招标人发出的最新版电子招标文件中的相应内容及格式为准）</w:t>
      </w:r>
      <w:r>
        <w:rPr>
          <w:rFonts w:hint="eastAsia" w:ascii="宋体" w:hAnsi="宋体" w:cs="宋体"/>
          <w:color w:val="auto"/>
          <w:szCs w:val="21"/>
          <w:highlight w:val="none"/>
          <w:u w:val="single"/>
        </w:rPr>
        <w:t>。</w:t>
      </w:r>
    </w:p>
    <w:p>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s="宋体"/>
          <w:b/>
          <w:color w:val="auto"/>
          <w:szCs w:val="21"/>
          <w:highlight w:val="none"/>
        </w:rPr>
        <w:t>11.3.5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ascii="宋体" w:hAnsi="宋体" w:cs="宋体"/>
          <w:color w:val="auto"/>
          <w:szCs w:val="21"/>
          <w:highlight w:val="none"/>
        </w:rPr>
        <w:t>11.3.5</w:t>
      </w:r>
      <w:r>
        <w:rPr>
          <w:rFonts w:hint="eastAsia" w:ascii="宋体" w:hAnsi="宋体" w:cs="宋体"/>
          <w:color w:val="auto"/>
          <w:szCs w:val="21"/>
          <w:highlight w:val="none"/>
          <w:u w:val="single"/>
        </w:rPr>
        <w:t>《对投标文件编制的承诺》及《投标文件编制情况》（格式见第四章）。</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kern w:val="0"/>
          <w:szCs w:val="21"/>
          <w:highlight w:val="none"/>
        </w:rPr>
        <w:t>12.2、12.3</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u w:val="single"/>
        </w:rPr>
        <w:t>1</w:t>
      </w:r>
      <w:r>
        <w:rPr>
          <w:rFonts w:hint="eastAsia" w:ascii="宋体" w:hAnsi="宋体" w:cs="宋体"/>
          <w:color w:val="auto"/>
          <w:szCs w:val="21"/>
          <w:highlight w:val="none"/>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b/>
          <w:color w:val="auto"/>
          <w:szCs w:val="21"/>
          <w:highlight w:val="none"/>
        </w:rPr>
      </w:pP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b/>
          <w:color w:val="auto"/>
          <w:szCs w:val="21"/>
          <w:highlight w:val="none"/>
        </w:rPr>
        <w:t xml:space="preserve">。    </w:t>
      </w:r>
    </w:p>
    <w:p>
      <w:pPr>
        <w:pStyle w:val="5"/>
        <w:spacing w:after="0" w:line="360" w:lineRule="auto"/>
        <w:ind w:firstLine="422" w:firstLineChars="200"/>
        <w:jc w:val="left"/>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w:t>
      </w:r>
      <w:r>
        <w:rPr>
          <w:rFonts w:hint="eastAsia" w:ascii="宋体" w:hAnsi="宋体" w:cs="宋体"/>
          <w:color w:val="auto"/>
          <w:szCs w:val="21"/>
          <w:highlight w:val="none"/>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u w:val="single"/>
        </w:rPr>
        <w:t>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p>
    <w:p>
      <w:pPr>
        <w:pBdr>
          <w:bottom w:val="single" w:color="auto" w:sz="6" w:space="1"/>
        </w:pBdr>
        <w:spacing w:line="360" w:lineRule="auto"/>
        <w:ind w:firstLine="525" w:firstLineChars="250"/>
        <w:rPr>
          <w:color w:val="auto"/>
          <w:highlight w:val="none"/>
        </w:rPr>
      </w:pP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13.1</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13.1本工程的投标报价采用投标须知前附表第12项所规定的方式。投标报价（含单价及总价）精确到“分”。</w:t>
      </w:r>
      <w:r>
        <w:rPr>
          <w:rFonts w:hint="eastAsia" w:ascii="宋体" w:hAnsi="宋体" w:cs="宋体"/>
          <w:color w:val="auto"/>
          <w:szCs w:val="21"/>
          <w:highlight w:val="none"/>
          <w:u w:val="single"/>
        </w:rPr>
        <w:t>投标文件中的大写金额和小写金额不一致的，以大写金额为准。</w:t>
      </w:r>
    </w:p>
    <w:p>
      <w:pPr>
        <w:spacing w:line="48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条款号：16             修改类型：</w:t>
      </w:r>
      <w:r>
        <w:rPr>
          <w:rFonts w:hint="eastAsia" w:ascii="宋体" w:hAnsi="宋体" w:cs="宋体"/>
          <w:b/>
          <w:color w:val="auto"/>
          <w:szCs w:val="21"/>
          <w:highlight w:val="none"/>
          <w:lang w:val="en-US" w:eastAsia="zh-CN"/>
        </w:rPr>
        <w:t>删除</w:t>
      </w:r>
    </w:p>
    <w:p>
      <w:pPr>
        <w:spacing w:line="360" w:lineRule="auto"/>
        <w:ind w:firstLine="422" w:firstLineChars="20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 xml:space="preserve">  投标保证金</w:t>
      </w:r>
    </w:p>
    <w:p>
      <w:pPr>
        <w:pBdr>
          <w:bottom w:val="single" w:color="auto" w:sz="6" w:space="1"/>
        </w:pBdr>
        <w:spacing w:line="360" w:lineRule="auto"/>
        <w:ind w:firstLine="1050" w:firstLineChars="5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17.1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bCs/>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18、19</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b/>
          <w:bCs/>
          <w:color w:val="auto"/>
          <w:sz w:val="24"/>
          <w:highlight w:val="none"/>
        </w:rPr>
      </w:pPr>
      <w:r>
        <w:rPr>
          <w:rFonts w:hint="eastAsia"/>
          <w:b/>
          <w:color w:val="auto"/>
          <w:szCs w:val="21"/>
          <w:highlight w:val="none"/>
        </w:rPr>
        <w:t>原文：</w:t>
      </w:r>
      <w:r>
        <w:rPr>
          <w:rFonts w:hint="eastAsia" w:ascii="宋体" w:hAnsi="宋体" w:cs="宋体"/>
          <w:b/>
          <w:color w:val="auto"/>
          <w:szCs w:val="21"/>
          <w:highlight w:val="none"/>
        </w:rPr>
        <w:t>18．投标文件的密封和标记</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18.1递交的电子投标文件（不含备用光盘）必须进行加密。按照交易平台关于全流程电子化项目的相关指南进行操作。详见：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18.2 未按要求加密的投标文件，</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pStyle w:val="5"/>
        <w:spacing w:after="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color w:val="auto"/>
          <w:sz w:val="24"/>
          <w:szCs w:val="24"/>
          <w:highlight w:val="none"/>
          <w:u w:val="single"/>
        </w:rPr>
        <w:t xml:space="preserve">        </w:t>
      </w:r>
      <w:r>
        <w:rPr>
          <w:rFonts w:hint="eastAsia" w:ascii="宋体" w:hAnsi="宋体" w:cs="宋体"/>
          <w:bCs/>
          <w:color w:val="auto"/>
          <w:szCs w:val="21"/>
          <w:highlight w:val="none"/>
        </w:rPr>
        <w:t>交易平台递交电子投标文件。</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19.2投标人完成电子投标文件上传后，</w:t>
      </w:r>
      <w:r>
        <w:rPr>
          <w:color w:val="auto"/>
          <w:sz w:val="24"/>
          <w:szCs w:val="24"/>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r>
        <w:rPr>
          <w:rFonts w:hint="eastAsia" w:ascii="宋体" w:hAnsi="宋体"/>
          <w:color w:val="auto"/>
          <w:sz w:val="24"/>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bCs/>
          <w:color w:val="auto"/>
          <w:sz w:val="24"/>
          <w:highlight w:val="none"/>
        </w:rPr>
        <w:t>，</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spacing w:line="360" w:lineRule="auto"/>
        <w:ind w:firstLine="420" w:firstLineChars="200"/>
        <w:rPr>
          <w:rFonts w:ascii="宋体"/>
          <w:color w:val="auto"/>
          <w:sz w:val="24"/>
          <w:highlight w:val="none"/>
        </w:rPr>
      </w:pPr>
      <w:r>
        <w:rPr>
          <w:rFonts w:hint="eastAsia" w:ascii="宋体" w:hAnsi="宋体" w:cs="宋体"/>
          <w:bCs/>
          <w:color w:val="auto"/>
          <w:szCs w:val="21"/>
          <w:highlight w:val="none"/>
        </w:rPr>
        <w:t>19.4 投标截止前，招标人拒绝接收符合条件的投标文件，投标人可向招标投标监督机构投诉</w:t>
      </w:r>
      <w:r>
        <w:rPr>
          <w:rFonts w:hint="eastAsia"/>
          <w:color w:val="auto"/>
          <w:sz w:val="24"/>
          <w:szCs w:val="24"/>
          <w:highlight w:val="none"/>
        </w:rPr>
        <w:t>。</w:t>
      </w:r>
    </w:p>
    <w:p>
      <w:pPr>
        <w:spacing w:line="360" w:lineRule="auto"/>
        <w:ind w:firstLine="420" w:firstLineChars="200"/>
        <w:rPr>
          <w:rFonts w:ascii="宋体" w:hAnsi="宋体"/>
          <w:color w:val="auto"/>
          <w:sz w:val="24"/>
          <w:highlight w:val="none"/>
        </w:rPr>
      </w:pPr>
      <w:r>
        <w:rPr>
          <w:rFonts w:hint="eastAsia" w:ascii="宋体" w:hAnsi="宋体" w:cs="宋体"/>
          <w:bCs/>
          <w:color w:val="auto"/>
          <w:szCs w:val="21"/>
          <w:highlight w:val="none"/>
        </w:rPr>
        <w:t>19.5如技术标和经济标先后分别开启，</w:t>
      </w:r>
      <w:r>
        <w:rPr>
          <w:color w:val="auto"/>
          <w:sz w:val="24"/>
          <w:szCs w:val="24"/>
          <w:highlight w:val="none"/>
          <w:u w:val="single"/>
        </w:rPr>
        <w:t xml:space="preserve">        </w:t>
      </w:r>
      <w:r>
        <w:rPr>
          <w:rFonts w:hint="eastAsia" w:ascii="宋体" w:hAnsi="宋体" w:cs="宋体"/>
          <w:bCs/>
          <w:color w:val="auto"/>
          <w:szCs w:val="21"/>
          <w:highlight w:val="none"/>
        </w:rPr>
        <w:t>交易平台将按招标文件规定的时间分别开启技术标和经济标。</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
        <w:spacing w:after="0" w:line="360" w:lineRule="auto"/>
        <w:ind w:firstLine="422" w:firstLineChars="200"/>
        <w:rPr>
          <w:rFonts w:ascii="宋体" w:hAnsi="宋体" w:cs="宋体"/>
          <w:b/>
          <w:bCs/>
          <w:color w:val="auto"/>
          <w:szCs w:val="21"/>
          <w:highlight w:val="none"/>
        </w:rPr>
      </w:pPr>
      <w:r>
        <w:rPr>
          <w:rFonts w:hint="eastAsia"/>
          <w:b/>
          <w:color w:val="auto"/>
          <w:szCs w:val="21"/>
          <w:highlight w:val="none"/>
        </w:rPr>
        <w:t>现文：</w:t>
      </w: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spacing w:line="360" w:lineRule="auto"/>
        <w:ind w:firstLine="415" w:firstLineChars="198"/>
        <w:rPr>
          <w:color w:val="auto"/>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spacing w:line="360" w:lineRule="auto"/>
        <w:ind w:firstLine="417" w:firstLineChars="198"/>
        <w:rPr>
          <w:rFonts w:hint="eastAsia" w:eastAsia="宋体"/>
          <w:color w:val="auto"/>
          <w:highlight w:val="none"/>
          <w:lang w:eastAsia="zh-CN"/>
        </w:rPr>
      </w:pPr>
      <w:r>
        <w:rPr>
          <w:rFonts w:hint="eastAsia"/>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r>
        <w:rPr>
          <w:rFonts w:hint="eastAsia" w:ascii="宋体" w:hAnsi="宋体" w:cs="宋体"/>
          <w:b/>
          <w:bCs/>
          <w:color w:val="auto"/>
          <w:szCs w:val="21"/>
          <w:highlight w:val="none"/>
        </w:rPr>
        <w:t>投标人或其他利害关系人对评标结果有异议的，应当在中标候选人公示期间提出，可以通过线下书面或线上的形式提出异议。选择线上异议方式的，应通过广交易建设工程电子交易系统进行，招标人也应通过广州交易建设工程电子交易系统线上提交异议。作出答复前，应当暂停招标投标活动。具体操作详见“广州交易集团有限公司（广州公共资源交易中心）门户网站首页-&gt;服务指南-&gt;系统帮助-操作手册-&gt;发起及受理异议操作指引”</w:t>
      </w:r>
      <w:r>
        <w:rPr>
          <w:rFonts w:hint="eastAsia" w:ascii="宋体" w:hAnsi="宋体" w:cs="宋体"/>
          <w:b/>
          <w:bCs/>
          <w:color w:val="auto"/>
          <w:szCs w:val="21"/>
          <w:highlight w:val="none"/>
          <w:lang w:eastAsia="zh-CN"/>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27.4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color w:val="auto"/>
          <w:sz w:val="24"/>
          <w:szCs w:val="24"/>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lang w:eastAsia="zh-CN"/>
        </w:rPr>
        <w:t>广州交易集团有限公司(广州公共资源交易中心）</w:t>
      </w:r>
      <w:r>
        <w:rPr>
          <w:rFonts w:hint="eastAsia" w:ascii="宋体" w:hAnsi="宋体" w:cs="宋体"/>
          <w:color w:val="auto"/>
          <w:szCs w:val="21"/>
          <w:highlight w:val="none"/>
        </w:rPr>
        <w:t>和广东省招标投标监管网公开。</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30.1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30.1</w:t>
      </w:r>
      <w:r>
        <w:rPr>
          <w:b/>
          <w:color w:val="auto"/>
          <w:szCs w:val="21"/>
          <w:highlight w:val="none"/>
        </w:rPr>
        <w:t xml:space="preserve"> </w:t>
      </w:r>
      <w:r>
        <w:rPr>
          <w:rFonts w:hint="eastAsia" w:ascii="宋体" w:hAnsi="宋体" w:cs="宋体"/>
          <w:color w:val="auto"/>
          <w:szCs w:val="21"/>
          <w:highlight w:val="none"/>
          <w:u w:val="single"/>
        </w:rPr>
        <w:t>合同自发包人、承包人双方法定代表人或委托代理人签字并加盖公章之日起生效。</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条款号：31.1           修改类型：增加</w:t>
      </w:r>
    </w:p>
    <w:p>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31.1根据广州市政府相关文件的规定，向</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交纳交易服务费。</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33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kern w:val="0"/>
          <w:szCs w:val="21"/>
          <w:highlight w:val="none"/>
        </w:rPr>
      </w:pPr>
      <w:r>
        <w:rPr>
          <w:rFonts w:hint="eastAsia"/>
          <w:b/>
          <w:color w:val="auto"/>
          <w:szCs w:val="21"/>
          <w:highlight w:val="none"/>
        </w:rPr>
        <w:t>原文：</w:t>
      </w:r>
      <w:r>
        <w:rPr>
          <w:rFonts w:hint="eastAsia" w:ascii="宋体" w:hAnsi="宋体" w:cs="宋体"/>
          <w:color w:val="auto"/>
          <w:kern w:val="0"/>
          <w:szCs w:val="21"/>
          <w:highlight w:val="none"/>
        </w:rPr>
        <w:t>33. 投标人信誉的要求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存在下列情形之一的，招标人可以限制其投标（需在招标文件中明确评定方法）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（1）被住房城乡建设行政主管部门在全国建筑市场监管一体化工作平台列入建筑市场主体“黑名单”；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（2）被发改委、人力资源社会保障、质检总局等有关部门、单位在“信用中国”网站中列入联合惩戒失信黑名单。</w:t>
      </w:r>
    </w:p>
    <w:p>
      <w:pPr>
        <w:pBdr>
          <w:bottom w:val="single" w:color="auto" w:sz="6" w:space="1"/>
        </w:pBdr>
        <w:spacing w:line="360" w:lineRule="auto"/>
        <w:ind w:firstLine="422" w:firstLineChars="200"/>
        <w:rPr>
          <w:rFonts w:ascii="宋体" w:hAnsi="宋体" w:cs="宋体"/>
          <w:color w:val="auto"/>
          <w:kern w:val="0"/>
          <w:szCs w:val="21"/>
          <w:highlight w:val="none"/>
        </w:rPr>
      </w:pPr>
      <w:r>
        <w:rPr>
          <w:rFonts w:hint="eastAsia"/>
          <w:b/>
          <w:color w:val="auto"/>
          <w:szCs w:val="21"/>
          <w:highlight w:val="none"/>
        </w:rPr>
        <w:t>现文：</w:t>
      </w:r>
      <w:r>
        <w:rPr>
          <w:rFonts w:hint="eastAsia" w:ascii="宋体" w:hAnsi="宋体" w:cs="宋体"/>
          <w:color w:val="auto"/>
          <w:kern w:val="0"/>
          <w:szCs w:val="21"/>
          <w:highlight w:val="none"/>
        </w:rPr>
        <w:t>33. 投标人信誉的要求</w:t>
      </w:r>
    </w:p>
    <w:p>
      <w:pPr>
        <w:pBdr>
          <w:bottom w:val="single" w:color="auto" w:sz="6" w:space="1"/>
        </w:pBd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存在下列情形之一的，招标人可以限制其投标</w:t>
      </w:r>
      <w:r>
        <w:rPr>
          <w:rFonts w:hint="eastAsia" w:ascii="宋体" w:hAnsi="宋体" w:cs="宋体"/>
          <w:color w:val="auto"/>
          <w:kern w:val="0"/>
          <w:szCs w:val="21"/>
          <w:highlight w:val="none"/>
          <w:u w:val="single"/>
        </w:rPr>
        <w:t>（根据招标公告《投标人声明（一）》评审）</w:t>
      </w:r>
      <w:r>
        <w:rPr>
          <w:rFonts w:hint="eastAsia" w:ascii="宋体" w:hAnsi="宋体" w:cs="宋体"/>
          <w:color w:val="auto"/>
          <w:kern w:val="0"/>
          <w:szCs w:val="21"/>
          <w:highlight w:val="none"/>
        </w:rPr>
        <w:t xml:space="preserve"> </w:t>
      </w:r>
    </w:p>
    <w:p>
      <w:pPr>
        <w:pBdr>
          <w:bottom w:val="single" w:color="auto" w:sz="6" w:space="1"/>
        </w:pBd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420" w:firstLineChars="200"/>
        <w:rPr>
          <w:color w:val="auto"/>
          <w:highlight w:val="none"/>
        </w:rPr>
      </w:pPr>
      <w:r>
        <w:rPr>
          <w:rFonts w:hint="eastAsia" w:ascii="宋体" w:hAnsi="宋体" w:cs="宋体"/>
          <w:color w:val="auto"/>
          <w:kern w:val="0"/>
          <w:szCs w:val="21"/>
          <w:highlight w:val="none"/>
        </w:rPr>
        <w:t>（2）被发改委、人力资源社会保障、质检总局等有关部门、单位在“信用中国”网站中列入联合惩戒失信黑名单；</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2"/>
        <w:rPr>
          <w:color w:val="auto"/>
          <w:highlight w:val="none"/>
        </w:rPr>
      </w:pPr>
      <w:r>
        <w:rPr>
          <w:color w:val="auto"/>
          <w:highlight w:val="none"/>
        </w:rPr>
        <w:br w:type="page"/>
      </w:r>
      <w:bookmarkStart w:id="8" w:name="_Toc2272548"/>
      <w:bookmarkStart w:id="9" w:name="_Toc21525492"/>
      <w:r>
        <w:rPr>
          <w:rFonts w:hint="eastAsia"/>
          <w:color w:val="auto"/>
          <w:highlight w:val="none"/>
        </w:rPr>
        <w:t>三、投标须知通用条款</w:t>
      </w:r>
      <w:bookmarkEnd w:id="8"/>
      <w:bookmarkEnd w:id="9"/>
    </w:p>
    <w:p>
      <w:pPr>
        <w:pStyle w:val="7"/>
        <w:spacing w:before="156" w:after="156"/>
        <w:rPr>
          <w:color w:val="auto"/>
          <w:highlight w:val="none"/>
        </w:rPr>
      </w:pPr>
      <w:bookmarkStart w:id="10" w:name="_Toc21525493"/>
      <w:bookmarkStart w:id="11" w:name="_Toc2272549"/>
      <w:r>
        <w:rPr>
          <w:rFonts w:hint="eastAsia"/>
          <w:color w:val="auto"/>
          <w:highlight w:val="none"/>
        </w:rPr>
        <w:t>（一）总则</w:t>
      </w:r>
      <w:bookmarkEnd w:id="10"/>
      <w:bookmarkEnd w:id="11"/>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szCs w:val="24"/>
          <w:highlight w:val="none"/>
          <w:u w:val="single"/>
        </w:rPr>
      </w:pP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 w:val="24"/>
          <w:szCs w:val="24"/>
          <w:highlight w:val="none"/>
          <w:u w:val="single"/>
        </w:rPr>
        <w:t>投标人不进行踏勘的，视为已熟知现场条件，自行承担相关风险</w:t>
      </w:r>
      <w:r>
        <w:rPr>
          <w:rFonts w:hint="eastAsia" w:ascii="宋体" w:hAnsi="宋体" w:cs="宋体"/>
          <w:color w:val="auto"/>
          <w:sz w:val="24"/>
          <w:szCs w:val="24"/>
          <w:highlight w:val="none"/>
        </w:rPr>
        <w:t>。一旦中标，这种考察即被认为其结果已在中标文件中得到充分反映。</w:t>
      </w:r>
      <w:r>
        <w:rPr>
          <w:rFonts w:hint="eastAsia" w:ascii="宋体" w:hAnsi="宋体" w:cs="宋体"/>
          <w:color w:val="auto"/>
          <w:sz w:val="24"/>
          <w:szCs w:val="24"/>
          <w:highlight w:val="none"/>
          <w:u w:val="single"/>
        </w:rPr>
        <w:t>招标人不受理因投标人缺乏对现场条件的了解或掌握而提出的任何索赔。</w:t>
      </w:r>
      <w:r>
        <w:rPr>
          <w:rFonts w:hint="eastAsia" w:ascii="宋体" w:hAnsi="宋体" w:cs="宋体"/>
          <w:color w:val="auto"/>
          <w:sz w:val="24"/>
          <w:szCs w:val="24"/>
          <w:highlight w:val="none"/>
        </w:rPr>
        <w:t>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7"/>
        <w:spacing w:before="156" w:after="156"/>
        <w:rPr>
          <w:color w:val="auto"/>
          <w:highlight w:val="none"/>
        </w:rPr>
      </w:pPr>
      <w:bookmarkStart w:id="12" w:name="_Toc21525494"/>
      <w:bookmarkStart w:id="13" w:name="_Toc2272550"/>
      <w:r>
        <w:rPr>
          <w:rFonts w:hint="eastAsia"/>
          <w:color w:val="auto"/>
          <w:highlight w:val="none"/>
        </w:rPr>
        <w:t>（二）招标文件</w:t>
      </w:r>
      <w:bookmarkEnd w:id="12"/>
      <w:bookmarkEnd w:id="13"/>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5"/>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5"/>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5"/>
        <w:spacing w:after="0" w:line="360" w:lineRule="auto"/>
        <w:ind w:left="-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第三章  合同条款</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5"/>
        <w:spacing w:after="0" w:line="360" w:lineRule="auto"/>
        <w:ind w:left="-2"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u w:val="single"/>
        </w:rPr>
        <w:t xml:space="preserve">第五章  </w:t>
      </w:r>
      <w:r>
        <w:rPr>
          <w:rFonts w:hint="eastAsia" w:ascii="宋体" w:hAnsi="宋体" w:cs="宋体"/>
          <w:color w:val="auto"/>
          <w:sz w:val="24"/>
          <w:szCs w:val="24"/>
          <w:highlight w:val="none"/>
          <w:u w:val="single"/>
        </w:rPr>
        <w:t>技术条件（工程建设标准）（另册）</w:t>
      </w:r>
    </w:p>
    <w:p>
      <w:pPr>
        <w:pStyle w:val="5"/>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pStyle w:val="5"/>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pPr>
        <w:pStyle w:val="5"/>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pPr>
        <w:pStyle w:val="5"/>
        <w:spacing w:after="0"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u w:val="single"/>
        </w:rPr>
        <w:t>注：招标人应在技术条件（工程建设标准）中明确施工现场建筑垃圾源头减量的具体要求和建筑垃圾综合利用产品的使用要求</w:t>
      </w:r>
      <w:r>
        <w:rPr>
          <w:rFonts w:hint="eastAsia" w:ascii="宋体" w:hAnsi="宋体"/>
          <w:color w:val="auto"/>
          <w:sz w:val="24"/>
          <w:highlight w:val="none"/>
          <w:u w:val="single"/>
          <w:lang w:eastAsia="zh-CN"/>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8.1招标答疑采用网上答疑方式进行。投标人若对招标文件（包括招标图纸、清单、招标控制价、合同条款）有疑问的，可在规定的时间内通过</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房建市政全流程电子化项目操作专章》。</w:t>
      </w:r>
    </w:p>
    <w:p>
      <w:pPr>
        <w:pStyle w:val="5"/>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8.2招标答疑会会议纪要将在提交投标文件截止时间15日前在</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网站“项目答疑纪要”专区公开发布。答疑纪要一经在</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hAnsi="宋体" w:cs="宋体"/>
          <w:color w:val="auto"/>
          <w:szCs w:val="21"/>
          <w:highlight w:val="none"/>
        </w:rPr>
      </w:pPr>
      <w:r>
        <w:rPr>
          <w:rFonts w:hint="eastAsia" w:ascii="宋体"/>
          <w:color w:val="auto"/>
          <w:sz w:val="24"/>
          <w:highlight w:val="none"/>
          <w:u w:val="single"/>
        </w:rPr>
        <w:t>8.4若招标答疑纪要与招标文件有矛盾时，以</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交易平台最后发布的答疑纪要为准。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9.2招标文件的澄清或修改将在</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网站“项目答疑纪要”专区公开发布。答疑纪要一经在</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网站发布，视作已发放给所有投标人，以</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9.4招标文件的澄清或修改在</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网站“项目答疑纪要”专区公开发布。当招标文件的澄清、修改、补充等在同一内容的表述不一致时，以</w:t>
      </w:r>
      <w:r>
        <w:rPr>
          <w:rFonts w:hint="eastAsia" w:ascii="宋体"/>
          <w:color w:val="auto"/>
          <w:sz w:val="24"/>
          <w:highlight w:val="none"/>
          <w:u w:val="single"/>
          <w:lang w:eastAsia="zh-CN"/>
        </w:rPr>
        <w:t>广州交易集团有限公司(广州公共资源交易中心）</w:t>
      </w:r>
      <w:r>
        <w:rPr>
          <w:rFonts w:hint="eastAsia" w:ascii="宋体"/>
          <w:color w:val="auto"/>
          <w:sz w:val="24"/>
          <w:highlight w:val="none"/>
          <w:u w:val="single"/>
        </w:rPr>
        <w:t>交易平台最后发布的内容为准。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color w:val="auto"/>
          <w:highlight w:val="none"/>
        </w:rPr>
      </w:pPr>
      <w:bookmarkStart w:id="14" w:name="_Toc21525495"/>
      <w:bookmarkStart w:id="15" w:name="_Toc2272551"/>
      <w:r>
        <w:rPr>
          <w:rFonts w:hint="eastAsia"/>
          <w:color w:val="auto"/>
          <w:highlight w:val="none"/>
        </w:rPr>
        <w:t>（三）投标文件的编制</w:t>
      </w:r>
      <w:bookmarkEnd w:id="14"/>
      <w:bookmarkEnd w:id="15"/>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11.2投标文件技术标部分主要包括下列内容:</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11.2.1 技术标投标书(按招标文件第四章附件一的要求填写)；</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11.2.2 资格审查文件：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（1）投标人声明（须按本工程招标公告附件一格式）；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（3）企业营业执照（取自平台内上传件）；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（4）企业资质证书（取自平台内上传件）；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（5）建筑施工企业安全生产许可证（取自平台内上传件）；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（6）项目负责人（按网上投标登记时选择拟投标的项目负责人）；</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（7）专职安全员（按网上投标登记时选择拟投标的专职安全员）；</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（8）拟委托技术负责人的职称证书；</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（9）拟委派项目负责人的</w:t>
      </w:r>
      <w:r>
        <w:rPr>
          <w:rFonts w:hint="eastAsia" w:ascii="宋体" w:hAnsi="宋体"/>
          <w:bCs/>
          <w:color w:val="auto"/>
          <w:sz w:val="24"/>
          <w:highlight w:val="none"/>
          <w:u w:val="single"/>
        </w:rPr>
        <w:t>建造师注册证书</w:t>
      </w:r>
      <w:r>
        <w:rPr>
          <w:rFonts w:hint="eastAsia" w:ascii="宋体" w:hAnsi="宋体"/>
          <w:bCs/>
          <w:color w:val="auto"/>
          <w:sz w:val="24"/>
          <w:highlight w:val="none"/>
        </w:rPr>
        <w:t xml:space="preserve">（取自平台内上传件）；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（10）项目负责人安全培训考核合格证明或在有效期内的安全考核合格证书（B类）或建筑施工企业项目负责人安全生产考核合格证书（取自平台内上传件）；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（11）专职安全员须具有在有效期内的安全生产考核合格证（C类）或建筑施工企业专职安全生产管理人员安全生产考核合格证书（C3）（取自平台内上传件）；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（12）投标登记前，投标人须在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办理企业信息登记及拟担任本工程项目负责人、专职安全员须是本企业信息登记信息中的在册人员。企业信息取自投标截止时间投标人在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企业库内登记的信息，投标人无需提交相关资料，若招标人延长递交投标文件截止时间的，企业信息的评审时点也相应延长。（企业信息登记办理详见《施工类企业信息登记办事指引》，网址：http://ggzy.gz.gov.cn/qyxxd1/508420.jhtml）</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11.2.3《施工</w:t>
      </w:r>
      <w:r>
        <w:rPr>
          <w:rFonts w:hint="eastAsia" w:ascii="宋体" w:hAnsi="宋体" w:cs="宋体"/>
          <w:color w:val="auto"/>
          <w:sz w:val="24"/>
          <w:szCs w:val="24"/>
          <w:highlight w:val="none"/>
          <w:u w:val="single"/>
          <w:lang w:val="zh-CN"/>
        </w:rPr>
        <w:t>项目管理团队人员信息表</w:t>
      </w:r>
      <w:r>
        <w:rPr>
          <w:rFonts w:hint="eastAsia" w:ascii="宋体" w:hAnsi="宋体" w:cs="宋体"/>
          <w:color w:val="auto"/>
          <w:sz w:val="24"/>
          <w:szCs w:val="24"/>
          <w:highlight w:val="none"/>
          <w:u w:val="single"/>
        </w:rPr>
        <w:t>》（格式见第四章）</w:t>
      </w:r>
      <w:r>
        <w:rPr>
          <w:rFonts w:hint="eastAsia" w:ascii="宋体" w:hAnsi="宋体" w:cs="宋体"/>
          <w:color w:val="auto"/>
          <w:sz w:val="24"/>
          <w:szCs w:val="24"/>
          <w:highlight w:val="none"/>
          <w:u w:val="single"/>
          <w:lang w:val="zh-CN"/>
        </w:rPr>
        <w:t>。</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zh-CN"/>
        </w:rPr>
        <w:t>11.2.4企业技术标得分证明材料（按《技术标详细审查评分表》要求提交，格式见第四章，无规定格式要求的，格式自拟）</w:t>
      </w:r>
      <w:r>
        <w:rPr>
          <w:rFonts w:hint="eastAsia" w:ascii="宋体" w:hAnsi="宋体" w:cs="宋体"/>
          <w:color w:val="auto"/>
          <w:sz w:val="24"/>
          <w:szCs w:val="24"/>
          <w:highlight w:val="none"/>
          <w:u w:val="single"/>
        </w:rPr>
        <w:t>。</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11.2.5《响应招标文件所附施工组织设计要点的承诺书》（格式见第四章）。</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11.2.6按照招标文件要求填写的《参与编制技术标投标文件人员名单》（格式见第四章）。</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11.2.7投标人认为应提供的其他资料。</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11.3.1 </w:t>
      </w:r>
      <w:r>
        <w:rPr>
          <w:rFonts w:hint="eastAsia" w:ascii="宋体" w:hAnsi="宋体" w:cs="宋体"/>
          <w:color w:val="auto"/>
          <w:sz w:val="24"/>
          <w:szCs w:val="24"/>
          <w:highlight w:val="none"/>
          <w:u w:val="single"/>
        </w:rPr>
        <w:t>经济标投标书</w:t>
      </w:r>
      <w:r>
        <w:rPr>
          <w:rFonts w:hint="eastAsia" w:ascii="宋体" w:hAnsi="宋体" w:cs="宋体"/>
          <w:color w:val="auto"/>
          <w:sz w:val="24"/>
          <w:szCs w:val="24"/>
          <w:highlight w:val="none"/>
        </w:rPr>
        <w:t>(按招标文件</w:t>
      </w:r>
      <w:r>
        <w:rPr>
          <w:rFonts w:hint="eastAsia" w:ascii="宋体" w:hAnsi="宋体" w:cs="宋体"/>
          <w:bCs/>
          <w:color w:val="auto"/>
          <w:sz w:val="24"/>
          <w:szCs w:val="24"/>
          <w:highlight w:val="none"/>
          <w:u w:val="single"/>
        </w:rPr>
        <w:t>第四章附件一</w:t>
      </w:r>
      <w:r>
        <w:rPr>
          <w:rFonts w:hint="eastAsia" w:ascii="宋体" w:hAnsi="宋体" w:cs="宋体"/>
          <w:color w:val="auto"/>
          <w:sz w:val="24"/>
          <w:szCs w:val="24"/>
          <w:highlight w:val="none"/>
        </w:rPr>
        <w:t>的要求填写)。</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（1）投标总价封面、扉页；</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（2）总说明</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（3）工程量清单报价表及综合单价分析表（相关表格的内容及格式要求以招标人发出的最新版电子招标文件中的相应内容及格式为准）.</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5"/>
        <w:ind w:left="0" w:leftChars="0" w:firstLine="480"/>
        <w:rPr>
          <w:color w:val="auto"/>
          <w:highlight w:val="none"/>
          <w:u w:val="single"/>
        </w:rPr>
      </w:pPr>
      <w:r>
        <w:rPr>
          <w:rFonts w:hint="eastAsia" w:ascii="宋体" w:hAnsi="宋体"/>
          <w:color w:val="auto"/>
          <w:sz w:val="24"/>
          <w:szCs w:val="22"/>
          <w:highlight w:val="none"/>
          <w:u w:val="single"/>
        </w:rPr>
        <w:t>11.3.5</w:t>
      </w:r>
      <w:r>
        <w:rPr>
          <w:rFonts w:hint="eastAsia" w:ascii="宋体" w:hAnsi="宋体" w:cs="宋体"/>
          <w:color w:val="auto"/>
          <w:sz w:val="24"/>
          <w:highlight w:val="none"/>
          <w:u w:val="single"/>
        </w:rPr>
        <w:t>《对投标文件编制的承诺》及《投标文件编制情况》（格式见第四章）</w:t>
      </w:r>
      <w:r>
        <w:rPr>
          <w:rFonts w:hint="eastAsia" w:ascii="宋体" w:hAnsi="宋体" w:cs="宋体"/>
          <w:color w:val="auto"/>
          <w:szCs w:val="21"/>
          <w:highlight w:val="none"/>
          <w:u w:val="single"/>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p>
    <w:p>
      <w:pPr>
        <w:pStyle w:val="5"/>
        <w:spacing w:after="0"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宋体"/>
          <w:color w:val="auto"/>
          <w:sz w:val="24"/>
          <w:szCs w:val="24"/>
          <w:highlight w:val="none"/>
        </w:rPr>
        <w:t xml:space="preserve">。 </w:t>
      </w:r>
      <w:r>
        <w:rPr>
          <w:rFonts w:hint="eastAsia" w:ascii="宋体" w:hAnsi="宋体"/>
          <w:color w:val="auto"/>
          <w:sz w:val="24"/>
          <w:highlight w:val="none"/>
        </w:rPr>
        <w:t xml:space="preserve">             </w:t>
      </w:r>
    </w:p>
    <w:p>
      <w:pPr>
        <w:pStyle w:val="5"/>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13.1本工程的投标报价采用投标须知前附表第12项所规定的方式。投标报价（含单价及总价）精确到“分”。</w:t>
      </w:r>
      <w:r>
        <w:rPr>
          <w:rFonts w:hint="eastAsia" w:ascii="宋体" w:hAnsi="宋体"/>
          <w:color w:val="auto"/>
          <w:sz w:val="24"/>
          <w:highlight w:val="none"/>
          <w:u w:val="single"/>
        </w:rPr>
        <w:t>投标文件中的大写金额和小写金额不一致的，以大写金额为准。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13.5.1中标的投标文件工程量清单中已有相同项目的适用综合单价，则沿用。</w:t>
      </w:r>
    </w:p>
    <w:p>
      <w:pPr>
        <w:pStyle w:val="5"/>
        <w:spacing w:after="0"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u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dstrike w:val="0"/>
          <w:color w:val="auto"/>
          <w:sz w:val="24"/>
          <w:highlight w:val="none"/>
        </w:rPr>
        <w:t>，而不影响退还其投标保证金</w:t>
      </w:r>
      <w:r>
        <w:rPr>
          <w:rFonts w:hint="eastAsia" w:ascii="宋体" w:hAnsi="宋体"/>
          <w:color w:val="auto"/>
          <w:sz w:val="24"/>
          <w:highlight w:val="none"/>
        </w:rPr>
        <w:t>。同意延长投标有效期的投标人既不能要求也不允许修改其投标文件</w:t>
      </w:r>
      <w:r>
        <w:rPr>
          <w:rFonts w:hint="eastAsia" w:ascii="宋体" w:hAnsi="宋体"/>
          <w:strike/>
          <w:dstrike w:val="0"/>
          <w:color w:val="auto"/>
          <w:sz w:val="24"/>
          <w:highlight w:val="none"/>
        </w:rPr>
        <w:t>，但需要相应的延长投标保证金的有效期，在延长的投标有效期内，本须知第</w:t>
      </w:r>
      <w:r>
        <w:rPr>
          <w:rFonts w:ascii="宋体" w:hAnsi="宋体"/>
          <w:strike/>
          <w:dstrike w:val="0"/>
          <w:color w:val="auto"/>
          <w:sz w:val="24"/>
          <w:highlight w:val="none"/>
        </w:rPr>
        <w:t>16</w:t>
      </w:r>
      <w:r>
        <w:rPr>
          <w:rFonts w:hint="eastAsia" w:ascii="宋体" w:hAnsi="宋体"/>
          <w:strike/>
          <w:dstrike w:val="0"/>
          <w:color w:val="auto"/>
          <w:sz w:val="24"/>
          <w:highlight w:val="none"/>
        </w:rPr>
        <w:t>条关于投标保证金的退还与不予退还的规定仍然适用</w:t>
      </w:r>
      <w:r>
        <w:rPr>
          <w:rFonts w:hint="eastAsia" w:ascii="宋体" w:hAnsi="宋体"/>
          <w:color w:val="auto"/>
          <w:sz w:val="24"/>
          <w:highlight w:val="none"/>
        </w:rPr>
        <w:t>。</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16.1</w:t>
      </w:r>
      <w:r>
        <w:rPr>
          <w:rFonts w:hint="eastAsia" w:ascii="宋体" w:hAnsi="宋体"/>
          <w:strike/>
          <w:dstrike w:val="0"/>
          <w:color w:val="auto"/>
          <w:sz w:val="24"/>
          <w:highlight w:val="none"/>
        </w:rPr>
        <w:t>投标人应按投标须知前附表第</w:t>
      </w:r>
      <w:r>
        <w:rPr>
          <w:rFonts w:ascii="宋体" w:hAnsi="宋体"/>
          <w:strike/>
          <w:dstrike w:val="0"/>
          <w:color w:val="auto"/>
          <w:sz w:val="24"/>
          <w:highlight w:val="none"/>
        </w:rPr>
        <w:t>14</w:t>
      </w:r>
      <w:r>
        <w:rPr>
          <w:rFonts w:hint="eastAsia" w:ascii="宋体" w:hAnsi="宋体"/>
          <w:strike/>
          <w:dstrike w:val="0"/>
          <w:color w:val="auto"/>
          <w:sz w:val="24"/>
          <w:highlight w:val="none"/>
        </w:rPr>
        <w:t>项所述金额和时间递交</w:t>
      </w:r>
      <w:r>
        <w:rPr>
          <w:rFonts w:hint="eastAsia" w:ascii="宋体" w:hAnsi="宋体"/>
          <w:bCs/>
          <w:strike/>
          <w:dstrike w:val="0"/>
          <w:color w:val="auto"/>
          <w:sz w:val="24"/>
          <w:highlight w:val="none"/>
        </w:rPr>
        <w:t>投标保证金</w:t>
      </w:r>
      <w:r>
        <w:rPr>
          <w:rFonts w:hint="eastAsia" w:ascii="宋体" w:hAnsi="宋体"/>
          <w:strike/>
          <w:dstrike w:val="0"/>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16.3投标保证金应依据法律法规的相关规定退还。</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16.4.1因投标人原因造成投标文件未解密的；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16.4.2投标人在投标有效期内撤销投标文件；</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16.4.3中标人未能在规定期限内按要求提交履约担保；</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16.4.4中标人未能在规定期限内签署合同协议。</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16.5投标人如存在下列情况之一的，将被拒绝在半年内参与招标人后续工程投标</w:t>
      </w:r>
      <w:r>
        <w:rPr>
          <w:rFonts w:hint="eastAsia" w:ascii="宋体" w:hAnsi="宋体" w:cs="宋体"/>
          <w:strike/>
          <w:dstrike w:val="0"/>
          <w:color w:val="auto"/>
          <w:sz w:val="24"/>
          <w:highlight w:val="none"/>
        </w:rPr>
        <w:t>（</w:t>
      </w:r>
      <w:r>
        <w:rPr>
          <w:rFonts w:hint="eastAsia" w:ascii="宋体" w:hAnsi="宋体" w:cs="宋体"/>
          <w:strike/>
          <w:dstrike w:val="0"/>
          <w:color w:val="auto"/>
          <w:sz w:val="24"/>
          <w:highlight w:val="none"/>
          <w:u w:val="single"/>
        </w:rPr>
        <w:t>注：拒绝投标时限由招标人视严重程度确定，最低三个月起，自招标人发出通知之日起计</w:t>
      </w:r>
      <w:r>
        <w:rPr>
          <w:rFonts w:hint="eastAsia" w:ascii="宋体" w:hAnsi="宋体" w:cs="宋体"/>
          <w:strike/>
          <w:dstrike w:val="0"/>
          <w:color w:val="auto"/>
          <w:sz w:val="24"/>
          <w:highlight w:val="none"/>
        </w:rPr>
        <w:t>）</w:t>
      </w:r>
      <w:r>
        <w:rPr>
          <w:rFonts w:hint="eastAsia" w:ascii="宋体" w:hAnsi="宋体"/>
          <w:strike/>
          <w:dstrike w:val="0"/>
          <w:color w:val="auto"/>
          <w:sz w:val="24"/>
          <w:highlight w:val="none"/>
        </w:rPr>
        <w:t>：</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16.5.3按招标文件要求免于提供投标保证金的投标人存在16.4条款所列情形的。</w:t>
      </w:r>
    </w:p>
    <w:p>
      <w:pPr>
        <w:spacing w:line="360" w:lineRule="auto"/>
        <w:ind w:firstLine="480" w:firstLineChars="200"/>
        <w:rPr>
          <w:rFonts w:ascii="宋体"/>
          <w:strike/>
          <w:dstrike w:val="0"/>
          <w:color w:val="auto"/>
          <w:sz w:val="24"/>
          <w:highlight w:val="none"/>
        </w:rPr>
      </w:pPr>
      <w:r>
        <w:rPr>
          <w:rFonts w:hint="eastAsia" w:ascii="宋体" w:hAnsi="宋体"/>
          <w:strike/>
          <w:dstrike w:val="0"/>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网站</w:t>
      </w:r>
      <w:r>
        <w:rPr>
          <w:rFonts w:hint="eastAsia" w:ascii="宋体" w:hAnsi="宋体"/>
          <w:color w:val="auto"/>
          <w:sz w:val="24"/>
          <w:highlight w:val="none"/>
        </w:rPr>
        <w:t>。</w:t>
      </w:r>
    </w:p>
    <w:p>
      <w:pPr>
        <w:pStyle w:val="7"/>
        <w:spacing w:before="156" w:after="156"/>
        <w:rPr>
          <w:color w:val="auto"/>
          <w:highlight w:val="none"/>
        </w:rPr>
      </w:pPr>
      <w:bookmarkStart w:id="16" w:name="_Toc21525496"/>
      <w:bookmarkStart w:id="17" w:name="_Toc2272552"/>
      <w:r>
        <w:rPr>
          <w:rFonts w:hint="eastAsia"/>
          <w:color w:val="auto"/>
          <w:highlight w:val="none"/>
        </w:rPr>
        <w:t>（四）投标文件的提交</w:t>
      </w:r>
      <w:bookmarkEnd w:id="16"/>
      <w:bookmarkEnd w:id="17"/>
    </w:p>
    <w:p>
      <w:pPr>
        <w:pStyle w:val="5"/>
        <w:spacing w:after="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投标文件的密封和标记</w:t>
      </w:r>
    </w:p>
    <w:p>
      <w:pPr>
        <w:spacing w:line="360" w:lineRule="auto"/>
        <w:ind w:firstLine="480" w:firstLineChars="200"/>
        <w:rPr>
          <w:rFonts w:ascii="宋体" w:hAnsi="宋体" w:cs="宋体"/>
          <w:bCs/>
          <w:color w:val="auto"/>
          <w:szCs w:val="21"/>
          <w:highlight w:val="none"/>
        </w:rPr>
      </w:pPr>
      <w:r>
        <w:rPr>
          <w:rFonts w:hint="eastAsia" w:ascii="宋体" w:hAnsi="宋体"/>
          <w:color w:val="auto"/>
          <w:sz w:val="24"/>
          <w:highlight w:val="none"/>
        </w:rPr>
        <w:t>18.1递交的电子投标文件（不含备用光盘）必须进行加密。按照交易平台关于全流程电子化项目的相关指南进行操作。详见：</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网站</w:t>
      </w:r>
      <w:r>
        <w:rPr>
          <w:rFonts w:hint="eastAsia" w:ascii="宋体" w:hAnsi="宋体" w:cs="宋体"/>
          <w:color w:val="auto"/>
          <w:szCs w:val="21"/>
          <w:highlight w:val="none"/>
        </w:rPr>
        <w:t>。</w:t>
      </w:r>
    </w:p>
    <w:p>
      <w:pPr>
        <w:spacing w:line="360" w:lineRule="auto"/>
        <w:ind w:firstLine="480" w:firstLineChars="200"/>
        <w:rPr>
          <w:rFonts w:ascii="宋体" w:hAnsi="宋体" w:cs="宋体"/>
          <w:bCs/>
          <w:color w:val="auto"/>
          <w:szCs w:val="21"/>
          <w:highlight w:val="none"/>
        </w:rPr>
      </w:pPr>
      <w:r>
        <w:rPr>
          <w:rFonts w:hint="eastAsia" w:ascii="宋体" w:hAnsi="宋体"/>
          <w:color w:val="auto"/>
          <w:sz w:val="24"/>
          <w:highlight w:val="none"/>
        </w:rPr>
        <w:t>18.2 未按要求加密的投标文件，</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rPr>
        <w:t>交易平台将予以拒收。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19.1投标人通过</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rPr>
        <w:t>交易平台递交电子投标文件。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19.2投标人完成电子投标文件上传后</w:t>
      </w:r>
      <w:r>
        <w:rPr>
          <w:rFonts w:hint="eastAsia" w:ascii="宋体" w:hAnsi="宋体" w:cs="宋体"/>
          <w:bCs/>
          <w:color w:val="auto"/>
          <w:szCs w:val="21"/>
          <w:highlight w:val="none"/>
        </w:rPr>
        <w:t>，</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rPr>
        <w:t>交易平台即时向投标人发出递交回执通知。递交时间以递交回执通知载明的传输完成时间为准。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19.3逾期送达的电子投标文件</w:t>
      </w:r>
      <w:r>
        <w:rPr>
          <w:rFonts w:hint="eastAsia" w:ascii="宋体" w:hAnsi="宋体" w:cs="宋体"/>
          <w:bCs/>
          <w:color w:val="auto"/>
          <w:szCs w:val="21"/>
          <w:highlight w:val="none"/>
        </w:rPr>
        <w:t>，</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 xml:space="preserve"> </w:t>
      </w:r>
      <w:r>
        <w:rPr>
          <w:rFonts w:hint="eastAsia" w:ascii="宋体" w:hAnsi="宋体"/>
          <w:color w:val="auto"/>
          <w:sz w:val="24"/>
          <w:highlight w:val="none"/>
        </w:rPr>
        <w:t>交易平台将予以拒收。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19.4 投标截止前，招标人拒绝接收符合条件的投标文件，投标人可向招标投标监督机构投诉。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21.1 本须知前附表第17项规定的投标截止时间后送达的电子投标文件，</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交易平台将予以拒收。</w:t>
      </w:r>
      <w:r>
        <w:rPr>
          <w:rFonts w:hint="eastAsia" w:ascii="宋体" w:hAnsi="宋体"/>
          <w:b/>
          <w:bCs/>
          <w:color w:val="auto"/>
          <w:sz w:val="24"/>
          <w:szCs w:val="24"/>
          <w:highlight w:val="none"/>
          <w:u w:val="single"/>
        </w:rPr>
        <w:t>投标人或其他利害关系人对评标结果有异议的，应当在中标候选人公示期间提出，可以通过线下书面或线上的形式提出异议。选择线上异议方式的，应通过广交易建设工程电子交易系统进行，招标人也应通过广州交易建设工程电子交易系统线上提交异议。作出答复前，应当暂停招标投标活动。具体操作详见“广州交易集团有限公司（广州公共资源交易中心）门户网站首页-&gt;服务指南-&gt;系统帮助-操作手册-&gt;发起及受理异议操作指引”</w:t>
      </w:r>
      <w:r>
        <w:rPr>
          <w:rFonts w:hint="eastAsia" w:ascii="宋体" w:hAnsi="宋体"/>
          <w:b/>
          <w:bCs/>
          <w:color w:val="auto"/>
          <w:sz w:val="24"/>
          <w:szCs w:val="24"/>
          <w:highlight w:val="none"/>
          <w:u w:val="single"/>
          <w:lang w:eastAsia="zh-CN"/>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7"/>
        <w:spacing w:before="156" w:after="156"/>
        <w:rPr>
          <w:color w:val="auto"/>
          <w:highlight w:val="none"/>
        </w:rPr>
      </w:pPr>
      <w:bookmarkStart w:id="18" w:name="_Toc2272553"/>
      <w:bookmarkStart w:id="19" w:name="_Toc21525497"/>
      <w:r>
        <w:rPr>
          <w:rFonts w:hint="eastAsia"/>
          <w:color w:val="auto"/>
          <w:highlight w:val="none"/>
        </w:rPr>
        <w:t>（五）开标、评标、定标及合同签定</w:t>
      </w:r>
      <w:bookmarkEnd w:id="18"/>
      <w:bookmarkEnd w:id="19"/>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27.1招标人将在</w:t>
      </w:r>
      <w:r>
        <w:rPr>
          <w:rFonts w:hint="eastAsia" w:ascii="宋体" w:hAnsi="宋体"/>
          <w:color w:val="auto"/>
          <w:sz w:val="24"/>
          <w:highlight w:val="none"/>
          <w:u w:val="none"/>
          <w:lang w:eastAsia="zh-CN"/>
        </w:rPr>
        <w:t>广州交易集团有限公司(广州公共资源交易中心）</w:t>
      </w:r>
      <w:r>
        <w:rPr>
          <w:rFonts w:hint="eastAsia" w:ascii="宋体" w:hAnsi="宋体"/>
          <w:color w:val="auto"/>
          <w:sz w:val="24"/>
          <w:highlight w:val="none"/>
          <w:u w:val="none"/>
        </w:rPr>
        <w:t>交易平台、广东省招标投标监管网等法定媒体网站发布公示中标候选人，公示期为三天。</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27.4在产生中标候选人后，招标人将中标候选人的投标文件商务部分文件的所有内容（包括人员、业绩、奖项等资料）在</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w:t>
      </w:r>
      <w:r>
        <w:rPr>
          <w:rFonts w:hint="eastAsia" w:ascii="宋体" w:hAnsi="宋体"/>
          <w:strike/>
          <w:dstrike w:val="0"/>
          <w:color w:val="auto"/>
          <w:sz w:val="24"/>
          <w:highlight w:val="none"/>
        </w:rPr>
        <w:t>原中标人的投标保证金不予退还，</w:t>
      </w:r>
      <w:r>
        <w:rPr>
          <w:rFonts w:hint="eastAsia" w:ascii="宋体" w:hAnsi="宋体"/>
          <w:color w:val="auto"/>
          <w:sz w:val="24"/>
          <w:highlight w:val="none"/>
        </w:rPr>
        <w:t>且依法承担相应法律责任。</w:t>
      </w:r>
      <w:r>
        <w:rPr>
          <w:rFonts w:hint="eastAsia" w:ascii="宋体" w:hAnsi="宋体"/>
          <w:strike/>
          <w:dstrike w:val="0"/>
          <w:color w:val="auto"/>
          <w:sz w:val="24"/>
          <w:highlight w:val="none"/>
        </w:rPr>
        <w:t>原中标人给招标人造成的损失超过投标保证金数额的，还应当对超过部分予以赔偿。</w:t>
      </w:r>
      <w:r>
        <w:rPr>
          <w:rFonts w:hint="eastAsia" w:ascii="宋体" w:hAnsi="宋体"/>
          <w:color w:val="auto"/>
          <w:sz w:val="24"/>
          <w:highlight w:val="none"/>
        </w:rPr>
        <w:t>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29.1 在收到中标通知书后的15日内，中标人应按本须知前附表第20项的规定向招标人提交履约担保。</w:t>
      </w:r>
    </w:p>
    <w:p>
      <w:pPr>
        <w:snapToGrid w:val="0"/>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30.1</w:t>
      </w:r>
      <w:r>
        <w:rPr>
          <w:rFonts w:hint="eastAsia" w:ascii="宋体" w:hAnsi="宋体"/>
          <w:color w:val="auto"/>
          <w:sz w:val="24"/>
          <w:highlight w:val="none"/>
          <w:u w:val="single"/>
        </w:rPr>
        <w:t>合同自发包人、承包人双方法定代表人或委托代理人签字并加盖公章之日起生效。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31.1根据广州市政府相关文件的规定，向</w:t>
      </w:r>
      <w:r>
        <w:rPr>
          <w:rFonts w:hint="eastAsia" w:ascii="宋体" w:hAnsi="宋体" w:cs="宋体"/>
          <w:bCs/>
          <w:color w:val="auto"/>
          <w:sz w:val="24"/>
          <w:highlight w:val="none"/>
          <w:u w:val="single"/>
          <w:lang w:eastAsia="zh-CN"/>
        </w:rPr>
        <w:t>广州交易集团有限公司(广州公共资源交易中心）</w:t>
      </w:r>
      <w:r>
        <w:rPr>
          <w:rFonts w:hint="eastAsia" w:ascii="宋体" w:hAnsi="宋体" w:cs="宋体"/>
          <w:bCs/>
          <w:color w:val="auto"/>
          <w:sz w:val="24"/>
          <w:highlight w:val="none"/>
          <w:u w:val="single"/>
        </w:rPr>
        <w:t>交纳交易服务费。</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Style w:val="5"/>
        <w:spacing w:after="0" w:line="360" w:lineRule="auto"/>
        <w:ind w:firstLine="480" w:firstLineChars="200"/>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33. 投标人信誉的要求</w:t>
      </w:r>
    </w:p>
    <w:p>
      <w:pPr>
        <w:pStyle w:val="5"/>
        <w:spacing w:after="0" w:line="360" w:lineRule="auto"/>
        <w:ind w:firstLine="480" w:firstLineChars="200"/>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存在下列情形之一的，招标人可以限制其投标（根据招标公告《投标人声明（一）》评审）</w:t>
      </w:r>
    </w:p>
    <w:p>
      <w:pPr>
        <w:pStyle w:val="5"/>
        <w:spacing w:after="0" w:line="360" w:lineRule="auto"/>
        <w:ind w:firstLine="480" w:firstLineChars="200"/>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（1）被住房城乡建设行政主管部门在全国建筑市场监管一体化工作平台列入建筑市场主体“黑名单”；</w:t>
      </w:r>
    </w:p>
    <w:p>
      <w:pPr>
        <w:pStyle w:val="5"/>
        <w:spacing w:after="0" w:line="360" w:lineRule="auto"/>
        <w:ind w:firstLine="480" w:firstLineChars="200"/>
        <w:jc w:val="left"/>
        <w:rPr>
          <w:b/>
          <w:bCs/>
          <w:color w:val="auto"/>
          <w:sz w:val="28"/>
          <w:szCs w:val="28"/>
          <w:highlight w:val="none"/>
        </w:rPr>
      </w:pPr>
      <w:r>
        <w:rPr>
          <w:rFonts w:hint="eastAsia" w:ascii="宋体" w:hAnsi="宋体" w:eastAsia="宋体" w:cs="Times New Roman"/>
          <w:color w:val="auto"/>
          <w:kern w:val="2"/>
          <w:sz w:val="24"/>
          <w:szCs w:val="22"/>
          <w:highlight w:val="none"/>
          <w:u w:val="single"/>
          <w:lang w:val="en-US" w:eastAsia="zh-CN" w:bidi="ar-SA"/>
        </w:rPr>
        <w:t>（2）被发改委、人力资源社会保障、质检总局等有关部门、单位在“信用中国”网站中列入联合惩戒失信黑名单；</w:t>
      </w:r>
      <w:r>
        <w:rPr>
          <w:rFonts w:ascii="宋体"/>
          <w:color w:val="auto"/>
          <w:sz w:val="24"/>
          <w:highlight w:val="none"/>
          <w:u w:val="single"/>
        </w:rPr>
        <w:br w:type="page"/>
      </w:r>
      <w:bookmarkStart w:id="20" w:name="_Toc2272554"/>
      <w:bookmarkStart w:id="21" w:name="_Toc21525498"/>
      <w:r>
        <w:rPr>
          <w:rFonts w:hint="eastAsia"/>
          <w:b/>
          <w:bCs/>
          <w:color w:val="auto"/>
          <w:sz w:val="28"/>
          <w:szCs w:val="28"/>
          <w:highlight w:val="none"/>
        </w:rPr>
        <w:t>第二章</w:t>
      </w:r>
      <w:r>
        <w:rPr>
          <w:b/>
          <w:bCs/>
          <w:color w:val="auto"/>
          <w:sz w:val="28"/>
          <w:szCs w:val="28"/>
          <w:highlight w:val="none"/>
        </w:rPr>
        <w:t xml:space="preserve">  </w:t>
      </w:r>
      <w:r>
        <w:rPr>
          <w:rFonts w:hint="eastAsia"/>
          <w:b/>
          <w:bCs/>
          <w:color w:val="auto"/>
          <w:sz w:val="28"/>
          <w:szCs w:val="28"/>
          <w:highlight w:val="none"/>
        </w:rPr>
        <w:t>开标、评标及定标办法</w:t>
      </w:r>
      <w:bookmarkEnd w:id="20"/>
      <w:bookmarkEnd w:id="21"/>
    </w:p>
    <w:p>
      <w:pPr>
        <w:pStyle w:val="2"/>
        <w:rPr>
          <w:color w:val="auto"/>
          <w:highlight w:val="none"/>
        </w:rPr>
      </w:pPr>
      <w:bookmarkStart w:id="22" w:name="_Toc21525499"/>
      <w:bookmarkStart w:id="23" w:name="_Toc2272555"/>
      <w:r>
        <w:rPr>
          <w:rFonts w:hint="eastAsia"/>
          <w:color w:val="auto"/>
          <w:sz w:val="28"/>
          <w:szCs w:val="28"/>
          <w:highlight w:val="none"/>
        </w:rPr>
        <w:t>一、</w:t>
      </w:r>
      <w:r>
        <w:rPr>
          <w:rFonts w:hint="eastAsia"/>
          <w:color w:val="auto"/>
          <w:highlight w:val="none"/>
        </w:rPr>
        <w:t>开标、评标及定标办法修改表</w:t>
      </w:r>
      <w:bookmarkEnd w:id="22"/>
      <w:bookmarkEnd w:id="23"/>
    </w:p>
    <w:p>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3"/>
          <w:b/>
          <w:color w:val="auto"/>
          <w:szCs w:val="21"/>
          <w:highlight w:val="none"/>
        </w:rPr>
        <w:t>http://www.gzcc.gov.cn/</w:t>
      </w:r>
      <w:r>
        <w:rPr>
          <w:rStyle w:val="43"/>
          <w:rFonts w:hint="eastAsia"/>
          <w:b/>
          <w:color w:val="auto"/>
          <w:szCs w:val="21"/>
          <w:highlight w:val="none"/>
        </w:rPr>
        <w:t>）下载GZZB2018-3</w:t>
      </w:r>
      <w:r>
        <w:rPr>
          <w:rStyle w:val="43"/>
          <w:rFonts w:hint="eastAsia"/>
          <w:b/>
          <w:color w:val="auto"/>
          <w:szCs w:val="21"/>
          <w:highlight w:val="none"/>
        </w:rPr>
        <w:fldChar w:fldCharType="end"/>
      </w:r>
      <w:r>
        <w:rPr>
          <w:rFonts w:hint="eastAsia"/>
          <w:b/>
          <w:color w:val="auto"/>
          <w:szCs w:val="21"/>
          <w:highlight w:val="none"/>
        </w:rPr>
        <w:t>范本查阅。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36.3</w:t>
      </w:r>
      <w:r>
        <w:rPr>
          <w:b/>
          <w:color w:val="auto"/>
          <w:szCs w:val="21"/>
          <w:highlight w:val="none"/>
        </w:rPr>
        <w:t xml:space="preserve">             </w:t>
      </w:r>
      <w:r>
        <w:rPr>
          <w:rFonts w:hint="eastAsia"/>
          <w:b/>
          <w:color w:val="auto"/>
          <w:szCs w:val="21"/>
          <w:highlight w:val="none"/>
        </w:rPr>
        <w:t>修改类型：删除</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w:t>
      </w:r>
    </w:p>
    <w:p>
      <w:pPr>
        <w:pBdr>
          <w:bottom w:val="single" w:color="auto" w:sz="6" w:space="1"/>
        </w:pBdr>
        <w:spacing w:line="360" w:lineRule="auto"/>
        <w:rPr>
          <w:b/>
          <w:color w:val="auto"/>
          <w:szCs w:val="21"/>
          <w:highlight w:val="none"/>
        </w:rPr>
      </w:pPr>
      <w:r>
        <w:rPr>
          <w:rFonts w:hint="eastAsia" w:ascii="宋体" w:hAnsi="宋体" w:cs="宋体"/>
          <w:color w:val="auto"/>
          <w:szCs w:val="21"/>
          <w:highlight w:val="none"/>
        </w:rPr>
        <w:t>应的评标办法供评标时使用。</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w:t>
      </w:r>
      <w:r>
        <w:rPr>
          <w:rFonts w:hint="eastAsia" w:ascii="宋体" w:hAnsi="宋体" w:cs="宋体"/>
          <w:color w:val="auto"/>
          <w:szCs w:val="21"/>
          <w:highlight w:val="none"/>
          <w:u w:val="single"/>
        </w:rPr>
        <w:t>招标人或招标代理机构</w:t>
      </w:r>
      <w:r>
        <w:rPr>
          <w:rFonts w:hint="eastAsia" w:ascii="宋体" w:hAnsi="宋体" w:cs="宋体"/>
          <w:color w:val="auto"/>
          <w:szCs w:val="21"/>
          <w:highlight w:val="none"/>
        </w:rPr>
        <w:t>进行解密（如有项目负责人签到环节，应在项目负责人签到完成后，招标人再进行解密）。解密完成后，公布招标项目名称、投标人名称的递交情况、投标报价、工期及其他内容。</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38.1为有助于投标文件的审查、评价和比较，评标期间，经</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中两人以上（含两人）的成员以书面形式提出动议，</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应当书面发出澄清通知，要求投标人</w:t>
      </w:r>
      <w:r>
        <w:rPr>
          <w:rFonts w:hint="eastAsia" w:ascii="宋体" w:hAnsi="宋体" w:cs="宋体"/>
          <w:color w:val="auto"/>
          <w:szCs w:val="21"/>
          <w:highlight w:val="none"/>
          <w:u w:val="single"/>
        </w:rPr>
        <w:t>对投标文件含义不明确、对同类问题表述不一致、有明显文字和计算错误的内容以及细微偏差的内容</w:t>
      </w:r>
      <w:r>
        <w:rPr>
          <w:rFonts w:hint="eastAsia" w:ascii="宋体" w:hAnsi="宋体" w:cs="宋体"/>
          <w:color w:val="auto"/>
          <w:szCs w:val="21"/>
          <w:highlight w:val="none"/>
        </w:rPr>
        <w:t>作出澄清。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39.3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rFonts w:ascii="宋体" w:hAnsi="宋体"/>
          <w:color w:val="auto"/>
          <w:sz w:val="24"/>
          <w:szCs w:val="24"/>
          <w:highlight w:val="none"/>
        </w:rPr>
      </w:pPr>
      <w:r>
        <w:rPr>
          <w:rFonts w:hint="eastAsia"/>
          <w:b/>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color w:val="auto"/>
          <w:szCs w:val="21"/>
          <w:highlight w:val="none"/>
          <w:u w:val="single"/>
        </w:rPr>
        <w:t>39.3</w:t>
      </w:r>
      <w:r>
        <w:rPr>
          <w:rFonts w:hint="eastAsia"/>
          <w:bCs/>
          <w:color w:val="auto"/>
          <w:szCs w:val="21"/>
          <w:highlight w:val="none"/>
          <w:u w:val="single"/>
        </w:rPr>
        <w:t>排名第一的中标候选人放弃中标、或因不可抗力提出不能履行合同，或者招标文件规定应当提交履约担保而在规定的期限内未能提交的，</w:t>
      </w:r>
      <w:r>
        <w:rPr>
          <w:rFonts w:hint="eastAsia"/>
          <w:b/>
          <w:bCs/>
          <w:color w:val="auto"/>
          <w:szCs w:val="21"/>
          <w:highlight w:val="none"/>
          <w:u w:val="single"/>
        </w:rPr>
        <w:t>或经核查发现委派的项目负责人已在其他在建项目中任职的，或者被查实存在影响中标结果的违法行为等情形，不符合中标条件的，</w:t>
      </w:r>
      <w:r>
        <w:rPr>
          <w:rFonts w:hint="eastAsia"/>
          <w:bCs/>
          <w:color w:val="auto"/>
          <w:szCs w:val="21"/>
          <w:highlight w:val="none"/>
          <w:u w:val="single"/>
        </w:rPr>
        <w:t>招标人可以确定排名第二的中标候选人为中标人。</w:t>
      </w:r>
    </w:p>
    <w:p>
      <w:pPr>
        <w:pStyle w:val="5"/>
        <w:spacing w:after="0" w:line="4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条款号：（二）开标评标办法程序和细则   注       修改类型：删除</w:t>
      </w:r>
    </w:p>
    <w:p>
      <w:pPr>
        <w:pBdr>
          <w:bottom w:val="single" w:color="auto" w:sz="6" w:space="1"/>
        </w:pBdr>
        <w:spacing w:line="460" w:lineRule="exact"/>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注：以下八种评标办法所述企业综合诚信评价分数即投标截止当日广州市住房和城乡建设局网站上公布的企业综合诚信评价60日诚信分。</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pPr>
        <w:pBdr>
          <w:bottom w:val="single" w:color="auto" w:sz="6" w:space="1"/>
        </w:pBdr>
        <w:spacing w:line="360" w:lineRule="auto"/>
        <w:ind w:firstLine="527" w:firstLineChars="250"/>
        <w:rPr>
          <w:rStyle w:val="43"/>
          <w:rFonts w:ascii="宋体" w:hAnsi="宋体" w:cs="宋体"/>
          <w:color w:val="auto"/>
          <w:highlight w:val="none"/>
        </w:rPr>
      </w:pPr>
      <w:r>
        <w:rPr>
          <w:rFonts w:hint="eastAsia" w:ascii="宋体" w:hAnsi="宋体" w:cs="宋体"/>
          <w:b/>
          <w:color w:val="auto"/>
          <w:szCs w:val="21"/>
          <w:highlight w:val="none"/>
        </w:rPr>
        <w:t>原文：</w:t>
      </w:r>
      <w:r>
        <w:rPr>
          <w:rStyle w:val="43"/>
          <w:rFonts w:hint="eastAsia" w:ascii="宋体" w:hAnsi="宋体" w:cs="宋体"/>
          <w:color w:val="auto"/>
          <w:highlight w:val="none"/>
        </w:rPr>
        <w:t>可选</w:t>
      </w:r>
      <w:r>
        <w:rPr>
          <w:rFonts w:hint="eastAsia" w:ascii="宋体" w:hAnsi="宋体" w:cs="宋体"/>
          <w:color w:val="auto"/>
          <w:szCs w:val="21"/>
          <w:highlight w:val="none"/>
        </w:rPr>
        <w:t>办法</w:t>
      </w:r>
      <w:r>
        <w:rPr>
          <w:rStyle w:val="43"/>
          <w:rFonts w:hint="eastAsia" w:ascii="宋体" w:hAnsi="宋体" w:cs="宋体"/>
          <w:color w:val="auto"/>
          <w:highlight w:val="none"/>
        </w:rPr>
        <w:t>一（适合</w:t>
      </w:r>
      <w:r>
        <w:rPr>
          <w:rStyle w:val="43"/>
          <w:rFonts w:hint="eastAsia" w:ascii="宋体" w:hAnsi="宋体" w:cs="宋体"/>
          <w:color w:val="auto"/>
          <w:kern w:val="0"/>
          <w:highlight w:val="none"/>
        </w:rPr>
        <w:t>综合评分法一</w:t>
      </w:r>
      <w:r>
        <w:rPr>
          <w:rStyle w:val="43"/>
          <w:rFonts w:hint="eastAsia" w:ascii="宋体" w:hAnsi="宋体" w:cs="宋体"/>
          <w:color w:val="auto"/>
          <w:highlight w:val="none"/>
        </w:rPr>
        <w:t>，技术标与经济标先后分别开启）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w:t>
      </w:r>
      <w:r>
        <w:rPr>
          <w:rFonts w:hint="eastAsia" w:ascii="宋体" w:hAnsi="宋体" w:cs="宋体"/>
          <w:color w:val="auto"/>
          <w:szCs w:val="21"/>
          <w:highlight w:val="none"/>
        </w:rPr>
        <w:t>办法</w:t>
      </w:r>
      <w:r>
        <w:rPr>
          <w:rStyle w:val="43"/>
          <w:rFonts w:hint="eastAsia" w:ascii="宋体" w:hAnsi="宋体" w:cs="宋体"/>
          <w:color w:val="auto"/>
          <w:highlight w:val="none"/>
        </w:rPr>
        <w:t>二（适合综合评分法一，技术标与经济标同时开启）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可选办法三（适合综合评分法二，技术标与经济标先后分别开启）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可选办法四（适合综合评分法二，技术标与经济标同时开启）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可选办法五（适合综合评分法三，技术标与经济标先后分别开启）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可选办法六（适合综合评分法三，技术标与经济标同时开启）</w:t>
      </w:r>
    </w:p>
    <w:p>
      <w:pPr>
        <w:pBdr>
          <w:bottom w:val="single" w:color="auto" w:sz="6" w:space="1"/>
        </w:pBdr>
        <w:spacing w:line="360" w:lineRule="auto"/>
        <w:ind w:firstLine="1155" w:firstLineChars="550"/>
        <w:rPr>
          <w:rFonts w:ascii="宋体" w:hAnsi="宋体" w:cs="宋体"/>
          <w:b/>
          <w:color w:val="auto"/>
          <w:szCs w:val="21"/>
          <w:highlight w:val="none"/>
        </w:rPr>
      </w:pPr>
      <w:r>
        <w:rPr>
          <w:rStyle w:val="43"/>
          <w:rFonts w:hint="eastAsia" w:ascii="宋体" w:hAnsi="宋体" w:cs="宋体"/>
          <w:color w:val="auto"/>
          <w:highlight w:val="none"/>
        </w:rPr>
        <w:t>可选办法八（适合经评审的最低投标价法，技术标与经济标同时开启）</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41.2.1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480" w:lineRule="auto"/>
        <w:ind w:firstLine="422" w:firstLineChars="200"/>
        <w:rPr>
          <w:b/>
          <w:color w:val="auto"/>
          <w:szCs w:val="21"/>
          <w:highlight w:val="none"/>
        </w:rPr>
      </w:pPr>
      <w:r>
        <w:rPr>
          <w:rFonts w:hint="eastAsia"/>
          <w:b/>
          <w:color w:val="auto"/>
          <w:szCs w:val="21"/>
          <w:highlight w:val="none"/>
        </w:rPr>
        <w:t>原文：</w:t>
      </w:r>
      <w:r>
        <w:rPr>
          <w:rFonts w:hint="eastAsia" w:ascii="宋体"/>
          <w:color w:val="auto"/>
          <w:szCs w:val="21"/>
          <w:highlight w:val="none"/>
        </w:rPr>
        <w:t>4</w:t>
      </w:r>
      <w:r>
        <w:rPr>
          <w:rFonts w:hint="eastAsia" w:ascii="宋体" w:hAnsi="宋体" w:cs="宋体"/>
          <w:color w:val="auto"/>
          <w:szCs w:val="21"/>
          <w:highlight w:val="none"/>
        </w:rPr>
        <w:t>1.2.2开标前，首先由招标人随机抽取确定该工程计算评标参考价的等分点值X。</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b/>
          <w:bCs/>
          <w:color w:val="auto"/>
          <w:szCs w:val="21"/>
          <w:highlight w:val="none"/>
        </w:rPr>
        <w:t>41.2.3</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48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1.具体操作详见“广州交易集团有限公司（广州公共资源交易中心）门户网站首页-&gt;服务指南-&gt;系统帮助-&gt;操作手册-&gt;发起及受理异议操作指引”。</w:t>
      </w:r>
    </w:p>
    <w:p>
      <w:pPr>
        <w:numPr>
          <w:ilvl w:val="0"/>
          <w:numId w:val="0"/>
        </w:numPr>
        <w:pBdr>
          <w:bottom w:val="single" w:color="auto" w:sz="6" w:space="1"/>
        </w:pBdr>
        <w:spacing w:line="480" w:lineRule="auto"/>
        <w:ind w:firstLine="470" w:firstLineChars="224"/>
        <w:rPr>
          <w:rFonts w:hint="eastAsia" w:ascii="宋体" w:hAnsi="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u w:val="single"/>
        </w:rPr>
        <w:t>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条款号：41.3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pPr>
        <w:pBdr>
          <w:bottom w:val="single" w:color="auto" w:sz="6" w:space="1"/>
        </w:pBd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41.3招标人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对开标过程进行记录，并存档备查，投标人在</w:t>
      </w:r>
      <w:r>
        <w:rPr>
          <w:rFonts w:hint="eastAsia" w:ascii="宋体" w:hAnsi="宋体" w:cs="宋体"/>
          <w:color w:val="auto"/>
          <w:szCs w:val="21"/>
          <w:highlight w:val="none"/>
          <w:u w:val="single"/>
        </w:rPr>
        <w:t>开标记录上</w:t>
      </w:r>
      <w:r>
        <w:rPr>
          <w:rFonts w:hint="eastAsia" w:ascii="宋体" w:hAnsi="宋体" w:cs="宋体"/>
          <w:color w:val="auto"/>
          <w:szCs w:val="21"/>
          <w:highlight w:val="none"/>
        </w:rPr>
        <w:t>签字。</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42.2</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42.1评标委员会的组成：方式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方式二：评标委员会由技术评审组和经济评审组组成。其中：资格审查、技术评审由技术评标组负责，经济评审由经济评审组负责。</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480" w:lineRule="auto"/>
        <w:ind w:firstLine="470" w:firstLineChars="224"/>
        <w:rPr>
          <w:color w:val="auto"/>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43.1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480" w:lineRule="auto"/>
        <w:ind w:firstLine="472" w:firstLineChars="224"/>
        <w:rPr>
          <w:rFonts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u w:val="singl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44.1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jc w:val="left"/>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color w:val="auto"/>
          <w:highlight w:val="none"/>
        </w:rPr>
        <w:t>。</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45.1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45.1</w:t>
      </w:r>
      <w:r>
        <w:rPr>
          <w:rFonts w:hint="eastAsia" w:ascii="宋体" w:hAnsi="宋体" w:cs="宋体"/>
          <w:color w:val="auto"/>
          <w:szCs w:val="21"/>
          <w:highlight w:val="none"/>
          <w:u w:val="single"/>
        </w:rPr>
        <w:t>若通过技术标有效性审查的投标人中所有投标报价均大于等于最高投标限价，则本项目招标失败，由招标人依法重新招标。</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45.2  </w:t>
      </w:r>
      <w:r>
        <w:rPr>
          <w:b/>
          <w:color w:val="auto"/>
          <w:szCs w:val="21"/>
          <w:highlight w:val="none"/>
        </w:rPr>
        <w:t xml:space="preserve">           </w:t>
      </w:r>
      <w:r>
        <w:rPr>
          <w:rFonts w:hint="eastAsia"/>
          <w:b/>
          <w:color w:val="auto"/>
          <w:szCs w:val="21"/>
          <w:highlight w:val="none"/>
        </w:rPr>
        <w:t>修改类型：修改</w:t>
      </w:r>
    </w:p>
    <w:p>
      <w:pPr>
        <w:pStyle w:val="5"/>
        <w:tabs>
          <w:tab w:val="left" w:pos="7380"/>
        </w:tabs>
        <w:snapToGrid w:val="0"/>
        <w:spacing w:after="0" w:line="360" w:lineRule="auto"/>
        <w:ind w:firstLine="422" w:firstLineChars="200"/>
        <w:rPr>
          <w:rFonts w:ascii="宋体" w:hAnsi="宋体"/>
          <w:color w:val="auto"/>
          <w:sz w:val="24"/>
          <w:szCs w:val="24"/>
          <w:highlight w:val="none"/>
        </w:rPr>
      </w:pPr>
      <w:r>
        <w:rPr>
          <w:rFonts w:hint="eastAsia"/>
          <w:b/>
          <w:color w:val="auto"/>
          <w:szCs w:val="21"/>
          <w:highlight w:val="none"/>
        </w:rPr>
        <w:t>原文：</w:t>
      </w:r>
      <w:r>
        <w:rPr>
          <w:rFonts w:hint="eastAsia" w:ascii="宋体" w:hAnsi="宋体"/>
          <w:color w:val="auto"/>
          <w:sz w:val="24"/>
          <w:szCs w:val="24"/>
          <w:highlight w:val="none"/>
        </w:rPr>
        <w:t xml:space="preserve"> </w:t>
      </w:r>
      <w:r>
        <w:rPr>
          <w:rFonts w:hint="eastAsia" w:ascii="宋体" w:hAnsi="宋体" w:cs="宋体"/>
          <w:color w:val="auto"/>
          <w:szCs w:val="21"/>
          <w:highlight w:val="none"/>
        </w:rPr>
        <w:t>45.2按方法    计算评标参考价：</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评标参考价=（Q高-Q低）/100*Ｘ+Q低</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Q高：为最高投标限价</w:t>
      </w:r>
    </w:p>
    <w:p>
      <w:pPr>
        <w:widowControl/>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X:为等分点值，在开标前从[0,100]整数中随机抽取</w:t>
      </w:r>
      <w:r>
        <w:rPr>
          <w:rFonts w:hint="eastAsia" w:ascii="宋体" w:hAnsi="宋体" w:cs="宋体"/>
          <w:color w:val="auto"/>
          <w:szCs w:val="21"/>
          <w:highlight w:val="none"/>
          <w:lang w:eastAsia="zh-CN"/>
        </w:rPr>
        <w:t>。</w:t>
      </w:r>
    </w:p>
    <w:p>
      <w:pPr>
        <w:widowControl/>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45.2按方法</w:t>
      </w:r>
      <w:r>
        <w:rPr>
          <w:rFonts w:hint="eastAsia" w:ascii="宋体" w:hAnsi="宋体" w:cs="宋体"/>
          <w:color w:val="auto"/>
          <w:szCs w:val="21"/>
          <w:highlight w:val="none"/>
          <w:u w:val="single"/>
        </w:rPr>
        <w:t>一</w:t>
      </w:r>
      <w:r>
        <w:rPr>
          <w:rFonts w:hint="eastAsia" w:ascii="宋体" w:hAnsi="宋体" w:cs="宋体"/>
          <w:color w:val="auto"/>
          <w:szCs w:val="21"/>
          <w:highlight w:val="none"/>
        </w:rPr>
        <w:t>计算评标参考价：</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仿宋"/>
          <w:color w:val="auto"/>
          <w:szCs w:val="21"/>
          <w:highlight w:val="none"/>
          <w:u w:val="single"/>
        </w:rPr>
        <w:t>通过技术标有效性审查且经济报价在[工程成本警戒价, 招标控制价]区间的投标人的技术标得分</w:t>
      </w:r>
      <w:r>
        <w:rPr>
          <w:rFonts w:hint="eastAsia" w:ascii="宋体" w:hAnsi="宋体" w:cs="仿宋"/>
          <w:color w:val="auto"/>
          <w:szCs w:val="21"/>
          <w:highlight w:val="none"/>
        </w:rPr>
        <w:t>前</w:t>
      </w:r>
      <w:r>
        <w:rPr>
          <w:rFonts w:ascii="宋体" w:hAnsi="宋体" w:cs="仿宋"/>
          <w:color w:val="auto"/>
          <w:szCs w:val="21"/>
          <w:highlight w:val="none"/>
        </w:rPr>
        <w:t>N</w:t>
      </w:r>
      <w:r>
        <w:rPr>
          <w:rFonts w:hint="eastAsia" w:ascii="宋体" w:hAnsi="宋体" w:cs="仿宋"/>
          <w:color w:val="auto"/>
          <w:szCs w:val="21"/>
          <w:highlight w:val="none"/>
        </w:rPr>
        <w:t>名（N＝5；当N不足5名时，取满足前述条件的投标人个数）</w:t>
      </w:r>
      <w:r>
        <w:rPr>
          <w:rFonts w:hint="eastAsia" w:ascii="宋体" w:hAnsi="宋体" w:cs="宋体"/>
          <w:color w:val="auto"/>
          <w:szCs w:val="21"/>
          <w:highlight w:val="none"/>
        </w:rPr>
        <w:t>的经济报价加权平均，计算评标参考价。公式如下：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技术标得分相同的的投标人，由评标委员会采用记名投票方式，确定投标人的排序。</w:t>
      </w:r>
    </w:p>
    <w:p>
      <w:pPr>
        <w:pBdr>
          <w:bottom w:val="single" w:color="auto" w:sz="6" w:space="1"/>
        </w:pBdr>
        <w:spacing w:line="360" w:lineRule="auto"/>
        <w:ind w:firstLine="525" w:firstLineChars="250"/>
        <w:rPr>
          <w:color w:val="auto"/>
          <w:highlight w:val="none"/>
        </w:rPr>
      </w:pPr>
      <w:r>
        <w:rPr>
          <w:rFonts w:hint="eastAsia" w:ascii="宋体" w:hAnsi="宋体" w:cs="宋体"/>
          <w:bCs/>
          <w:color w:val="auto"/>
          <w:szCs w:val="21"/>
          <w:highlight w:val="none"/>
          <w:u w:val="single"/>
        </w:rPr>
        <w:t>注：投票方式确定排序的具体操作步骤为：由评标会对出现该情况的投标人进行编号，然后通过投票方式依次确定投标人的排序。</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45.3</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w:t>
      </w:r>
      <w:r>
        <w:rPr>
          <w:rFonts w:hint="eastAsia" w:ascii="宋体" w:hAnsi="宋体" w:cs="宋体"/>
          <w:color w:val="auto"/>
          <w:szCs w:val="21"/>
          <w:highlight w:val="none"/>
          <w:u w:val="single"/>
        </w:rPr>
        <w:t>0.2</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u w:val="single"/>
        </w:rPr>
        <w:t>0.1</w:t>
      </w:r>
      <w:r>
        <w:rPr>
          <w:rFonts w:hint="eastAsia" w:ascii="宋体" w:hAnsi="宋体" w:cs="宋体"/>
          <w:color w:val="auto"/>
          <w:szCs w:val="21"/>
          <w:highlight w:val="none"/>
        </w:rPr>
        <w:t>分，扣至0分为止，得出经济分，精确到小数点后两位。</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4</w:t>
      </w:r>
      <w:r>
        <w:rPr>
          <w:rFonts w:hint="eastAsia" w:ascii="宋体" w:hAnsi="宋体" w:cs="宋体"/>
          <w:color w:val="auto"/>
          <w:highlight w:val="none"/>
          <w:u w:val="single"/>
        </w:rPr>
        <w:t>5.4计算通过技术标有效性审查的投标人总得分。投标人总得分=技术得分（满分</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rPr>
        <w:t>分）＋经济得分（满分100分）×经济得分权重（</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0%）。技术、经济得分权重按投标须知前附表</w:t>
      </w:r>
      <w:r>
        <w:rPr>
          <w:rFonts w:hint="eastAsia" w:ascii="宋体" w:hAnsi="宋体" w:cs="宋体"/>
          <w:color w:val="auto"/>
          <w:szCs w:val="21"/>
          <w:highlight w:val="none"/>
          <w:u w:val="single"/>
        </w:rPr>
        <w:t>的规定执行。总</w:t>
      </w:r>
      <w:r>
        <w:rPr>
          <w:rFonts w:hint="eastAsia" w:ascii="宋体" w:hAnsi="宋体" w:cs="宋体"/>
          <w:bCs/>
          <w:color w:val="auto"/>
          <w:szCs w:val="21"/>
          <w:highlight w:val="none"/>
          <w:u w:val="single"/>
        </w:rPr>
        <w:t>得分四舍五入保留两位小数。</w:t>
      </w:r>
      <w:r>
        <w:rPr>
          <w:rFonts w:hint="eastAsia" w:ascii="宋体" w:hAnsi="宋体" w:cs="宋体"/>
          <w:color w:val="auto"/>
          <w:highlight w:val="none"/>
          <w:u w:val="single"/>
        </w:rPr>
        <w:t>总得分相同的投标文件，以技术分高的排前；总得分、技术分均相同的投标文件，由评标委员会采用记名投票方式，确定投标人的排序。确定排序的具体操作步骤为：由评标会对出现该情况的投标人进行编号，然后通过记名投票方式，以得票多的排前确定排序。</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条款号：46.1</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w:t>
      </w:r>
      <w:r>
        <w:rPr>
          <w:rFonts w:hint="eastAsia" w:ascii="宋体" w:hAnsi="宋体" w:eastAsia="宋体" w:cs="宋体"/>
          <w:b/>
          <w:color w:val="auto"/>
          <w:szCs w:val="21"/>
          <w:highlight w:val="none"/>
        </w:rPr>
        <w:t xml:space="preserve">号：46.2.8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eastAsia="宋体" w:cs="宋体"/>
          <w:color w:val="auto"/>
          <w:szCs w:val="21"/>
          <w:highlight w:val="none"/>
          <w:u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w:t>
      </w:r>
      <w:r>
        <w:rPr>
          <w:rFonts w:hint="eastAsia" w:ascii="宋体" w:hAnsi="宋体" w:eastAsia="宋体" w:cs="宋体"/>
          <w:color w:val="auto"/>
          <w:szCs w:val="21"/>
          <w:highlight w:val="none"/>
          <w:u w:val="single"/>
        </w:rPr>
        <w:t>46.2.8按上述修正错误的原则及方法调整或修正投标文件的投标报价，调整后的投标报价对投标人起约束作用。如果投标人不接受修正后的报价，则取消其投标资格。</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条款号：48</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w:t>
      </w:r>
      <w:r>
        <w:rPr>
          <w:rFonts w:hint="eastAsia" w:ascii="宋体" w:hAnsi="宋体" w:cs="宋体"/>
          <w:color w:val="auto"/>
          <w:szCs w:val="21"/>
          <w:highlight w:val="none"/>
          <w:u w:val="single"/>
        </w:rPr>
        <w:t>按步骤45.4确定的投标人排序</w:t>
      </w:r>
      <w:r>
        <w:rPr>
          <w:rFonts w:hint="eastAsia" w:ascii="宋体" w:hAnsi="宋体" w:cs="宋体"/>
          <w:color w:val="auto"/>
          <w:szCs w:val="21"/>
          <w:highlight w:val="none"/>
        </w:rPr>
        <w:t>，推荐前3名依次为第一中标候选人至第三中标候选人,并编制评标报告。</w:t>
      </w:r>
    </w:p>
    <w:p>
      <w:pPr>
        <w:spacing w:line="36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附表一：《资格审查表》   附表二：《技术标有效性审查表》  附表三：《经济标有效性审查表》  附表四：《技术标详细审查评分表》  附表五《经济标评分表》</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  附表五《经济标评分表》。</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详见本招标文件</w:t>
      </w:r>
      <w:r>
        <w:rPr>
          <w:rFonts w:hint="eastAsia" w:ascii="宋体" w:hAnsi="宋体" w:cs="宋体"/>
          <w:color w:val="auto"/>
          <w:szCs w:val="21"/>
          <w:highlight w:val="none"/>
          <w:u w:val="single"/>
        </w:rPr>
        <w:t>附表一：《资格审查表》    附表二：《技术标有效性审查表》   附表三：《经济标有效性审查表》   附表四：《技术标详细审查评分表》  附表五《经济标评分表》。</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9"/>
        <w:spacing w:line="360" w:lineRule="auto"/>
        <w:rPr>
          <w:color w:val="auto"/>
          <w:highlight w:val="none"/>
        </w:rPr>
      </w:pPr>
      <w:r>
        <w:rPr>
          <w:color w:val="auto"/>
          <w:highlight w:val="none"/>
        </w:rPr>
        <w:br w:type="page"/>
      </w:r>
    </w:p>
    <w:p>
      <w:pPr>
        <w:pStyle w:val="2"/>
        <w:ind w:firstLine="525"/>
        <w:rPr>
          <w:color w:val="auto"/>
          <w:highlight w:val="none"/>
        </w:rPr>
      </w:pPr>
      <w:bookmarkStart w:id="24" w:name="_Toc21525500"/>
      <w:bookmarkStart w:id="25" w:name="_Toc2272556"/>
      <w:r>
        <w:rPr>
          <w:rFonts w:hint="eastAsia"/>
          <w:color w:val="auto"/>
          <w:highlight w:val="none"/>
        </w:rPr>
        <w:t>二、开标、评标及定标办法</w:t>
      </w:r>
      <w:r>
        <w:rPr>
          <w:rFonts w:hint="eastAsia"/>
          <w:color w:val="auto"/>
          <w:szCs w:val="30"/>
          <w:highlight w:val="none"/>
        </w:rPr>
        <w:t>通用条款</w:t>
      </w:r>
      <w:bookmarkEnd w:id="24"/>
      <w:bookmarkEnd w:id="25"/>
    </w:p>
    <w:p>
      <w:pPr>
        <w:pStyle w:val="7"/>
        <w:spacing w:before="156" w:after="156"/>
        <w:ind w:firstLine="540" w:firstLineChars="200"/>
        <w:rPr>
          <w:color w:val="auto"/>
          <w:highlight w:val="none"/>
        </w:rPr>
      </w:pPr>
      <w:bookmarkStart w:id="26" w:name="_Toc21525501"/>
      <w:bookmarkStart w:id="27" w:name="_Toc2272557"/>
      <w:r>
        <w:rPr>
          <w:rFonts w:hint="eastAsia"/>
          <w:color w:val="auto"/>
          <w:highlight w:val="none"/>
        </w:rPr>
        <w:t>（一）总则</w:t>
      </w:r>
      <w:bookmarkEnd w:id="26"/>
      <w:bookmarkEnd w:id="27"/>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35.7《广东省加强建设工程招标投标监督管理的若干规定》（粤发〔2004〕4号）；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36.</w:t>
      </w:r>
      <w:r>
        <w:rPr>
          <w:rFonts w:hint="eastAsia" w:ascii="宋体" w:hAnsi="宋体"/>
          <w:color w:val="auto"/>
          <w:sz w:val="24"/>
          <w:szCs w:val="24"/>
          <w:highlight w:val="none"/>
          <w:u w:val="single"/>
        </w:rPr>
        <w:t>1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36.5.1在投标截止时间后半小时内，投标人通过</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 xml:space="preserve"> 交易平台对已递交的电子投标文件进行解密。投标人完成解密后，再由招标人或招标代理机构进行解密（如有项目负责人签到环节，应在项目负责人签到完成后，招标人再进行解密）。解密完成后，公布招标项目名称、投标人名称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中两人以上（含两人）的成员以书面形式提出动议，</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对投标文件含义不明确、对同类问题表述不一致、有明显文字和计算错误的内容以及细微偏差的内容</w:t>
      </w:r>
      <w:r>
        <w:rPr>
          <w:rFonts w:hint="eastAsia" w:ascii="宋体" w:hAnsi="宋体" w:cs="宋体"/>
          <w:color w:val="auto"/>
          <w:sz w:val="24"/>
          <w:szCs w:val="24"/>
          <w:highlight w:val="none"/>
        </w:rPr>
        <w:t>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39.3排名第一的中标候选人放弃中标、或因不可抗力提出不能履行合同，或者招标文件规定应当提交履约担保而在规定的期限内未能提交的，或经核查发现委派的项目负责人已在其他在建项目中任职的，或者被查实存在影响中标结果的违法行为等情形，不符合中标条件的，招标人可以确定排名第二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540" w:firstLineChars="200"/>
        <w:rPr>
          <w:color w:val="auto"/>
          <w:highlight w:val="none"/>
        </w:rPr>
      </w:pPr>
      <w:bookmarkStart w:id="28" w:name="_Toc2272558"/>
      <w:bookmarkStart w:id="29" w:name="_Toc21525502"/>
      <w:r>
        <w:rPr>
          <w:rFonts w:hint="eastAsia"/>
          <w:color w:val="auto"/>
          <w:highlight w:val="none"/>
        </w:rPr>
        <w:t>（二）开标评标办法程序和细则</w:t>
      </w:r>
      <w:bookmarkEnd w:id="28"/>
      <w:bookmarkEnd w:id="29"/>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注：以下八种评标办法所述企业综合诚信评价分数即投标截止当日广州市工程招标代理行业协会网站上公布的企业综合诚信评价</w:t>
      </w:r>
      <w:r>
        <w:rPr>
          <w:rFonts w:ascii="宋体" w:hAnsi="宋体"/>
          <w:strike/>
          <w:color w:val="auto"/>
          <w:sz w:val="24"/>
          <w:szCs w:val="24"/>
          <w:highlight w:val="none"/>
        </w:rPr>
        <w:t>60</w:t>
      </w:r>
      <w:r>
        <w:rPr>
          <w:rFonts w:hint="eastAsia" w:ascii="宋体" w:hAnsi="宋体"/>
          <w:strike/>
          <w:color w:val="auto"/>
          <w:sz w:val="24"/>
          <w:szCs w:val="24"/>
          <w:highlight w:val="none"/>
        </w:rPr>
        <w:t>日诚信分。</w:t>
      </w:r>
    </w:p>
    <w:p>
      <w:pPr>
        <w:pStyle w:val="7"/>
        <w:spacing w:before="156" w:after="156"/>
        <w:ind w:firstLine="540" w:firstLineChars="200"/>
        <w:rPr>
          <w:color w:val="auto"/>
          <w:highlight w:val="none"/>
        </w:rPr>
      </w:pPr>
      <w:bookmarkStart w:id="30" w:name="_Toc2272564"/>
      <w:bookmarkStart w:id="31" w:name="_Toc21525509"/>
      <w:r>
        <w:rPr>
          <w:rFonts w:hint="eastAsia"/>
          <w:color w:val="auto"/>
          <w:highlight w:val="none"/>
        </w:rPr>
        <w:t>可选办法七（适合综合评分法四，技术标与经济标同时开启）</w:t>
      </w:r>
      <w:bookmarkEnd w:id="30"/>
      <w:bookmarkEnd w:id="31"/>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41.1开标由招标人或招标代理主持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41.2.1投标截止期前，各投标人递交投标文件（包括技术标投标文件、经济标投标文件）至</w:t>
      </w:r>
      <w:r>
        <w:rPr>
          <w:rFonts w:hint="eastAsia" w:ascii="宋体"/>
          <w:color w:val="auto"/>
          <w:sz w:val="24"/>
          <w:szCs w:val="24"/>
          <w:highlight w:val="none"/>
          <w:u w:val="single"/>
          <w:lang w:eastAsia="zh-CN"/>
        </w:rPr>
        <w:t>广州交易集团有限公司(广州公共资源交易中心）</w:t>
      </w:r>
      <w:r>
        <w:rPr>
          <w:rFonts w:hint="eastAsia" w:ascii="宋体"/>
          <w:color w:val="auto"/>
          <w:sz w:val="24"/>
          <w:szCs w:val="24"/>
          <w:highlight w:val="none"/>
          <w:u w:val="single"/>
        </w:rPr>
        <w:t xml:space="preserve">交易平台。有关投标文件提交的事项详见第一章投标须知。 </w:t>
      </w:r>
    </w:p>
    <w:p>
      <w:pPr>
        <w:snapToGrid w:val="0"/>
        <w:spacing w:line="360" w:lineRule="auto"/>
        <w:ind w:firstLine="480" w:firstLineChars="200"/>
        <w:rPr>
          <w:rFonts w:ascii="宋体"/>
          <w:strike/>
          <w:color w:val="auto"/>
          <w:sz w:val="24"/>
          <w:szCs w:val="24"/>
          <w:highlight w:val="none"/>
        </w:rPr>
      </w:pPr>
      <w:r>
        <w:rPr>
          <w:rFonts w:hint="eastAsia" w:ascii="宋体"/>
          <w:strike/>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1.具体操作详见“广州交易集团有限公司（广州公共资源交易中心）门户网站首页-&gt;服务指南-&gt;系统帮助-&gt;操作手册-&gt;发起及受理异议操作指引”。</w:t>
      </w:r>
    </w:p>
    <w:p>
      <w:pPr>
        <w:snapToGrid w:val="0"/>
        <w:spacing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w:t>
      </w:r>
      <w:r>
        <w:rPr>
          <w:rFonts w:hint="eastAsia" w:ascii="宋体"/>
          <w:strike/>
          <w:dstrike w:val="0"/>
          <w:color w:val="auto"/>
          <w:sz w:val="24"/>
          <w:szCs w:val="24"/>
          <w:highlight w:val="none"/>
        </w:rPr>
        <w:t>；d、投标保证金；</w:t>
      </w:r>
      <w:r>
        <w:rPr>
          <w:rFonts w:hint="eastAsia" w:ascii="宋体"/>
          <w:color w:val="auto"/>
          <w:sz w:val="24"/>
          <w:szCs w:val="24"/>
          <w:highlight w:val="none"/>
        </w:rPr>
        <w:t>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color w:val="auto"/>
          <w:sz w:val="24"/>
          <w:szCs w:val="24"/>
          <w:highlight w:val="none"/>
          <w:u w:val="single"/>
        </w:rPr>
        <w:t>或招标代理机构</w:t>
      </w:r>
      <w:r>
        <w:rPr>
          <w:rFonts w:hint="eastAsia" w:ascii="宋体"/>
          <w:color w:val="auto"/>
          <w:sz w:val="24"/>
          <w:szCs w:val="24"/>
          <w:highlight w:val="none"/>
        </w:rPr>
        <w:t>对开标过程进行记录，并存档备查，投标人在</w:t>
      </w:r>
      <w:r>
        <w:rPr>
          <w:rFonts w:hint="eastAsia" w:ascii="宋体"/>
          <w:color w:val="auto"/>
          <w:sz w:val="24"/>
          <w:szCs w:val="24"/>
          <w:highlight w:val="none"/>
          <w:u w:val="single"/>
        </w:rPr>
        <w:t>开标记录上</w:t>
      </w:r>
      <w:r>
        <w:rPr>
          <w:rFonts w:hint="eastAsia" w:ascii="宋体"/>
          <w:color w:val="auto"/>
          <w:sz w:val="24"/>
          <w:szCs w:val="24"/>
          <w:highlight w:val="none"/>
        </w:rPr>
        <w:t>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42.2评标委员会的组成：方式 一 。</w:t>
      </w:r>
    </w:p>
    <w:p>
      <w:pPr>
        <w:pStyle w:val="5"/>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方式一：评标委员会为综合评标委员会，负责评标工作。</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hint="eastAsia" w:ascii="宋体" w:eastAsia="宋体"/>
          <w:color w:val="auto"/>
          <w:sz w:val="24"/>
          <w:szCs w:val="24"/>
          <w:highlight w:val="none"/>
          <w:u w:val="single"/>
          <w:lang w:eastAsia="zh-CN"/>
        </w:rPr>
      </w:pPr>
      <w:r>
        <w:rPr>
          <w:rFonts w:hint="eastAsia" w:ascii="宋体"/>
          <w:color w:val="auto"/>
          <w:sz w:val="24"/>
          <w:szCs w:val="24"/>
          <w:highlight w:val="none"/>
          <w:u w:val="singl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color w:val="auto"/>
          <w:sz w:val="24"/>
          <w:szCs w:val="24"/>
          <w:highlight w:val="none"/>
          <w:u w:val="single"/>
          <w:lang w:eastAsia="zh-CN"/>
        </w:rPr>
        <w:t>。</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45.1若通过技术标有效性审查的投标人中所有投标报价均大于等于最高投标限价，则本项目招标失败，由招标人依法重新招标。</w:t>
      </w:r>
    </w:p>
    <w:p>
      <w:pPr>
        <w:pStyle w:val="5"/>
        <w:tabs>
          <w:tab w:val="left" w:pos="7380"/>
        </w:tabs>
        <w:snapToGrid w:val="0"/>
        <w:spacing w:after="0" w:line="360" w:lineRule="auto"/>
        <w:ind w:firstLine="480" w:firstLineChars="200"/>
        <w:rPr>
          <w:rFonts w:ascii="宋体" w:hAnsi="宋体" w:cs="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u w:val="single"/>
        </w:rPr>
        <w:t>45.2按方法</w:t>
      </w:r>
      <w:r>
        <w:rPr>
          <w:rFonts w:hint="eastAsia" w:ascii="宋体" w:hAnsi="宋体" w:cs="宋体"/>
          <w:b/>
          <w:bCs/>
          <w:color w:val="auto"/>
          <w:sz w:val="24"/>
          <w:szCs w:val="24"/>
          <w:highlight w:val="none"/>
          <w:u w:val="single"/>
        </w:rPr>
        <w:t>一</w:t>
      </w:r>
      <w:r>
        <w:rPr>
          <w:rFonts w:hint="eastAsia" w:ascii="宋体" w:hAnsi="宋体" w:cs="宋体"/>
          <w:color w:val="auto"/>
          <w:sz w:val="24"/>
          <w:szCs w:val="24"/>
          <w:highlight w:val="none"/>
          <w:u w:val="single"/>
        </w:rPr>
        <w:t>计算评标参考价：</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通过技术标有效性审查且经济报价在[工程成本警戒价, 招标控制价]区间的投标人的技术标得分前N名（N＝5；当N不足5名时，取满足前述条件的投标人个数）的经济报价加权平均，计算评标参考价。公式如下：</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评标参考价=Σ（投标人的投标报价*报价权重）。</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其中：报价权重的计算方法为：将N名投标人按技术分由高至低进行排序，第一名投标人的权重为（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），第二名投标人的权重为（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），以此类推，最后一名投标人的权重为（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技术标得分相同的的投标人，由评标委员会采用记名投票方式，确定投标人的排序。</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注：投票方式确定排序的具体操作步骤为：由评标会对出现该情况的投标人进行编号，然后通过投票方式依次确定投标人的排序。</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45.3当标价等于评标参考价时得100分，标价每高于评标参考价1%，扣0.2分，每低于评标参考价1%，扣0.1分，扣至0分为止，得出经济分，精确到小数点后两位。</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kern w:val="0"/>
          <w:sz w:val="24"/>
          <w:szCs w:val="24"/>
          <w:highlight w:val="none"/>
          <w:u w:val="single"/>
        </w:rPr>
        <w:t>45.4计算通过技术标有效性审查的投标人总得分。投标人总得分=技术得分（满分</w:t>
      </w:r>
      <w:r>
        <w:rPr>
          <w:rFonts w:hint="eastAsia" w:ascii="宋体" w:hAnsi="宋体" w:cs="宋体"/>
          <w:color w:val="auto"/>
          <w:kern w:val="0"/>
          <w:sz w:val="24"/>
          <w:szCs w:val="24"/>
          <w:highlight w:val="none"/>
          <w:u w:val="single"/>
          <w:lang w:val="en-US" w:eastAsia="zh-CN"/>
        </w:rPr>
        <w:t>20</w:t>
      </w:r>
      <w:r>
        <w:rPr>
          <w:rFonts w:hint="eastAsia" w:ascii="宋体" w:hAnsi="宋体" w:cs="宋体"/>
          <w:color w:val="auto"/>
          <w:kern w:val="0"/>
          <w:sz w:val="24"/>
          <w:szCs w:val="24"/>
          <w:highlight w:val="none"/>
          <w:u w:val="single"/>
        </w:rPr>
        <w:t>分）＋经济得分（满分100分）×经济得分权重（80%）。技术、经济得分权重按投标须知前附表的规定执行。总得分四舍五入保留两位小数。总得分相同的投标文件，以技术分高的排前；总得分、技术分均相同的投标文件，由评标委员会采用记名投票方式，确定投标人的排序。确定排序的具体操作步骤为：由评标会对出现该情况的投标人进行编号，然后通过记名投票方式，以得票多的排前确定排序。</w:t>
      </w:r>
      <w:r>
        <w:rPr>
          <w:rFonts w:hint="eastAsia" w:ascii="宋体" w:hAnsi="宋体"/>
          <w:color w:val="auto"/>
          <w:sz w:val="24"/>
          <w:szCs w:val="24"/>
          <w:highlight w:val="none"/>
        </w:rPr>
        <w:t>46.经济标的有效性审查</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u w:val="singl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dstrike w:val="0"/>
          <w:color w:val="auto"/>
          <w:sz w:val="24"/>
          <w:szCs w:val="24"/>
          <w:highlight w:val="none"/>
        </w:rPr>
        <w:t>，并且其投标保证金也将不予退还</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w:t>
      </w:r>
      <w:r>
        <w:rPr>
          <w:rFonts w:hint="eastAsia" w:ascii="宋体" w:hAnsi="宋体"/>
          <w:color w:val="auto"/>
          <w:sz w:val="24"/>
          <w:szCs w:val="24"/>
          <w:highlight w:val="none"/>
          <w:u w:val="single"/>
        </w:rPr>
        <w:t>投标人排序</w:t>
      </w:r>
      <w:r>
        <w:rPr>
          <w:rFonts w:hint="eastAsia" w:ascii="宋体" w:hAnsi="宋体"/>
          <w:color w:val="auto"/>
          <w:sz w:val="24"/>
          <w:szCs w:val="24"/>
          <w:highlight w:val="none"/>
        </w:rPr>
        <w:t>，推荐前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6"/>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536"/>
        <w:gridCol w:w="39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营业执照在广州市住建行业信用管理平台内上传件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投标人均持有建设行政主管部门颁发的有效期内</w:t>
            </w:r>
            <w:r>
              <w:rPr>
                <w:rFonts w:hint="eastAsia" w:ascii="宋体" w:hAnsi="宋体"/>
                <w:color w:val="auto"/>
                <w:szCs w:val="21"/>
                <w:highlight w:val="none"/>
                <w:lang w:val="en-US" w:eastAsia="zh-CN"/>
              </w:rPr>
              <w:t>的</w:t>
            </w:r>
            <w:r>
              <w:rPr>
                <w:rFonts w:hint="eastAsia" w:ascii="宋体" w:hAnsi="宋体"/>
                <w:color w:val="auto"/>
                <w:szCs w:val="21"/>
                <w:highlight w:val="none"/>
              </w:rPr>
              <w:t>企业资质证书及安全生产许可证；投标人资质符合公告要求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资质证书及安全生产许可证在广州市住建行业信用管理平台内上传件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使用有效期内的注册建造师注册证书在广州市住建行业信用管理平台内上传件</w:t>
            </w:r>
            <w:r>
              <w:rPr>
                <w:rFonts w:hint="eastAsia" w:ascii="宋体" w:hAnsi="宋体" w:cs="宋体"/>
                <w:color w:val="auto"/>
                <w:szCs w:val="21"/>
                <w:highlight w:val="none"/>
              </w:rPr>
              <w:br w:type="textWrapping"/>
            </w:r>
            <w:r>
              <w:rPr>
                <w:rFonts w:hint="eastAsia" w:ascii="宋体" w:hAnsi="宋体"/>
                <w:color w:val="auto"/>
                <w:szCs w:val="21"/>
                <w:highlight w:val="none"/>
              </w:rPr>
              <w:t>（注：打印建造师电子证书后，应在个人签名处手写本人签名再上传广州市住建行业信用管理平台，上传件未手写签名或与签名图像笔迹不一致的，该电子证书无效。）</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w:t>
            </w:r>
            <w:r>
              <w:rPr>
                <w:rFonts w:hint="eastAsia" w:ascii="宋体" w:hAnsi="宋体"/>
                <w:color w:val="auto"/>
                <w:szCs w:val="21"/>
                <w:highlight w:val="none"/>
                <w:lang w:val="en-US" w:eastAsia="zh-CN"/>
              </w:rPr>
              <w:t>生产</w:t>
            </w:r>
            <w:r>
              <w:rPr>
                <w:rFonts w:hint="eastAsia" w:ascii="宋体" w:hAnsi="宋体"/>
                <w:color w:val="auto"/>
                <w:szCs w:val="21"/>
                <w:highlight w:val="none"/>
              </w:rPr>
              <w:t>考核合格证（</w:t>
            </w:r>
            <w:r>
              <w:rPr>
                <w:rFonts w:ascii="宋体" w:hAnsi="宋体"/>
                <w:color w:val="auto"/>
                <w:szCs w:val="21"/>
                <w:highlight w:val="none"/>
              </w:rPr>
              <w:t>B</w:t>
            </w:r>
            <w:r>
              <w:rPr>
                <w:rFonts w:hint="eastAsia" w:ascii="宋体" w:hAnsi="宋体"/>
                <w:color w:val="auto"/>
                <w:szCs w:val="21"/>
                <w:highlight w:val="none"/>
              </w:rPr>
              <w:t>类）或建筑施工企业项目负责人安全生产考核合格证</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项目负责人安全生产考核合格证(B类)或建筑施工企业项目负责人安全生产考核合格证在广州市住建行业信用管理平台内上传件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拟委派技术负责人职称证书扫描件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single"/>
              </w:rPr>
            </w:pPr>
            <w:r>
              <w:rPr>
                <w:rFonts w:hint="eastAsia" w:ascii="宋体" w:hAnsi="宋体"/>
                <w:color w:val="auto"/>
                <w:szCs w:val="21"/>
                <w:highlight w:val="none"/>
                <w:u w:val="none"/>
              </w:rPr>
              <w:t>专职安全员须具有安全生产考核合格证(C类)或建筑施工企业专职安全生产管理人员安全生产考核合格证</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bCs/>
                <w:color w:val="auto"/>
                <w:highlight w:val="none"/>
                <w:u w:val="none"/>
              </w:rPr>
              <w:t>专职安全员的安全生产考核合格证(C类)或建筑施工企业专职安全生产管理人员安全生产考核合格证(C3)在广州市住建行业信用管理平台内上传件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投标人声明</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关于联合体投标:本项目不接受联合体投标。</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rPr>
              <w:t>未以联合体投标</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1</w:t>
            </w:r>
            <w:r>
              <w:rPr>
                <w:rFonts w:hint="eastAsia" w:ascii="宋体" w:hAnsi="宋体"/>
                <w:color w:val="auto"/>
                <w:szCs w:val="21"/>
                <w:highlight w:val="none"/>
                <w:lang w:val="en-US" w:eastAsia="zh-CN"/>
              </w:rPr>
              <w:t>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投标人声明</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none"/>
              </w:rPr>
            </w:pPr>
            <w:r>
              <w:rPr>
                <w:rFonts w:hint="eastAsia" w:ascii="宋体" w:hAnsi="宋体"/>
                <w:color w:val="auto"/>
                <w:szCs w:val="21"/>
                <w:highlight w:val="none"/>
                <w:u w:val="none"/>
              </w:rPr>
              <w:t>未被列入拖欠农民工工资失信联合惩戒对象名单</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none"/>
              </w:rPr>
            </w:pPr>
            <w:r>
              <w:rPr>
                <w:rFonts w:hint="eastAsia" w:ascii="宋体" w:hAnsi="宋体"/>
                <w:color w:val="auto"/>
                <w:szCs w:val="21"/>
                <w:highlight w:val="none"/>
                <w:u w:val="none"/>
              </w:rPr>
              <w:t>投标人无需提供资料，按交易系统比对的结果进行评审</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NumType w:fmt="decimal"/>
          <w:cols w:space="425" w:num="1"/>
          <w:titlePg/>
          <w:docGrid w:type="lines" w:linePitch="312" w:charSpace="0"/>
        </w:sectPr>
      </w:pPr>
    </w:p>
    <w:p>
      <w:pPr>
        <w:jc w:val="left"/>
        <w:rPr>
          <w:b/>
          <w:color w:val="auto"/>
          <w:sz w:val="36"/>
          <w:szCs w:val="36"/>
          <w:highlight w:val="none"/>
        </w:rPr>
      </w:pPr>
      <w:r>
        <w:rPr>
          <w:rFonts w:hint="eastAsia"/>
          <w:color w:val="auto"/>
          <w:szCs w:val="21"/>
          <w:highlight w:val="none"/>
        </w:rPr>
        <w:t>附表二</w:t>
      </w:r>
      <w:r>
        <w:rPr>
          <w:rFonts w:hint="eastAsia"/>
          <w:b/>
          <w:color w:val="auto"/>
          <w:sz w:val="36"/>
          <w:szCs w:val="36"/>
          <w:highlight w:val="none"/>
        </w:rPr>
        <w:t xml:space="preserve">                             技术标有效性审查表</w:t>
      </w:r>
    </w:p>
    <w:p>
      <w:pPr>
        <w:rPr>
          <w:color w:val="auto"/>
          <w:szCs w:val="21"/>
          <w:highlight w:val="none"/>
        </w:rPr>
      </w:pPr>
      <w:r>
        <w:rPr>
          <w:rFonts w:hint="eastAsia"/>
          <w:color w:val="auto"/>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rPr>
              <w:t>投标文件中没有有效的法定代表人证明书，或由委托代理人</w:t>
            </w:r>
            <w:r>
              <w:rPr>
                <w:rFonts w:hint="eastAsia" w:ascii="宋体" w:hAnsi="宋体" w:cs="宋体"/>
                <w:color w:val="auto"/>
                <w:szCs w:val="21"/>
                <w:highlight w:val="none"/>
                <w:u w:val="single"/>
              </w:rPr>
              <w:t>签字或盖章</w:t>
            </w:r>
            <w:r>
              <w:rPr>
                <w:rFonts w:hint="eastAsia" w:ascii="宋体" w:hAnsi="宋体" w:cs="宋体"/>
                <w:color w:val="auto"/>
                <w:szCs w:val="21"/>
                <w:highlight w:val="none"/>
              </w:rPr>
              <w:t>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（指附件一：广州建设工程施工招标投标书）</w:t>
            </w:r>
            <w:r>
              <w:rPr>
                <w:rFonts w:hint="eastAsia" w:ascii="宋体" w:hAnsi="宋体" w:cs="宋体"/>
                <w:color w:val="auto"/>
                <w:szCs w:val="21"/>
                <w:highlight w:val="none"/>
              </w:rPr>
              <w:t>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6"/>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报价低于成本警戒价的(投标人的报价明显低于其他投标报价或者在设有标底时明显低于标底，使得其投标报价可能低于其个别成本，又不能合理说明或者不能提供相关证明材料的，由评标委员会认定该投标人以低于成本报价竞标的)</w:t>
            </w:r>
            <w:r>
              <w:rPr>
                <w:rFonts w:hint="eastAsia" w:ascii="宋体" w:hAnsi="宋体"/>
                <w:color w:val="auto"/>
                <w:szCs w:val="21"/>
                <w:highlight w:val="none"/>
                <w:lang w:eastAsia="zh-CN"/>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（指附件一：广州建设工程施工招标投标书）</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10</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NumType w:fmt="decimal"/>
          <w:cols w:space="425" w:num="1"/>
          <w:titlePg/>
          <w:docGrid w:type="lines" w:linePitch="312" w:charSpace="0"/>
        </w:sectPr>
      </w:pPr>
      <w:r>
        <w:rPr>
          <w:rFonts w:hint="eastAsia" w:ascii="宋体" w:hAnsi="宋体"/>
          <w:color w:val="auto"/>
          <w:szCs w:val="21"/>
          <w:highlight w:val="none"/>
        </w:rPr>
        <w:t>评委签名：</w:t>
      </w:r>
    </w:p>
    <w:p>
      <w:pPr>
        <w:jc w:val="left"/>
        <w:rPr>
          <w:rFonts w:hint="eastAsia"/>
          <w:color w:val="auto"/>
          <w:sz w:val="21"/>
          <w:szCs w:val="21"/>
          <w:highlight w:val="none"/>
        </w:rPr>
      </w:pPr>
      <w:bookmarkStart w:id="32" w:name="_Toc10738"/>
      <w:bookmarkStart w:id="33" w:name="_Toc31246"/>
      <w:r>
        <w:rPr>
          <w:rFonts w:hint="eastAsia"/>
          <w:color w:val="auto"/>
          <w:sz w:val="21"/>
          <w:szCs w:val="21"/>
          <w:highlight w:val="none"/>
        </w:rPr>
        <w:t>附表四</w:t>
      </w:r>
      <w:bookmarkEnd w:id="32"/>
      <w:bookmarkEnd w:id="33"/>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p>
      <w:pPr>
        <w:rPr>
          <w:color w:val="auto"/>
          <w:szCs w:val="21"/>
          <w:highlight w:val="none"/>
        </w:rPr>
      </w:pPr>
      <w:r>
        <w:rPr>
          <w:color w:val="auto"/>
          <w:szCs w:val="21"/>
          <w:highlight w:val="none"/>
        </w:rPr>
        <w:t>工程名称：</w:t>
      </w:r>
    </w:p>
    <w:tbl>
      <w:tblPr>
        <w:tblStyle w:val="36"/>
        <w:tblW w:w="14698"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20"/>
        <w:gridCol w:w="1593"/>
        <w:gridCol w:w="854"/>
        <w:gridCol w:w="10624"/>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blHeader/>
          <w:jc w:val="center"/>
        </w:trPr>
        <w:tc>
          <w:tcPr>
            <w:tcW w:w="507" w:type="dxa"/>
            <w:shd w:val="clear" w:color="auto" w:fill="FFFFFF"/>
            <w:vAlign w:val="center"/>
          </w:tcPr>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120" w:type="dxa"/>
            <w:shd w:val="clear" w:color="auto" w:fill="FFFFFF"/>
            <w:vAlign w:val="center"/>
          </w:tcPr>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w:t>
            </w:r>
          </w:p>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项目</w:t>
            </w:r>
          </w:p>
        </w:tc>
        <w:tc>
          <w:tcPr>
            <w:tcW w:w="1593" w:type="dxa"/>
            <w:shd w:val="clear" w:color="auto" w:fill="FFFFFF"/>
            <w:vAlign w:val="center"/>
          </w:tcPr>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评分内容</w:t>
            </w:r>
          </w:p>
        </w:tc>
        <w:tc>
          <w:tcPr>
            <w:tcW w:w="854" w:type="dxa"/>
            <w:shd w:val="clear" w:color="auto" w:fill="FFFFFF"/>
            <w:vAlign w:val="center"/>
          </w:tcPr>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分值</w:t>
            </w:r>
          </w:p>
        </w:tc>
        <w:tc>
          <w:tcPr>
            <w:tcW w:w="10624" w:type="dxa"/>
            <w:shd w:val="clear" w:color="auto" w:fill="FFFFFF"/>
            <w:vAlign w:val="center"/>
          </w:tcPr>
          <w:p>
            <w:pPr>
              <w:widowControl/>
              <w:adjustRightInd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507" w:type="dxa"/>
            <w:vMerge w:val="restart"/>
            <w:shd w:val="clear" w:color="auto" w:fill="FFFFFF"/>
            <w:vAlign w:val="center"/>
          </w:tcPr>
          <w:p>
            <w:pPr>
              <w:adjustRightInd w:val="0"/>
              <w:snapToGrid w:val="0"/>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一</w:t>
            </w:r>
          </w:p>
        </w:tc>
        <w:tc>
          <w:tcPr>
            <w:tcW w:w="1120" w:type="dxa"/>
            <w:vMerge w:val="restart"/>
            <w:shd w:val="clear" w:color="auto" w:fill="FFFFFF"/>
            <w:vAlign w:val="center"/>
          </w:tcPr>
          <w:p>
            <w:pPr>
              <w:adjustRightInd w:val="0"/>
              <w:snapToGrid w:val="0"/>
              <w:jc w:val="center"/>
              <w:rPr>
                <w:rFonts w:hint="eastAsia" w:ascii="宋体" w:hAnsi="宋体" w:eastAsia="宋体" w:cs="宋体"/>
                <w:b/>
                <w:color w:val="000000"/>
                <w:sz w:val="18"/>
                <w:szCs w:val="18"/>
                <w:lang w:val="en-US" w:eastAsia="zh-CN"/>
              </w:rPr>
            </w:pPr>
            <w:r>
              <w:rPr>
                <w:rFonts w:hint="eastAsia" w:ascii="宋体" w:hAnsi="宋体" w:eastAsia="宋体" w:cs="宋体"/>
                <w:b/>
                <w:color w:val="000000"/>
                <w:sz w:val="18"/>
                <w:szCs w:val="18"/>
              </w:rPr>
              <w:t>项目管理机构</w:t>
            </w:r>
            <w:r>
              <w:rPr>
                <w:rFonts w:hint="eastAsia" w:ascii="宋体" w:hAnsi="宋体" w:eastAsia="宋体" w:cs="宋体"/>
                <w:b/>
                <w:color w:val="000000"/>
                <w:sz w:val="18"/>
                <w:szCs w:val="18"/>
                <w:lang w:val="en-US" w:eastAsia="zh-CN"/>
              </w:rPr>
              <w:t>能力</w:t>
            </w:r>
          </w:p>
          <w:p>
            <w:pPr>
              <w:adjustRightInd w:val="0"/>
              <w:snapToGrid w:val="0"/>
              <w:ind w:left="-71" w:leftChars="-34" w:right="-48" w:rightChars="-23"/>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(14分)</w:t>
            </w:r>
          </w:p>
        </w:tc>
        <w:tc>
          <w:tcPr>
            <w:tcW w:w="1593" w:type="dxa"/>
            <w:tcBorders>
              <w:top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技术负责人</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分</w:t>
            </w:r>
          </w:p>
        </w:tc>
        <w:tc>
          <w:tcPr>
            <w:tcW w:w="1062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技术负责人：</w:t>
            </w:r>
          </w:p>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auto"/>
                <w:sz w:val="21"/>
                <w:szCs w:val="21"/>
                <w:highlight w:val="none"/>
              </w:rPr>
              <w:t>具有建筑工程注册一级建造师资格证的，得1分；具有建筑工程注册二级建造师资格证的，得0.5分。</w:t>
            </w:r>
          </w:p>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具备建筑工程相关专业正高级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或教授级</w:t>
            </w:r>
            <w:r>
              <w:rPr>
                <w:rFonts w:hint="eastAsia" w:ascii="宋体" w:hAnsi="宋体" w:eastAsia="宋体" w:cs="宋体"/>
                <w:sz w:val="21"/>
                <w:szCs w:val="21"/>
                <w:lang w:eastAsia="zh-CN"/>
              </w:rPr>
              <w:t>）技术职称的</w:t>
            </w:r>
            <w:r>
              <w:rPr>
                <w:rFonts w:hint="eastAsia" w:ascii="宋体" w:hAnsi="宋体" w:eastAsia="宋体" w:cs="宋体"/>
                <w:sz w:val="21"/>
                <w:szCs w:val="21"/>
                <w:lang w:val="en-US" w:eastAsia="zh-CN"/>
              </w:rPr>
              <w:t>，得1.5分；</w:t>
            </w:r>
            <w:r>
              <w:rPr>
                <w:rFonts w:hint="eastAsia" w:ascii="宋体" w:hAnsi="宋体" w:eastAsia="宋体" w:cs="宋体"/>
                <w:sz w:val="21"/>
                <w:szCs w:val="21"/>
              </w:rPr>
              <w:t>具备建筑工程相关专业高级技术职称的</w:t>
            </w:r>
            <w:r>
              <w:rPr>
                <w:rFonts w:hint="eastAsia" w:ascii="宋体" w:hAnsi="宋体" w:eastAsia="宋体" w:cs="宋体"/>
                <w:sz w:val="21"/>
                <w:szCs w:val="21"/>
                <w:lang w:val="en-US" w:eastAsia="zh-CN"/>
              </w:rPr>
              <w:t>，得0.8分；</w:t>
            </w:r>
          </w:p>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（3）具有15年（不含15年）以上建筑工程相关工作经验的，得1.5分；11年-15年的，得0.8分；1-10年的，得0.4分。</w:t>
            </w:r>
          </w:p>
          <w:p>
            <w:pPr>
              <w:keepNext w:val="0"/>
              <w:keepLines w:val="0"/>
              <w:pageBreakBefore w:val="0"/>
              <w:kinsoku/>
              <w:wordWrap/>
              <w:overflowPunct/>
              <w:topLinePunct w:val="0"/>
              <w:autoSpaceDE/>
              <w:autoSpaceDN/>
              <w:bidi w:val="0"/>
              <w:adjustRightInd/>
              <w:snapToGrid w:val="0"/>
              <w:spacing w:line="312" w:lineRule="auto"/>
              <w:jc w:val="left"/>
              <w:textAlignment w:val="auto"/>
              <w:rPr>
                <w:rFonts w:hint="eastAsia" w:ascii="宋体" w:hAnsi="宋体" w:eastAsia="宋体" w:cs="宋体"/>
                <w:b/>
                <w:color w:val="000000"/>
                <w:sz w:val="21"/>
                <w:szCs w:val="21"/>
              </w:rPr>
            </w:pPr>
            <w:r>
              <w:rPr>
                <w:rFonts w:hint="eastAsia" w:ascii="宋体" w:hAnsi="宋体" w:eastAsia="宋体" w:cs="宋体"/>
                <w:b/>
                <w:bCs/>
                <w:color w:val="auto"/>
                <w:sz w:val="21"/>
                <w:szCs w:val="21"/>
                <w:highlight w:val="none"/>
              </w:rPr>
              <w:t>注：提供职称证、注册建造师证</w:t>
            </w:r>
            <w:r>
              <w:rPr>
                <w:rFonts w:hint="eastAsia" w:ascii="宋体" w:hAnsi="宋体" w:eastAsia="宋体" w:cs="宋体"/>
                <w:b/>
                <w:bCs/>
                <w:color w:val="auto"/>
                <w:sz w:val="21"/>
                <w:szCs w:val="21"/>
                <w:highlight w:val="none"/>
                <w:lang w:val="en-US" w:eastAsia="zh-CN"/>
              </w:rPr>
              <w:t>等相关证明材料</w:t>
            </w:r>
            <w:r>
              <w:rPr>
                <w:rFonts w:hint="eastAsia" w:ascii="宋体" w:hAnsi="宋体" w:eastAsia="宋体" w:cs="宋体"/>
                <w:b/>
                <w:bCs/>
                <w:color w:val="auto"/>
                <w:sz w:val="21"/>
                <w:szCs w:val="21"/>
                <w:highlight w:val="none"/>
              </w:rPr>
              <w:t>扫描件并加盖投标人企业电子印章。工作经验年限以建筑工程相关专业高级或以上</w:t>
            </w:r>
            <w:r>
              <w:rPr>
                <w:rFonts w:hint="eastAsia" w:ascii="宋体" w:hAnsi="宋体" w:eastAsia="宋体" w:cs="宋体"/>
                <w:b/>
                <w:bCs/>
                <w:sz w:val="21"/>
                <w:szCs w:val="21"/>
              </w:rPr>
              <w:t>技术职称</w:t>
            </w:r>
            <w:r>
              <w:rPr>
                <w:rFonts w:hint="eastAsia" w:ascii="宋体" w:hAnsi="宋体" w:eastAsia="宋体" w:cs="宋体"/>
                <w:b/>
                <w:bCs/>
                <w:color w:val="auto"/>
                <w:sz w:val="21"/>
                <w:szCs w:val="21"/>
                <w:highlight w:val="none"/>
                <w:lang w:val="en-US" w:eastAsia="zh-CN"/>
              </w:rPr>
              <w:t>发证</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val="en-US" w:eastAsia="zh-CN"/>
              </w:rPr>
              <w:t>起</w:t>
            </w:r>
            <w:r>
              <w:rPr>
                <w:rFonts w:hint="eastAsia" w:ascii="宋体" w:hAnsi="宋体" w:eastAsia="宋体" w:cs="宋体"/>
                <w:b/>
                <w:bCs/>
                <w:color w:val="auto"/>
                <w:sz w:val="21"/>
                <w:szCs w:val="21"/>
                <w:highlight w:val="none"/>
              </w:rPr>
              <w:t>计</w:t>
            </w:r>
            <w:r>
              <w:rPr>
                <w:rFonts w:hint="eastAsia" w:ascii="宋体" w:hAnsi="宋体" w:eastAsia="宋体" w:cs="宋体"/>
                <w:b/>
                <w:bCs/>
                <w:color w:val="auto"/>
                <w:sz w:val="21"/>
                <w:szCs w:val="21"/>
                <w:highlight w:val="none"/>
                <w:lang w:val="en-US" w:eastAsia="zh-CN"/>
              </w:rPr>
              <w:t>算至投标截止时间止</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未按要求提供相关资料的人员，该人员不作为评分依据。</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507" w:type="dxa"/>
            <w:vMerge w:val="continue"/>
            <w:shd w:val="clear" w:color="auto" w:fill="FFFFFF"/>
            <w:vAlign w:val="center"/>
          </w:tcPr>
          <w:p>
            <w:pPr>
              <w:jc w:val="center"/>
              <w:rPr>
                <w:rFonts w:hint="eastAsia" w:ascii="宋体" w:hAnsi="宋体" w:eastAsia="宋体" w:cs="宋体"/>
                <w:color w:val="000000"/>
                <w:sz w:val="18"/>
                <w:szCs w:val="18"/>
              </w:rPr>
            </w:pPr>
          </w:p>
        </w:tc>
        <w:tc>
          <w:tcPr>
            <w:tcW w:w="1120" w:type="dxa"/>
            <w:vMerge w:val="continue"/>
            <w:shd w:val="clear" w:color="auto" w:fill="FFFFFF"/>
            <w:vAlign w:val="center"/>
          </w:tcPr>
          <w:p>
            <w:pPr>
              <w:jc w:val="center"/>
              <w:rPr>
                <w:rFonts w:hint="eastAsia" w:ascii="宋体" w:hAnsi="宋体" w:eastAsia="宋体" w:cs="宋体"/>
                <w:color w:val="000000"/>
                <w:sz w:val="18"/>
                <w:szCs w:val="18"/>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质量负责人</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c>
          <w:tcPr>
            <w:tcW w:w="1062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质量负责人：</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具备建筑工程相关专业</w:t>
            </w:r>
            <w:r>
              <w:rPr>
                <w:rFonts w:hint="eastAsia" w:ascii="宋体" w:hAnsi="宋体" w:eastAsia="宋体" w:cs="宋体"/>
                <w:sz w:val="21"/>
                <w:szCs w:val="21"/>
                <w:lang w:val="en-US" w:eastAsia="zh-CN"/>
              </w:rPr>
              <w:t>中</w:t>
            </w:r>
            <w:r>
              <w:rPr>
                <w:rFonts w:hint="eastAsia" w:ascii="宋体" w:hAnsi="宋体" w:eastAsia="宋体" w:cs="宋体"/>
                <w:sz w:val="21"/>
                <w:szCs w:val="21"/>
              </w:rPr>
              <w:t>级工程师或以</w:t>
            </w:r>
            <w:r>
              <w:rPr>
                <w:rFonts w:hint="eastAsia" w:ascii="宋体" w:hAnsi="宋体" w:eastAsia="宋体" w:cs="宋体"/>
                <w:sz w:val="21"/>
                <w:szCs w:val="21"/>
                <w:lang w:val="en-US" w:eastAsia="zh-CN"/>
              </w:rPr>
              <w:t>上</w:t>
            </w:r>
            <w:r>
              <w:rPr>
                <w:rFonts w:hint="eastAsia" w:ascii="宋体" w:hAnsi="宋体" w:eastAsia="宋体" w:cs="宋体"/>
                <w:sz w:val="21"/>
                <w:szCs w:val="21"/>
              </w:rPr>
              <w:t>技术职称的，得</w:t>
            </w:r>
            <w:r>
              <w:rPr>
                <w:rFonts w:hint="eastAsia" w:ascii="宋体" w:hAnsi="宋体" w:eastAsia="宋体" w:cs="宋体"/>
                <w:sz w:val="21"/>
                <w:szCs w:val="21"/>
                <w:lang w:val="en-US" w:eastAsia="zh-CN"/>
              </w:rPr>
              <w:t>0.</w:t>
            </w:r>
            <w:r>
              <w:rPr>
                <w:rFonts w:hint="eastAsia" w:ascii="宋体" w:hAnsi="宋体" w:eastAsia="宋体" w:cs="宋体"/>
                <w:sz w:val="21"/>
                <w:szCs w:val="21"/>
              </w:rPr>
              <w:t>5分；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拟委派的质量负责人在2020年1月1日至投标截止时间止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参与</w:t>
            </w:r>
            <w:r>
              <w:rPr>
                <w:rFonts w:hint="eastAsia" w:ascii="宋体" w:hAnsi="宋体" w:eastAsia="宋体" w:cs="宋体"/>
                <w:sz w:val="21"/>
                <w:szCs w:val="21"/>
              </w:rPr>
              <w:t>完成过</w:t>
            </w:r>
            <w:r>
              <w:rPr>
                <w:rFonts w:hint="eastAsia" w:ascii="宋体" w:hAnsi="宋体" w:eastAsia="宋体" w:cs="宋体"/>
                <w:sz w:val="21"/>
                <w:szCs w:val="21"/>
                <w:lang w:val="en-US" w:eastAsia="zh-CN"/>
              </w:rPr>
              <w:t>类似建筑工程业绩</w:t>
            </w:r>
            <w:r>
              <w:rPr>
                <w:rFonts w:hint="eastAsia" w:ascii="宋体" w:hAnsi="宋体" w:eastAsia="宋体" w:cs="宋体"/>
                <w:sz w:val="21"/>
                <w:szCs w:val="21"/>
              </w:rPr>
              <w:t>的</w:t>
            </w:r>
            <w:r>
              <w:rPr>
                <w:rFonts w:hint="eastAsia" w:ascii="宋体" w:hAnsi="宋体" w:eastAsia="宋体" w:cs="宋体"/>
                <w:sz w:val="21"/>
                <w:szCs w:val="21"/>
                <w:lang w:val="en-US" w:eastAsia="zh-CN"/>
              </w:rPr>
              <w:t>，得0.5分；</w:t>
            </w:r>
          </w:p>
          <w:p>
            <w:pPr>
              <w:pStyle w:val="20"/>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（3）拟委派的质量负责人在2020年1月1日至投标截止时间止，作为省级或以上工法主要完成人员，每项得1分，最高得2分。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注：提供职称证、业绩证明、工法证书</w:t>
            </w:r>
            <w:r>
              <w:rPr>
                <w:rFonts w:hint="eastAsia" w:ascii="宋体" w:hAnsi="宋体" w:eastAsia="宋体" w:cs="宋体"/>
                <w:b/>
                <w:bCs/>
                <w:color w:val="auto"/>
                <w:sz w:val="21"/>
                <w:szCs w:val="21"/>
                <w:highlight w:val="none"/>
                <w:lang w:val="en-US" w:eastAsia="zh-CN"/>
              </w:rPr>
              <w:t>等相关证明材料</w:t>
            </w:r>
            <w:r>
              <w:rPr>
                <w:rFonts w:hint="eastAsia" w:ascii="宋体" w:hAnsi="宋体" w:eastAsia="宋体" w:cs="宋体"/>
                <w:b/>
                <w:bCs/>
                <w:sz w:val="21"/>
                <w:szCs w:val="21"/>
                <w:lang w:val="en-US" w:eastAsia="zh-CN"/>
              </w:rPr>
              <w:t>扫描件并加盖投标人企业电子印章。未按要求提供相关资料的人员，该人员不作为评分依据。</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8" w:hRule="atLeast"/>
          <w:jc w:val="center"/>
        </w:trPr>
        <w:tc>
          <w:tcPr>
            <w:tcW w:w="507" w:type="dxa"/>
            <w:vMerge w:val="continue"/>
            <w:shd w:val="clear" w:color="auto" w:fill="FFFFFF"/>
            <w:vAlign w:val="center"/>
          </w:tcPr>
          <w:p>
            <w:pPr>
              <w:jc w:val="center"/>
              <w:rPr>
                <w:rFonts w:hint="eastAsia" w:ascii="宋体" w:hAnsi="宋体" w:eastAsia="宋体" w:cs="宋体"/>
                <w:color w:val="000000"/>
                <w:sz w:val="18"/>
                <w:szCs w:val="18"/>
              </w:rPr>
            </w:pPr>
          </w:p>
        </w:tc>
        <w:tc>
          <w:tcPr>
            <w:tcW w:w="1120" w:type="dxa"/>
            <w:vMerge w:val="continue"/>
            <w:shd w:val="clear" w:color="auto" w:fill="FFFFFF"/>
            <w:vAlign w:val="center"/>
          </w:tcPr>
          <w:p>
            <w:pPr>
              <w:jc w:val="center"/>
              <w:rPr>
                <w:rFonts w:hint="eastAsia" w:ascii="宋体" w:hAnsi="宋体" w:eastAsia="宋体" w:cs="宋体"/>
                <w:color w:val="000000"/>
                <w:sz w:val="18"/>
                <w:szCs w:val="18"/>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安全负责人</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分</w:t>
            </w:r>
          </w:p>
        </w:tc>
        <w:tc>
          <w:tcPr>
            <w:tcW w:w="1062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安全负责人（与专职安全员不为同一人）：</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拟委派的安全负责人具备</w:t>
            </w:r>
            <w:r>
              <w:rPr>
                <w:rFonts w:hint="eastAsia" w:ascii="宋体" w:hAnsi="宋体" w:eastAsia="宋体" w:cs="宋体"/>
                <w:sz w:val="21"/>
                <w:szCs w:val="21"/>
                <w:lang w:val="en-US" w:eastAsia="zh-CN"/>
              </w:rPr>
              <w:t>安全</w:t>
            </w:r>
            <w:r>
              <w:rPr>
                <w:rFonts w:hint="eastAsia" w:ascii="宋体" w:hAnsi="宋体" w:eastAsia="宋体" w:cs="宋体"/>
                <w:sz w:val="21"/>
                <w:szCs w:val="21"/>
              </w:rPr>
              <w:t>工程专业高级工程师或以上技术职称的，得</w:t>
            </w:r>
            <w:r>
              <w:rPr>
                <w:rFonts w:hint="eastAsia" w:ascii="宋体" w:hAnsi="宋体" w:eastAsia="宋体" w:cs="宋体"/>
                <w:sz w:val="21"/>
                <w:szCs w:val="21"/>
                <w:lang w:val="en-US" w:eastAsia="zh-CN"/>
              </w:rPr>
              <w:t>1.5</w:t>
            </w:r>
            <w:r>
              <w:rPr>
                <w:rFonts w:hint="eastAsia" w:ascii="宋体" w:hAnsi="宋体" w:eastAsia="宋体" w:cs="宋体"/>
                <w:sz w:val="21"/>
                <w:szCs w:val="21"/>
              </w:rPr>
              <w:t>分；具备安全工程专业</w:t>
            </w:r>
            <w:r>
              <w:rPr>
                <w:rFonts w:hint="eastAsia" w:ascii="宋体" w:hAnsi="宋体" w:eastAsia="宋体" w:cs="宋体"/>
                <w:sz w:val="21"/>
                <w:szCs w:val="21"/>
                <w:lang w:val="en-US" w:eastAsia="zh-CN"/>
              </w:rPr>
              <w:t>中</w:t>
            </w:r>
            <w:r>
              <w:rPr>
                <w:rFonts w:hint="eastAsia" w:ascii="宋体" w:hAnsi="宋体" w:eastAsia="宋体" w:cs="宋体"/>
                <w:sz w:val="21"/>
                <w:szCs w:val="21"/>
              </w:rPr>
              <w:t>级工程师技术职称的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得0.8分；</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拟委派的安全负责人具备有效期内的建筑施工企业专职安全生产管理人员安全生产考核合格证书(C3类)及注册安全工程师证的，得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pStyle w:val="20"/>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拟委派的安全负责人在2020年1月1日至投标截止时间止，</w:t>
            </w:r>
            <w:r>
              <w:rPr>
                <w:rFonts w:hint="eastAsia" w:ascii="宋体" w:hAnsi="宋体" w:eastAsia="宋体" w:cs="宋体"/>
                <w:sz w:val="21"/>
                <w:szCs w:val="21"/>
                <w:lang w:val="en-US" w:eastAsia="zh-CN"/>
              </w:rPr>
              <w:t>参与</w:t>
            </w:r>
            <w:r>
              <w:rPr>
                <w:rFonts w:hint="eastAsia" w:ascii="宋体" w:hAnsi="宋体" w:eastAsia="宋体" w:cs="宋体"/>
                <w:sz w:val="21"/>
                <w:szCs w:val="21"/>
                <w:lang w:eastAsia="zh-CN"/>
              </w:rPr>
              <w:t>完成过</w:t>
            </w:r>
            <w:r>
              <w:rPr>
                <w:rFonts w:hint="eastAsia" w:ascii="宋体" w:hAnsi="宋体" w:eastAsia="宋体" w:cs="宋体"/>
                <w:sz w:val="21"/>
                <w:szCs w:val="21"/>
                <w:lang w:val="en-US" w:eastAsia="zh-CN"/>
              </w:rPr>
              <w:t>类似</w:t>
            </w:r>
            <w:r>
              <w:rPr>
                <w:rFonts w:hint="eastAsia" w:ascii="宋体" w:hAnsi="宋体" w:eastAsia="宋体" w:cs="宋体"/>
                <w:sz w:val="21"/>
                <w:szCs w:val="21"/>
                <w:lang w:eastAsia="zh-CN"/>
              </w:rPr>
              <w:t>建筑工程业绩的，得0.5分；</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拟委派的安全负责人在2020年1月1日至投标截止时间止，作为省级或以上工法主要完成人员，每项得1分，最高得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w:t>
            </w:r>
          </w:p>
          <w:p>
            <w:pPr>
              <w:pStyle w:val="35"/>
              <w:keepNext w:val="0"/>
              <w:keepLines w:val="0"/>
              <w:pageBreakBefore w:val="0"/>
              <w:widowControl w:val="0"/>
              <w:kinsoku/>
              <w:wordWrap/>
              <w:overflowPunct/>
              <w:topLinePunct w:val="0"/>
              <w:autoSpaceDE/>
              <w:autoSpaceDN/>
              <w:bidi w:val="0"/>
              <w:adjustRightInd/>
              <w:snapToGrid w:val="0"/>
              <w:spacing w:after="0" w:line="312"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b/>
                <w:bCs/>
                <w:kern w:val="2"/>
                <w:sz w:val="21"/>
                <w:szCs w:val="21"/>
                <w:lang w:val="en-US" w:eastAsia="zh-CN" w:bidi="ar-SA"/>
              </w:rPr>
              <w:t>注：提供职称证、建筑施工企业专职安全生产管理人员安全生产考核合格证书(C3类)、注册证书、业绩证明、工法证书等相关证明材料扫描件并加盖投标人企业电子印章。未按要求提供相关资料的人员，该人员不作为评分依据。</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7" w:type="dxa"/>
            <w:vMerge w:val="continue"/>
            <w:shd w:val="clear" w:color="auto" w:fill="FFFFFF"/>
            <w:vAlign w:val="center"/>
          </w:tcPr>
          <w:p>
            <w:pPr>
              <w:jc w:val="center"/>
              <w:rPr>
                <w:rFonts w:hint="eastAsia" w:ascii="宋体" w:hAnsi="宋体" w:eastAsia="宋体" w:cs="宋体"/>
                <w:color w:val="000000"/>
                <w:sz w:val="18"/>
                <w:szCs w:val="18"/>
              </w:rPr>
            </w:pPr>
          </w:p>
        </w:tc>
        <w:tc>
          <w:tcPr>
            <w:tcW w:w="1120" w:type="dxa"/>
            <w:vMerge w:val="continue"/>
            <w:shd w:val="clear" w:color="auto" w:fill="FFFFFF"/>
            <w:vAlign w:val="center"/>
          </w:tcPr>
          <w:p>
            <w:pPr>
              <w:jc w:val="center"/>
              <w:rPr>
                <w:rFonts w:hint="eastAsia" w:ascii="宋体" w:hAnsi="宋体" w:eastAsia="宋体" w:cs="宋体"/>
                <w:color w:val="000000"/>
                <w:sz w:val="18"/>
                <w:szCs w:val="18"/>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造价负责人</w:t>
            </w:r>
          </w:p>
        </w:tc>
        <w:tc>
          <w:tcPr>
            <w:tcW w:w="854"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c>
          <w:tcPr>
            <w:tcW w:w="10624"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rPr>
              <w:t>造价负责人：</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具备建筑工程相关专业</w:t>
            </w:r>
            <w:r>
              <w:rPr>
                <w:rFonts w:hint="eastAsia" w:ascii="宋体" w:hAnsi="宋体" w:eastAsia="宋体" w:cs="宋体"/>
                <w:sz w:val="21"/>
                <w:szCs w:val="21"/>
                <w:lang w:val="en-US" w:eastAsia="zh-CN"/>
              </w:rPr>
              <w:t>中</w:t>
            </w:r>
            <w:r>
              <w:rPr>
                <w:rFonts w:hint="eastAsia" w:ascii="宋体" w:hAnsi="宋体" w:eastAsia="宋体" w:cs="宋体"/>
                <w:sz w:val="21"/>
                <w:szCs w:val="21"/>
              </w:rPr>
              <w:t>级工程师或以</w:t>
            </w:r>
            <w:r>
              <w:rPr>
                <w:rFonts w:hint="eastAsia" w:ascii="宋体" w:hAnsi="宋体" w:eastAsia="宋体" w:cs="宋体"/>
                <w:sz w:val="21"/>
                <w:szCs w:val="21"/>
                <w:lang w:val="en-US" w:eastAsia="zh-CN"/>
              </w:rPr>
              <w:t>上</w:t>
            </w:r>
            <w:r>
              <w:rPr>
                <w:rFonts w:hint="eastAsia" w:ascii="宋体" w:hAnsi="宋体" w:eastAsia="宋体" w:cs="宋体"/>
                <w:sz w:val="21"/>
                <w:szCs w:val="21"/>
              </w:rPr>
              <w:t>技术职称的，得</w:t>
            </w:r>
            <w:r>
              <w:rPr>
                <w:rFonts w:hint="eastAsia" w:ascii="宋体" w:hAnsi="宋体" w:eastAsia="宋体" w:cs="宋体"/>
                <w:sz w:val="21"/>
                <w:szCs w:val="21"/>
                <w:lang w:val="en-US" w:eastAsia="zh-CN"/>
              </w:rPr>
              <w:t>0.</w:t>
            </w:r>
            <w:r>
              <w:rPr>
                <w:rFonts w:hint="eastAsia" w:ascii="宋体" w:hAnsi="宋体" w:eastAsia="宋体" w:cs="宋体"/>
                <w:sz w:val="21"/>
                <w:szCs w:val="21"/>
              </w:rPr>
              <w:t>5分；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拟委派的</w:t>
            </w:r>
            <w:r>
              <w:rPr>
                <w:rFonts w:hint="eastAsia" w:ascii="宋体" w:hAnsi="宋体" w:eastAsia="宋体" w:cs="宋体"/>
                <w:sz w:val="21"/>
                <w:szCs w:val="21"/>
                <w:lang w:val="en-US" w:eastAsia="zh-CN"/>
              </w:rPr>
              <w:t>造价</w:t>
            </w:r>
            <w:r>
              <w:rPr>
                <w:rFonts w:hint="eastAsia" w:ascii="宋体" w:hAnsi="宋体" w:eastAsia="宋体" w:cs="宋体"/>
                <w:sz w:val="21"/>
                <w:szCs w:val="21"/>
              </w:rPr>
              <w:t>负责人在2020年1月1日至投标截止时间止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参与</w:t>
            </w:r>
            <w:r>
              <w:rPr>
                <w:rFonts w:hint="eastAsia" w:ascii="宋体" w:hAnsi="宋体" w:eastAsia="宋体" w:cs="宋体"/>
                <w:sz w:val="21"/>
                <w:szCs w:val="21"/>
              </w:rPr>
              <w:t>完成过</w:t>
            </w:r>
            <w:r>
              <w:rPr>
                <w:rFonts w:hint="eastAsia" w:ascii="宋体" w:hAnsi="宋体" w:eastAsia="宋体" w:cs="宋体"/>
                <w:sz w:val="21"/>
                <w:szCs w:val="21"/>
                <w:lang w:val="en-US" w:eastAsia="zh-CN"/>
              </w:rPr>
              <w:t>类似建筑工程业绩</w:t>
            </w:r>
            <w:r>
              <w:rPr>
                <w:rFonts w:hint="eastAsia" w:ascii="宋体" w:hAnsi="宋体" w:eastAsia="宋体" w:cs="宋体"/>
                <w:sz w:val="21"/>
                <w:szCs w:val="21"/>
              </w:rPr>
              <w:t>的</w:t>
            </w:r>
            <w:r>
              <w:rPr>
                <w:rFonts w:hint="eastAsia" w:ascii="宋体" w:hAnsi="宋体" w:eastAsia="宋体" w:cs="宋体"/>
                <w:sz w:val="21"/>
                <w:szCs w:val="21"/>
                <w:lang w:val="en-US" w:eastAsia="zh-CN"/>
              </w:rPr>
              <w:t>，得0.5分；</w:t>
            </w:r>
          </w:p>
          <w:p>
            <w:pPr>
              <w:pStyle w:val="20"/>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（3）拟委派的造价负责人在2020年1月1日至投标截止时间止，作为省级或以上工法主要完成人员，每项得1分，最高得2分。</w:t>
            </w:r>
          </w:p>
          <w:p>
            <w:pPr>
              <w:pStyle w:val="35"/>
              <w:keepNext w:val="0"/>
              <w:keepLines w:val="0"/>
              <w:pageBreakBefore w:val="0"/>
              <w:widowControl w:val="0"/>
              <w:kinsoku/>
              <w:wordWrap/>
              <w:overflowPunct/>
              <w:topLinePunct w:val="0"/>
              <w:autoSpaceDE/>
              <w:autoSpaceDN/>
              <w:bidi w:val="0"/>
              <w:adjustRightInd/>
              <w:snapToGrid w:val="0"/>
              <w:spacing w:after="0" w:line="312"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注：提供职称证、业绩证明、工法证书等相关证明材料扫描件并加盖投标人企业电子印章。未按要求提供相关资料的人员，该人员不作为评分依据。</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507" w:type="dxa"/>
            <w:vMerge w:val="restart"/>
            <w:shd w:val="clear" w:color="auto" w:fill="FFFFFF"/>
            <w:vAlign w:val="center"/>
          </w:tcPr>
          <w:p>
            <w:pPr>
              <w:adjustRightInd w:val="0"/>
              <w:snapToGrid w:val="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w:t>
            </w:r>
          </w:p>
        </w:tc>
        <w:tc>
          <w:tcPr>
            <w:tcW w:w="1120" w:type="dxa"/>
            <w:vMerge w:val="restart"/>
            <w:shd w:val="clear" w:color="auto" w:fill="FFFFFF"/>
            <w:vAlign w:val="center"/>
          </w:tcPr>
          <w:p>
            <w:pPr>
              <w:jc w:val="center"/>
              <w:rPr>
                <w:rFonts w:hint="eastAsia" w:ascii="宋体" w:hAnsi="宋体" w:eastAsia="宋体" w:cs="宋体"/>
                <w:color w:val="000000"/>
                <w:sz w:val="18"/>
                <w:szCs w:val="18"/>
              </w:rPr>
            </w:pPr>
            <w:r>
              <w:rPr>
                <w:rFonts w:hint="eastAsia" w:ascii="宋体" w:hAnsi="宋体" w:eastAsia="宋体" w:cs="宋体"/>
                <w:b/>
                <w:color w:val="000000"/>
                <w:sz w:val="18"/>
                <w:szCs w:val="18"/>
              </w:rPr>
              <w:t>企业资信(6分)</w:t>
            </w: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工程奖项</w:t>
            </w:r>
          </w:p>
        </w:tc>
        <w:tc>
          <w:tcPr>
            <w:tcW w:w="85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ind w:left="-59" w:leftChars="-28" w:right="-50" w:rightChars="-24"/>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1.8分</w:t>
            </w:r>
          </w:p>
        </w:tc>
        <w:tc>
          <w:tcPr>
            <w:tcW w:w="1062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投标人自2020年1月1日至投标截止时间止，</w:t>
            </w:r>
            <w:r>
              <w:rPr>
                <w:rFonts w:hint="eastAsia" w:ascii="宋体" w:hAnsi="宋体" w:eastAsia="宋体" w:cs="宋体"/>
                <w:color w:val="000000"/>
                <w:sz w:val="21"/>
                <w:szCs w:val="21"/>
              </w:rPr>
              <w:t>承建或参建的工程获得过国家级质量奖项每个得0.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省级质量奖项每个得0.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市级质量奖项每个得0.1分</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本项累计最高得1.8分，不符合上述条件的不得分。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507" w:type="dxa"/>
            <w:vMerge w:val="continue"/>
            <w:shd w:val="clear" w:color="auto" w:fill="FFFFFF"/>
            <w:vAlign w:val="center"/>
          </w:tcPr>
          <w:p>
            <w:pPr>
              <w:adjustRightInd w:val="0"/>
              <w:snapToGrid w:val="0"/>
              <w:jc w:val="center"/>
              <w:rPr>
                <w:rFonts w:hint="eastAsia" w:ascii="宋体" w:hAnsi="宋体" w:eastAsia="宋体" w:cs="宋体"/>
                <w:color w:val="000000"/>
                <w:sz w:val="18"/>
                <w:szCs w:val="18"/>
              </w:rPr>
            </w:pPr>
          </w:p>
        </w:tc>
        <w:tc>
          <w:tcPr>
            <w:tcW w:w="1120" w:type="dxa"/>
            <w:vMerge w:val="continue"/>
            <w:shd w:val="clear" w:color="auto" w:fill="FFFFFF"/>
            <w:vAlign w:val="center"/>
          </w:tcPr>
          <w:p>
            <w:pPr>
              <w:widowControl/>
              <w:adjustRightInd w:val="0"/>
              <w:snapToGrid w:val="0"/>
              <w:jc w:val="center"/>
              <w:rPr>
                <w:rFonts w:hint="eastAsia" w:ascii="宋体" w:hAnsi="宋体" w:eastAsia="宋体" w:cs="宋体"/>
                <w:b/>
                <w:color w:val="000000"/>
                <w:sz w:val="18"/>
                <w:szCs w:val="18"/>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sz w:val="18"/>
                <w:szCs w:val="18"/>
              </w:rPr>
              <w:t>工程研发能力</w:t>
            </w:r>
          </w:p>
        </w:tc>
        <w:tc>
          <w:tcPr>
            <w:tcW w:w="85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ind w:left="-59" w:leftChars="-28" w:right="-50" w:rightChars="-24"/>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1.8分</w:t>
            </w:r>
          </w:p>
        </w:tc>
        <w:tc>
          <w:tcPr>
            <w:tcW w:w="1062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投标人自20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年1月1日至投标截止时间止，获得工程建设类</w:t>
            </w:r>
            <w:r>
              <w:rPr>
                <w:rFonts w:hint="eastAsia" w:ascii="宋体" w:hAnsi="宋体" w:eastAsia="宋体" w:cs="宋体"/>
                <w:color w:val="000000"/>
                <w:sz w:val="21"/>
                <w:szCs w:val="21"/>
                <w:lang w:val="en-US" w:eastAsia="zh-CN"/>
              </w:rPr>
              <w:t>发明</w:t>
            </w:r>
            <w:r>
              <w:rPr>
                <w:rFonts w:hint="eastAsia" w:ascii="宋体" w:hAnsi="宋体" w:eastAsia="宋体" w:cs="宋体"/>
                <w:color w:val="000000"/>
                <w:sz w:val="21"/>
                <w:szCs w:val="21"/>
              </w:rPr>
              <w:t>专利</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项（含）</w:t>
            </w:r>
            <w:r>
              <w:rPr>
                <w:rFonts w:hint="eastAsia" w:ascii="宋体" w:hAnsi="宋体" w:eastAsia="宋体" w:cs="宋体"/>
                <w:color w:val="000000"/>
                <w:sz w:val="21"/>
                <w:szCs w:val="21"/>
                <w:lang w:val="en-US" w:eastAsia="zh-CN"/>
              </w:rPr>
              <w:t>或</w:t>
            </w:r>
            <w:r>
              <w:rPr>
                <w:rFonts w:hint="eastAsia" w:ascii="宋体" w:hAnsi="宋体" w:eastAsia="宋体" w:cs="宋体"/>
                <w:color w:val="000000"/>
                <w:sz w:val="21"/>
                <w:szCs w:val="21"/>
              </w:rPr>
              <w:t>以上的，得</w:t>
            </w: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投标人自20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年1月1日至投标截止时间止，获得工程建设类发明专利</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项（含）至</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项以下的，得</w:t>
            </w:r>
            <w:r>
              <w:rPr>
                <w:rFonts w:hint="eastAsia" w:ascii="宋体" w:hAnsi="宋体" w:eastAsia="宋体" w:cs="宋体"/>
                <w:color w:val="000000"/>
                <w:sz w:val="21"/>
                <w:szCs w:val="21"/>
                <w:lang w:val="en-US" w:eastAsia="zh-CN"/>
              </w:rPr>
              <w:t>0.9</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投标人自20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年1月1日至投标截止时间止，获得工程建设类发明专利5项以下的，得</w:t>
            </w:r>
            <w:r>
              <w:rPr>
                <w:rFonts w:hint="eastAsia" w:ascii="宋体" w:hAnsi="宋体" w:eastAsia="宋体" w:cs="宋体"/>
                <w:color w:val="000000"/>
                <w:sz w:val="21"/>
                <w:szCs w:val="21"/>
                <w:lang w:val="en-US" w:eastAsia="zh-CN"/>
              </w:rPr>
              <w:t>0.4</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本项最高得1.8分，不符合上述条件的不得分。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507" w:type="dxa"/>
            <w:vMerge w:val="continue"/>
            <w:shd w:val="clear" w:color="auto" w:fill="FFFFFF"/>
            <w:vAlign w:val="center"/>
          </w:tcPr>
          <w:p>
            <w:pPr>
              <w:jc w:val="center"/>
              <w:rPr>
                <w:rFonts w:hint="eastAsia" w:ascii="宋体" w:hAnsi="宋体" w:eastAsia="宋体" w:cs="宋体"/>
                <w:color w:val="000000"/>
                <w:sz w:val="21"/>
                <w:szCs w:val="21"/>
              </w:rPr>
            </w:pPr>
          </w:p>
        </w:tc>
        <w:tc>
          <w:tcPr>
            <w:tcW w:w="1120" w:type="dxa"/>
            <w:vMerge w:val="continue"/>
            <w:shd w:val="clear" w:color="auto" w:fill="FFFFFF"/>
            <w:vAlign w:val="center"/>
          </w:tcPr>
          <w:p>
            <w:pPr>
              <w:jc w:val="center"/>
              <w:rPr>
                <w:rFonts w:hint="eastAsia" w:ascii="宋体" w:hAnsi="宋体" w:eastAsia="宋体" w:cs="宋体"/>
                <w:color w:val="000000"/>
                <w:sz w:val="21"/>
                <w:szCs w:val="21"/>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第三方评价</w:t>
            </w:r>
          </w:p>
        </w:tc>
        <w:tc>
          <w:tcPr>
            <w:tcW w:w="85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ind w:left="-59" w:leftChars="-28" w:right="-50" w:rightChars="-24"/>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1.2分</w:t>
            </w:r>
          </w:p>
        </w:tc>
        <w:tc>
          <w:tcPr>
            <w:tcW w:w="10624" w:type="dxa"/>
            <w:shd w:val="clear" w:color="auto" w:fill="FFFFFF"/>
            <w:vAlign w:val="center"/>
          </w:tcPr>
          <w:p>
            <w:pPr>
              <w:pStyle w:val="20"/>
              <w:keepNext w:val="0"/>
              <w:keepLines w:val="0"/>
              <w:pageBreakBefore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具有质量管理体系认证证书、环境管理体系认证证书、职业健康安全管理体系认证证书、诚信管理体系认证证书、工程施工质量评价认证证书、安全生产标准化认证证书且证书在有效期内的，具有6项的，得1.2分；具有5项的，得0.6分；具有4项的，得0.3分；具有3项的，得0.1分。</w:t>
            </w:r>
          </w:p>
          <w:p>
            <w:pPr>
              <w:pStyle w:val="20"/>
              <w:keepNext w:val="0"/>
              <w:keepLines w:val="0"/>
              <w:pageBreakBefore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本项最高得1.2分，</w:t>
            </w:r>
            <w:r>
              <w:rPr>
                <w:rFonts w:hint="eastAsia" w:ascii="宋体" w:hAnsi="宋体" w:eastAsia="宋体" w:cs="宋体"/>
                <w:color w:val="000000"/>
                <w:sz w:val="21"/>
                <w:szCs w:val="21"/>
                <w:lang w:val="en-US" w:eastAsia="zh-CN"/>
              </w:rPr>
              <w:t>不符合上述条件的不得分。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507" w:type="dxa"/>
            <w:vMerge w:val="continue"/>
            <w:shd w:val="clear" w:color="auto" w:fill="FFFFFF"/>
            <w:vAlign w:val="center"/>
          </w:tcPr>
          <w:p>
            <w:pPr>
              <w:jc w:val="center"/>
              <w:rPr>
                <w:rFonts w:hint="eastAsia" w:ascii="宋体" w:hAnsi="宋体" w:eastAsia="宋体" w:cs="宋体"/>
                <w:color w:val="000000"/>
                <w:sz w:val="21"/>
                <w:szCs w:val="21"/>
              </w:rPr>
            </w:pPr>
          </w:p>
        </w:tc>
        <w:tc>
          <w:tcPr>
            <w:tcW w:w="1120" w:type="dxa"/>
            <w:vMerge w:val="continue"/>
            <w:shd w:val="clear" w:color="auto" w:fill="FFFFFF"/>
            <w:vAlign w:val="center"/>
          </w:tcPr>
          <w:p>
            <w:pPr>
              <w:jc w:val="center"/>
              <w:rPr>
                <w:rFonts w:hint="eastAsia" w:ascii="宋体" w:hAnsi="宋体" w:eastAsia="宋体" w:cs="宋体"/>
                <w:color w:val="000000"/>
                <w:sz w:val="21"/>
                <w:szCs w:val="21"/>
              </w:rPr>
            </w:pPr>
          </w:p>
        </w:tc>
        <w:tc>
          <w:tcPr>
            <w:tcW w:w="1593"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财务指标</w:t>
            </w:r>
          </w:p>
        </w:tc>
        <w:tc>
          <w:tcPr>
            <w:tcW w:w="85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ind w:left="-59" w:leftChars="-28" w:right="-50" w:rightChars="-24"/>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1.2分</w:t>
            </w:r>
          </w:p>
        </w:tc>
        <w:tc>
          <w:tcPr>
            <w:tcW w:w="10624" w:type="dxa"/>
            <w:shd w:val="clear" w:color="auto" w:fill="FFFFFF"/>
            <w:vAlign w:val="center"/>
          </w:tcPr>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eastAsia="宋体" w:cs="宋体"/>
                <w:color w:val="000000"/>
                <w:sz w:val="21"/>
                <w:szCs w:val="21"/>
                <w:lang w:val="en-US" w:eastAsia="zh-CN"/>
              </w:rPr>
              <w:t>近</w:t>
            </w:r>
            <w:r>
              <w:rPr>
                <w:rFonts w:hint="eastAsia" w:ascii="宋体" w:hAnsi="宋体" w:eastAsia="宋体" w:cs="宋体"/>
                <w:color w:val="000000"/>
                <w:sz w:val="21"/>
                <w:szCs w:val="21"/>
              </w:rPr>
              <w:t>三年(2020-2022)平均资产负债率在0～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0%（含）的，得1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eastAsia="宋体" w:cs="宋体"/>
                <w:color w:val="000000"/>
                <w:sz w:val="21"/>
                <w:szCs w:val="21"/>
                <w:lang w:val="en-US" w:eastAsia="zh-CN"/>
              </w:rPr>
              <w:t>近</w:t>
            </w:r>
            <w:r>
              <w:rPr>
                <w:rFonts w:hint="eastAsia" w:ascii="宋体" w:hAnsi="宋体" w:eastAsia="宋体" w:cs="宋体"/>
                <w:color w:val="000000"/>
                <w:sz w:val="21"/>
                <w:szCs w:val="21"/>
              </w:rPr>
              <w:t>三年(2020-2022)平均资产负债率在</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0%（不含）～</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0%（含）的，得0.</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eastAsia="宋体" w:cs="宋体"/>
                <w:color w:val="000000"/>
                <w:sz w:val="21"/>
                <w:szCs w:val="21"/>
                <w:lang w:val="en-US" w:eastAsia="zh-CN"/>
              </w:rPr>
              <w:t>近</w:t>
            </w:r>
            <w:r>
              <w:rPr>
                <w:rFonts w:hint="eastAsia" w:ascii="宋体" w:hAnsi="宋体" w:eastAsia="宋体" w:cs="宋体"/>
                <w:color w:val="000000"/>
                <w:sz w:val="21"/>
                <w:szCs w:val="21"/>
              </w:rPr>
              <w:t>三年(2020-2022)平均资产负债率在</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0%（不含）～</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0%（含）的，得0.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pPr>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本项最高得1.2分，不符合上述条件的不得分。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220" w:type="dxa"/>
            <w:gridSpan w:val="3"/>
            <w:shd w:val="clear" w:color="auto" w:fill="FFFFFF"/>
            <w:vAlign w:val="center"/>
          </w:tcPr>
          <w:p>
            <w:pPr>
              <w:widowControl/>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854" w:type="dxa"/>
            <w:shd w:val="clear" w:color="auto" w:fill="FFFFFF"/>
            <w:vAlign w:val="center"/>
          </w:tcPr>
          <w:p>
            <w:pPr>
              <w:adjustRightInd w:val="0"/>
              <w:snapToGrid w:val="0"/>
              <w:ind w:left="-59" w:leftChars="-28" w:right="-50" w:rightChars="-24"/>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0624" w:type="dxa"/>
            <w:shd w:val="clear" w:color="auto" w:fill="FFFFFF"/>
            <w:vAlign w:val="center"/>
          </w:tcPr>
          <w:p>
            <w:pPr>
              <w:adjustRightInd w:val="0"/>
              <w:snapToGrid w:val="0"/>
              <w:jc w:val="center"/>
              <w:rPr>
                <w:rFonts w:hint="eastAsia" w:ascii="宋体" w:hAnsi="宋体" w:eastAsia="宋体" w:cs="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rPr>
        <w:t>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1</w:t>
      </w:r>
      <w:r>
        <w:rPr>
          <w:rFonts w:hint="eastAsia" w:eastAsia="宋体"/>
          <w:color w:val="auto"/>
          <w:szCs w:val="21"/>
          <w:highlight w:val="none"/>
        </w:rPr>
        <w:t>、项目管理机构</w:t>
      </w:r>
      <w:r>
        <w:rPr>
          <w:rFonts w:hint="eastAsia" w:eastAsia="宋体"/>
          <w:color w:val="auto"/>
          <w:szCs w:val="21"/>
          <w:highlight w:val="none"/>
          <w:lang w:val="en-US" w:eastAsia="zh-CN"/>
        </w:rPr>
        <w:t>能力</w:t>
      </w:r>
      <w:r>
        <w:rPr>
          <w:rFonts w:hint="eastAsia" w:eastAsia="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rPr>
        <w:t>1）以上项目管理机构人员需提供有效的职称证或注册证扫描件并加盖投标人电子印章、同时需提供202</w:t>
      </w:r>
      <w:r>
        <w:rPr>
          <w:rFonts w:hint="eastAsia" w:eastAsia="宋体"/>
          <w:color w:val="auto"/>
          <w:szCs w:val="21"/>
          <w:highlight w:val="none"/>
          <w:lang w:val="en-US" w:eastAsia="zh-CN"/>
        </w:rPr>
        <w:t>4</w:t>
      </w:r>
      <w:r>
        <w:rPr>
          <w:rFonts w:hint="eastAsia" w:eastAsia="宋体"/>
          <w:color w:val="auto"/>
          <w:szCs w:val="21"/>
          <w:highlight w:val="none"/>
        </w:rPr>
        <w:t>年</w:t>
      </w:r>
      <w:r>
        <w:rPr>
          <w:rFonts w:hint="eastAsia" w:eastAsia="宋体"/>
          <w:color w:val="auto"/>
          <w:szCs w:val="21"/>
          <w:highlight w:val="none"/>
          <w:lang w:val="en-US" w:eastAsia="zh-CN"/>
        </w:rPr>
        <w:t>04</w:t>
      </w:r>
      <w:r>
        <w:rPr>
          <w:rFonts w:hint="eastAsia" w:eastAsia="宋体"/>
          <w:color w:val="auto"/>
          <w:szCs w:val="21"/>
          <w:highlight w:val="none"/>
        </w:rPr>
        <w:t>月的有效社保证明扫描件并加盖投标人电子印章，</w:t>
      </w:r>
      <w:r>
        <w:rPr>
          <w:rFonts w:hint="eastAsia" w:eastAsia="宋体"/>
          <w:color w:val="auto"/>
          <w:szCs w:val="21"/>
          <w:highlight w:val="none"/>
          <w:lang w:val="en-US" w:eastAsia="zh-CN"/>
        </w:rPr>
        <w:t>退休返聘人员不算，</w:t>
      </w:r>
      <w:r>
        <w:rPr>
          <w:rFonts w:hint="eastAsia" w:eastAsia="宋体"/>
          <w:color w:val="auto"/>
          <w:szCs w:val="21"/>
          <w:highlight w:val="none"/>
        </w:rPr>
        <w:t>上述人员岗位不能相互兼任。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2</w:t>
      </w:r>
      <w:r>
        <w:rPr>
          <w:rFonts w:hint="eastAsia" w:eastAsia="宋体"/>
          <w:color w:val="auto"/>
          <w:szCs w:val="21"/>
          <w:highlight w:val="none"/>
        </w:rPr>
        <w:t>）以上项目管理机构人员职称证书应为人社部门或人社部门授权机构或人社部门认可机构或经人社部门备案机构</w:t>
      </w:r>
      <w:r>
        <w:rPr>
          <w:rFonts w:hint="eastAsia" w:eastAsia="宋体"/>
          <w:color w:val="auto"/>
          <w:szCs w:val="21"/>
          <w:highlight w:val="none"/>
          <w:lang w:val="en-US" w:eastAsia="zh-CN"/>
        </w:rPr>
        <w:t>等相关部门</w:t>
      </w:r>
      <w:r>
        <w:rPr>
          <w:rFonts w:hint="eastAsia" w:eastAsia="宋体"/>
          <w:color w:val="auto"/>
          <w:szCs w:val="21"/>
          <w:highlight w:val="none"/>
        </w:rPr>
        <w:t>颁发</w:t>
      </w:r>
      <w:r>
        <w:rPr>
          <w:rFonts w:hint="eastAsia" w:eastAsia="宋体"/>
          <w:color w:val="auto"/>
          <w:szCs w:val="21"/>
          <w:highlight w:val="none"/>
          <w:lang w:val="en-US" w:eastAsia="zh-CN"/>
        </w:rPr>
        <w:t>的</w:t>
      </w:r>
      <w:r>
        <w:rPr>
          <w:rFonts w:hint="eastAsia" w:eastAsia="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3</w:t>
      </w:r>
      <w:r>
        <w:rPr>
          <w:rFonts w:hint="eastAsia" w:eastAsia="宋体"/>
          <w:color w:val="auto"/>
          <w:szCs w:val="21"/>
          <w:highlight w:val="none"/>
        </w:rPr>
        <w:t>）人员业绩：业绩取自广州市住建行业信用管理平台。投标人还须提供建筑工程业绩的项目名称及业绩在广州市住建行业信用管理平台中的业绩编号。不提供项目名称及业绩编号的业绩不予评审。若投标人提供的项目名称与业绩编号不一致：①项目名称和业绩编号在平台内分别对应不同业绩的，以项目名称对应的业绩为准②项目名称存在对应业绩的，业绩编号在平台内不存在对应业绩，以项目名称对应的业绩为准③项目名称在平台内不存在对应业绩，业绩编号存在对应业绩的，以业绩编号对应的业绩为准。④完成时间以竣工验收文件为准。参与人员需在竣工验收报告（或相关验收文件）上在体现，竣工验收报告（或相关验收文件）至少具有建设单位、设计、施工和监理单位盖章。评标委员会对业绩的评审以投标截止时间在平台内业绩上传件为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rPr>
        <w:t>5）人员工法获奖：需提供由建设主管部门颁发的证书，在证书须体现相关人员的姓名及对应完整的工法的科学技术成果鉴定证书，两者须同时提供，缺一不可，时间以发证时间为准。不符合上述条件或未提供上述资料的不得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6</w:t>
      </w:r>
      <w:r>
        <w:rPr>
          <w:rFonts w:hint="eastAsia" w:eastAsia="宋体"/>
          <w:color w:val="auto"/>
          <w:szCs w:val="21"/>
          <w:highlight w:val="none"/>
        </w:rPr>
        <w:t>）注册安全工程师需同时提交“中华人民共和国应急管理部 注册安全工程师查询 https://zwfw.mem.gov.cn/zwthlw/pages/hlwmh/yyfw/zcaqgcscx/index.html”查询结果网页截图证明其注册有效。注册单位需是投标人单位。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2</w:t>
      </w:r>
      <w:r>
        <w:rPr>
          <w:rFonts w:hint="eastAsia" w:eastAsia="宋体"/>
          <w:color w:val="auto"/>
          <w:szCs w:val="21"/>
          <w:highlight w:val="none"/>
        </w:rPr>
        <w:t>、企业资信：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1）工程奖项</w:t>
      </w:r>
      <w:r>
        <w:rPr>
          <w:rFonts w:hint="eastAsia" w:eastAsia="宋体"/>
          <w:color w:val="auto"/>
          <w:szCs w:val="21"/>
          <w:highlight w:val="none"/>
        </w:rPr>
        <w:t>：国家级工程奖项包括但不限于中国建设工程鲁班奖（国家优质工程）、国家优质工程金质奖、国家优质工程奖（原国家优质工程银质奖）、中国土木工程詹天佑奖等；省级工程奖项包括但不限于：颁发的省建设工程优质奖、省土木工程詹天佑故乡杯、省建设工程金匠奖、省建设工程优质结构奖</w:t>
      </w:r>
      <w:r>
        <w:rPr>
          <w:rFonts w:hint="eastAsia" w:eastAsia="宋体"/>
          <w:color w:val="auto"/>
          <w:szCs w:val="21"/>
          <w:highlight w:val="none"/>
          <w:lang w:eastAsia="zh-CN"/>
        </w:rPr>
        <w:t>、</w:t>
      </w:r>
      <w:r>
        <w:rPr>
          <w:rFonts w:hint="eastAsia" w:eastAsia="宋体"/>
          <w:color w:val="auto"/>
          <w:szCs w:val="21"/>
          <w:highlight w:val="none"/>
          <w:lang w:val="en-US" w:eastAsia="zh-CN"/>
        </w:rPr>
        <w:t>省建筑装饰优秀奖“岭南杯”</w:t>
      </w:r>
      <w:r>
        <w:rPr>
          <w:rFonts w:hint="eastAsia" w:eastAsia="宋体"/>
          <w:color w:val="auto"/>
          <w:szCs w:val="21"/>
          <w:highlight w:val="none"/>
        </w:rPr>
        <w:t>等；市级工程奖项包括但不限于：颁发的市建设工程结构质量优良项目（原市结构优良样板工程）、市建设工程结构优质奖、市建设工程优质奖、市建筑装饰优质工程奖、市建设工程质量“五羊杯”、市建设工程中小型优质奖（不包含安全文明奖项及 QC 类奖项等），承建或参建</w:t>
      </w:r>
      <w:r>
        <w:rPr>
          <w:rFonts w:hint="eastAsia" w:eastAsia="宋体"/>
          <w:color w:val="auto"/>
          <w:szCs w:val="21"/>
          <w:highlight w:val="none"/>
          <w:lang w:val="en-US" w:eastAsia="zh-CN"/>
        </w:rPr>
        <w:t>均</w:t>
      </w:r>
      <w:r>
        <w:rPr>
          <w:rFonts w:hint="eastAsia" w:eastAsia="宋体"/>
          <w:color w:val="auto"/>
          <w:szCs w:val="21"/>
          <w:highlight w:val="none"/>
        </w:rPr>
        <w:t>得分；同一项目只按最高奖项计算一次得分，不得重复计算；时间以发证时间为准。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2）</w:t>
      </w:r>
      <w:r>
        <w:rPr>
          <w:rFonts w:hint="eastAsia" w:eastAsia="宋体"/>
          <w:color w:val="auto"/>
          <w:szCs w:val="21"/>
          <w:highlight w:val="none"/>
        </w:rPr>
        <w:t>工程研发能力：须提供工程建设类发明专利证书扫描件，专利证书的专利权人必须为投标人，工程建设类发明专利获得日期以授权公告日为准，以子公司名义获得的证书不作计算，实用新型、外观设计专利证书不在计算范围内，提供国家知识产权局网上查询截图http://epub.cnipa.gov.cn/；不符合上述条件或未提供上述资料的不得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3）</w:t>
      </w:r>
      <w:r>
        <w:rPr>
          <w:rFonts w:hint="eastAsia" w:eastAsia="宋体"/>
          <w:color w:val="auto"/>
          <w:szCs w:val="21"/>
          <w:highlight w:val="none"/>
        </w:rPr>
        <w:t>第三方评价：提供全国认证认可信息公告服务平台（http://cx.cnca.cn/CertECloud/index/index/page）相关截图结果页截图并加盖投标人企业电子印章，不符合条件或无提供查询结果网页截图或无加盖投标人企业电子印章的不计分。不符合条件或无提供查询结果网页截图或无加盖投标人企业电子印章的不计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r>
        <w:rPr>
          <w:rFonts w:hint="eastAsia" w:eastAsia="宋体"/>
          <w:color w:val="auto"/>
          <w:szCs w:val="21"/>
          <w:highlight w:val="none"/>
          <w:lang w:val="en-US" w:eastAsia="zh-CN"/>
        </w:rPr>
        <w:t>4）</w:t>
      </w:r>
      <w:r>
        <w:rPr>
          <w:rFonts w:hint="eastAsia" w:eastAsia="宋体"/>
          <w:color w:val="auto"/>
          <w:szCs w:val="21"/>
          <w:highlight w:val="none"/>
        </w:rPr>
        <w:t>财务指标：企业资产负债率以企业对应年度的财务报表的数据为准，资产负债率=负债总额/资产总额×100%，投标人须提供近三年（2020-2022年）经会计师事务所审计的财务报表复印件并加盖投标单位公章，投标人成立不足三年按其所有年度平均计算，负债率保留小数点后2位有效数字</w:t>
      </w:r>
      <w:r>
        <w:rPr>
          <w:rFonts w:hint="eastAsia" w:eastAsia="宋体"/>
          <w:color w:val="auto"/>
          <w:szCs w:val="21"/>
          <w:highlight w:val="none"/>
          <w:lang w:eastAsia="zh-CN"/>
        </w:rPr>
        <w:t>，</w:t>
      </w:r>
      <w:r>
        <w:rPr>
          <w:rFonts w:hint="eastAsia" w:eastAsia="宋体"/>
          <w:color w:val="auto"/>
          <w:szCs w:val="21"/>
          <w:highlight w:val="none"/>
        </w:rPr>
        <w:t>不符合上述条件或未提供上述资料的不得分。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以上所附证书证明文件均须提供原件扫描件并加盖投标人电子印章，投标人提供的网页截图（含网页打印件）或复印件内容必须清晰可辨，如因网页截图或复印件内容模糊导致评标时无法判断的，后果由投标人自负。上述资料不提供或提供不完整或提供不符合要求的不得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4、投标人若同时满足多个得分档次的，按所满足的最高档计分。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5、所有评委总分汇总后的算术平均值为投标人的最终得分。分数出现小数点，保留小数点后二位小数，第三位小数四舍五入。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评委签名：                                                                        日期：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rPr>
      </w:pPr>
    </w:p>
    <w:p>
      <w:pPr>
        <w:rPr>
          <w:rFonts w:hint="eastAsia"/>
        </w:rPr>
      </w:pP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color w:val="auto"/>
          <w:highlight w:val="none"/>
        </w:rPr>
      </w:pPr>
      <w:r>
        <w:rPr>
          <w:rFonts w:hint="eastAsia"/>
          <w:color w:val="auto"/>
          <w:szCs w:val="21"/>
          <w:highlight w:val="none"/>
        </w:rPr>
        <w:t>评委签名：</w:t>
      </w:r>
      <w:r>
        <w:rPr>
          <w:b/>
          <w:color w:val="auto"/>
          <w:sz w:val="36"/>
          <w:szCs w:val="36"/>
          <w:highlight w:val="none"/>
        </w:rPr>
        <w:br w:type="page"/>
      </w:r>
    </w:p>
    <w:p>
      <w:pPr>
        <w:rPr>
          <w:rFonts w:ascii="宋体" w:hAnsi="宋体" w:cs="宋体"/>
          <w:b/>
          <w:color w:val="auto"/>
          <w:szCs w:val="21"/>
          <w:highlight w:val="none"/>
        </w:rPr>
      </w:pPr>
      <w:r>
        <w:rPr>
          <w:rFonts w:hint="eastAsia" w:ascii="宋体" w:hAnsi="宋体" w:cs="宋体"/>
          <w:color w:val="auto"/>
          <w:szCs w:val="21"/>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6"/>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6"/>
        <w:tblW w:w="144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419"/>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ascii="宋体" w:hAnsi="宋体" w:cs="宋体"/>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090" w:right="1247" w:bottom="1418" w:left="1134" w:header="851" w:footer="907" w:gutter="0"/>
          <w:pgNumType w:fmt="decimal"/>
          <w:cols w:space="720" w:num="1"/>
          <w:titlePg/>
          <w:docGrid w:type="lines" w:linePitch="312" w:charSpace="0"/>
        </w:sectPr>
      </w:pPr>
    </w:p>
    <w:p>
      <w:pPr>
        <w:pStyle w:val="3"/>
        <w:rPr>
          <w:color w:val="auto"/>
          <w:highlight w:val="none"/>
        </w:rPr>
      </w:pPr>
      <w:bookmarkStart w:id="34" w:name="_Toc21525511"/>
      <w:bookmarkStart w:id="35" w:name="_Toc2272566"/>
      <w:r>
        <w:rPr>
          <w:rFonts w:hint="eastAsia"/>
          <w:color w:val="auto"/>
          <w:highlight w:val="none"/>
        </w:rPr>
        <w:t>第三章</w:t>
      </w:r>
      <w:r>
        <w:rPr>
          <w:color w:val="auto"/>
          <w:highlight w:val="none"/>
        </w:rPr>
        <w:t xml:space="preserve">  </w:t>
      </w:r>
      <w:r>
        <w:rPr>
          <w:rFonts w:hint="eastAsia"/>
          <w:color w:val="auto"/>
          <w:highlight w:val="none"/>
        </w:rPr>
        <w:t>合同条款</w:t>
      </w:r>
      <w:bookmarkEnd w:id="34"/>
      <w:bookmarkEnd w:id="35"/>
    </w:p>
    <w:p>
      <w:pPr>
        <w:jc w:val="center"/>
        <w:rPr>
          <w:rFonts w:ascii="宋体"/>
          <w:b/>
          <w:color w:val="auto"/>
          <w:sz w:val="32"/>
          <w:szCs w:val="32"/>
          <w:highlight w:val="none"/>
        </w:rPr>
      </w:pPr>
      <w:r>
        <w:rPr>
          <w:rFonts w:hint="eastAsia" w:ascii="宋体" w:hAnsi="宋体" w:cs="宋体"/>
          <w:color w:val="auto"/>
          <w:sz w:val="32"/>
          <w:szCs w:val="32"/>
          <w:highlight w:val="none"/>
          <w:u w:val="single"/>
        </w:rPr>
        <w:t>另册</w:t>
      </w:r>
      <w:r>
        <w:rPr>
          <w:rFonts w:hint="eastAsia" w:ascii="宋体" w:hAnsi="宋体"/>
          <w:color w:val="auto"/>
          <w:sz w:val="32"/>
          <w:szCs w:val="32"/>
          <w:highlight w:val="none"/>
        </w:rPr>
        <w:t>。</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20"/>
        <w:spacing w:line="360" w:lineRule="auto"/>
        <w:rPr>
          <w:color w:val="auto"/>
          <w:sz w:val="24"/>
          <w:szCs w:val="24"/>
          <w:highlight w:val="none"/>
        </w:rPr>
      </w:pPr>
    </w:p>
    <w:p>
      <w:pPr>
        <w:pStyle w:val="20"/>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36" w:name="_Toc2272567"/>
      <w:bookmarkStart w:id="37"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36"/>
      <w:bookmarkEnd w:id="37"/>
    </w:p>
    <w:p>
      <w:pPr>
        <w:autoSpaceDE w:val="0"/>
        <w:autoSpaceDN w:val="0"/>
        <w:adjustRightInd w:val="0"/>
        <w:rPr>
          <w:bCs/>
          <w:color w:val="auto"/>
          <w:szCs w:val="21"/>
          <w:highlight w:val="none"/>
        </w:rPr>
      </w:pPr>
      <w:r>
        <w:rPr>
          <w:color w:val="auto"/>
          <w:highlight w:val="none"/>
        </w:rPr>
        <w:br w:type="page"/>
      </w:r>
      <w:r>
        <w:rPr>
          <w:rFonts w:hint="eastAsia"/>
          <w:bCs/>
          <w:color w:val="auto"/>
          <w:szCs w:val="21"/>
          <w:highlight w:val="none"/>
        </w:rPr>
        <w:t>附件一</w:t>
      </w:r>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p>
      <w:pPr>
        <w:autoSpaceDE w:val="0"/>
        <w:autoSpaceDN w:val="0"/>
        <w:adjustRightInd w:val="0"/>
        <w:rPr>
          <w:color w:val="auto"/>
          <w:szCs w:val="21"/>
          <w:highlight w:val="none"/>
        </w:rPr>
      </w:pPr>
      <w:r>
        <w:rPr>
          <w:color w:val="auto"/>
          <w:sz w:val="24"/>
          <w:szCs w:val="24"/>
          <w:highlight w:val="none"/>
        </w:rPr>
        <w:br w:type="page"/>
      </w:r>
      <w:r>
        <w:rPr>
          <w:rFonts w:hint="eastAsia"/>
          <w:color w:val="auto"/>
          <w:szCs w:val="21"/>
          <w:highlight w:val="none"/>
        </w:rPr>
        <w:t>附件二</w:t>
      </w:r>
    </w:p>
    <w:p>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pPr>
        <w:autoSpaceDE w:val="0"/>
        <w:autoSpaceDN w:val="0"/>
        <w:adjustRightInd w:val="0"/>
        <w:rPr>
          <w:color w:val="auto"/>
          <w:szCs w:val="21"/>
          <w:highlight w:val="none"/>
        </w:rPr>
      </w:pPr>
      <w:r>
        <w:rPr>
          <w:rFonts w:hint="eastAsia"/>
          <w:color w:val="auto"/>
          <w:szCs w:val="21"/>
          <w:highlight w:val="none"/>
        </w:rPr>
        <w:t>附件三</w:t>
      </w:r>
    </w:p>
    <w:p>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5"/>
        <w:spacing w:after="0" w:line="360" w:lineRule="auto"/>
        <w:ind w:firstLine="0"/>
        <w:rPr>
          <w:b/>
          <w:color w:val="auto"/>
          <w:sz w:val="32"/>
          <w:szCs w:val="32"/>
          <w:highlight w:val="none"/>
        </w:rPr>
      </w:pPr>
    </w:p>
    <w:p>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6"/>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pPr>
              <w:pStyle w:val="5"/>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pStyle w:val="5"/>
        <w:spacing w:after="0" w:line="360" w:lineRule="auto"/>
        <w:ind w:left="-2" w:leftChars="-1" w:firstLine="367" w:firstLineChars="175"/>
        <w:jc w:val="left"/>
        <w:rPr>
          <w:rFonts w:ascii="宋体" w:hAnsi="宋体" w:cs="宋体"/>
          <w:color w:val="auto"/>
          <w:szCs w:val="21"/>
          <w:highlight w:val="none"/>
        </w:rPr>
      </w:pPr>
    </w:p>
    <w:p>
      <w:pPr>
        <w:pStyle w:val="5"/>
        <w:spacing w:after="0" w:line="360" w:lineRule="auto"/>
        <w:ind w:left="-2" w:leftChars="-1" w:firstLine="367" w:firstLineChars="175"/>
        <w:jc w:val="left"/>
        <w:rPr>
          <w:rFonts w:ascii="宋体" w:hAnsi="宋体" w:cs="宋体"/>
          <w:color w:val="auto"/>
          <w:szCs w:val="21"/>
          <w:highlight w:val="none"/>
        </w:rPr>
      </w:pPr>
      <w:r>
        <w:rPr>
          <w:rFonts w:hint="eastAsia" w:ascii="宋体" w:hAnsi="宋体" w:cs="宋体"/>
          <w:color w:val="auto"/>
          <w:szCs w:val="21"/>
          <w:highlight w:val="none"/>
        </w:rPr>
        <w:t>附件四</w:t>
      </w:r>
    </w:p>
    <w:p>
      <w:pPr>
        <w:autoSpaceDE w:val="0"/>
        <w:autoSpaceDN w:val="0"/>
        <w:adjustRightInd w:val="0"/>
        <w:spacing w:line="360" w:lineRule="auto"/>
        <w:jc w:val="center"/>
        <w:rPr>
          <w:rFonts w:ascii="宋体" w:hAnsi="宋体" w:cs="宋体"/>
          <w:b/>
          <w:bCs/>
          <w:color w:val="auto"/>
          <w:sz w:val="36"/>
          <w:szCs w:val="36"/>
          <w:highlight w:val="none"/>
        </w:rPr>
      </w:pPr>
    </w:p>
    <w:p>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rPr>
        <w:t>施工</w:t>
      </w:r>
      <w:r>
        <w:rPr>
          <w:rFonts w:ascii="宋体" w:hAnsi="宋体" w:cs="宋体"/>
          <w:b/>
          <w:bCs/>
          <w:color w:val="auto"/>
          <w:sz w:val="36"/>
          <w:szCs w:val="36"/>
          <w:highlight w:val="none"/>
          <w:lang w:val="zh-CN"/>
        </w:rPr>
        <w:t>项目管理团队人员信息表</w:t>
      </w:r>
    </w:p>
    <w:tbl>
      <w:tblPr>
        <w:tblStyle w:val="3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58"/>
        <w:gridCol w:w="1376"/>
        <w:gridCol w:w="1462"/>
        <w:gridCol w:w="2783"/>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序号</w:t>
            </w:r>
          </w:p>
        </w:tc>
        <w:tc>
          <w:tcPr>
            <w:tcW w:w="1358" w:type="dxa"/>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姓名</w:t>
            </w:r>
          </w:p>
        </w:tc>
        <w:tc>
          <w:tcPr>
            <w:tcW w:w="1376" w:type="dxa"/>
            <w:vAlign w:val="center"/>
          </w:tcPr>
          <w:p>
            <w:pPr>
              <w:adjustRightInd w:val="0"/>
              <w:snapToGrid w:val="0"/>
              <w:ind w:left="-63" w:leftChars="-30" w:right="-63" w:rightChars="-30"/>
              <w:jc w:val="center"/>
              <w:rPr>
                <w:rFonts w:ascii="宋体" w:hAnsi="宋体"/>
                <w:color w:val="auto"/>
                <w:highlight w:val="none"/>
              </w:rPr>
            </w:pPr>
            <w:r>
              <w:rPr>
                <w:rStyle w:val="114"/>
                <w:rFonts w:hint="default" w:ascii="宋体" w:hAnsi="宋体" w:eastAsia="宋体" w:cs="宋体"/>
                <w:color w:val="auto"/>
                <w:sz w:val="21"/>
                <w:szCs w:val="21"/>
                <w:highlight w:val="none"/>
                <w:lang w:bidi="ar"/>
              </w:rPr>
              <w:t>岗位</w:t>
            </w:r>
          </w:p>
        </w:tc>
        <w:tc>
          <w:tcPr>
            <w:tcW w:w="1462" w:type="dxa"/>
            <w:vAlign w:val="center"/>
          </w:tcPr>
          <w:p>
            <w:pPr>
              <w:adjustRightInd w:val="0"/>
              <w:snapToGrid w:val="0"/>
              <w:ind w:left="-63" w:leftChars="-30" w:right="-63" w:rightChars="-30"/>
              <w:jc w:val="center"/>
              <w:rPr>
                <w:rStyle w:val="114"/>
                <w:rFonts w:hint="default" w:ascii="宋体" w:hAnsi="宋体" w:eastAsia="宋体" w:cs="宋体"/>
                <w:color w:val="auto"/>
                <w:sz w:val="21"/>
                <w:szCs w:val="21"/>
                <w:highlight w:val="none"/>
                <w:lang w:bidi="ar"/>
              </w:rPr>
            </w:pPr>
            <w:r>
              <w:rPr>
                <w:rStyle w:val="114"/>
                <w:rFonts w:hint="default" w:ascii="宋体" w:hAnsi="宋体" w:eastAsia="宋体" w:cs="宋体"/>
                <w:color w:val="auto"/>
                <w:sz w:val="21"/>
                <w:szCs w:val="21"/>
                <w:highlight w:val="none"/>
                <w:lang w:bidi="ar"/>
              </w:rPr>
              <w:t>职称</w:t>
            </w:r>
          </w:p>
        </w:tc>
        <w:tc>
          <w:tcPr>
            <w:tcW w:w="2783" w:type="dxa"/>
            <w:vAlign w:val="center"/>
          </w:tcPr>
          <w:p>
            <w:pPr>
              <w:adjustRightInd w:val="0"/>
              <w:snapToGrid w:val="0"/>
              <w:ind w:left="-63" w:leftChars="-30" w:right="-63" w:rightChars="-30"/>
              <w:jc w:val="center"/>
              <w:rPr>
                <w:rStyle w:val="114"/>
                <w:rFonts w:hint="default" w:ascii="宋体" w:hAnsi="宋体" w:eastAsia="宋体" w:cs="宋体"/>
                <w:color w:val="auto"/>
                <w:sz w:val="21"/>
                <w:szCs w:val="21"/>
                <w:highlight w:val="none"/>
                <w:lang w:bidi="ar"/>
              </w:rPr>
            </w:pPr>
            <w:r>
              <w:rPr>
                <w:rStyle w:val="114"/>
                <w:rFonts w:hint="default" w:ascii="宋体" w:hAnsi="宋体" w:eastAsia="宋体" w:cs="宋体"/>
                <w:color w:val="auto"/>
                <w:sz w:val="21"/>
                <w:szCs w:val="21"/>
                <w:highlight w:val="none"/>
                <w:lang w:bidi="ar"/>
              </w:rPr>
              <w:t>职称证书或资格证书编号</w:t>
            </w:r>
          </w:p>
        </w:tc>
        <w:tc>
          <w:tcPr>
            <w:tcW w:w="858" w:type="dxa"/>
            <w:vAlign w:val="center"/>
          </w:tcPr>
          <w:p>
            <w:pPr>
              <w:adjustRightInd w:val="0"/>
              <w:snapToGrid w:val="0"/>
              <w:ind w:left="-63" w:leftChars="-30" w:right="-63" w:rightChars="-30"/>
              <w:jc w:val="center"/>
              <w:rPr>
                <w:rStyle w:val="114"/>
                <w:rFonts w:hint="default" w:ascii="宋体" w:hAnsi="宋体" w:eastAsia="宋体" w:cs="宋体"/>
                <w:color w:val="auto"/>
                <w:sz w:val="21"/>
                <w:szCs w:val="21"/>
                <w:highlight w:val="none"/>
                <w:lang w:bidi="ar"/>
              </w:rPr>
            </w:pPr>
            <w:r>
              <w:rPr>
                <w:rStyle w:val="114"/>
                <w:rFonts w:hint="default" w:ascii="宋体" w:hAnsi="宋体" w:eastAsia="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s="宋体"/>
                <w:color w:val="auto"/>
                <w:szCs w:val="21"/>
                <w:highlight w:val="none"/>
                <w:lang w:bidi="ar"/>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s="宋体"/>
                <w:color w:val="auto"/>
                <w:szCs w:val="21"/>
                <w:highlight w:val="none"/>
                <w:lang w:bidi="ar"/>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bl>
    <w:p>
      <w:pPr>
        <w:autoSpaceDE w:val="0"/>
        <w:autoSpaceDN w:val="0"/>
        <w:adjustRightInd w:val="0"/>
        <w:rPr>
          <w:rFonts w:ascii="宋体" w:hAnsi="宋体" w:cs="宋体"/>
          <w:b/>
          <w:color w:val="auto"/>
          <w:szCs w:val="21"/>
          <w:highlight w:val="none"/>
        </w:rPr>
      </w:pPr>
      <w:r>
        <w:rPr>
          <w:rStyle w:val="114"/>
          <w:rFonts w:hint="default" w:ascii="宋体" w:hAnsi="宋体" w:eastAsia="宋体" w:cs="宋体"/>
          <w:color w:val="auto"/>
          <w:sz w:val="21"/>
          <w:szCs w:val="21"/>
          <w:highlight w:val="none"/>
          <w:lang w:bidi="ar"/>
        </w:rPr>
        <w:t>备注：</w:t>
      </w:r>
      <w:r>
        <w:rPr>
          <w:rStyle w:val="114"/>
          <w:rFonts w:hint="default" w:ascii="宋体" w:hAnsi="宋体" w:eastAsia="宋体" w:cs="宋体"/>
          <w:color w:val="auto"/>
          <w:sz w:val="21"/>
          <w:szCs w:val="21"/>
          <w:highlight w:val="none"/>
          <w:lang w:bidi="ar"/>
        </w:rPr>
        <w:br w:type="textWrapping"/>
      </w:r>
      <w:r>
        <w:rPr>
          <w:rStyle w:val="114"/>
          <w:rFonts w:hint="default" w:ascii="宋体" w:hAnsi="宋体" w:eastAsia="宋体" w:cs="宋体"/>
          <w:color w:val="auto"/>
          <w:sz w:val="21"/>
          <w:szCs w:val="21"/>
          <w:highlight w:val="none"/>
          <w:lang w:bidi="ar"/>
        </w:rPr>
        <w:t>1、“岗位”要求（除项目负责人、专职安全员外）由投标人根据项目管理需要结合自身实力在本表中明确。以上项目管理团队人员信息将由交易系统提取后供各相关单位在履约时比对、查核。</w:t>
      </w:r>
      <w:r>
        <w:rPr>
          <w:rStyle w:val="114"/>
          <w:rFonts w:hint="default" w:ascii="宋体" w:hAnsi="宋体" w:eastAsia="宋体" w:cs="宋体"/>
          <w:color w:val="auto"/>
          <w:sz w:val="21"/>
          <w:szCs w:val="21"/>
          <w:highlight w:val="none"/>
          <w:lang w:bidi="ar"/>
        </w:rPr>
        <w:br w:type="textWrapping"/>
      </w:r>
      <w:r>
        <w:rPr>
          <w:rStyle w:val="114"/>
          <w:rFonts w:hint="default" w:ascii="宋体" w:hAnsi="宋体" w:eastAsia="宋体" w:cs="宋体"/>
          <w:color w:val="auto"/>
          <w:sz w:val="21"/>
          <w:szCs w:val="21"/>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方可递交投标文件。</w:t>
      </w:r>
      <w:r>
        <w:rPr>
          <w:rStyle w:val="114"/>
          <w:rFonts w:hint="default" w:ascii="宋体" w:hAnsi="宋体" w:eastAsia="宋体" w:cs="宋体"/>
          <w:color w:val="auto"/>
          <w:sz w:val="21"/>
          <w:szCs w:val="21"/>
          <w:highlight w:val="none"/>
          <w:lang w:bidi="ar"/>
        </w:rPr>
        <w:br w:type="textWrapping"/>
      </w:r>
      <w:r>
        <w:rPr>
          <w:rStyle w:val="114"/>
          <w:rFonts w:hint="default" w:ascii="宋体" w:hAnsi="宋体" w:eastAsia="宋体" w:cs="宋体"/>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spacing w:line="360" w:lineRule="auto"/>
        <w:rPr>
          <w:rFonts w:ascii="宋体" w:hAnsi="宋体"/>
          <w:color w:val="auto"/>
          <w:sz w:val="24"/>
          <w:szCs w:val="24"/>
          <w:highlight w:val="none"/>
        </w:rPr>
      </w:pPr>
    </w:p>
    <w:p>
      <w:pPr>
        <w:spacing w:line="320" w:lineRule="exact"/>
        <w:rPr>
          <w:rFonts w:ascii="仿宋_GB2312" w:hAnsi="楷体" w:eastAsia="仿宋_GB2312"/>
          <w:color w:val="auto"/>
          <w:szCs w:val="21"/>
          <w:highlight w:val="none"/>
        </w:rPr>
      </w:pPr>
    </w:p>
    <w:p>
      <w:pPr>
        <w:widowControl/>
        <w:jc w:val="left"/>
        <w:rPr>
          <w:rStyle w:val="114"/>
          <w:rFonts w:hint="default" w:ascii="宋体" w:hAnsi="宋体" w:eastAsia="宋体" w:cs="宋体"/>
          <w:color w:val="auto"/>
          <w:sz w:val="21"/>
          <w:szCs w:val="21"/>
          <w:highlight w:val="none"/>
          <w:lang w:bidi="ar"/>
        </w:rPr>
      </w:pPr>
      <w:r>
        <w:rPr>
          <w:color w:val="auto"/>
          <w:sz w:val="24"/>
          <w:szCs w:val="24"/>
          <w:highlight w:val="none"/>
        </w:rPr>
        <w:br w:type="page"/>
      </w:r>
      <w:bookmarkStart w:id="38" w:name="_Toc2272568"/>
      <w:bookmarkStart w:id="39" w:name="_Toc21525513"/>
      <w:r>
        <w:rPr>
          <w:rFonts w:hint="eastAsia"/>
          <w:color w:val="auto"/>
          <w:highlight w:val="none"/>
        </w:rPr>
        <w:t>附件五：</w:t>
      </w:r>
    </w:p>
    <w:p>
      <w:pPr>
        <w:autoSpaceDE w:val="0"/>
        <w:autoSpaceDN w:val="0"/>
        <w:adjustRightInd w:val="0"/>
        <w:jc w:val="center"/>
        <w:outlineLvl w:val="1"/>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响应招标文件所附施工组织设计要点的承诺书</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基础上编制详细的施工组织设计，并报经监理单位和建设单位审批后实施。</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pPr>
        <w:widowControl/>
        <w:jc w:val="left"/>
        <w:rPr>
          <w:rStyle w:val="114"/>
          <w:rFonts w:hint="default" w:ascii="宋体" w:hAnsi="宋体" w:eastAsia="宋体" w:cs="宋体"/>
          <w:color w:val="auto"/>
          <w:sz w:val="21"/>
          <w:szCs w:val="21"/>
          <w:highlight w:val="none"/>
          <w:lang w:bidi="ar"/>
        </w:rPr>
      </w:pPr>
    </w:p>
    <w:p>
      <w:pPr>
        <w:widowControl/>
        <w:jc w:val="left"/>
        <w:rPr>
          <w:rStyle w:val="114"/>
          <w:rFonts w:hint="default" w:ascii="宋体" w:hAnsi="宋体" w:eastAsia="宋体" w:cs="宋体"/>
          <w:color w:val="auto"/>
          <w:sz w:val="21"/>
          <w:szCs w:val="21"/>
          <w:highlight w:val="none"/>
          <w:lang w:bidi="ar"/>
        </w:rPr>
      </w:pPr>
    </w:p>
    <w:p>
      <w:pPr>
        <w:widowControl/>
        <w:jc w:val="left"/>
        <w:rPr>
          <w:rStyle w:val="114"/>
          <w:rFonts w:hint="default" w:ascii="宋体" w:hAnsi="宋体" w:eastAsia="宋体" w:cs="宋体"/>
          <w:color w:val="auto"/>
          <w:sz w:val="21"/>
          <w:szCs w:val="21"/>
          <w:highlight w:val="none"/>
          <w:lang w:bidi="ar"/>
        </w:rPr>
      </w:pPr>
    </w:p>
    <w:p>
      <w:pPr>
        <w:jc w:val="center"/>
        <w:rPr>
          <w:color w:val="auto"/>
          <w:szCs w:val="21"/>
          <w:highlight w:val="none"/>
        </w:rPr>
      </w:pPr>
      <w:r>
        <w:rPr>
          <w:color w:val="auto"/>
          <w:highlight w:val="none"/>
        </w:rPr>
        <w:br w:type="page"/>
      </w:r>
    </w:p>
    <w:p>
      <w:pPr>
        <w:tabs>
          <w:tab w:val="left" w:pos="720"/>
        </w:tabs>
        <w:snapToGrid w:val="0"/>
        <w:spacing w:line="360" w:lineRule="auto"/>
        <w:jc w:val="center"/>
        <w:rPr>
          <w:rStyle w:val="61"/>
          <w:color w:val="auto"/>
          <w:highlight w:val="none"/>
        </w:rPr>
      </w:pPr>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38"/>
      <w:bookmarkEnd w:id="39"/>
    </w:p>
    <w:p>
      <w:pPr>
        <w:rPr>
          <w:rFonts w:ascii="宋体" w:hAnsi="宋体" w:cs="宋体"/>
          <w:b/>
          <w:color w:val="auto"/>
          <w:sz w:val="24"/>
          <w:szCs w:val="24"/>
          <w:highlight w:val="none"/>
        </w:rPr>
      </w:pPr>
      <w:r>
        <w:rPr>
          <w:rFonts w:hint="eastAsia" w:ascii="宋体" w:hAnsi="宋体" w:cs="宋体"/>
          <w:b/>
          <w:color w:val="auto"/>
          <w:sz w:val="24"/>
          <w:szCs w:val="24"/>
          <w:highlight w:val="none"/>
        </w:rPr>
        <w:t>1.标准</w:t>
      </w:r>
    </w:p>
    <w:p>
      <w:pPr>
        <w:rPr>
          <w:rFonts w:ascii="宋体" w:hAnsi="宋体" w:cs="宋体"/>
          <w:color w:val="auto"/>
          <w:sz w:val="24"/>
          <w:szCs w:val="24"/>
          <w:highlight w:val="none"/>
        </w:rPr>
      </w:pPr>
      <w:r>
        <w:rPr>
          <w:rFonts w:hint="eastAsia" w:ascii="宋体" w:hAnsi="宋体" w:cs="宋体"/>
          <w:color w:val="auto"/>
          <w:sz w:val="24"/>
          <w:szCs w:val="24"/>
          <w:highlight w:val="none"/>
        </w:rPr>
        <w:t>引用的国家及有关部委颁布的标准、规范、和规程。若施工时期建设主管部门颁布新的规范、标准，则按照新的规范、标准执行。</w:t>
      </w:r>
    </w:p>
    <w:p>
      <w:pPr>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t>2、施工组织设计要点</w:t>
      </w:r>
    </w:p>
    <w:p>
      <w:pPr>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如果中标，中标人应按项目的进展需求，并在规定的时间内按要点要求，编制详细的施工组织设计，作为工程施工的指导性文件，向建设单位提交一式五份的《施工组织设计方案》，内容包括（不限于）以下：</w:t>
      </w:r>
    </w:p>
    <w:p>
      <w:pPr>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pPr>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pPr>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pPr>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pPr>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pPr>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pPr>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pPr>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pPr>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rPr>
          <w:rFonts w:ascii="宋体" w:hAnsi="宋体" w:cs="宋体"/>
          <w:color w:val="auto"/>
          <w:sz w:val="24"/>
          <w:szCs w:val="24"/>
          <w:highlight w:val="none"/>
        </w:rPr>
      </w:pPr>
      <w:bookmarkStart w:id="40" w:name="_Hlt531956504"/>
      <w:r>
        <w:rPr>
          <w:rFonts w:hint="eastAsia" w:ascii="宋体" w:hAnsi="宋体" w:cs="宋体"/>
          <w:color w:val="auto"/>
          <w:sz w:val="24"/>
          <w:szCs w:val="24"/>
          <w:highlight w:val="none"/>
        </w:rPr>
        <w:t>安全生产目标：杜绝本项目施工人员重大伤亡事故。</w:t>
      </w:r>
      <w:bookmarkEnd w:id="40"/>
    </w:p>
    <w:p>
      <w:pPr>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pPr>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pPr>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rPr>
          <w:rFonts w:ascii="宋体" w:hAnsi="宋体" w:cs="宋体"/>
          <w:color w:val="auto"/>
          <w:sz w:val="24"/>
          <w:szCs w:val="24"/>
          <w:highlight w:val="none"/>
        </w:rPr>
      </w:pPr>
      <w:r>
        <w:rPr>
          <w:color w:val="auto"/>
          <w:sz w:val="24"/>
          <w:szCs w:val="24"/>
          <w:highlight w:val="none"/>
        </w:rPr>
        <w:br w:type="page"/>
      </w:r>
    </w:p>
    <w:p>
      <w:pPr>
        <w:pStyle w:val="3"/>
        <w:rPr>
          <w:color w:val="auto"/>
          <w:highlight w:val="none"/>
        </w:rPr>
      </w:pPr>
      <w:bookmarkStart w:id="41" w:name="_Toc21525514"/>
      <w:bookmarkStart w:id="42" w:name="_Toc2272569"/>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41"/>
      <w:bookmarkEnd w:id="42"/>
    </w:p>
    <w:p>
      <w:pPr>
        <w:rPr>
          <w:rFonts w:ascii="宋体"/>
          <w:b/>
          <w:color w:val="auto"/>
          <w:sz w:val="24"/>
          <w:szCs w:val="24"/>
          <w:highlight w:val="none"/>
        </w:rPr>
      </w:pPr>
      <w:r>
        <w:rPr>
          <w:rFonts w:hint="eastAsia" w:ascii="宋体" w:hAnsi="宋体"/>
          <w:color w:val="auto"/>
          <w:sz w:val="24"/>
          <w:szCs w:val="24"/>
          <w:highlight w:val="none"/>
        </w:rPr>
        <w:t>注：另册。</w:t>
      </w:r>
    </w:p>
    <w:p>
      <w:pPr>
        <w:pStyle w:val="3"/>
        <w:rPr>
          <w:color w:val="auto"/>
          <w:highlight w:val="none"/>
        </w:rPr>
      </w:pPr>
      <w:r>
        <w:rPr>
          <w:color w:val="auto"/>
          <w:sz w:val="24"/>
          <w:szCs w:val="24"/>
          <w:highlight w:val="none"/>
        </w:rPr>
        <w:br w:type="page"/>
      </w:r>
      <w:bookmarkStart w:id="43" w:name="_Toc21525515"/>
      <w:bookmarkStart w:id="44" w:name="_Toc2272570"/>
      <w:r>
        <w:rPr>
          <w:rFonts w:hint="eastAsia"/>
          <w:color w:val="auto"/>
          <w:highlight w:val="none"/>
        </w:rPr>
        <w:t>第七章</w:t>
      </w:r>
      <w:r>
        <w:rPr>
          <w:color w:val="auto"/>
          <w:highlight w:val="none"/>
        </w:rPr>
        <w:t xml:space="preserve">  </w:t>
      </w:r>
      <w:r>
        <w:rPr>
          <w:rFonts w:hint="eastAsia"/>
          <w:color w:val="auto"/>
          <w:highlight w:val="none"/>
        </w:rPr>
        <w:t>工程量清单</w:t>
      </w:r>
      <w:bookmarkEnd w:id="43"/>
      <w:bookmarkEnd w:id="44"/>
    </w:p>
    <w:p>
      <w:pPr>
        <w:rPr>
          <w:rFonts w:ascii="宋体" w:hAnsi="宋体" w:cs="宋体"/>
          <w:b/>
          <w:color w:val="auto"/>
          <w:sz w:val="24"/>
          <w:szCs w:val="24"/>
          <w:highlight w:val="none"/>
        </w:rPr>
      </w:pPr>
      <w:r>
        <w:rPr>
          <w:rFonts w:hint="eastAsia" w:ascii="宋体" w:hAnsi="宋体" w:cs="宋体"/>
          <w:color w:val="auto"/>
          <w:sz w:val="24"/>
          <w:szCs w:val="24"/>
          <w:highlight w:val="none"/>
        </w:rPr>
        <w:t>另册。</w:t>
      </w:r>
    </w:p>
    <w:p>
      <w:pPr>
        <w:pStyle w:val="5"/>
        <w:spacing w:after="0" w:line="360" w:lineRule="auto"/>
        <w:ind w:left="-2" w:leftChars="-1" w:firstLine="960" w:firstLineChars="400"/>
        <w:rPr>
          <w:rFonts w:ascii="宋体"/>
          <w:color w:val="auto"/>
          <w:sz w:val="24"/>
          <w:highlight w:val="none"/>
        </w:rPr>
      </w:pP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45" w:name="_Toc2272571"/>
      <w:bookmarkStart w:id="46" w:name="_Toc21525516"/>
      <w:r>
        <w:rPr>
          <w:rFonts w:hint="eastAsia"/>
          <w:color w:val="auto"/>
          <w:highlight w:val="none"/>
        </w:rPr>
        <w:t>第八章</w:t>
      </w:r>
      <w:r>
        <w:rPr>
          <w:color w:val="auto"/>
          <w:highlight w:val="none"/>
        </w:rPr>
        <w:t xml:space="preserve">  </w:t>
      </w:r>
      <w:r>
        <w:rPr>
          <w:rFonts w:hint="eastAsia"/>
          <w:color w:val="auto"/>
          <w:highlight w:val="none"/>
        </w:rPr>
        <w:t>最高投标限价</w:t>
      </w:r>
      <w:bookmarkEnd w:id="45"/>
      <w:bookmarkEnd w:id="46"/>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rPr>
          <w:rFonts w:ascii="宋体" w:hAnsi="宋体"/>
          <w:b/>
          <w:color w:val="auto"/>
          <w:spacing w:val="60"/>
          <w:sz w:val="44"/>
          <w:szCs w:val="44"/>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另册。</w:t>
      </w:r>
    </w:p>
    <w:p>
      <w:pPr>
        <w:pStyle w:val="6"/>
        <w:rPr>
          <w:rFonts w:hint="default" w:ascii="宋体" w:hAnsi="宋体" w:eastAsia="宋体" w:cs="宋体"/>
          <w:color w:val="auto"/>
          <w:kern w:val="0"/>
          <w:sz w:val="24"/>
          <w:szCs w:val="24"/>
          <w:highlight w:val="none"/>
          <w:lang w:val="en-US" w:eastAsia="zh-CN"/>
        </w:rPr>
      </w:pPr>
    </w:p>
    <w:p>
      <w:pPr>
        <w:pStyle w:val="6"/>
        <w:rPr>
          <w:rFonts w:ascii="宋体" w:hAnsi="宋体" w:cs="宋体"/>
          <w:color w:val="auto"/>
          <w:kern w:val="0"/>
          <w:sz w:val="24"/>
          <w:szCs w:val="24"/>
          <w:highlight w:val="none"/>
        </w:rPr>
      </w:pPr>
    </w:p>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4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46</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ind w:firstLine="392"/>
                      <w:jc w:val="right"/>
                    </w:pPr>
                    <w:r>
                      <w:rPr>
                        <w:rStyle w:val="41"/>
                      </w:rPr>
                      <w:fldChar w:fldCharType="begin"/>
                    </w:r>
                    <w:r>
                      <w:rPr>
                        <w:rStyle w:val="41"/>
                      </w:rPr>
                      <w:instrText xml:space="preserve">PAGE  </w:instrText>
                    </w:r>
                    <w:r>
                      <w:rPr>
                        <w:rStyle w:val="41"/>
                      </w:rPr>
                      <w:fldChar w:fldCharType="separate"/>
                    </w:r>
                    <w:r>
                      <w:rPr>
                        <w:rStyle w:val="41"/>
                      </w:rPr>
                      <w:t>46</w:t>
                    </w:r>
                    <w:r>
                      <w:rPr>
                        <w:rStyle w:val="4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92"/>
                          </w:pPr>
                          <w:r>
                            <w:rPr>
                              <w:rStyle w:val="41"/>
                            </w:rPr>
                            <w:fldChar w:fldCharType="begin"/>
                          </w:r>
                          <w:r>
                            <w:rPr>
                              <w:rStyle w:val="41"/>
                            </w:rPr>
                            <w:instrText xml:space="preserve"> PAGE </w:instrText>
                          </w:r>
                          <w:r>
                            <w:rPr>
                              <w:rStyle w:val="41"/>
                            </w:rPr>
                            <w:fldChar w:fldCharType="separate"/>
                          </w:r>
                          <w:r>
                            <w:rPr>
                              <w:rStyle w:val="41"/>
                            </w:rPr>
                            <w:t>48</w:t>
                          </w:r>
                          <w:r>
                            <w:rPr>
                              <w:rStyle w:val="4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ind w:firstLine="392"/>
                    </w:pPr>
                    <w:r>
                      <w:rPr>
                        <w:rStyle w:val="41"/>
                      </w:rPr>
                      <w:fldChar w:fldCharType="begin"/>
                    </w:r>
                    <w:r>
                      <w:rPr>
                        <w:rStyle w:val="41"/>
                      </w:rPr>
                      <w:instrText xml:space="preserve"> PAGE </w:instrText>
                    </w:r>
                    <w:r>
                      <w:rPr>
                        <w:rStyle w:val="41"/>
                      </w:rPr>
                      <w:fldChar w:fldCharType="separate"/>
                    </w:r>
                    <w:r>
                      <w:rPr>
                        <w:rStyle w:val="41"/>
                      </w:rPr>
                      <w:t>48</w:t>
                    </w:r>
                    <w:r>
                      <w:rPr>
                        <w:rStyle w:val="4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rPr>
                              <w:rStyle w:val="41"/>
                            </w:rPr>
                          </w:pPr>
                          <w:r>
                            <w:fldChar w:fldCharType="begin"/>
                          </w:r>
                          <w:r>
                            <w:rPr>
                              <w:rStyle w:val="41"/>
                            </w:rPr>
                            <w:instrText xml:space="preserve">PAGE  </w:instrText>
                          </w:r>
                          <w:r>
                            <w:fldChar w:fldCharType="separate"/>
                          </w:r>
                          <w:r>
                            <w:rPr>
                              <w:rStyle w:val="41"/>
                            </w:rPr>
                            <w:t>51</w:t>
                          </w:r>
                          <w:r>
                            <w:fldChar w:fldCharType="end"/>
                          </w:r>
                        </w:p>
                        <w:p>
                          <w:pPr>
                            <w:pStyle w:val="25"/>
                            <w:ind w:left="-4410" w:leftChars="-2100" w:right="-4439" w:rightChars="-2114"/>
                            <w:rPr>
                              <w:rStyle w:val="4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jc w:val="center"/>
                      <w:rPr>
                        <w:rStyle w:val="41"/>
                      </w:rPr>
                    </w:pPr>
                    <w:r>
                      <w:fldChar w:fldCharType="begin"/>
                    </w:r>
                    <w:r>
                      <w:rPr>
                        <w:rStyle w:val="41"/>
                      </w:rPr>
                      <w:instrText xml:space="preserve">PAGE  </w:instrText>
                    </w:r>
                    <w:r>
                      <w:fldChar w:fldCharType="separate"/>
                    </w:r>
                    <w:r>
                      <w:rPr>
                        <w:rStyle w:val="41"/>
                      </w:rPr>
                      <w:t>51</w:t>
                    </w:r>
                    <w:r>
                      <w:fldChar w:fldCharType="end"/>
                    </w:r>
                  </w:p>
                  <w:p>
                    <w:pPr>
                      <w:pStyle w:val="25"/>
                      <w:ind w:left="-4410" w:leftChars="-2100" w:right="-4439" w:rightChars="-2114"/>
                      <w:rPr>
                        <w:rStyle w:val="4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pPr>
      <w:pStyle w:val="25"/>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rPr>
                              <w:rStyle w:val="41"/>
                            </w:rPr>
                            <w:instrText xml:space="preserve"> PAGE </w:instrText>
                          </w:r>
                          <w:r>
                            <w:fldChar w:fldCharType="separate"/>
                          </w:r>
                          <w:r>
                            <w:rPr>
                              <w:rStyle w:val="41"/>
                            </w:rP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jc w:val="center"/>
                    </w:pPr>
                    <w:r>
                      <w:fldChar w:fldCharType="begin"/>
                    </w:r>
                    <w:r>
                      <w:rPr>
                        <w:rStyle w:val="41"/>
                      </w:rPr>
                      <w:instrText xml:space="preserve"> PAGE </w:instrText>
                    </w:r>
                    <w:r>
                      <w:fldChar w:fldCharType="separate"/>
                    </w:r>
                    <w:r>
                      <w:rPr>
                        <w:rStyle w:val="41"/>
                      </w:rP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69</w:t>
                          </w:r>
                          <w:r>
                            <w:rPr>
                              <w:rStyle w:val="41"/>
                            </w:rPr>
                            <w:fldChar w:fldCharType="end"/>
                          </w:r>
                          <w:r>
                            <w:rPr>
                              <w:rStyle w:val="41"/>
                              <w:rFonts w:hint="eastAsia"/>
                            </w:rPr>
                            <w:t xml:space="preserve">   </w:t>
                          </w:r>
                        </w:p>
                        <w:p>
                          <w:pPr>
                            <w:pStyle w:val="25"/>
                            <w:ind w:left="-4410" w:leftChars="-2100" w:right="-4439" w:rightChars="-2114"/>
                            <w:rPr>
                              <w:rStyle w:val="4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69</w:t>
                    </w:r>
                    <w:r>
                      <w:rPr>
                        <w:rStyle w:val="41"/>
                      </w:rPr>
                      <w:fldChar w:fldCharType="end"/>
                    </w:r>
                    <w:r>
                      <w:rPr>
                        <w:rStyle w:val="41"/>
                        <w:rFonts w:hint="eastAsia"/>
                      </w:rPr>
                      <w:t xml:space="preserve">   </w:t>
                    </w:r>
                  </w:p>
                  <w:p>
                    <w:pPr>
                      <w:pStyle w:val="25"/>
                      <w:ind w:left="-4410" w:leftChars="-2100" w:right="-4439" w:rightChars="-2114"/>
                      <w:rPr>
                        <w:rStyle w:val="41"/>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mM5MWRlZTMxNzJiMmZkODNhNjNjNzRhNmM3NzkifQ=="/>
  </w:docVars>
  <w:rsids>
    <w:rsidRoot w:val="007B41BE"/>
    <w:rsid w:val="000200EE"/>
    <w:rsid w:val="000575F8"/>
    <w:rsid w:val="000C1007"/>
    <w:rsid w:val="000C11E0"/>
    <w:rsid w:val="000C2710"/>
    <w:rsid w:val="000D396E"/>
    <w:rsid w:val="00102645"/>
    <w:rsid w:val="00181CAA"/>
    <w:rsid w:val="00320BE9"/>
    <w:rsid w:val="00336AA3"/>
    <w:rsid w:val="00372987"/>
    <w:rsid w:val="00392617"/>
    <w:rsid w:val="003E50FA"/>
    <w:rsid w:val="004370EC"/>
    <w:rsid w:val="004424B8"/>
    <w:rsid w:val="004B295D"/>
    <w:rsid w:val="005866FB"/>
    <w:rsid w:val="005C212B"/>
    <w:rsid w:val="005E0DEE"/>
    <w:rsid w:val="005F27E0"/>
    <w:rsid w:val="006036EF"/>
    <w:rsid w:val="00650392"/>
    <w:rsid w:val="00673B83"/>
    <w:rsid w:val="00680BFD"/>
    <w:rsid w:val="006B5E7F"/>
    <w:rsid w:val="006B6B0D"/>
    <w:rsid w:val="006F3576"/>
    <w:rsid w:val="0073229B"/>
    <w:rsid w:val="00780EC8"/>
    <w:rsid w:val="007B41BE"/>
    <w:rsid w:val="007D5780"/>
    <w:rsid w:val="007D6D06"/>
    <w:rsid w:val="00835C9E"/>
    <w:rsid w:val="008D2515"/>
    <w:rsid w:val="008E4AD1"/>
    <w:rsid w:val="00920E49"/>
    <w:rsid w:val="00980AA4"/>
    <w:rsid w:val="00991949"/>
    <w:rsid w:val="009A704D"/>
    <w:rsid w:val="00A0387A"/>
    <w:rsid w:val="00A0619D"/>
    <w:rsid w:val="00A20AF3"/>
    <w:rsid w:val="00A2579D"/>
    <w:rsid w:val="00A50D34"/>
    <w:rsid w:val="00A64E29"/>
    <w:rsid w:val="00A73E27"/>
    <w:rsid w:val="00AD3DEE"/>
    <w:rsid w:val="00AD6716"/>
    <w:rsid w:val="00B27DFA"/>
    <w:rsid w:val="00BC7B91"/>
    <w:rsid w:val="00BE1732"/>
    <w:rsid w:val="00BE216D"/>
    <w:rsid w:val="00C267C0"/>
    <w:rsid w:val="00C32C1E"/>
    <w:rsid w:val="00C408D3"/>
    <w:rsid w:val="00C81F53"/>
    <w:rsid w:val="00C82C8A"/>
    <w:rsid w:val="00CD156B"/>
    <w:rsid w:val="00D06DE0"/>
    <w:rsid w:val="00D10BB0"/>
    <w:rsid w:val="00D271C5"/>
    <w:rsid w:val="00D75B45"/>
    <w:rsid w:val="00D84E64"/>
    <w:rsid w:val="00D9409A"/>
    <w:rsid w:val="00E22EAB"/>
    <w:rsid w:val="00E457F6"/>
    <w:rsid w:val="00E638F3"/>
    <w:rsid w:val="00EB6530"/>
    <w:rsid w:val="00EB6AEB"/>
    <w:rsid w:val="00EC014E"/>
    <w:rsid w:val="00F250C9"/>
    <w:rsid w:val="00F40301"/>
    <w:rsid w:val="00F45C2D"/>
    <w:rsid w:val="00FA5926"/>
    <w:rsid w:val="00FC5596"/>
    <w:rsid w:val="00FC58FC"/>
    <w:rsid w:val="01A324E9"/>
    <w:rsid w:val="01D152A8"/>
    <w:rsid w:val="01E44FDB"/>
    <w:rsid w:val="025A529E"/>
    <w:rsid w:val="02FE2D03"/>
    <w:rsid w:val="03124864"/>
    <w:rsid w:val="03184F30"/>
    <w:rsid w:val="03563926"/>
    <w:rsid w:val="036F4693"/>
    <w:rsid w:val="04262463"/>
    <w:rsid w:val="045066FF"/>
    <w:rsid w:val="04B56FD0"/>
    <w:rsid w:val="05935ABA"/>
    <w:rsid w:val="06327B5B"/>
    <w:rsid w:val="06391F63"/>
    <w:rsid w:val="0694453D"/>
    <w:rsid w:val="06A05249"/>
    <w:rsid w:val="072F44E3"/>
    <w:rsid w:val="073B1CC1"/>
    <w:rsid w:val="078A2181"/>
    <w:rsid w:val="07B30216"/>
    <w:rsid w:val="07CC4C61"/>
    <w:rsid w:val="08512C9F"/>
    <w:rsid w:val="08777DF5"/>
    <w:rsid w:val="090B5543"/>
    <w:rsid w:val="09AD5B81"/>
    <w:rsid w:val="09F33618"/>
    <w:rsid w:val="0A3B7763"/>
    <w:rsid w:val="0B194835"/>
    <w:rsid w:val="0BA555DC"/>
    <w:rsid w:val="0C163FA6"/>
    <w:rsid w:val="0D407BD1"/>
    <w:rsid w:val="0D5E54A5"/>
    <w:rsid w:val="0F7E4AB5"/>
    <w:rsid w:val="0FAC68BB"/>
    <w:rsid w:val="0FEF45D8"/>
    <w:rsid w:val="104135F9"/>
    <w:rsid w:val="10930611"/>
    <w:rsid w:val="114C494B"/>
    <w:rsid w:val="11E8746F"/>
    <w:rsid w:val="12CB0A5B"/>
    <w:rsid w:val="12CF313E"/>
    <w:rsid w:val="13375D52"/>
    <w:rsid w:val="13E72709"/>
    <w:rsid w:val="14D34591"/>
    <w:rsid w:val="154D4C74"/>
    <w:rsid w:val="15A47E68"/>
    <w:rsid w:val="16861D19"/>
    <w:rsid w:val="173F18BE"/>
    <w:rsid w:val="1740285C"/>
    <w:rsid w:val="18151F96"/>
    <w:rsid w:val="181C07FE"/>
    <w:rsid w:val="187354C1"/>
    <w:rsid w:val="189237DC"/>
    <w:rsid w:val="190621F2"/>
    <w:rsid w:val="190F698A"/>
    <w:rsid w:val="19483C4A"/>
    <w:rsid w:val="1A2F4635"/>
    <w:rsid w:val="1A531F7F"/>
    <w:rsid w:val="1A98475D"/>
    <w:rsid w:val="1AD03189"/>
    <w:rsid w:val="1AFC3630"/>
    <w:rsid w:val="1B257D65"/>
    <w:rsid w:val="1B862A01"/>
    <w:rsid w:val="1C817B9F"/>
    <w:rsid w:val="1D946687"/>
    <w:rsid w:val="1E0A2474"/>
    <w:rsid w:val="1E203761"/>
    <w:rsid w:val="1E486D96"/>
    <w:rsid w:val="1EA91761"/>
    <w:rsid w:val="1EBA5A37"/>
    <w:rsid w:val="1ECB7821"/>
    <w:rsid w:val="1F647BA2"/>
    <w:rsid w:val="1F7F7C9A"/>
    <w:rsid w:val="1FF540F7"/>
    <w:rsid w:val="1FF92163"/>
    <w:rsid w:val="20216DCB"/>
    <w:rsid w:val="202C50C6"/>
    <w:rsid w:val="20EA0012"/>
    <w:rsid w:val="20EB1AE8"/>
    <w:rsid w:val="20F461FB"/>
    <w:rsid w:val="212A1126"/>
    <w:rsid w:val="21AC57F1"/>
    <w:rsid w:val="227C6712"/>
    <w:rsid w:val="22AD0709"/>
    <w:rsid w:val="22F95FB5"/>
    <w:rsid w:val="23141450"/>
    <w:rsid w:val="23BB0560"/>
    <w:rsid w:val="24A972CC"/>
    <w:rsid w:val="259706C6"/>
    <w:rsid w:val="27365A2A"/>
    <w:rsid w:val="27AC1B6A"/>
    <w:rsid w:val="27D84CA9"/>
    <w:rsid w:val="28530A3B"/>
    <w:rsid w:val="28790229"/>
    <w:rsid w:val="28866A81"/>
    <w:rsid w:val="289F315B"/>
    <w:rsid w:val="29466BCF"/>
    <w:rsid w:val="2A880A7B"/>
    <w:rsid w:val="2ABB54F4"/>
    <w:rsid w:val="2AE676B4"/>
    <w:rsid w:val="2C0D164C"/>
    <w:rsid w:val="2DC4660F"/>
    <w:rsid w:val="2F8B4DAF"/>
    <w:rsid w:val="30997F39"/>
    <w:rsid w:val="30CB388B"/>
    <w:rsid w:val="310A17BD"/>
    <w:rsid w:val="31682B17"/>
    <w:rsid w:val="32184F44"/>
    <w:rsid w:val="32AC6BA0"/>
    <w:rsid w:val="32BF3509"/>
    <w:rsid w:val="333252F7"/>
    <w:rsid w:val="339B6959"/>
    <w:rsid w:val="33BA702B"/>
    <w:rsid w:val="33CB137D"/>
    <w:rsid w:val="3457257C"/>
    <w:rsid w:val="34920FE6"/>
    <w:rsid w:val="35BB7673"/>
    <w:rsid w:val="36D4549D"/>
    <w:rsid w:val="36FA484C"/>
    <w:rsid w:val="37465954"/>
    <w:rsid w:val="375D203C"/>
    <w:rsid w:val="37FA01D4"/>
    <w:rsid w:val="38026A6F"/>
    <w:rsid w:val="38660B51"/>
    <w:rsid w:val="386C44C8"/>
    <w:rsid w:val="38FB5AD3"/>
    <w:rsid w:val="390239BE"/>
    <w:rsid w:val="3971644D"/>
    <w:rsid w:val="39BC7A06"/>
    <w:rsid w:val="39C15447"/>
    <w:rsid w:val="39D72754"/>
    <w:rsid w:val="39DE6129"/>
    <w:rsid w:val="39FF6BA3"/>
    <w:rsid w:val="3A4B56FC"/>
    <w:rsid w:val="3A566F31"/>
    <w:rsid w:val="3A8B1EF5"/>
    <w:rsid w:val="3A8D1903"/>
    <w:rsid w:val="3B0B1AD8"/>
    <w:rsid w:val="3B817F46"/>
    <w:rsid w:val="3C0435A9"/>
    <w:rsid w:val="3C6E7851"/>
    <w:rsid w:val="3CB17B91"/>
    <w:rsid w:val="3D60411F"/>
    <w:rsid w:val="3D7921F7"/>
    <w:rsid w:val="3F6C2C90"/>
    <w:rsid w:val="3F6C393F"/>
    <w:rsid w:val="41CF635B"/>
    <w:rsid w:val="41E657FF"/>
    <w:rsid w:val="42A21DA3"/>
    <w:rsid w:val="42BB330B"/>
    <w:rsid w:val="42CE354E"/>
    <w:rsid w:val="447C0411"/>
    <w:rsid w:val="450D5A45"/>
    <w:rsid w:val="45675EB9"/>
    <w:rsid w:val="45C65BB7"/>
    <w:rsid w:val="464A43DD"/>
    <w:rsid w:val="4789207B"/>
    <w:rsid w:val="47ED366A"/>
    <w:rsid w:val="481A7151"/>
    <w:rsid w:val="48523C0A"/>
    <w:rsid w:val="491B75C4"/>
    <w:rsid w:val="493058B4"/>
    <w:rsid w:val="4B3F63AB"/>
    <w:rsid w:val="4B3F6B82"/>
    <w:rsid w:val="4B6B7860"/>
    <w:rsid w:val="4BFE3359"/>
    <w:rsid w:val="4C066B29"/>
    <w:rsid w:val="4C3719B2"/>
    <w:rsid w:val="4C96649F"/>
    <w:rsid w:val="4CBF5DB2"/>
    <w:rsid w:val="4CC414CF"/>
    <w:rsid w:val="4CC87B94"/>
    <w:rsid w:val="4D172B46"/>
    <w:rsid w:val="4D2866B7"/>
    <w:rsid w:val="4E6C325B"/>
    <w:rsid w:val="4E8F6564"/>
    <w:rsid w:val="50231225"/>
    <w:rsid w:val="50760543"/>
    <w:rsid w:val="51BB4DAA"/>
    <w:rsid w:val="53672172"/>
    <w:rsid w:val="53DA4EC3"/>
    <w:rsid w:val="53F92C98"/>
    <w:rsid w:val="54422A68"/>
    <w:rsid w:val="546B3F7C"/>
    <w:rsid w:val="548C6339"/>
    <w:rsid w:val="54B40BE7"/>
    <w:rsid w:val="56AE4214"/>
    <w:rsid w:val="573354B6"/>
    <w:rsid w:val="57452F9B"/>
    <w:rsid w:val="57920D10"/>
    <w:rsid w:val="57E02CC4"/>
    <w:rsid w:val="58223237"/>
    <w:rsid w:val="5864233E"/>
    <w:rsid w:val="58F51A81"/>
    <w:rsid w:val="590D059C"/>
    <w:rsid w:val="592B15DF"/>
    <w:rsid w:val="593908DE"/>
    <w:rsid w:val="593E6324"/>
    <w:rsid w:val="59C9560C"/>
    <w:rsid w:val="59E2645B"/>
    <w:rsid w:val="5A355549"/>
    <w:rsid w:val="5A5B2124"/>
    <w:rsid w:val="5A755E33"/>
    <w:rsid w:val="5AE07983"/>
    <w:rsid w:val="5B215ACE"/>
    <w:rsid w:val="5BA66C84"/>
    <w:rsid w:val="5C193C6F"/>
    <w:rsid w:val="5CDF456F"/>
    <w:rsid w:val="5D572C78"/>
    <w:rsid w:val="5DD714A4"/>
    <w:rsid w:val="5DEB7016"/>
    <w:rsid w:val="5E6D347A"/>
    <w:rsid w:val="5F0F299B"/>
    <w:rsid w:val="5F4B72E8"/>
    <w:rsid w:val="5FEF5F56"/>
    <w:rsid w:val="604C7149"/>
    <w:rsid w:val="607D63EF"/>
    <w:rsid w:val="60A1716B"/>
    <w:rsid w:val="60FA6920"/>
    <w:rsid w:val="618E445E"/>
    <w:rsid w:val="620F7EF6"/>
    <w:rsid w:val="62832486"/>
    <w:rsid w:val="62B650D2"/>
    <w:rsid w:val="638A67B2"/>
    <w:rsid w:val="63C01BA2"/>
    <w:rsid w:val="63C10880"/>
    <w:rsid w:val="63D25BB7"/>
    <w:rsid w:val="644C1739"/>
    <w:rsid w:val="64E04304"/>
    <w:rsid w:val="64FB758F"/>
    <w:rsid w:val="64FD03AC"/>
    <w:rsid w:val="653505E7"/>
    <w:rsid w:val="65890C8C"/>
    <w:rsid w:val="65D56800"/>
    <w:rsid w:val="65E77799"/>
    <w:rsid w:val="665E1984"/>
    <w:rsid w:val="677772D0"/>
    <w:rsid w:val="67BB20E6"/>
    <w:rsid w:val="68BA19E3"/>
    <w:rsid w:val="68E029FD"/>
    <w:rsid w:val="691B3B5C"/>
    <w:rsid w:val="699A2DE5"/>
    <w:rsid w:val="69AC0C58"/>
    <w:rsid w:val="69B813AB"/>
    <w:rsid w:val="69FA40E3"/>
    <w:rsid w:val="6B036428"/>
    <w:rsid w:val="6B040620"/>
    <w:rsid w:val="6B1F7904"/>
    <w:rsid w:val="6B407C0E"/>
    <w:rsid w:val="6B804DE4"/>
    <w:rsid w:val="6BC46986"/>
    <w:rsid w:val="6C7621DF"/>
    <w:rsid w:val="6C787452"/>
    <w:rsid w:val="6C7D39C9"/>
    <w:rsid w:val="6CEF4F0F"/>
    <w:rsid w:val="6D824924"/>
    <w:rsid w:val="6D8A12B0"/>
    <w:rsid w:val="6DAB59DE"/>
    <w:rsid w:val="6DE44E65"/>
    <w:rsid w:val="6EAF3BF9"/>
    <w:rsid w:val="6F9220A7"/>
    <w:rsid w:val="6F9E54E7"/>
    <w:rsid w:val="6F9F1217"/>
    <w:rsid w:val="6FD146E6"/>
    <w:rsid w:val="702751BC"/>
    <w:rsid w:val="70803C45"/>
    <w:rsid w:val="708A2F7E"/>
    <w:rsid w:val="70DF5DB7"/>
    <w:rsid w:val="70E06CE3"/>
    <w:rsid w:val="710921F9"/>
    <w:rsid w:val="712D5E7C"/>
    <w:rsid w:val="723F4C97"/>
    <w:rsid w:val="72995CD5"/>
    <w:rsid w:val="73BC4877"/>
    <w:rsid w:val="73CC483B"/>
    <w:rsid w:val="7400051E"/>
    <w:rsid w:val="747857C5"/>
    <w:rsid w:val="74BC2D43"/>
    <w:rsid w:val="74D57DC3"/>
    <w:rsid w:val="75091C36"/>
    <w:rsid w:val="754E44BD"/>
    <w:rsid w:val="75866B39"/>
    <w:rsid w:val="761F5CF5"/>
    <w:rsid w:val="762A5C33"/>
    <w:rsid w:val="76305A01"/>
    <w:rsid w:val="769748A4"/>
    <w:rsid w:val="76F579B0"/>
    <w:rsid w:val="77302EC9"/>
    <w:rsid w:val="783B609A"/>
    <w:rsid w:val="7A9554CF"/>
    <w:rsid w:val="7AB67B89"/>
    <w:rsid w:val="7ABC3272"/>
    <w:rsid w:val="7ADC31A8"/>
    <w:rsid w:val="7AF33058"/>
    <w:rsid w:val="7B012F78"/>
    <w:rsid w:val="7BFA5853"/>
    <w:rsid w:val="7BFC5316"/>
    <w:rsid w:val="7CBD6A8F"/>
    <w:rsid w:val="7CC47394"/>
    <w:rsid w:val="7CFF4621"/>
    <w:rsid w:val="7D5F768E"/>
    <w:rsid w:val="7DB06B11"/>
    <w:rsid w:val="7E97060A"/>
    <w:rsid w:val="7EF002A6"/>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1"/>
    <w:autoRedefine/>
    <w:qFormat/>
    <w:uiPriority w:val="0"/>
    <w:pPr>
      <w:keepNext/>
      <w:keepLines/>
      <w:spacing w:after="120" w:line="360" w:lineRule="auto"/>
      <w:outlineLvl w:val="0"/>
    </w:pPr>
    <w:rPr>
      <w:kern w:val="44"/>
      <w:sz w:val="28"/>
      <w:szCs w:val="28"/>
    </w:rPr>
  </w:style>
  <w:style w:type="paragraph" w:styleId="2">
    <w:name w:val="heading 2"/>
    <w:basedOn w:val="1"/>
    <w:next w:val="1"/>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6"/>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4"/>
    <w:autoRedefine/>
    <w:qFormat/>
    <w:uiPriority w:val="0"/>
    <w:pPr>
      <w:numPr>
        <w:ilvl w:val="4"/>
      </w:numPr>
      <w:spacing w:line="240" w:lineRule="exact"/>
      <w:outlineLvl w:val="4"/>
    </w:pPr>
  </w:style>
  <w:style w:type="paragraph" w:styleId="11">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link w:val="70"/>
    <w:autoRedefine/>
    <w:qFormat/>
    <w:uiPriority w:val="0"/>
    <w:pPr>
      <w:spacing w:before="120" w:after="60"/>
      <w:jc w:val="center"/>
    </w:pPr>
    <w:rPr>
      <w:rFonts w:ascii="Arial" w:hAnsi="Arial"/>
      <w:b/>
      <w:sz w:val="44"/>
      <w:szCs w:val="20"/>
    </w:rPr>
  </w:style>
  <w:style w:type="paragraph" w:styleId="5">
    <w:name w:val="Body Text First Indent"/>
    <w:basedOn w:val="6"/>
    <w:link w:val="74"/>
    <w:autoRedefine/>
    <w:qFormat/>
    <w:uiPriority w:val="0"/>
    <w:pPr>
      <w:ind w:firstLine="420"/>
    </w:pPr>
  </w:style>
  <w:style w:type="paragraph" w:styleId="6">
    <w:name w:val="Body Text"/>
    <w:basedOn w:val="1"/>
    <w:next w:val="1"/>
    <w:link w:val="72"/>
    <w:autoRedefine/>
    <w:qFormat/>
    <w:uiPriority w:val="0"/>
    <w:pPr>
      <w:spacing w:after="120"/>
    </w:pPr>
    <w:rPr>
      <w:rFonts w:ascii="Times New Roman" w:hAnsi="Times New Roman"/>
      <w:szCs w:val="20"/>
    </w:rPr>
  </w:style>
  <w:style w:type="paragraph" w:styleId="9">
    <w:name w:val="Normal Indent"/>
    <w:basedOn w:val="1"/>
    <w:autoRedefine/>
    <w:qFormat/>
    <w:uiPriority w:val="0"/>
    <w:pPr>
      <w:ind w:firstLine="420"/>
    </w:pPr>
    <w:rPr>
      <w:rFonts w:ascii="Times New Roman" w:hAnsi="Times New Roman"/>
      <w:szCs w:val="20"/>
    </w:rPr>
  </w:style>
  <w:style w:type="paragraph" w:styleId="15">
    <w:name w:val="Document Map"/>
    <w:basedOn w:val="1"/>
    <w:link w:val="80"/>
    <w:autoRedefine/>
    <w:qFormat/>
    <w:uiPriority w:val="0"/>
    <w:pPr>
      <w:shd w:val="clear" w:color="auto" w:fill="000080"/>
    </w:pPr>
    <w:rPr>
      <w:rFonts w:ascii="Times New Roman" w:hAnsi="Times New Roman"/>
      <w:szCs w:val="20"/>
    </w:rPr>
  </w:style>
  <w:style w:type="paragraph" w:styleId="16">
    <w:name w:val="annotation text"/>
    <w:basedOn w:val="1"/>
    <w:link w:val="106"/>
    <w:autoRedefine/>
    <w:qFormat/>
    <w:uiPriority w:val="0"/>
    <w:pPr>
      <w:spacing w:line="360" w:lineRule="auto"/>
      <w:ind w:firstLine="523" w:firstLineChars="218"/>
      <w:jc w:val="left"/>
    </w:pPr>
    <w:rPr>
      <w:rFonts w:ascii="宋体" w:hAnsi="宋体"/>
      <w:sz w:val="24"/>
      <w:szCs w:val="24"/>
    </w:rPr>
  </w:style>
  <w:style w:type="paragraph" w:styleId="17">
    <w:name w:val="Body Text Indent"/>
    <w:basedOn w:val="1"/>
    <w:next w:val="18"/>
    <w:link w:val="78"/>
    <w:autoRedefine/>
    <w:qFormat/>
    <w:uiPriority w:val="0"/>
    <w:pPr>
      <w:ind w:firstLine="570"/>
    </w:pPr>
    <w:rPr>
      <w:rFonts w:ascii="Times New Roman" w:hAnsi="Times New Roman"/>
      <w:sz w:val="28"/>
      <w:szCs w:val="20"/>
    </w:rPr>
  </w:style>
  <w:style w:type="paragraph" w:styleId="18">
    <w:name w:val="envelope return"/>
    <w:basedOn w:val="1"/>
    <w:autoRedefine/>
    <w:qFormat/>
    <w:uiPriority w:val="0"/>
    <w:pPr>
      <w:snapToGrid w:val="0"/>
    </w:pPr>
    <w:rPr>
      <w:rFonts w:ascii="Arial" w:hAnsi="Arial"/>
      <w:szCs w:val="24"/>
    </w:rPr>
  </w:style>
  <w:style w:type="paragraph" w:styleId="19">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2"/>
    <w:autoRedefine/>
    <w:qFormat/>
    <w:uiPriority w:val="0"/>
    <w:rPr>
      <w:rFonts w:ascii="宋体" w:hAnsi="Courier New"/>
      <w:szCs w:val="20"/>
    </w:rPr>
  </w:style>
  <w:style w:type="paragraph" w:styleId="21">
    <w:name w:val="Date"/>
    <w:basedOn w:val="1"/>
    <w:next w:val="1"/>
    <w:link w:val="76"/>
    <w:autoRedefine/>
    <w:qFormat/>
    <w:uiPriority w:val="0"/>
    <w:rPr>
      <w:rFonts w:ascii="Times New Roman" w:hAnsi="Times New Roman"/>
      <w:szCs w:val="20"/>
    </w:rPr>
  </w:style>
  <w:style w:type="paragraph" w:styleId="22">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3">
    <w:name w:val="endnote text"/>
    <w:basedOn w:val="1"/>
    <w:link w:val="93"/>
    <w:autoRedefine/>
    <w:qFormat/>
    <w:uiPriority w:val="0"/>
    <w:pPr>
      <w:snapToGrid w:val="0"/>
      <w:jc w:val="left"/>
    </w:pPr>
    <w:rPr>
      <w:rFonts w:ascii="Times New Roman" w:hAnsi="Times New Roman"/>
      <w:szCs w:val="20"/>
    </w:rPr>
  </w:style>
  <w:style w:type="paragraph" w:styleId="24">
    <w:name w:val="Balloon Text"/>
    <w:basedOn w:val="1"/>
    <w:link w:val="103"/>
    <w:autoRedefine/>
    <w:qFormat/>
    <w:uiPriority w:val="0"/>
    <w:rPr>
      <w:rFonts w:ascii="Times New Roman" w:hAnsi="Times New Roman"/>
      <w:sz w:val="18"/>
      <w:szCs w:val="18"/>
    </w:rPr>
  </w:style>
  <w:style w:type="paragraph" w:styleId="25">
    <w:name w:val="footer"/>
    <w:basedOn w:val="1"/>
    <w:link w:val="60"/>
    <w:autoRedefine/>
    <w:unhideWhenUsed/>
    <w:qFormat/>
    <w:uiPriority w:val="0"/>
    <w:pPr>
      <w:tabs>
        <w:tab w:val="center" w:pos="4153"/>
        <w:tab w:val="right" w:pos="8306"/>
      </w:tabs>
      <w:snapToGrid w:val="0"/>
      <w:jc w:val="left"/>
    </w:pPr>
    <w:rPr>
      <w:sz w:val="18"/>
      <w:szCs w:val="18"/>
    </w:rPr>
  </w:style>
  <w:style w:type="paragraph" w:styleId="26">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90"/>
    <w:autoRedefine/>
    <w:qFormat/>
    <w:uiPriority w:val="0"/>
    <w:rPr>
      <w:rFonts w:ascii="宋体" w:hAnsi="宋体"/>
      <w:szCs w:val="24"/>
      <w:u w:val="single"/>
    </w:rPr>
  </w:style>
  <w:style w:type="paragraph" w:styleId="32">
    <w:name w:val="Normal (Web)"/>
    <w:basedOn w:val="1"/>
    <w:autoRedefine/>
    <w:qFormat/>
    <w:uiPriority w:val="0"/>
    <w:pPr>
      <w:spacing w:before="100" w:beforeAutospacing="1" w:after="100" w:afterAutospacing="1"/>
      <w:jc w:val="left"/>
    </w:pPr>
    <w:rPr>
      <w:kern w:val="0"/>
      <w:sz w:val="24"/>
    </w:rPr>
  </w:style>
  <w:style w:type="paragraph" w:styleId="33">
    <w:name w:val="index 1"/>
    <w:basedOn w:val="1"/>
    <w:next w:val="1"/>
    <w:autoRedefine/>
    <w:qFormat/>
    <w:uiPriority w:val="0"/>
    <w:rPr>
      <w:rFonts w:ascii="Times New Roman" w:hAnsi="Times New Roman" w:eastAsia="仿宋_GB2312"/>
      <w:sz w:val="28"/>
      <w:szCs w:val="20"/>
    </w:rPr>
  </w:style>
  <w:style w:type="paragraph" w:styleId="34">
    <w:name w:val="annotation subject"/>
    <w:basedOn w:val="16"/>
    <w:next w:val="16"/>
    <w:link w:val="110"/>
    <w:autoRedefine/>
    <w:qFormat/>
    <w:uiPriority w:val="0"/>
    <w:rPr>
      <w:b/>
      <w:bCs/>
    </w:rPr>
  </w:style>
  <w:style w:type="paragraph" w:styleId="35">
    <w:name w:val="Body Text First Indent 2"/>
    <w:basedOn w:val="17"/>
    <w:autoRedefine/>
    <w:qFormat/>
    <w:uiPriority w:val="0"/>
    <w:pPr>
      <w:spacing w:after="120"/>
      <w:ind w:left="200" w:leftChars="200" w:firstLine="200" w:firstLineChars="200"/>
    </w:pPr>
    <w:rPr>
      <w:szCs w:val="24"/>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endnote reference"/>
    <w:autoRedefine/>
    <w:qFormat/>
    <w:uiPriority w:val="0"/>
    <w:rPr>
      <w:vertAlign w:val="superscript"/>
    </w:rPr>
  </w:style>
  <w:style w:type="character" w:styleId="41">
    <w:name w:val="page number"/>
    <w:autoRedefine/>
    <w:qFormat/>
    <w:uiPriority w:val="0"/>
    <w:rPr>
      <w:rFonts w:cs="Times New Roman"/>
    </w:rPr>
  </w:style>
  <w:style w:type="character" w:styleId="42">
    <w:name w:val="FollowedHyperlink"/>
    <w:autoRedefine/>
    <w:semiHidden/>
    <w:unhideWhenUsed/>
    <w:qFormat/>
    <w:uiPriority w:val="99"/>
    <w:rPr>
      <w:color w:val="954F72"/>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paragraph" w:customStyle="1" w:styleId="46">
    <w:name w:val="PlainText"/>
    <w:basedOn w:val="1"/>
    <w:autoRedefine/>
    <w:qFormat/>
    <w:uiPriority w:val="0"/>
    <w:rPr>
      <w:rFonts w:ascii="宋体" w:hAnsi="Courier New"/>
      <w:kern w:val="0"/>
      <w:sz w:val="20"/>
      <w:szCs w:val="20"/>
    </w:rPr>
  </w:style>
  <w:style w:type="character" w:customStyle="1" w:styleId="47">
    <w:name w:val="标题 1 字符"/>
    <w:autoRedefine/>
    <w:qFormat/>
    <w:uiPriority w:val="9"/>
    <w:rPr>
      <w:rFonts w:ascii="Calibri" w:hAnsi="Calibri" w:eastAsia="宋体" w:cs="Times New Roman"/>
      <w:b/>
      <w:bCs/>
      <w:kern w:val="44"/>
      <w:sz w:val="44"/>
      <w:szCs w:val="44"/>
    </w:rPr>
  </w:style>
  <w:style w:type="character" w:customStyle="1" w:styleId="48">
    <w:name w:val="标题 2 字符"/>
    <w:autoRedefine/>
    <w:semiHidden/>
    <w:qFormat/>
    <w:uiPriority w:val="9"/>
    <w:rPr>
      <w:rFonts w:ascii="等线 Light" w:hAnsi="等线 Light" w:eastAsia="等线 Light" w:cs="Times New Roman"/>
      <w:b/>
      <w:bCs/>
      <w:sz w:val="32"/>
      <w:szCs w:val="32"/>
    </w:rPr>
  </w:style>
  <w:style w:type="character" w:customStyle="1" w:styleId="49">
    <w:name w:val="标题 3 字符"/>
    <w:autoRedefine/>
    <w:semiHidden/>
    <w:qFormat/>
    <w:uiPriority w:val="9"/>
    <w:rPr>
      <w:rFonts w:ascii="Calibri" w:hAnsi="Calibri" w:eastAsia="宋体" w:cs="Times New Roman"/>
      <w:b/>
      <w:bCs/>
      <w:sz w:val="32"/>
      <w:szCs w:val="32"/>
    </w:rPr>
  </w:style>
  <w:style w:type="character" w:customStyle="1" w:styleId="50">
    <w:name w:val="标题 4 字符"/>
    <w:autoRedefine/>
    <w:semiHidden/>
    <w:qFormat/>
    <w:uiPriority w:val="9"/>
    <w:rPr>
      <w:rFonts w:ascii="等线 Light" w:hAnsi="等线 Light" w:eastAsia="等线 Light" w:cs="Times New Roman"/>
      <w:b/>
      <w:bCs/>
      <w:sz w:val="28"/>
      <w:szCs w:val="28"/>
    </w:rPr>
  </w:style>
  <w:style w:type="character" w:customStyle="1" w:styleId="51">
    <w:name w:val="标题 5 字符"/>
    <w:autoRedefine/>
    <w:semiHidden/>
    <w:qFormat/>
    <w:uiPriority w:val="9"/>
    <w:rPr>
      <w:rFonts w:ascii="Calibri" w:hAnsi="Calibri" w:eastAsia="宋体" w:cs="Times New Roman"/>
      <w:b/>
      <w:bCs/>
      <w:sz w:val="28"/>
      <w:szCs w:val="28"/>
    </w:rPr>
  </w:style>
  <w:style w:type="character" w:customStyle="1" w:styleId="52">
    <w:name w:val="标题 6 字符"/>
    <w:autoRedefine/>
    <w:semiHidden/>
    <w:qFormat/>
    <w:uiPriority w:val="9"/>
    <w:rPr>
      <w:rFonts w:ascii="等线 Light" w:hAnsi="等线 Light" w:eastAsia="等线 Light" w:cs="Times New Roman"/>
      <w:b/>
      <w:bCs/>
      <w:sz w:val="24"/>
      <w:szCs w:val="24"/>
    </w:rPr>
  </w:style>
  <w:style w:type="character" w:customStyle="1" w:styleId="53">
    <w:name w:val="标题 7 字符"/>
    <w:autoRedefine/>
    <w:semiHidden/>
    <w:qFormat/>
    <w:uiPriority w:val="9"/>
    <w:rPr>
      <w:rFonts w:ascii="Calibri" w:hAnsi="Calibri" w:eastAsia="宋体" w:cs="Times New Roman"/>
      <w:b/>
      <w:bCs/>
      <w:sz w:val="24"/>
      <w:szCs w:val="24"/>
    </w:rPr>
  </w:style>
  <w:style w:type="character" w:customStyle="1" w:styleId="54">
    <w:name w:val="标题 8 字符"/>
    <w:autoRedefine/>
    <w:semiHidden/>
    <w:qFormat/>
    <w:uiPriority w:val="9"/>
    <w:rPr>
      <w:rFonts w:ascii="等线 Light" w:hAnsi="等线 Light" w:eastAsia="等线 Light" w:cs="Times New Roman"/>
      <w:sz w:val="24"/>
      <w:szCs w:val="24"/>
    </w:rPr>
  </w:style>
  <w:style w:type="character" w:customStyle="1" w:styleId="55">
    <w:name w:val="标题 9 字符"/>
    <w:autoRedefine/>
    <w:semiHidden/>
    <w:qFormat/>
    <w:uiPriority w:val="9"/>
    <w:rPr>
      <w:rFonts w:ascii="等线 Light" w:hAnsi="等线 Light" w:eastAsia="等线 Light" w:cs="Times New Roman"/>
      <w:szCs w:val="21"/>
    </w:rPr>
  </w:style>
  <w:style w:type="character" w:customStyle="1" w:styleId="56">
    <w:name w:val="标题 3 Char"/>
    <w:link w:val="7"/>
    <w:autoRedefine/>
    <w:qFormat/>
    <w:uiPriority w:val="0"/>
    <w:rPr>
      <w:rFonts w:ascii="宋体" w:hAnsi="宋体" w:eastAsia="宋体" w:cs="宋体"/>
      <w:kern w:val="0"/>
      <w:sz w:val="27"/>
      <w:szCs w:val="27"/>
    </w:rPr>
  </w:style>
  <w:style w:type="character" w:customStyle="1" w:styleId="57">
    <w:name w:val="页眉 字符"/>
    <w:autoRedefine/>
    <w:semiHidden/>
    <w:qFormat/>
    <w:uiPriority w:val="99"/>
    <w:rPr>
      <w:rFonts w:ascii="Calibri" w:hAnsi="Calibri" w:eastAsia="宋体" w:cs="Times New Roman"/>
      <w:sz w:val="18"/>
      <w:szCs w:val="18"/>
    </w:rPr>
  </w:style>
  <w:style w:type="character" w:customStyle="1" w:styleId="58">
    <w:name w:val="页眉 Char"/>
    <w:link w:val="26"/>
    <w:autoRedefine/>
    <w:qFormat/>
    <w:uiPriority w:val="0"/>
    <w:rPr>
      <w:rFonts w:ascii="Calibri" w:hAnsi="Calibri" w:eastAsia="宋体" w:cs="Times New Roman"/>
      <w:sz w:val="18"/>
      <w:szCs w:val="18"/>
    </w:rPr>
  </w:style>
  <w:style w:type="character" w:customStyle="1" w:styleId="59">
    <w:name w:val="页脚 字符"/>
    <w:autoRedefine/>
    <w:semiHidden/>
    <w:qFormat/>
    <w:uiPriority w:val="99"/>
    <w:rPr>
      <w:rFonts w:ascii="Calibri" w:hAnsi="Calibri" w:eastAsia="宋体" w:cs="Times New Roman"/>
      <w:sz w:val="18"/>
      <w:szCs w:val="18"/>
    </w:rPr>
  </w:style>
  <w:style w:type="character" w:customStyle="1" w:styleId="60">
    <w:name w:val="页脚 Char"/>
    <w:link w:val="25"/>
    <w:autoRedefine/>
    <w:qFormat/>
    <w:uiPriority w:val="0"/>
    <w:rPr>
      <w:rFonts w:ascii="Calibri" w:hAnsi="Calibri" w:eastAsia="宋体" w:cs="Times New Roman"/>
      <w:sz w:val="18"/>
      <w:szCs w:val="18"/>
    </w:rPr>
  </w:style>
  <w:style w:type="character" w:customStyle="1" w:styleId="61">
    <w:name w:val="标题 1 Char"/>
    <w:link w:val="3"/>
    <w:autoRedefine/>
    <w:qFormat/>
    <w:uiPriority w:val="0"/>
    <w:rPr>
      <w:rFonts w:ascii="Arial" w:hAnsi="Arial" w:eastAsia="宋体"/>
      <w:b/>
      <w:kern w:val="44"/>
      <w:sz w:val="28"/>
      <w:szCs w:val="28"/>
    </w:rPr>
  </w:style>
  <w:style w:type="character" w:customStyle="1" w:styleId="62">
    <w:name w:val="标题 2 Char"/>
    <w:link w:val="2"/>
    <w:autoRedefine/>
    <w:qFormat/>
    <w:uiPriority w:val="0"/>
    <w:rPr>
      <w:rFonts w:ascii="Arial" w:hAnsi="Arial" w:eastAsia="宋体" w:cs="Times New Roman"/>
      <w:b/>
      <w:color w:val="000000"/>
      <w:sz w:val="24"/>
      <w:szCs w:val="24"/>
    </w:rPr>
  </w:style>
  <w:style w:type="character" w:customStyle="1" w:styleId="63">
    <w:name w:val="标题 4 Char"/>
    <w:link w:val="8"/>
    <w:autoRedefine/>
    <w:qFormat/>
    <w:uiPriority w:val="0"/>
    <w:rPr>
      <w:rFonts w:ascii="Arial" w:hAnsi="Arial" w:eastAsia="宋体" w:cs="Times New Roman"/>
      <w:color w:val="000000"/>
      <w:szCs w:val="21"/>
    </w:rPr>
  </w:style>
  <w:style w:type="character" w:customStyle="1" w:styleId="64">
    <w:name w:val="标题 5 Char"/>
    <w:link w:val="10"/>
    <w:autoRedefine/>
    <w:qFormat/>
    <w:uiPriority w:val="0"/>
    <w:rPr>
      <w:rFonts w:ascii="Arial" w:hAnsi="Arial" w:eastAsia="宋体" w:cs="Times New Roman"/>
      <w:color w:val="000000"/>
      <w:szCs w:val="21"/>
    </w:rPr>
  </w:style>
  <w:style w:type="character" w:customStyle="1" w:styleId="65">
    <w:name w:val="标题 6 Char"/>
    <w:link w:val="11"/>
    <w:autoRedefine/>
    <w:qFormat/>
    <w:uiPriority w:val="0"/>
    <w:rPr>
      <w:rFonts w:ascii="Arial" w:hAnsi="Arial" w:eastAsia="黑体" w:cs="Times New Roman"/>
      <w:b/>
      <w:bCs/>
      <w:sz w:val="24"/>
      <w:szCs w:val="24"/>
    </w:rPr>
  </w:style>
  <w:style w:type="character" w:customStyle="1" w:styleId="66">
    <w:name w:val="标题 7 Char"/>
    <w:link w:val="12"/>
    <w:autoRedefine/>
    <w:qFormat/>
    <w:uiPriority w:val="0"/>
    <w:rPr>
      <w:rFonts w:ascii="Times New Roman" w:hAnsi="Times New Roman" w:eastAsia="宋体" w:cs="Times New Roman"/>
      <w:b/>
      <w:sz w:val="24"/>
      <w:szCs w:val="20"/>
    </w:rPr>
  </w:style>
  <w:style w:type="character" w:customStyle="1" w:styleId="67">
    <w:name w:val="标题 8 Char"/>
    <w:link w:val="13"/>
    <w:autoRedefine/>
    <w:qFormat/>
    <w:uiPriority w:val="0"/>
    <w:rPr>
      <w:rFonts w:ascii="Arial" w:hAnsi="Arial" w:eastAsia="黑体" w:cs="Times New Roman"/>
      <w:sz w:val="24"/>
      <w:szCs w:val="20"/>
    </w:rPr>
  </w:style>
  <w:style w:type="character" w:customStyle="1" w:styleId="68">
    <w:name w:val="标题 9 Char"/>
    <w:link w:val="14"/>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Char"/>
    <w:link w:val="4"/>
    <w:autoRedefine/>
    <w:qFormat/>
    <w:uiPriority w:val="0"/>
    <w:rPr>
      <w:rFonts w:ascii="Arial" w:hAnsi="Arial" w:eastAsia="宋体" w:cs="Times New Roman"/>
      <w:b/>
      <w:sz w:val="44"/>
      <w:szCs w:val="20"/>
    </w:rPr>
  </w:style>
  <w:style w:type="character" w:customStyle="1" w:styleId="71">
    <w:name w:val="正文文本 字符"/>
    <w:autoRedefine/>
    <w:semiHidden/>
    <w:qFormat/>
    <w:uiPriority w:val="99"/>
    <w:rPr>
      <w:rFonts w:ascii="Calibri" w:hAnsi="Calibri" w:eastAsia="宋体" w:cs="Times New Roman"/>
    </w:rPr>
  </w:style>
  <w:style w:type="character" w:customStyle="1" w:styleId="72">
    <w:name w:val="正文文本 Char"/>
    <w:link w:val="6"/>
    <w:autoRedefine/>
    <w:qFormat/>
    <w:uiPriority w:val="0"/>
    <w:rPr>
      <w:rFonts w:ascii="Times New Roman" w:hAnsi="Times New Roman" w:eastAsia="宋体" w:cs="Times New Roman"/>
      <w:szCs w:val="20"/>
    </w:rPr>
  </w:style>
  <w:style w:type="character" w:customStyle="1" w:styleId="73">
    <w:name w:val="正文首行缩进 字符"/>
    <w:basedOn w:val="71"/>
    <w:autoRedefine/>
    <w:semiHidden/>
    <w:qFormat/>
    <w:uiPriority w:val="99"/>
    <w:rPr>
      <w:rFonts w:ascii="Calibri" w:hAnsi="Calibri" w:eastAsia="宋体" w:cs="Times New Roman"/>
    </w:rPr>
  </w:style>
  <w:style w:type="character" w:customStyle="1" w:styleId="74">
    <w:name w:val="正文首行缩进 Char"/>
    <w:link w:val="5"/>
    <w:autoRedefine/>
    <w:qFormat/>
    <w:uiPriority w:val="0"/>
  </w:style>
  <w:style w:type="character" w:customStyle="1" w:styleId="75">
    <w:name w:val="日期 字符"/>
    <w:autoRedefine/>
    <w:semiHidden/>
    <w:qFormat/>
    <w:uiPriority w:val="99"/>
    <w:rPr>
      <w:rFonts w:ascii="Calibri" w:hAnsi="Calibri" w:eastAsia="宋体" w:cs="Times New Roman"/>
    </w:rPr>
  </w:style>
  <w:style w:type="character" w:customStyle="1" w:styleId="76">
    <w:name w:val="日期 Char"/>
    <w:link w:val="21"/>
    <w:autoRedefine/>
    <w:qFormat/>
    <w:uiPriority w:val="0"/>
    <w:rPr>
      <w:rFonts w:ascii="Times New Roman" w:hAnsi="Times New Roman" w:eastAsia="宋体" w:cs="Times New Roman"/>
      <w:szCs w:val="20"/>
    </w:rPr>
  </w:style>
  <w:style w:type="character" w:customStyle="1" w:styleId="77">
    <w:name w:val="正文文本缩进 字符"/>
    <w:autoRedefine/>
    <w:semiHidden/>
    <w:qFormat/>
    <w:uiPriority w:val="99"/>
    <w:rPr>
      <w:rFonts w:ascii="Calibri" w:hAnsi="Calibri" w:eastAsia="宋体" w:cs="Times New Roman"/>
    </w:rPr>
  </w:style>
  <w:style w:type="character" w:customStyle="1" w:styleId="78">
    <w:name w:val="正文文本缩进 Char"/>
    <w:link w:val="17"/>
    <w:autoRedefine/>
    <w:qFormat/>
    <w:uiPriority w:val="0"/>
    <w:rPr>
      <w:rFonts w:ascii="Times New Roman" w:hAnsi="Times New Roman" w:eastAsia="宋体" w:cs="Times New Roman"/>
      <w:sz w:val="28"/>
      <w:szCs w:val="20"/>
    </w:rPr>
  </w:style>
  <w:style w:type="character" w:customStyle="1" w:styleId="79">
    <w:name w:val="文档结构图 字符"/>
    <w:autoRedefine/>
    <w:semiHidden/>
    <w:qFormat/>
    <w:uiPriority w:val="99"/>
    <w:rPr>
      <w:rFonts w:ascii="Microsoft YaHei UI" w:hAnsi="Calibri" w:eastAsia="Microsoft YaHei UI" w:cs="Times New Roman"/>
      <w:sz w:val="18"/>
      <w:szCs w:val="18"/>
    </w:rPr>
  </w:style>
  <w:style w:type="character" w:customStyle="1" w:styleId="80">
    <w:name w:val="文档结构图 Char"/>
    <w:link w:val="15"/>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semiHidden/>
    <w:qFormat/>
    <w:uiPriority w:val="99"/>
    <w:rPr>
      <w:rFonts w:ascii="等线" w:hAnsi="Courier New" w:cs="Courier New"/>
    </w:rPr>
  </w:style>
  <w:style w:type="character" w:customStyle="1" w:styleId="82">
    <w:name w:val="纯文本 Char"/>
    <w:link w:val="20"/>
    <w:autoRedefine/>
    <w:qFormat/>
    <w:uiPriority w:val="0"/>
    <w:rPr>
      <w:rFonts w:ascii="宋体" w:hAnsi="Courier New" w:eastAsia="宋体" w:cs="Times New Roman"/>
      <w:szCs w:val="20"/>
    </w:rPr>
  </w:style>
  <w:style w:type="character" w:customStyle="1" w:styleId="83">
    <w:name w:val="正文文本缩进 2 字符"/>
    <w:autoRedefine/>
    <w:semiHidden/>
    <w:qFormat/>
    <w:uiPriority w:val="99"/>
    <w:rPr>
      <w:rFonts w:ascii="Calibri" w:hAnsi="Calibri" w:eastAsia="宋体" w:cs="Times New Roman"/>
    </w:rPr>
  </w:style>
  <w:style w:type="character" w:customStyle="1" w:styleId="84">
    <w:name w:val="正文文本缩进 2 Char"/>
    <w:link w:val="22"/>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semiHidden/>
    <w:qFormat/>
    <w:uiPriority w:val="99"/>
    <w:rPr>
      <w:rFonts w:ascii="Calibri" w:hAnsi="Calibri" w:eastAsia="宋体" w:cs="Times New Roman"/>
      <w:sz w:val="16"/>
      <w:szCs w:val="16"/>
    </w:rPr>
  </w:style>
  <w:style w:type="character" w:customStyle="1" w:styleId="86">
    <w:name w:val="正文文本缩进 3 Char"/>
    <w:link w:val="29"/>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semiHidden/>
    <w:qFormat/>
    <w:uiPriority w:val="99"/>
    <w:rPr>
      <w:rFonts w:ascii="Calibri" w:hAnsi="Calibri" w:eastAsia="宋体" w:cs="Times New Roman"/>
    </w:rPr>
  </w:style>
  <w:style w:type="character" w:customStyle="1" w:styleId="90">
    <w:name w:val="正文文本 2 Char"/>
    <w:link w:val="31"/>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semiHidden/>
    <w:qFormat/>
    <w:uiPriority w:val="99"/>
    <w:rPr>
      <w:rFonts w:ascii="Calibri" w:hAnsi="Calibri" w:eastAsia="宋体" w:cs="Times New Roman"/>
    </w:rPr>
  </w:style>
  <w:style w:type="character" w:customStyle="1" w:styleId="93">
    <w:name w:val="尾注文本 Char"/>
    <w:link w:val="23"/>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9"/>
    <w:autoRedefine/>
    <w:qFormat/>
    <w:uiPriority w:val="0"/>
    <w:pPr>
      <w:ind w:firstLine="0"/>
    </w:pPr>
    <w:rPr>
      <w:rFonts w:ascii="仿宋_GB2312" w:eastAsia="仿宋_GB2312"/>
      <w:sz w:val="30"/>
      <w:szCs w:val="24"/>
    </w:rPr>
  </w:style>
  <w:style w:type="paragraph" w:customStyle="1" w:styleId="97">
    <w:name w:val="Char Char Char1 Char"/>
    <w:basedOn w:val="15"/>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批注框文本 Char"/>
    <w:link w:val="24"/>
    <w:autoRedefine/>
    <w:qFormat/>
    <w:uiPriority w:val="0"/>
    <w:rPr>
      <w:rFonts w:ascii="Times New Roman" w:hAnsi="Times New Roman" w:eastAsia="宋体" w:cs="Times New Roman"/>
      <w:sz w:val="18"/>
      <w:szCs w:val="18"/>
    </w:rPr>
  </w:style>
  <w:style w:type="paragraph" w:customStyle="1" w:styleId="104">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semiHidden/>
    <w:qFormat/>
    <w:uiPriority w:val="99"/>
    <w:rPr>
      <w:rFonts w:ascii="Calibri" w:hAnsi="Calibri" w:eastAsia="宋体" w:cs="Times New Roman"/>
    </w:rPr>
  </w:style>
  <w:style w:type="character" w:customStyle="1" w:styleId="106">
    <w:name w:val="批注文字 Char"/>
    <w:link w:val="16"/>
    <w:autoRedefine/>
    <w:qFormat/>
    <w:uiPriority w:val="0"/>
    <w:rPr>
      <w:rFonts w:ascii="宋体" w:hAnsi="宋体" w:eastAsia="宋体" w:cs="Times New Roman"/>
      <w:sz w:val="24"/>
      <w:szCs w:val="24"/>
    </w:rPr>
  </w:style>
  <w:style w:type="character" w:customStyle="1" w:styleId="107">
    <w:name w:val="脚注文本 字符"/>
    <w:autoRedefine/>
    <w:semiHidden/>
    <w:qFormat/>
    <w:uiPriority w:val="99"/>
    <w:rPr>
      <w:rFonts w:ascii="Calibri" w:hAnsi="Calibri" w:eastAsia="宋体" w:cs="Times New Roman"/>
      <w:sz w:val="18"/>
      <w:szCs w:val="18"/>
    </w:rPr>
  </w:style>
  <w:style w:type="character" w:customStyle="1" w:styleId="108">
    <w:name w:val="脚注文本 Char"/>
    <w:link w:val="28"/>
    <w:autoRedefine/>
    <w:qFormat/>
    <w:uiPriority w:val="0"/>
    <w:rPr>
      <w:rFonts w:ascii="宋体" w:hAnsi="宋体" w:eastAsia="宋体" w:cs="Times New Roman"/>
      <w:sz w:val="18"/>
      <w:szCs w:val="18"/>
    </w:rPr>
  </w:style>
  <w:style w:type="character" w:customStyle="1" w:styleId="109">
    <w:name w:val="批注主题 字符"/>
    <w:autoRedefine/>
    <w:semiHidden/>
    <w:qFormat/>
    <w:uiPriority w:val="99"/>
    <w:rPr>
      <w:rFonts w:ascii="Calibri" w:hAnsi="Calibri" w:eastAsia="宋体" w:cs="Times New Roman"/>
      <w:b/>
      <w:bCs/>
    </w:rPr>
  </w:style>
  <w:style w:type="character" w:customStyle="1" w:styleId="110">
    <w:name w:val="批注主题 Char"/>
    <w:link w:val="34"/>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1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4">
    <w:name w:val="font11"/>
    <w:autoRedefine/>
    <w:qFormat/>
    <w:uiPriority w:val="0"/>
    <w:rPr>
      <w:rFonts w:hint="eastAsia" w:ascii="仿宋" w:hAnsi="仿宋" w:eastAsia="仿宋" w:cs="仿宋"/>
      <w:color w:val="000000"/>
      <w:sz w:val="28"/>
      <w:szCs w:val="28"/>
      <w:u w:val="none"/>
    </w:rPr>
  </w:style>
  <w:style w:type="paragraph" w:customStyle="1" w:styleId="115">
    <w:name w:val="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17">
    <w:name w:val="正文 New New"/>
    <w:autoRedefine/>
    <w:qFormat/>
    <w:uiPriority w:val="0"/>
    <w:pPr>
      <w:widowControl w:val="0"/>
      <w:jc w:val="both"/>
    </w:pPr>
    <w:rPr>
      <w:rFonts w:ascii="Calibri" w:hAnsi="Calibri" w:eastAsia="楷体_GB2312" w:cs="Times New Roman"/>
      <w:lang w:val="en-US" w:eastAsia="zh-CN" w:bidi="ar-SA"/>
    </w:rPr>
  </w:style>
  <w:style w:type="character" w:customStyle="1" w:styleId="118">
    <w:name w:val="正文文本1"/>
    <w:autoRedefine/>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9">
    <w:name w:val="正文文本3"/>
    <w:basedOn w:val="1"/>
    <w:autoRedefine/>
    <w:qFormat/>
    <w:uiPriority w:val="0"/>
    <w:pPr>
      <w:shd w:val="clear" w:color="auto" w:fill="FFFFFF"/>
      <w:spacing w:line="0" w:lineRule="atLeast"/>
      <w:jc w:val="left"/>
    </w:pPr>
    <w:rPr>
      <w:rFonts w:ascii="宋体" w:hAnsi="宋体" w:cs="宋体"/>
      <w:sz w:val="19"/>
      <w:szCs w:val="19"/>
    </w:rPr>
  </w:style>
  <w:style w:type="character" w:customStyle="1" w:styleId="120">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21">
    <w:name w:val="表格文字缩进"/>
    <w:basedOn w:val="1"/>
    <w:autoRedefine/>
    <w:qFormat/>
    <w:uiPriority w:val="0"/>
    <w:pPr>
      <w:widowControl/>
      <w:spacing w:before="62" w:after="62" w:line="240" w:lineRule="atLeast"/>
      <w:ind w:firstLine="360" w:firstLineChars="200"/>
      <w:jc w:val="left"/>
    </w:pPr>
    <w:rPr>
      <w:rFonts w:cs="宋体"/>
      <w:color w:val="000000"/>
      <w:kern w:val="0"/>
      <w:szCs w:val="18"/>
    </w:rPr>
  </w:style>
  <w:style w:type="character" w:customStyle="1" w:styleId="122">
    <w:name w:val="NormalCharacter"/>
    <w:basedOn w:val="3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41761</Words>
  <Characters>44144</Characters>
  <Lines>356</Lines>
  <Paragraphs>100</Paragraphs>
  <TotalTime>9</TotalTime>
  <ScaleCrop>false</ScaleCrop>
  <LinksUpToDate>false</LinksUpToDate>
  <CharactersWithSpaces>46044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2019-10-12T07:40:00Z</dcterms:created>
  <dc:creator>管理员</dc:creator>
  <cp:lastModifiedBy>小芬</cp:lastModifiedBy>
  <cp:lastPrinted>2023-01-10T02:36:00Z</cp:lastPrinted>
  <dcterms:modified xsi:type="dcterms:W3CDTF">2024-04-26T02:56:04Z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F95BCFB647D94EB29510C495237373D1_13</vt:lpwstr>
  </property>
</Properties>
</file>