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wordWrap w:val="0"/>
        <w:spacing w:before="7"/>
        <w:rPr>
          <w:b/>
          <w:sz w:val="29"/>
          <w:highlight w:val="none"/>
        </w:rPr>
      </w:pPr>
      <w:bookmarkStart w:id="495" w:name="_GoBack"/>
      <w:bookmarkEnd w:id="495"/>
    </w:p>
    <w:p>
      <w:pPr>
        <w:pStyle w:val="18"/>
        <w:wordWrap w:val="0"/>
        <w:spacing w:before="7"/>
        <w:rPr>
          <w:b/>
          <w:sz w:val="29"/>
          <w:highlight w:val="none"/>
        </w:rPr>
      </w:pPr>
    </w:p>
    <w:p>
      <w:pPr>
        <w:wordWrap w:val="0"/>
        <w:spacing w:before="269"/>
        <w:ind w:right="-50"/>
        <w:jc w:val="center"/>
        <w:rPr>
          <w:rFonts w:hint="eastAsia" w:eastAsia="宋体"/>
          <w:b/>
          <w:sz w:val="52"/>
          <w:highlight w:val="none"/>
          <w:u w:val="single"/>
          <w:lang w:eastAsia="zh-CN"/>
        </w:rPr>
      </w:pPr>
      <w:r>
        <w:rPr>
          <w:rFonts w:hint="eastAsia"/>
          <w:b/>
          <w:sz w:val="52"/>
          <w:highlight w:val="none"/>
          <w:u w:val="single"/>
          <w:lang w:eastAsia="zh-CN"/>
        </w:rPr>
        <w:t>越秀公园雨污分流项目</w:t>
      </w:r>
    </w:p>
    <w:p>
      <w:pPr>
        <w:pStyle w:val="18"/>
        <w:wordWrap w:val="0"/>
        <w:jc w:val="center"/>
        <w:rPr>
          <w:b/>
          <w:sz w:val="52"/>
          <w:highlight w:val="none"/>
        </w:rPr>
      </w:pPr>
    </w:p>
    <w:p>
      <w:pPr>
        <w:pStyle w:val="18"/>
        <w:wordWrap w:val="0"/>
        <w:spacing w:before="7"/>
        <w:jc w:val="center"/>
        <w:rPr>
          <w:b/>
          <w:sz w:val="52"/>
          <w:szCs w:val="16"/>
          <w:highlight w:val="none"/>
        </w:rPr>
      </w:pPr>
      <w:r>
        <w:rPr>
          <w:rFonts w:hint="eastAsia"/>
          <w:b/>
          <w:sz w:val="52"/>
          <w:szCs w:val="16"/>
          <w:highlight w:val="none"/>
        </w:rPr>
        <w:t>施工总承包合同</w:t>
      </w:r>
    </w:p>
    <w:p>
      <w:pPr>
        <w:pStyle w:val="18"/>
        <w:wordWrap w:val="0"/>
        <w:spacing w:before="7"/>
        <w:rPr>
          <w:b/>
          <w:sz w:val="57"/>
          <w:highlight w:val="none"/>
        </w:rPr>
      </w:pPr>
    </w:p>
    <w:p>
      <w:pPr>
        <w:keepNext/>
        <w:keepLines/>
        <w:tabs>
          <w:tab w:val="left" w:pos="420"/>
        </w:tabs>
        <w:wordWrap w:val="0"/>
        <w:spacing w:line="416" w:lineRule="auto"/>
        <w:ind w:right="0"/>
        <w:jc w:val="center"/>
        <w:rPr>
          <w:rFonts w:ascii="宋体" w:hAnsi="宋体" w:cs="宋体"/>
          <w:highlight w:val="none"/>
        </w:rPr>
      </w:pPr>
      <w:bookmarkStart w:id="0" w:name="_Toc6943"/>
      <w:r>
        <w:rPr>
          <w:rFonts w:hint="eastAsia" w:ascii="宋体" w:hAnsi="宋体" w:cs="宋体"/>
          <w:highlight w:val="none"/>
        </w:rPr>
        <w:t>（合同编号：           ）</w:t>
      </w:r>
      <w:bookmarkEnd w:id="0"/>
    </w:p>
    <w:p>
      <w:pPr>
        <w:pStyle w:val="18"/>
        <w:wordWrap w:val="0"/>
        <w:rPr>
          <w:b/>
          <w:sz w:val="32"/>
          <w:highlight w:val="none"/>
        </w:rPr>
      </w:pPr>
    </w:p>
    <w:p>
      <w:pPr>
        <w:pStyle w:val="18"/>
        <w:wordWrap w:val="0"/>
        <w:rPr>
          <w:b/>
          <w:sz w:val="32"/>
          <w:highlight w:val="none"/>
        </w:rPr>
      </w:pPr>
    </w:p>
    <w:p>
      <w:pPr>
        <w:pStyle w:val="18"/>
        <w:wordWrap w:val="0"/>
        <w:rPr>
          <w:b/>
          <w:sz w:val="32"/>
          <w:highlight w:val="none"/>
        </w:rPr>
      </w:pPr>
    </w:p>
    <w:p>
      <w:pPr>
        <w:pStyle w:val="18"/>
        <w:wordWrap w:val="0"/>
        <w:rPr>
          <w:b/>
          <w:sz w:val="32"/>
          <w:highlight w:val="none"/>
        </w:rPr>
      </w:pPr>
    </w:p>
    <w:p>
      <w:pPr>
        <w:pStyle w:val="18"/>
        <w:wordWrap w:val="0"/>
        <w:rPr>
          <w:b/>
          <w:sz w:val="32"/>
          <w:highlight w:val="none"/>
        </w:rPr>
      </w:pPr>
    </w:p>
    <w:p>
      <w:pPr>
        <w:wordWrap w:val="0"/>
        <w:autoSpaceDE w:val="0"/>
        <w:autoSpaceDN w:val="0"/>
        <w:spacing w:line="600" w:lineRule="exact"/>
        <w:ind w:right="-50" w:firstLine="1684" w:firstLineChars="466"/>
        <w:jc w:val="left"/>
        <w:rPr>
          <w:b/>
          <w:sz w:val="36"/>
          <w:highlight w:val="none"/>
          <w:u w:val="single"/>
        </w:rPr>
      </w:pPr>
      <w:r>
        <w:rPr>
          <w:b/>
          <w:sz w:val="36"/>
          <w:highlight w:val="none"/>
        </w:rPr>
        <w:t>发包人：</w:t>
      </w:r>
      <w:r>
        <w:rPr>
          <w:rFonts w:hint="eastAsia"/>
          <w:b w:val="0"/>
          <w:bCs/>
          <w:sz w:val="36"/>
          <w:highlight w:val="none"/>
          <w:u w:val="single"/>
        </w:rPr>
        <w:t xml:space="preserve"> </w:t>
      </w:r>
      <w:r>
        <w:rPr>
          <w:b w:val="0"/>
          <w:bCs/>
          <w:sz w:val="36"/>
          <w:highlight w:val="none"/>
          <w:u w:val="single"/>
        </w:rPr>
        <w:t xml:space="preserve">                   </w:t>
      </w:r>
    </w:p>
    <w:p>
      <w:pPr>
        <w:wordWrap w:val="0"/>
        <w:autoSpaceDE w:val="0"/>
        <w:autoSpaceDN w:val="0"/>
        <w:spacing w:line="600" w:lineRule="exact"/>
        <w:ind w:right="3199"/>
        <w:jc w:val="left"/>
        <w:rPr>
          <w:b/>
          <w:sz w:val="36"/>
          <w:highlight w:val="none"/>
        </w:rPr>
      </w:pPr>
    </w:p>
    <w:p>
      <w:pPr>
        <w:wordWrap w:val="0"/>
        <w:autoSpaceDE w:val="0"/>
        <w:autoSpaceDN w:val="0"/>
        <w:spacing w:line="600" w:lineRule="exact"/>
        <w:ind w:right="-50" w:firstLine="1684" w:firstLineChars="466"/>
        <w:jc w:val="left"/>
        <w:rPr>
          <w:b/>
          <w:sz w:val="36"/>
          <w:highlight w:val="none"/>
          <w:u w:val="none"/>
        </w:rPr>
      </w:pPr>
      <w:r>
        <w:rPr>
          <w:b/>
          <w:sz w:val="36"/>
          <w:highlight w:val="none"/>
        </w:rPr>
        <w:t>承包人</w:t>
      </w:r>
      <w:r>
        <w:rPr>
          <w:rFonts w:hint="default" w:ascii="Calibri" w:hAnsi="Calibri" w:cs="Times New Roman"/>
          <w:b/>
          <w:sz w:val="36"/>
          <w:highlight w:val="none"/>
        </w:rPr>
        <w:t>：</w:t>
      </w:r>
      <w:r>
        <w:rPr>
          <w:rFonts w:hint="default" w:ascii="Calibri" w:hAnsi="Calibri" w:cs="Times New Roman"/>
          <w:b w:val="0"/>
          <w:bCs/>
          <w:sz w:val="36"/>
          <w:highlight w:val="none"/>
          <w:u w:val="single"/>
        </w:rPr>
        <w:t xml:space="preserve">                    </w:t>
      </w:r>
    </w:p>
    <w:p>
      <w:pPr>
        <w:pStyle w:val="3"/>
        <w:keepNext w:val="0"/>
        <w:keepLines w:val="0"/>
        <w:numPr>
          <w:ilvl w:val="0"/>
          <w:numId w:val="0"/>
        </w:numPr>
        <w:tabs>
          <w:tab w:val="left" w:pos="5511"/>
          <w:tab w:val="left" w:pos="6795"/>
        </w:tabs>
        <w:wordWrap w:val="0"/>
        <w:autoSpaceDE w:val="0"/>
        <w:autoSpaceDN w:val="0"/>
        <w:spacing w:before="0" w:line="600" w:lineRule="exact"/>
        <w:ind w:left="1050" w:leftChars="500"/>
        <w:jc w:val="both"/>
        <w:rPr>
          <w:rFonts w:ascii="Calibri" w:hAnsi="Calibri" w:eastAsia="宋体"/>
          <w:b/>
          <w:sz w:val="36"/>
          <w:szCs w:val="22"/>
          <w:highlight w:val="none"/>
        </w:rPr>
      </w:pPr>
    </w:p>
    <w:p>
      <w:pPr>
        <w:wordWrap w:val="0"/>
        <w:jc w:val="center"/>
        <w:rPr>
          <w:b/>
          <w:sz w:val="36"/>
          <w:highlight w:val="none"/>
        </w:rPr>
      </w:pPr>
      <w:r>
        <w:rPr>
          <w:b/>
          <w:sz w:val="36"/>
          <w:highlight w:val="none"/>
        </w:rPr>
        <w:t>日期：</w:t>
      </w:r>
      <w:r>
        <w:rPr>
          <w:rFonts w:hint="eastAsia"/>
          <w:b/>
          <w:sz w:val="36"/>
          <w:highlight w:val="none"/>
        </w:rPr>
        <w:t xml:space="preserve"> </w:t>
      </w:r>
      <w:r>
        <w:rPr>
          <w:rFonts w:hint="eastAsia"/>
          <w:b/>
          <w:sz w:val="36"/>
          <w:highlight w:val="none"/>
          <w:lang w:eastAsia="zh-CN"/>
        </w:rPr>
        <w:t>2024</w:t>
      </w:r>
      <w:r>
        <w:rPr>
          <w:rFonts w:hint="eastAsia"/>
          <w:b/>
          <w:sz w:val="36"/>
          <w:highlight w:val="none"/>
        </w:rPr>
        <w:t xml:space="preserve"> </w:t>
      </w:r>
      <w:r>
        <w:rPr>
          <w:b/>
          <w:sz w:val="36"/>
          <w:highlight w:val="none"/>
        </w:rPr>
        <w:t>年</w:t>
      </w:r>
      <w:r>
        <w:rPr>
          <w:rFonts w:hint="eastAsia"/>
          <w:b/>
          <w:sz w:val="36"/>
          <w:highlight w:val="none"/>
        </w:rPr>
        <w:t xml:space="preserve"> </w:t>
      </w:r>
      <w:r>
        <w:rPr>
          <w:rFonts w:hint="eastAsia"/>
          <w:b/>
          <w:sz w:val="36"/>
          <w:highlight w:val="none"/>
          <w:lang w:val="en-US" w:eastAsia="zh-CN"/>
        </w:rPr>
        <w:t xml:space="preserve"> </w:t>
      </w:r>
      <w:r>
        <w:rPr>
          <w:rFonts w:hint="eastAsia"/>
          <w:b/>
          <w:sz w:val="36"/>
          <w:highlight w:val="none"/>
        </w:rPr>
        <w:t xml:space="preserve"> </w:t>
      </w:r>
      <w:r>
        <w:rPr>
          <w:b/>
          <w:sz w:val="36"/>
          <w:highlight w:val="none"/>
        </w:rPr>
        <w:t xml:space="preserve">月 </w:t>
      </w:r>
      <w:r>
        <w:rPr>
          <w:rFonts w:hint="eastAsia"/>
          <w:b/>
          <w:sz w:val="36"/>
          <w:highlight w:val="none"/>
          <w:lang w:val="en-US" w:eastAsia="zh-CN"/>
        </w:rPr>
        <w:t xml:space="preserve">  </w:t>
      </w:r>
      <w:r>
        <w:rPr>
          <w:b/>
          <w:sz w:val="36"/>
          <w:highlight w:val="none"/>
        </w:rPr>
        <w:t>日</w:t>
      </w:r>
    </w:p>
    <w:p>
      <w:pPr>
        <w:wordWrap w:val="0"/>
        <w:jc w:val="center"/>
        <w:outlineLvl w:val="1"/>
        <w:rPr>
          <w:rStyle w:val="132"/>
          <w:highlight w:val="none"/>
        </w:rPr>
      </w:pPr>
      <w:r>
        <w:rPr>
          <w:b/>
          <w:sz w:val="36"/>
          <w:highlight w:val="none"/>
        </w:rPr>
        <w:br w:type="page"/>
      </w:r>
      <w:bookmarkStart w:id="1" w:name="_Toc16668"/>
      <w:bookmarkStart w:id="2" w:name="_Toc486238464"/>
      <w:bookmarkStart w:id="3" w:name="_Toc484011666"/>
      <w:bookmarkStart w:id="4" w:name="_Toc8846"/>
      <w:bookmarkStart w:id="5" w:name="_Toc32389"/>
      <w:bookmarkStart w:id="6" w:name="_Toc486238307"/>
      <w:bookmarkStart w:id="7" w:name="_Toc23055"/>
      <w:bookmarkStart w:id="8" w:name="_Toc1158"/>
      <w:bookmarkStart w:id="9" w:name="_Toc26164"/>
      <w:bookmarkStart w:id="10" w:name="_Toc486428082"/>
      <w:bookmarkStart w:id="11" w:name="_Toc486238412"/>
      <w:bookmarkStart w:id="12" w:name="_Toc486238256"/>
      <w:r>
        <w:rPr>
          <w:rStyle w:val="132"/>
          <w:highlight w:val="none"/>
        </w:rPr>
        <w:t>合同协议书</w:t>
      </w:r>
      <w:bookmarkEnd w:id="1"/>
      <w:bookmarkEnd w:id="2"/>
      <w:bookmarkEnd w:id="3"/>
      <w:bookmarkEnd w:id="4"/>
      <w:bookmarkEnd w:id="5"/>
      <w:bookmarkEnd w:id="6"/>
      <w:bookmarkEnd w:id="7"/>
      <w:bookmarkEnd w:id="8"/>
      <w:bookmarkEnd w:id="9"/>
      <w:bookmarkEnd w:id="10"/>
      <w:bookmarkEnd w:id="11"/>
      <w:bookmarkEnd w:id="12"/>
    </w:p>
    <w:p>
      <w:pPr>
        <w:wordWrap w:val="0"/>
        <w:spacing w:line="240" w:lineRule="atLeast"/>
        <w:ind w:right="69" w:rightChars="33" w:firstLine="482" w:firstLineChars="200"/>
        <w:rPr>
          <w:rFonts w:ascii="宋体" w:hAnsi="宋体"/>
          <w:b/>
          <w:bCs/>
          <w:sz w:val="24"/>
          <w:szCs w:val="24"/>
          <w:highlight w:val="none"/>
        </w:rPr>
      </w:pPr>
    </w:p>
    <w:p>
      <w:pPr>
        <w:wordWrap w:val="0"/>
        <w:spacing w:line="360" w:lineRule="auto"/>
        <w:ind w:right="69" w:rightChars="33" w:firstLine="0" w:firstLineChars="0"/>
        <w:rPr>
          <w:rFonts w:hint="eastAsia" w:ascii="宋体" w:hAnsi="宋体" w:eastAsia="宋体"/>
          <w:b/>
          <w:bCs/>
          <w:sz w:val="24"/>
          <w:szCs w:val="24"/>
          <w:highlight w:val="none"/>
          <w:lang w:eastAsia="zh-CN"/>
        </w:rPr>
      </w:pPr>
      <w:r>
        <w:rPr>
          <w:rFonts w:hint="eastAsia" w:ascii="宋体" w:hAnsi="宋体"/>
          <w:b/>
          <w:bCs/>
          <w:sz w:val="24"/>
          <w:szCs w:val="24"/>
          <w:highlight w:val="none"/>
        </w:rPr>
        <w:t xml:space="preserve">发包人（全称）： </w:t>
      </w:r>
      <w:r>
        <w:rPr>
          <w:rFonts w:hint="eastAsia" w:ascii="宋体" w:hAnsi="宋体" w:cs="宋体"/>
          <w:sz w:val="24"/>
          <w:szCs w:val="24"/>
          <w:highlight w:val="none"/>
          <w:u w:val="single"/>
          <w:lang w:eastAsia="zh-CN"/>
        </w:rPr>
        <w:t>广州市越秀公园</w:t>
      </w:r>
    </w:p>
    <w:p>
      <w:pPr>
        <w:wordWrap w:val="0"/>
        <w:spacing w:line="240" w:lineRule="atLeast"/>
        <w:ind w:firstLine="480" w:firstLineChars="200"/>
        <w:rPr>
          <w:rFonts w:ascii="宋体" w:hAnsi="宋体"/>
          <w:sz w:val="24"/>
          <w:szCs w:val="24"/>
          <w:highlight w:val="none"/>
        </w:rPr>
      </w:pPr>
    </w:p>
    <w:p>
      <w:pPr>
        <w:wordWrap w:val="0"/>
        <w:spacing w:line="360" w:lineRule="auto"/>
        <w:ind w:right="69" w:rightChars="33" w:firstLine="0" w:firstLineChars="0"/>
        <w:rPr>
          <w:rFonts w:ascii="宋体" w:hAnsi="宋体"/>
          <w:b/>
          <w:bCs/>
          <w:sz w:val="24"/>
          <w:szCs w:val="24"/>
          <w:highlight w:val="none"/>
        </w:rPr>
      </w:pPr>
      <w:r>
        <w:rPr>
          <w:rFonts w:hint="eastAsia" w:ascii="宋体" w:hAnsi="宋体"/>
          <w:b/>
          <w:bCs/>
          <w:sz w:val="24"/>
          <w:szCs w:val="24"/>
          <w:highlight w:val="none"/>
        </w:rPr>
        <w:t xml:space="preserve">承包人（全称）： </w:t>
      </w:r>
      <w:r>
        <w:rPr>
          <w:rFonts w:hint="eastAsia" w:ascii="宋体" w:hAnsi="宋体"/>
          <w:b/>
          <w:bCs/>
          <w:sz w:val="24"/>
          <w:szCs w:val="24"/>
          <w:highlight w:val="none"/>
          <w:u w:val="single"/>
        </w:rPr>
        <w:t xml:space="preserve">               </w:t>
      </w:r>
    </w:p>
    <w:p>
      <w:pPr>
        <w:wordWrap w:val="0"/>
        <w:spacing w:line="240" w:lineRule="atLeast"/>
        <w:ind w:firstLine="480" w:firstLineChars="200"/>
        <w:rPr>
          <w:rFonts w:ascii="宋体" w:hAnsi="宋体"/>
          <w:sz w:val="24"/>
          <w:szCs w:val="24"/>
          <w:highlight w:val="none"/>
        </w:rPr>
      </w:pPr>
    </w:p>
    <w:p>
      <w:pPr>
        <w:wordWrap w:val="0"/>
        <w:spacing w:line="360" w:lineRule="auto"/>
        <w:ind w:right="69" w:rightChars="33" w:firstLine="480" w:firstLineChars="200"/>
        <w:rPr>
          <w:rFonts w:ascii="宋体" w:hAnsi="宋体"/>
          <w:sz w:val="24"/>
          <w:szCs w:val="24"/>
          <w:highlight w:val="none"/>
        </w:rPr>
      </w:pPr>
      <w:r>
        <w:rPr>
          <w:rFonts w:hint="eastAsia" w:ascii="宋体" w:hAnsi="宋体"/>
          <w:sz w:val="24"/>
          <w:szCs w:val="24"/>
          <w:highlight w:val="none"/>
        </w:rPr>
        <w:t>依照《中华人民共和国民法典》《中华人民共和国建筑法》《中华人民共和国招标投标法》及相关法律、行政法规，遵循平等、自愿、公平和诚信原则，合同双方就本项目施工总承包建设事宜经协商一致，订立本合同。</w:t>
      </w:r>
    </w:p>
    <w:p>
      <w:pPr>
        <w:widowControl/>
        <w:numPr>
          <w:ilvl w:val="0"/>
          <w:numId w:val="4"/>
        </w:numPr>
        <w:wordWrap w:val="0"/>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工程概况</w:t>
      </w:r>
    </w:p>
    <w:p>
      <w:pPr>
        <w:wordWrap w:val="0"/>
        <w:spacing w:line="360" w:lineRule="auto"/>
        <w:ind w:firstLine="480" w:firstLineChars="200"/>
        <w:rPr>
          <w:rFonts w:ascii="宋体" w:hAnsi="宋体"/>
          <w:sz w:val="24"/>
          <w:szCs w:val="24"/>
          <w:highlight w:val="none"/>
          <w:u w:val="single"/>
        </w:rPr>
      </w:pPr>
      <w:r>
        <w:rPr>
          <w:rFonts w:hint="eastAsia" w:ascii="宋体" w:hAnsi="宋体"/>
          <w:sz w:val="24"/>
          <w:szCs w:val="24"/>
          <w:highlight w:val="none"/>
        </w:rPr>
        <w:t>（1）工程名称：</w:t>
      </w:r>
      <w:r>
        <w:rPr>
          <w:rFonts w:hint="eastAsia" w:ascii="宋体" w:hAnsi="宋体"/>
          <w:sz w:val="24"/>
          <w:szCs w:val="24"/>
          <w:highlight w:val="none"/>
          <w:u w:val="single"/>
          <w:lang w:eastAsia="zh-CN"/>
        </w:rPr>
        <w:t>越秀公园雨污分流项目</w:t>
      </w:r>
      <w:r>
        <w:rPr>
          <w:rFonts w:hint="eastAsia" w:ascii="宋体" w:hAnsi="宋体"/>
          <w:sz w:val="24"/>
          <w:szCs w:val="24"/>
          <w:highlight w:val="none"/>
          <w:u w:val="single"/>
        </w:rPr>
        <w:t>。</w:t>
      </w:r>
    </w:p>
    <w:p>
      <w:pPr>
        <w:wordWrap w:val="0"/>
        <w:spacing w:line="360" w:lineRule="auto"/>
        <w:ind w:right="69" w:rightChars="33" w:firstLine="480" w:firstLineChars="200"/>
        <w:rPr>
          <w:rFonts w:ascii="宋体" w:hAnsi="宋体"/>
          <w:sz w:val="24"/>
          <w:szCs w:val="24"/>
          <w:highlight w:val="none"/>
          <w:u w:val="single"/>
        </w:rPr>
      </w:pPr>
      <w:r>
        <w:rPr>
          <w:rFonts w:hint="eastAsia" w:ascii="宋体" w:hAnsi="宋体"/>
          <w:sz w:val="24"/>
          <w:szCs w:val="24"/>
          <w:highlight w:val="none"/>
        </w:rPr>
        <w:t>（2）工程地点：</w:t>
      </w:r>
      <w:r>
        <w:rPr>
          <w:rFonts w:hint="eastAsia" w:ascii="宋体" w:hAnsi="宋体" w:cs="宋体"/>
          <w:sz w:val="24"/>
          <w:szCs w:val="24"/>
          <w:highlight w:val="none"/>
          <w:u w:val="single"/>
          <w:lang w:eastAsia="zh-CN"/>
        </w:rPr>
        <w:t>广州市越秀公园</w:t>
      </w:r>
      <w:r>
        <w:rPr>
          <w:rFonts w:hint="eastAsia" w:ascii="宋体" w:hAnsi="宋体"/>
          <w:sz w:val="24"/>
          <w:szCs w:val="24"/>
          <w:highlight w:val="none"/>
          <w:u w:val="single"/>
        </w:rPr>
        <w:t>。</w:t>
      </w:r>
    </w:p>
    <w:p>
      <w:pPr>
        <w:wordWrap w:val="0"/>
        <w:spacing w:line="360" w:lineRule="auto"/>
        <w:ind w:right="69" w:rightChars="33" w:firstLine="480" w:firstLineChars="200"/>
        <w:rPr>
          <w:rFonts w:ascii="宋体" w:hAnsi="宋体"/>
          <w:sz w:val="24"/>
          <w:szCs w:val="24"/>
          <w:highlight w:val="none"/>
          <w:u w:val="single"/>
        </w:rPr>
      </w:pPr>
      <w:r>
        <w:rPr>
          <w:rFonts w:hint="eastAsia" w:ascii="宋体" w:hAnsi="宋体"/>
          <w:sz w:val="24"/>
          <w:szCs w:val="24"/>
          <w:highlight w:val="none"/>
        </w:rPr>
        <w:t>（3）工程规模：</w:t>
      </w:r>
      <w:r>
        <w:rPr>
          <w:rFonts w:hint="eastAsia" w:ascii="宋体" w:hAnsi="宋体" w:cs="宋体"/>
          <w:sz w:val="24"/>
          <w:szCs w:val="24"/>
          <w:highlight w:val="none"/>
          <w:u w:val="single"/>
        </w:rPr>
        <w:t>越秀公园雨污分流项目主要内容是对越秀公园进行雨污分流改造,其中新建DN300污水管约4611米、污水检查井约156座；新建DN300-DN1000雨水管444米、雨水盖板沟958米、雨水检查井约22座；重建现状缺陷DN300-DN500污水管182米、现状缺陷雨水盖板沟13米、污水检查井18座。（具体工作内容详见施工设计图纸和工程量清单）</w:t>
      </w:r>
      <w:r>
        <w:rPr>
          <w:rFonts w:hint="eastAsia" w:ascii="宋体" w:hAnsi="宋体"/>
          <w:sz w:val="24"/>
          <w:szCs w:val="24"/>
          <w:highlight w:val="none"/>
          <w:u w:val="single"/>
        </w:rPr>
        <w:t>。</w:t>
      </w:r>
    </w:p>
    <w:p>
      <w:pPr>
        <w:wordWrap w:val="0"/>
        <w:spacing w:line="360" w:lineRule="auto"/>
        <w:ind w:right="69" w:rightChars="33" w:firstLine="480" w:firstLineChars="200"/>
        <w:rPr>
          <w:rFonts w:ascii="宋体" w:hAnsi="宋体"/>
          <w:sz w:val="24"/>
          <w:szCs w:val="24"/>
          <w:highlight w:val="none"/>
          <w:u w:val="single"/>
        </w:rPr>
      </w:pPr>
      <w:r>
        <w:rPr>
          <w:rFonts w:hint="eastAsia" w:ascii="宋体" w:hAnsi="宋体"/>
          <w:sz w:val="24"/>
          <w:szCs w:val="24"/>
          <w:highlight w:val="none"/>
        </w:rPr>
        <w:t>（4）资金来源：</w:t>
      </w:r>
      <w:r>
        <w:rPr>
          <w:rFonts w:hint="eastAsia" w:ascii="宋体" w:hAnsi="宋体"/>
          <w:sz w:val="24"/>
          <w:szCs w:val="24"/>
          <w:highlight w:val="none"/>
          <w:lang w:val="en-US" w:eastAsia="zh-CN"/>
        </w:rPr>
        <w:t>市</w:t>
      </w:r>
      <w:r>
        <w:rPr>
          <w:rFonts w:hint="eastAsia" w:ascii="宋体" w:hAnsi="宋体"/>
          <w:sz w:val="24"/>
          <w:szCs w:val="24"/>
          <w:highlight w:val="none"/>
          <w:u w:val="single"/>
        </w:rPr>
        <w:t>财政资金。</w:t>
      </w:r>
    </w:p>
    <w:p>
      <w:pPr>
        <w:wordWrap w:val="0"/>
        <w:spacing w:line="360" w:lineRule="auto"/>
        <w:ind w:right="69" w:rightChars="33" w:firstLine="480" w:firstLineChars="200"/>
        <w:rPr>
          <w:rFonts w:ascii="宋体" w:hAnsi="宋体"/>
          <w:sz w:val="24"/>
          <w:szCs w:val="24"/>
          <w:highlight w:val="none"/>
          <w:u w:val="single"/>
        </w:rPr>
      </w:pPr>
      <w:r>
        <w:rPr>
          <w:rFonts w:hint="eastAsia" w:ascii="宋体" w:hAnsi="宋体"/>
          <w:sz w:val="24"/>
          <w:szCs w:val="24"/>
          <w:highlight w:val="none"/>
        </w:rPr>
        <w:t>（5）工程承包方式及范围：</w:t>
      </w:r>
      <w:r>
        <w:rPr>
          <w:rFonts w:hint="eastAsia" w:ascii="宋体" w:hAnsi="宋体"/>
          <w:sz w:val="24"/>
          <w:szCs w:val="24"/>
          <w:highlight w:val="none"/>
          <w:u w:val="single"/>
        </w:rPr>
        <w:t>由中标人按照本合同约定范围和图纸内容实行工程施工总承包，包括但不限于包工、包料、包质量、包安全生产、包文明施工、包工期、包承包范围内工程验收通过、包因验收不能通过所需要发生的整改费用，包移交、包结算、包施工总承包管理和现场整体组织、包专业协调及配合等。本项目结算方式约定为固定综合单价包干，工程量按竣工图及实际完成工作量计算，工程结算价最终以结算终审部门审定为准。</w:t>
      </w:r>
    </w:p>
    <w:p>
      <w:pPr>
        <w:widowControl/>
        <w:wordWrap w:val="0"/>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2.</w:t>
      </w:r>
      <w:bookmarkStart w:id="13" w:name="_Toc168476288"/>
      <w:bookmarkStart w:id="14" w:name="_Toc144974828"/>
      <w:bookmarkStart w:id="15" w:name="_Toc168475885"/>
      <w:r>
        <w:rPr>
          <w:rFonts w:hint="eastAsia" w:ascii="宋体" w:hAnsi="宋体"/>
          <w:sz w:val="24"/>
          <w:szCs w:val="24"/>
          <w:highlight w:val="none"/>
          <w:lang w:val="en-US" w:eastAsia="zh-CN"/>
        </w:rPr>
        <w:t xml:space="preserve"> </w:t>
      </w:r>
      <w:r>
        <w:rPr>
          <w:rFonts w:hint="eastAsia" w:ascii="宋体" w:hAnsi="宋体"/>
          <w:sz w:val="24"/>
          <w:szCs w:val="24"/>
          <w:highlight w:val="none"/>
        </w:rPr>
        <w:t>本协议书与下列文件一起构成合同文件：</w:t>
      </w:r>
      <w:bookmarkEnd w:id="13"/>
      <w:bookmarkEnd w:id="14"/>
      <w:bookmarkEnd w:id="15"/>
    </w:p>
    <w:p>
      <w:pPr>
        <w:wordWrap w:val="0"/>
        <w:spacing w:line="360" w:lineRule="auto"/>
        <w:ind w:right="69" w:rightChars="33" w:firstLine="480" w:firstLineChars="200"/>
        <w:rPr>
          <w:rFonts w:ascii="宋体" w:hAnsi="宋体"/>
          <w:sz w:val="24"/>
          <w:szCs w:val="24"/>
          <w:highlight w:val="none"/>
        </w:rPr>
      </w:pPr>
      <w:r>
        <w:rPr>
          <w:rFonts w:hint="eastAsia" w:ascii="宋体" w:hAnsi="宋体"/>
          <w:sz w:val="24"/>
          <w:szCs w:val="24"/>
          <w:highlight w:val="none"/>
        </w:rPr>
        <w:t>（1）中标通知书；</w:t>
      </w:r>
    </w:p>
    <w:p>
      <w:pPr>
        <w:wordWrap w:val="0"/>
        <w:spacing w:line="360" w:lineRule="auto"/>
        <w:ind w:right="69" w:rightChars="33" w:firstLine="480" w:firstLineChars="200"/>
        <w:rPr>
          <w:rFonts w:ascii="宋体" w:hAnsi="宋体"/>
          <w:sz w:val="24"/>
          <w:szCs w:val="24"/>
          <w:highlight w:val="none"/>
        </w:rPr>
      </w:pPr>
      <w:r>
        <w:rPr>
          <w:rFonts w:hint="eastAsia" w:ascii="宋体" w:hAnsi="宋体"/>
          <w:sz w:val="24"/>
          <w:szCs w:val="24"/>
          <w:highlight w:val="none"/>
        </w:rPr>
        <w:t>（2）投标函及投标函附录；</w:t>
      </w:r>
    </w:p>
    <w:p>
      <w:pPr>
        <w:wordWrap w:val="0"/>
        <w:spacing w:line="360" w:lineRule="auto"/>
        <w:ind w:firstLine="480" w:firstLineChars="200"/>
        <w:rPr>
          <w:rFonts w:ascii="宋体" w:hAnsi="宋体"/>
          <w:sz w:val="24"/>
          <w:szCs w:val="24"/>
          <w:highlight w:val="none"/>
        </w:rPr>
      </w:pPr>
      <w:r>
        <w:rPr>
          <w:rFonts w:hint="eastAsia" w:ascii="宋体" w:hAnsi="宋体"/>
          <w:sz w:val="24"/>
          <w:szCs w:val="24"/>
          <w:highlight w:val="none"/>
        </w:rPr>
        <w:t>（3）专用合同条款；</w:t>
      </w:r>
    </w:p>
    <w:p>
      <w:pPr>
        <w:wordWrap w:val="0"/>
        <w:spacing w:line="360" w:lineRule="auto"/>
        <w:ind w:firstLine="480" w:firstLineChars="200"/>
        <w:rPr>
          <w:rFonts w:ascii="宋体" w:hAnsi="宋体"/>
          <w:sz w:val="24"/>
          <w:szCs w:val="24"/>
          <w:highlight w:val="none"/>
        </w:rPr>
      </w:pPr>
      <w:r>
        <w:rPr>
          <w:rFonts w:hint="eastAsia" w:ascii="宋体" w:hAnsi="宋体"/>
          <w:sz w:val="24"/>
          <w:szCs w:val="24"/>
          <w:highlight w:val="none"/>
        </w:rPr>
        <w:t>（4）通用合同条款；</w:t>
      </w:r>
    </w:p>
    <w:p>
      <w:pPr>
        <w:wordWrap w:val="0"/>
        <w:spacing w:line="360" w:lineRule="auto"/>
        <w:ind w:firstLine="480" w:firstLineChars="200"/>
        <w:rPr>
          <w:rFonts w:ascii="宋体" w:hAnsi="宋体"/>
          <w:sz w:val="24"/>
          <w:szCs w:val="24"/>
          <w:highlight w:val="none"/>
        </w:rPr>
      </w:pPr>
      <w:r>
        <w:rPr>
          <w:rFonts w:hint="eastAsia" w:ascii="宋体" w:hAnsi="宋体"/>
          <w:sz w:val="24"/>
          <w:szCs w:val="24"/>
          <w:highlight w:val="none"/>
        </w:rPr>
        <w:t>（5）技术标准和要求（合同技术条款）；</w:t>
      </w:r>
    </w:p>
    <w:p>
      <w:pPr>
        <w:wordWrap w:val="0"/>
        <w:spacing w:line="360" w:lineRule="auto"/>
        <w:ind w:firstLine="480" w:firstLineChars="200"/>
        <w:rPr>
          <w:rFonts w:ascii="宋体" w:hAnsi="宋体"/>
          <w:sz w:val="24"/>
          <w:szCs w:val="24"/>
          <w:highlight w:val="none"/>
        </w:rPr>
      </w:pPr>
      <w:r>
        <w:rPr>
          <w:rFonts w:hint="eastAsia" w:ascii="宋体" w:hAnsi="宋体"/>
          <w:sz w:val="24"/>
          <w:szCs w:val="24"/>
          <w:highlight w:val="none"/>
        </w:rPr>
        <w:t>（6）图纸；</w:t>
      </w:r>
    </w:p>
    <w:p>
      <w:pPr>
        <w:wordWrap w:val="0"/>
        <w:spacing w:line="360" w:lineRule="auto"/>
        <w:ind w:firstLine="480" w:firstLineChars="200"/>
        <w:rPr>
          <w:rFonts w:ascii="宋体" w:hAnsi="宋体"/>
          <w:sz w:val="24"/>
          <w:szCs w:val="24"/>
          <w:highlight w:val="none"/>
        </w:rPr>
      </w:pPr>
      <w:r>
        <w:rPr>
          <w:rFonts w:hint="eastAsia" w:ascii="宋体" w:hAnsi="宋体"/>
          <w:sz w:val="24"/>
          <w:szCs w:val="24"/>
          <w:highlight w:val="none"/>
        </w:rPr>
        <w:t>（7）已标价工程量清单；</w:t>
      </w:r>
    </w:p>
    <w:p>
      <w:pPr>
        <w:wordWrap w:val="0"/>
        <w:spacing w:line="360" w:lineRule="auto"/>
        <w:ind w:firstLine="480" w:firstLineChars="200"/>
        <w:rPr>
          <w:rFonts w:ascii="宋体" w:hAnsi="宋体"/>
          <w:sz w:val="24"/>
          <w:szCs w:val="24"/>
          <w:highlight w:val="none"/>
        </w:rPr>
      </w:pPr>
      <w:r>
        <w:rPr>
          <w:rFonts w:hint="eastAsia" w:ascii="宋体" w:hAnsi="宋体"/>
          <w:sz w:val="24"/>
          <w:szCs w:val="24"/>
          <w:highlight w:val="none"/>
        </w:rPr>
        <w:t>（8）其他合同文件。</w:t>
      </w:r>
    </w:p>
    <w:p>
      <w:pPr>
        <w:wordWrap w:val="0"/>
        <w:spacing w:line="360" w:lineRule="auto"/>
        <w:ind w:firstLine="480" w:firstLineChars="200"/>
        <w:rPr>
          <w:rFonts w:ascii="宋体" w:hAnsi="宋体"/>
          <w:sz w:val="24"/>
          <w:szCs w:val="24"/>
          <w:highlight w:val="none"/>
        </w:rPr>
      </w:pPr>
      <w:bookmarkStart w:id="16" w:name="_Toc144974829"/>
      <w:bookmarkStart w:id="17" w:name="_Toc168475886"/>
      <w:bookmarkStart w:id="18" w:name="_Toc168476289"/>
      <w:r>
        <w:rPr>
          <w:rFonts w:hint="eastAsia" w:ascii="宋体" w:hAnsi="宋体"/>
          <w:sz w:val="24"/>
          <w:szCs w:val="24"/>
          <w:highlight w:val="none"/>
        </w:rPr>
        <w:t>3.</w:t>
      </w:r>
      <w:r>
        <w:rPr>
          <w:rFonts w:hint="eastAsia" w:ascii="宋体" w:hAnsi="宋体"/>
          <w:sz w:val="24"/>
          <w:szCs w:val="24"/>
          <w:highlight w:val="none"/>
          <w:lang w:val="en-US" w:eastAsia="zh-CN"/>
        </w:rPr>
        <w:t xml:space="preserve"> </w:t>
      </w:r>
      <w:r>
        <w:rPr>
          <w:rFonts w:hint="eastAsia" w:ascii="宋体" w:hAnsi="宋体"/>
          <w:sz w:val="24"/>
          <w:szCs w:val="24"/>
          <w:highlight w:val="none"/>
        </w:rPr>
        <w:t>上述文件互相补充和解释，如有不明确或不一致之处，以合同约定次序在先者为准。</w:t>
      </w:r>
      <w:bookmarkEnd w:id="16"/>
      <w:bookmarkEnd w:id="17"/>
      <w:bookmarkEnd w:id="18"/>
    </w:p>
    <w:p>
      <w:pPr>
        <w:wordWrap w:val="0"/>
        <w:spacing w:line="360" w:lineRule="auto"/>
        <w:ind w:firstLine="480" w:firstLineChars="200"/>
        <w:rPr>
          <w:rFonts w:ascii="宋体" w:hAnsi="宋体"/>
          <w:sz w:val="24"/>
          <w:szCs w:val="24"/>
          <w:highlight w:val="none"/>
        </w:rPr>
      </w:pPr>
      <w:r>
        <w:rPr>
          <w:rFonts w:hint="eastAsia" w:ascii="宋体" w:hAnsi="宋体"/>
          <w:sz w:val="24"/>
          <w:szCs w:val="24"/>
          <w:highlight w:val="none"/>
        </w:rPr>
        <w:t>4.</w:t>
      </w:r>
      <w:r>
        <w:rPr>
          <w:rFonts w:hint="eastAsia" w:ascii="宋体" w:hAnsi="宋体"/>
          <w:sz w:val="24"/>
          <w:szCs w:val="24"/>
          <w:highlight w:val="none"/>
          <w:lang w:val="en-US" w:eastAsia="zh-CN"/>
        </w:rPr>
        <w:t xml:space="preserve"> </w:t>
      </w:r>
      <w:r>
        <w:rPr>
          <w:rFonts w:hint="eastAsia" w:ascii="宋体" w:hAnsi="宋体"/>
          <w:sz w:val="24"/>
          <w:szCs w:val="24"/>
          <w:highlight w:val="none"/>
        </w:rPr>
        <w:t>签约合同价：人民币（大写）</w:t>
      </w:r>
      <w:r>
        <w:rPr>
          <w:rFonts w:hint="eastAsia"/>
          <w:b/>
          <w:sz w:val="24"/>
          <w:szCs w:val="24"/>
          <w:highlight w:val="none"/>
          <w:u w:val="single"/>
        </w:rPr>
        <w:t xml:space="preserve">                 </w:t>
      </w:r>
      <w:r>
        <w:rPr>
          <w:rFonts w:hint="eastAsia"/>
          <w:bCs/>
          <w:sz w:val="24"/>
          <w:szCs w:val="24"/>
          <w:highlight w:val="none"/>
          <w:u w:val="single"/>
        </w:rPr>
        <w:t xml:space="preserve"> </w:t>
      </w:r>
      <w:r>
        <w:rPr>
          <w:rFonts w:hint="eastAsia" w:ascii="宋体" w:hAnsi="宋体"/>
          <w:sz w:val="24"/>
          <w:szCs w:val="24"/>
          <w:highlight w:val="none"/>
        </w:rPr>
        <w:t>（¥</w:t>
      </w:r>
      <w:r>
        <w:rPr>
          <w:rFonts w:hint="eastAsia"/>
          <w:bCs/>
          <w:sz w:val="24"/>
          <w:szCs w:val="24"/>
          <w:highlight w:val="none"/>
          <w:u w:val="single"/>
        </w:rPr>
        <w:t xml:space="preserve">       </w:t>
      </w:r>
      <w:r>
        <w:rPr>
          <w:rFonts w:hint="eastAsia"/>
          <w:bCs/>
          <w:sz w:val="24"/>
          <w:szCs w:val="24"/>
          <w:highlight w:val="none"/>
        </w:rPr>
        <w:t>万</w:t>
      </w:r>
      <w:r>
        <w:rPr>
          <w:rFonts w:hint="eastAsia" w:ascii="宋体" w:hAnsi="宋体"/>
          <w:sz w:val="24"/>
          <w:szCs w:val="24"/>
          <w:highlight w:val="none"/>
        </w:rPr>
        <w:t>元）。</w:t>
      </w:r>
    </w:p>
    <w:p>
      <w:pPr>
        <w:wordWrap w:val="0"/>
        <w:spacing w:line="360" w:lineRule="auto"/>
        <w:ind w:firstLine="480" w:firstLineChars="200"/>
        <w:rPr>
          <w:rFonts w:ascii="宋体" w:hAnsi="宋体"/>
          <w:sz w:val="24"/>
          <w:szCs w:val="24"/>
          <w:highlight w:val="none"/>
          <w:u w:val="single"/>
        </w:rPr>
      </w:pPr>
      <w:r>
        <w:rPr>
          <w:rFonts w:hint="eastAsia" w:ascii="宋体" w:hAnsi="宋体"/>
          <w:sz w:val="24"/>
          <w:szCs w:val="24"/>
          <w:highlight w:val="none"/>
        </w:rPr>
        <w:t>5.</w:t>
      </w:r>
      <w:r>
        <w:rPr>
          <w:rFonts w:hint="eastAsia" w:ascii="宋体" w:hAnsi="宋体"/>
          <w:sz w:val="24"/>
          <w:szCs w:val="24"/>
          <w:highlight w:val="none"/>
          <w:lang w:val="en-US" w:eastAsia="zh-CN"/>
        </w:rPr>
        <w:t xml:space="preserve"> </w:t>
      </w:r>
      <w:r>
        <w:rPr>
          <w:rFonts w:hint="eastAsia" w:ascii="宋体" w:hAnsi="宋体"/>
          <w:sz w:val="24"/>
          <w:szCs w:val="24"/>
          <w:highlight w:val="none"/>
        </w:rPr>
        <w:t>承包人项目经理：</w:t>
      </w:r>
      <w:r>
        <w:rPr>
          <w:rFonts w:hint="eastAsia" w:ascii="宋体" w:hAnsi="宋体"/>
          <w:sz w:val="24"/>
          <w:szCs w:val="24"/>
          <w:highlight w:val="none"/>
          <w:u w:val="single"/>
        </w:rPr>
        <w:t xml:space="preserve">   </w:t>
      </w:r>
      <w:r>
        <w:rPr>
          <w:rFonts w:hint="eastAsia"/>
          <w:b/>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w:t>
      </w:r>
    </w:p>
    <w:p>
      <w:pPr>
        <w:wordWrap w:val="0"/>
        <w:spacing w:line="480" w:lineRule="exact"/>
        <w:ind w:firstLine="480" w:firstLineChars="200"/>
        <w:rPr>
          <w:rFonts w:ascii="宋体" w:hAnsi="宋体"/>
          <w:sz w:val="24"/>
          <w:szCs w:val="24"/>
          <w:highlight w:val="none"/>
        </w:rPr>
      </w:pPr>
      <w:r>
        <w:rPr>
          <w:rFonts w:hint="eastAsia" w:ascii="宋体" w:hAnsi="宋体"/>
          <w:sz w:val="24"/>
          <w:szCs w:val="24"/>
          <w:highlight w:val="none"/>
        </w:rPr>
        <w:t>6. 工程质量符合</w:t>
      </w:r>
      <w:r>
        <w:rPr>
          <w:rFonts w:hint="eastAsia" w:ascii="宋体" w:hAnsi="宋体" w:cs="宋体"/>
          <w:sz w:val="24"/>
          <w:szCs w:val="24"/>
          <w:highlight w:val="none"/>
          <w:u w:val="single"/>
        </w:rPr>
        <w:t>国家、省或行业现行的工程建设质量验收标准及规范，须达到合格</w:t>
      </w:r>
      <w:r>
        <w:rPr>
          <w:rFonts w:hint="eastAsia" w:ascii="宋体" w:hAnsi="宋体"/>
          <w:sz w:val="24"/>
          <w:szCs w:val="24"/>
          <w:highlight w:val="none"/>
        </w:rPr>
        <w:t>标准。</w:t>
      </w:r>
    </w:p>
    <w:p>
      <w:pPr>
        <w:wordWrap w:val="0"/>
        <w:spacing w:line="360" w:lineRule="auto"/>
        <w:ind w:firstLine="480" w:firstLineChars="200"/>
        <w:rPr>
          <w:rFonts w:ascii="宋体" w:hAnsi="宋体"/>
          <w:sz w:val="24"/>
          <w:szCs w:val="24"/>
          <w:highlight w:val="none"/>
        </w:rPr>
      </w:pPr>
      <w:r>
        <w:rPr>
          <w:rFonts w:hint="eastAsia" w:ascii="宋体" w:hAnsi="宋体"/>
          <w:sz w:val="24"/>
          <w:szCs w:val="24"/>
          <w:highlight w:val="none"/>
        </w:rPr>
        <w:t>7.</w:t>
      </w:r>
      <w:r>
        <w:rPr>
          <w:rFonts w:hint="eastAsia" w:ascii="宋体" w:hAnsi="宋体"/>
          <w:sz w:val="24"/>
          <w:szCs w:val="24"/>
          <w:highlight w:val="none"/>
          <w:lang w:val="en-US" w:eastAsia="zh-CN"/>
        </w:rPr>
        <w:t xml:space="preserve"> </w:t>
      </w:r>
      <w:r>
        <w:rPr>
          <w:rFonts w:hint="eastAsia" w:ascii="宋体" w:hAnsi="宋体"/>
          <w:sz w:val="24"/>
          <w:szCs w:val="24"/>
          <w:highlight w:val="none"/>
        </w:rPr>
        <w:t>承包人承诺按合同约定承担工程的实施、完成及缺陷修复。</w:t>
      </w:r>
    </w:p>
    <w:p>
      <w:pPr>
        <w:wordWrap w:val="0"/>
        <w:spacing w:line="360" w:lineRule="auto"/>
        <w:ind w:firstLine="480" w:firstLineChars="200"/>
        <w:rPr>
          <w:rFonts w:ascii="宋体" w:hAnsi="宋体"/>
          <w:sz w:val="24"/>
          <w:szCs w:val="24"/>
          <w:highlight w:val="none"/>
        </w:rPr>
      </w:pPr>
      <w:r>
        <w:rPr>
          <w:rFonts w:hint="eastAsia" w:ascii="宋体" w:hAnsi="宋体"/>
          <w:sz w:val="24"/>
          <w:szCs w:val="24"/>
          <w:highlight w:val="none"/>
        </w:rPr>
        <w:t>8.</w:t>
      </w:r>
      <w:r>
        <w:rPr>
          <w:rFonts w:hint="eastAsia" w:ascii="宋体" w:hAnsi="宋体"/>
          <w:sz w:val="24"/>
          <w:szCs w:val="24"/>
          <w:highlight w:val="none"/>
          <w:lang w:val="en-US" w:eastAsia="zh-CN"/>
        </w:rPr>
        <w:t xml:space="preserve"> </w:t>
      </w:r>
      <w:r>
        <w:rPr>
          <w:rFonts w:hint="eastAsia" w:ascii="宋体" w:hAnsi="宋体"/>
          <w:sz w:val="24"/>
          <w:szCs w:val="24"/>
          <w:highlight w:val="none"/>
        </w:rPr>
        <w:t>发包人承诺按合同约定的条件、时间和方式向承包人支付合同价款。</w:t>
      </w:r>
    </w:p>
    <w:p>
      <w:pPr>
        <w:wordWrap w:val="0"/>
        <w:spacing w:line="360" w:lineRule="auto"/>
        <w:ind w:firstLine="480" w:firstLineChars="200"/>
        <w:rPr>
          <w:rFonts w:ascii="宋体" w:hAnsi="宋体"/>
          <w:sz w:val="24"/>
          <w:szCs w:val="24"/>
          <w:highlight w:val="none"/>
        </w:rPr>
      </w:pPr>
      <w:r>
        <w:rPr>
          <w:rFonts w:hint="eastAsia" w:ascii="宋体" w:hAnsi="宋体"/>
          <w:sz w:val="24"/>
          <w:szCs w:val="24"/>
          <w:highlight w:val="none"/>
        </w:rPr>
        <w:t>9.</w:t>
      </w:r>
      <w:r>
        <w:rPr>
          <w:rFonts w:hint="eastAsia" w:ascii="宋体" w:hAnsi="宋体"/>
          <w:sz w:val="24"/>
          <w:szCs w:val="24"/>
          <w:highlight w:val="none"/>
          <w:lang w:val="en-US" w:eastAsia="zh-CN"/>
        </w:rPr>
        <w:t xml:space="preserve"> </w:t>
      </w:r>
      <w:r>
        <w:rPr>
          <w:rFonts w:hint="eastAsia" w:ascii="宋体" w:hAnsi="宋体"/>
          <w:sz w:val="24"/>
          <w:szCs w:val="24"/>
          <w:highlight w:val="none"/>
        </w:rPr>
        <w:t>承包人承诺执行监理人开工通知，计划工期为</w:t>
      </w:r>
      <w:r>
        <w:rPr>
          <w:rFonts w:hint="eastAsia" w:ascii="宋体" w:hAnsi="宋体" w:cs="宋体"/>
          <w:sz w:val="24"/>
          <w:szCs w:val="24"/>
          <w:highlight w:val="none"/>
          <w:u w:val="single"/>
        </w:rPr>
        <w:t>10个月，计划2024年</w:t>
      </w:r>
      <w:r>
        <w:rPr>
          <w:rFonts w:hint="eastAsia" w:ascii="宋体" w:hAnsi="宋体" w:cs="宋体"/>
          <w:sz w:val="24"/>
          <w:szCs w:val="24"/>
          <w:highlight w:val="none"/>
          <w:u w:val="single"/>
          <w:lang w:val="en-US" w:eastAsia="zh-CN"/>
        </w:rPr>
        <w:t>6</w:t>
      </w:r>
      <w:r>
        <w:rPr>
          <w:rFonts w:hint="eastAsia" w:ascii="宋体" w:hAnsi="宋体" w:cs="宋体"/>
          <w:sz w:val="24"/>
          <w:szCs w:val="24"/>
          <w:highlight w:val="none"/>
          <w:u w:val="single"/>
        </w:rPr>
        <w:t>月上旬动工。</w:t>
      </w:r>
    </w:p>
    <w:p>
      <w:pPr>
        <w:wordWrap w:val="0"/>
        <w:spacing w:line="360" w:lineRule="auto"/>
        <w:ind w:firstLine="480" w:firstLineChars="200"/>
        <w:rPr>
          <w:rFonts w:ascii="宋体" w:hAnsi="宋体"/>
          <w:sz w:val="24"/>
          <w:szCs w:val="24"/>
          <w:highlight w:val="none"/>
        </w:rPr>
      </w:pPr>
      <w:r>
        <w:rPr>
          <w:rFonts w:hint="eastAsia" w:ascii="宋体" w:hAnsi="宋体"/>
          <w:sz w:val="24"/>
          <w:szCs w:val="24"/>
          <w:highlight w:val="none"/>
        </w:rPr>
        <w:t>10.</w:t>
      </w:r>
      <w:r>
        <w:rPr>
          <w:rFonts w:hint="eastAsia" w:ascii="宋体" w:hAnsi="宋体"/>
          <w:sz w:val="24"/>
          <w:szCs w:val="24"/>
          <w:highlight w:val="none"/>
          <w:lang w:val="en-US" w:eastAsia="zh-CN"/>
        </w:rPr>
        <w:t xml:space="preserve"> </w:t>
      </w:r>
      <w:r>
        <w:rPr>
          <w:rFonts w:hint="eastAsia" w:ascii="宋体" w:hAnsi="宋体"/>
          <w:sz w:val="24"/>
          <w:szCs w:val="24"/>
          <w:highlight w:val="none"/>
        </w:rPr>
        <w:t>本协议书一式</w:t>
      </w:r>
      <w:r>
        <w:rPr>
          <w:rFonts w:hint="eastAsia" w:ascii="宋体" w:hAnsi="宋体"/>
          <w:sz w:val="24"/>
          <w:szCs w:val="24"/>
          <w:highlight w:val="none"/>
          <w:u w:val="single"/>
        </w:rPr>
        <w:t>捌</w:t>
      </w:r>
      <w:r>
        <w:rPr>
          <w:rFonts w:hint="eastAsia" w:ascii="宋体" w:hAnsi="宋体"/>
          <w:sz w:val="24"/>
          <w:szCs w:val="24"/>
          <w:highlight w:val="none"/>
        </w:rPr>
        <w:t>份。其中正本</w:t>
      </w:r>
      <w:r>
        <w:rPr>
          <w:rFonts w:hint="eastAsia" w:ascii="宋体" w:hAnsi="宋体"/>
          <w:sz w:val="24"/>
          <w:szCs w:val="24"/>
          <w:highlight w:val="none"/>
          <w:u w:val="single"/>
        </w:rPr>
        <w:t>贰</w:t>
      </w:r>
      <w:r>
        <w:rPr>
          <w:rFonts w:hint="eastAsia" w:ascii="宋体" w:hAnsi="宋体"/>
          <w:sz w:val="24"/>
          <w:szCs w:val="24"/>
          <w:highlight w:val="none"/>
        </w:rPr>
        <w:t>份，双方各执</w:t>
      </w:r>
      <w:r>
        <w:rPr>
          <w:rFonts w:hint="eastAsia" w:ascii="宋体" w:hAnsi="宋体"/>
          <w:sz w:val="24"/>
          <w:szCs w:val="24"/>
          <w:highlight w:val="none"/>
          <w:u w:val="single"/>
        </w:rPr>
        <w:t>壹</w:t>
      </w:r>
      <w:r>
        <w:rPr>
          <w:rFonts w:hint="eastAsia" w:ascii="宋体" w:hAnsi="宋体"/>
          <w:sz w:val="24"/>
          <w:szCs w:val="24"/>
          <w:highlight w:val="none"/>
        </w:rPr>
        <w:t>份，副本</w:t>
      </w:r>
      <w:r>
        <w:rPr>
          <w:rFonts w:hint="eastAsia" w:ascii="宋体" w:hAnsi="宋体"/>
          <w:sz w:val="24"/>
          <w:szCs w:val="24"/>
          <w:highlight w:val="none"/>
          <w:u w:val="single"/>
        </w:rPr>
        <w:t>陆</w:t>
      </w:r>
      <w:r>
        <w:rPr>
          <w:rFonts w:hint="eastAsia" w:ascii="宋体" w:hAnsi="宋体"/>
          <w:sz w:val="24"/>
          <w:szCs w:val="24"/>
          <w:highlight w:val="none"/>
        </w:rPr>
        <w:t>份，发包人执</w:t>
      </w:r>
      <w:r>
        <w:rPr>
          <w:rFonts w:hint="eastAsia" w:ascii="宋体" w:hAnsi="宋体"/>
          <w:sz w:val="24"/>
          <w:szCs w:val="24"/>
          <w:highlight w:val="none"/>
          <w:u w:val="single"/>
        </w:rPr>
        <w:t>叁</w:t>
      </w:r>
      <w:r>
        <w:rPr>
          <w:rFonts w:hint="eastAsia" w:ascii="宋体" w:hAnsi="宋体"/>
          <w:sz w:val="24"/>
          <w:szCs w:val="24"/>
          <w:highlight w:val="none"/>
        </w:rPr>
        <w:t>份，承包人执</w:t>
      </w:r>
      <w:r>
        <w:rPr>
          <w:rFonts w:hint="eastAsia" w:ascii="宋体" w:hAnsi="宋体"/>
          <w:sz w:val="24"/>
          <w:szCs w:val="24"/>
          <w:highlight w:val="none"/>
          <w:u w:val="single"/>
        </w:rPr>
        <w:t>叁</w:t>
      </w:r>
      <w:r>
        <w:rPr>
          <w:rFonts w:hint="eastAsia" w:ascii="宋体" w:hAnsi="宋体"/>
          <w:sz w:val="24"/>
          <w:szCs w:val="24"/>
          <w:highlight w:val="none"/>
        </w:rPr>
        <w:t>份。其余副本由发包人分送有关单位。</w:t>
      </w:r>
    </w:p>
    <w:p>
      <w:pPr>
        <w:wordWrap w:val="0"/>
        <w:spacing w:line="360" w:lineRule="auto"/>
        <w:ind w:firstLine="480" w:firstLineChars="200"/>
        <w:rPr>
          <w:rFonts w:ascii="宋体" w:hAnsi="宋体"/>
          <w:sz w:val="24"/>
          <w:szCs w:val="24"/>
          <w:highlight w:val="none"/>
        </w:rPr>
      </w:pPr>
      <w:bookmarkStart w:id="19" w:name="_Toc168475887"/>
      <w:bookmarkStart w:id="20" w:name="_Toc144974830"/>
      <w:bookmarkStart w:id="21" w:name="_Toc168476290"/>
      <w:r>
        <w:rPr>
          <w:rFonts w:hint="eastAsia" w:ascii="宋体" w:hAnsi="宋体"/>
          <w:sz w:val="24"/>
          <w:szCs w:val="24"/>
          <w:highlight w:val="none"/>
        </w:rPr>
        <w:t>11.</w:t>
      </w:r>
      <w:r>
        <w:rPr>
          <w:rFonts w:hint="eastAsia" w:ascii="宋体" w:hAnsi="宋体"/>
          <w:sz w:val="24"/>
          <w:szCs w:val="24"/>
          <w:highlight w:val="none"/>
          <w:lang w:val="en-US" w:eastAsia="zh-CN"/>
        </w:rPr>
        <w:t xml:space="preserve"> </w:t>
      </w:r>
      <w:r>
        <w:rPr>
          <w:rFonts w:hint="eastAsia" w:ascii="宋体" w:hAnsi="宋体"/>
          <w:sz w:val="24"/>
          <w:szCs w:val="24"/>
          <w:highlight w:val="none"/>
        </w:rPr>
        <w:t>合同未尽事宜，双方另行签订补充协议。补充协议是合同的组成部分。</w:t>
      </w:r>
      <w:bookmarkEnd w:id="19"/>
      <w:bookmarkEnd w:id="20"/>
      <w:bookmarkEnd w:id="21"/>
    </w:p>
    <w:p>
      <w:pPr>
        <w:wordWrap w:val="0"/>
        <w:spacing w:line="460" w:lineRule="exact"/>
        <w:ind w:right="69" w:rightChars="33"/>
        <w:rPr>
          <w:rFonts w:ascii="宋体" w:hAnsi="宋体"/>
          <w:sz w:val="24"/>
          <w:highlight w:val="none"/>
        </w:rPr>
      </w:pPr>
    </w:p>
    <w:p>
      <w:pPr>
        <w:wordWrap w:val="0"/>
        <w:spacing w:line="460" w:lineRule="exact"/>
        <w:ind w:left="4830" w:right="69" w:rightChars="33" w:hanging="4830" w:hangingChars="2300"/>
        <w:rPr>
          <w:rFonts w:ascii="宋体" w:hAnsi="宋体"/>
          <w:highlight w:val="none"/>
        </w:rPr>
      </w:pPr>
      <w:bookmarkStart w:id="22" w:name="_Toc31294"/>
      <w:r>
        <w:rPr>
          <w:rFonts w:hint="eastAsia" w:ascii="宋体" w:hAnsi="宋体"/>
          <w:highlight w:val="none"/>
        </w:rPr>
        <w:t>发包人：</w:t>
      </w:r>
      <w:r>
        <w:rPr>
          <w:rFonts w:hint="eastAsia" w:ascii="宋体" w:hAnsi="宋体"/>
          <w:b/>
          <w:bCs/>
          <w:sz w:val="24"/>
          <w:szCs w:val="24"/>
          <w:highlight w:val="none"/>
        </w:rPr>
        <w:t xml:space="preserve"> </w:t>
      </w:r>
      <w:r>
        <w:rPr>
          <w:rFonts w:ascii="宋体" w:hAnsi="宋体"/>
          <w:b/>
          <w:bCs/>
          <w:sz w:val="24"/>
          <w:szCs w:val="24"/>
          <w:highlight w:val="none"/>
        </w:rPr>
        <w:t xml:space="preserve">             </w:t>
      </w:r>
      <w:r>
        <w:rPr>
          <w:rFonts w:hint="eastAsia" w:ascii="宋体" w:hAnsi="宋体"/>
          <w:highlight w:val="none"/>
        </w:rPr>
        <w:t xml:space="preserve">（盖章）  </w:t>
      </w:r>
      <w:r>
        <w:rPr>
          <w:rFonts w:ascii="宋体" w:hAnsi="宋体"/>
          <w:highlight w:val="none"/>
        </w:rPr>
        <w:t xml:space="preserve">       </w:t>
      </w:r>
      <w:r>
        <w:rPr>
          <w:rFonts w:hint="eastAsia" w:ascii="宋体" w:hAnsi="宋体"/>
          <w:highlight w:val="none"/>
        </w:rPr>
        <w:t>承包人：</w:t>
      </w:r>
      <w:r>
        <w:rPr>
          <w:rFonts w:hint="eastAsia"/>
          <w:sz w:val="24"/>
          <w:szCs w:val="24"/>
          <w:highlight w:val="none"/>
          <w:u w:val="single"/>
        </w:rPr>
        <w:t xml:space="preserve">                  </w:t>
      </w:r>
      <w:r>
        <w:rPr>
          <w:rFonts w:hint="eastAsia" w:ascii="宋体" w:hAnsi="宋体"/>
          <w:highlight w:val="none"/>
        </w:rPr>
        <w:t>（盖章）</w:t>
      </w:r>
      <w:bookmarkEnd w:id="22"/>
    </w:p>
    <w:p>
      <w:pPr>
        <w:wordWrap w:val="0"/>
        <w:spacing w:line="460" w:lineRule="exact"/>
        <w:ind w:right="69" w:rightChars="33"/>
        <w:rPr>
          <w:rFonts w:ascii="宋体" w:hAnsi="宋体"/>
          <w:highlight w:val="none"/>
        </w:rPr>
      </w:pPr>
      <w:bookmarkStart w:id="23" w:name="_Toc12310"/>
      <w:r>
        <w:rPr>
          <w:rFonts w:hint="eastAsia" w:ascii="宋体" w:hAnsi="宋体"/>
          <w:highlight w:val="none"/>
        </w:rPr>
        <w:t>法定代表人或                             法定代表人或</w:t>
      </w:r>
      <w:bookmarkEnd w:id="23"/>
      <w:r>
        <w:rPr>
          <w:rFonts w:hint="eastAsia" w:ascii="宋体" w:hAnsi="宋体"/>
          <w:highlight w:val="none"/>
        </w:rPr>
        <w:t xml:space="preserve">    </w:t>
      </w:r>
    </w:p>
    <w:p>
      <w:pPr>
        <w:wordWrap w:val="0"/>
        <w:spacing w:line="460" w:lineRule="exact"/>
        <w:ind w:right="69" w:rightChars="33"/>
        <w:rPr>
          <w:rFonts w:ascii="宋体" w:hAnsi="宋体"/>
          <w:highlight w:val="none"/>
        </w:rPr>
      </w:pPr>
      <w:bookmarkStart w:id="24" w:name="_Toc29860"/>
      <w:r>
        <w:rPr>
          <w:rFonts w:hint="eastAsia" w:ascii="宋体" w:hAnsi="宋体"/>
          <w:highlight w:val="none"/>
        </w:rPr>
        <w:t>其委托代理人：</w:t>
      </w:r>
      <w:r>
        <w:rPr>
          <w:rFonts w:hint="eastAsia" w:ascii="宋体" w:hAnsi="宋体"/>
          <w:highlight w:val="none"/>
          <w:u w:val="single"/>
        </w:rPr>
        <w:t xml:space="preserve">          </w:t>
      </w:r>
      <w:r>
        <w:rPr>
          <w:rFonts w:hint="eastAsia" w:ascii="宋体" w:hAnsi="宋体"/>
          <w:highlight w:val="none"/>
        </w:rPr>
        <w:t>（签字）         其委托代理人：</w:t>
      </w:r>
      <w:r>
        <w:rPr>
          <w:rFonts w:hint="eastAsia" w:ascii="宋体" w:hAnsi="宋体"/>
          <w:highlight w:val="none"/>
          <w:u w:val="single"/>
        </w:rPr>
        <w:t xml:space="preserve">           </w:t>
      </w:r>
      <w:r>
        <w:rPr>
          <w:rFonts w:hint="eastAsia" w:ascii="宋体" w:hAnsi="宋体"/>
          <w:highlight w:val="none"/>
        </w:rPr>
        <w:t>（签字）</w:t>
      </w:r>
      <w:bookmarkEnd w:id="24"/>
    </w:p>
    <w:p>
      <w:pPr>
        <w:wordWrap w:val="0"/>
        <w:spacing w:line="460" w:lineRule="exact"/>
        <w:ind w:left="0" w:right="69" w:rightChars="33" w:firstLine="0" w:firstLineChars="0"/>
        <w:rPr>
          <w:rFonts w:ascii="宋体" w:hAnsi="宋体"/>
          <w:highlight w:val="none"/>
        </w:rPr>
      </w:pPr>
      <w:bookmarkStart w:id="25" w:name="_Toc5551"/>
      <w:r>
        <w:rPr>
          <w:rFonts w:hint="eastAsia" w:ascii="宋体" w:hAnsi="宋体"/>
          <w:highlight w:val="none"/>
        </w:rPr>
        <w:t>地址：                                   地址：</w:t>
      </w:r>
      <w:bookmarkEnd w:id="25"/>
      <w:r>
        <w:rPr>
          <w:rFonts w:hint="eastAsia" w:ascii="宋体" w:hAnsi="宋体" w:cs="Times New Roman"/>
          <w:kern w:val="2"/>
          <w:sz w:val="21"/>
          <w:szCs w:val="22"/>
          <w:highlight w:val="none"/>
          <w:lang w:bidi="ar"/>
        </w:rPr>
        <w:t xml:space="preserve">                       </w:t>
      </w:r>
    </w:p>
    <w:p>
      <w:pPr>
        <w:wordWrap w:val="0"/>
        <w:spacing w:line="460" w:lineRule="exact"/>
        <w:ind w:right="69" w:rightChars="33"/>
        <w:rPr>
          <w:rFonts w:ascii="宋体" w:hAnsi="宋体"/>
          <w:highlight w:val="none"/>
        </w:rPr>
      </w:pPr>
      <w:bookmarkStart w:id="26" w:name="_Toc17309"/>
      <w:r>
        <w:rPr>
          <w:rFonts w:ascii="宋体" w:hAnsi="宋体"/>
          <w:highlight w:val="none"/>
        </w:rPr>
        <w:t>电话：</w:t>
      </w:r>
      <w:r>
        <w:rPr>
          <w:rFonts w:hint="eastAsia" w:ascii="宋体" w:hAnsi="宋体"/>
          <w:highlight w:val="none"/>
        </w:rPr>
        <w:t xml:space="preserve">             </w:t>
      </w:r>
      <w:r>
        <w:rPr>
          <w:rFonts w:ascii="宋体" w:hAnsi="宋体"/>
          <w:highlight w:val="none"/>
        </w:rPr>
        <w:t xml:space="preserve">              </w:t>
      </w:r>
      <w:r>
        <w:rPr>
          <w:rFonts w:hint="eastAsia" w:ascii="宋体" w:hAnsi="宋体"/>
          <w:highlight w:val="none"/>
        </w:rPr>
        <w:t xml:space="preserve">        </w:t>
      </w:r>
      <w:r>
        <w:rPr>
          <w:rFonts w:ascii="宋体" w:hAnsi="宋体"/>
          <w:highlight w:val="none"/>
        </w:rPr>
        <w:t>电话：</w:t>
      </w:r>
      <w:bookmarkEnd w:id="26"/>
    </w:p>
    <w:p>
      <w:pPr>
        <w:wordWrap w:val="0"/>
        <w:spacing w:line="460" w:lineRule="exact"/>
        <w:ind w:right="69" w:rightChars="33"/>
        <w:rPr>
          <w:rFonts w:ascii="宋体" w:hAnsi="宋体"/>
          <w:highlight w:val="none"/>
        </w:rPr>
      </w:pPr>
      <w:bookmarkStart w:id="27" w:name="_Toc12051"/>
      <w:r>
        <w:rPr>
          <w:rFonts w:ascii="宋体" w:hAnsi="宋体"/>
          <w:highlight w:val="none"/>
        </w:rPr>
        <w:t>传真：</w:t>
      </w:r>
      <w:r>
        <w:rPr>
          <w:rFonts w:hint="eastAsia" w:ascii="宋体" w:hAnsi="宋体"/>
          <w:highlight w:val="none"/>
        </w:rPr>
        <w:t xml:space="preserve">           </w:t>
      </w:r>
      <w:r>
        <w:rPr>
          <w:rFonts w:ascii="宋体" w:hAnsi="宋体"/>
          <w:highlight w:val="none"/>
        </w:rPr>
        <w:t xml:space="preserve">                    </w:t>
      </w:r>
      <w:r>
        <w:rPr>
          <w:rFonts w:hint="eastAsia" w:ascii="宋体" w:hAnsi="宋体"/>
          <w:highlight w:val="none"/>
        </w:rPr>
        <w:t xml:space="preserve">    </w:t>
      </w:r>
      <w:r>
        <w:rPr>
          <w:rFonts w:ascii="宋体" w:hAnsi="宋体"/>
          <w:highlight w:val="none"/>
        </w:rPr>
        <w:t>传真：</w:t>
      </w:r>
      <w:bookmarkEnd w:id="27"/>
      <w:r>
        <w:rPr>
          <w:rFonts w:ascii="宋体" w:hAnsi="宋体"/>
          <w:highlight w:val="none"/>
        </w:rPr>
        <w:t xml:space="preserve">          </w:t>
      </w:r>
    </w:p>
    <w:p>
      <w:pPr>
        <w:wordWrap w:val="0"/>
        <w:spacing w:line="460" w:lineRule="exact"/>
        <w:ind w:right="69" w:rightChars="33"/>
        <w:rPr>
          <w:rFonts w:ascii="宋体" w:hAnsi="宋体"/>
          <w:highlight w:val="none"/>
        </w:rPr>
      </w:pPr>
      <w:bookmarkStart w:id="28" w:name="_Toc21404"/>
      <w:r>
        <w:rPr>
          <w:rFonts w:ascii="宋体" w:hAnsi="宋体"/>
          <w:highlight w:val="none"/>
        </w:rPr>
        <w:t>开户银行：</w:t>
      </w:r>
      <w:r>
        <w:rPr>
          <w:rFonts w:hint="eastAsia" w:ascii="宋体" w:hAnsi="宋体"/>
          <w:highlight w:val="none"/>
        </w:rPr>
        <w:t xml:space="preserve">                </w:t>
      </w:r>
      <w:r>
        <w:rPr>
          <w:rFonts w:ascii="宋体" w:hAnsi="宋体"/>
          <w:highlight w:val="none"/>
        </w:rPr>
        <w:t xml:space="preserve">            </w:t>
      </w:r>
      <w:r>
        <w:rPr>
          <w:rFonts w:hint="eastAsia" w:ascii="宋体" w:hAnsi="宋体"/>
          <w:highlight w:val="none"/>
        </w:rPr>
        <w:t xml:space="preserve">   </w:t>
      </w:r>
      <w:r>
        <w:rPr>
          <w:rFonts w:ascii="宋体" w:hAnsi="宋体"/>
          <w:highlight w:val="none"/>
        </w:rPr>
        <w:t>开户银行：</w:t>
      </w:r>
      <w:bookmarkEnd w:id="28"/>
    </w:p>
    <w:p>
      <w:pPr>
        <w:wordWrap w:val="0"/>
        <w:spacing w:line="460" w:lineRule="exact"/>
        <w:ind w:right="69" w:rightChars="33"/>
        <w:rPr>
          <w:rFonts w:ascii="宋体" w:hAnsi="宋体"/>
          <w:highlight w:val="none"/>
        </w:rPr>
      </w:pPr>
      <w:bookmarkStart w:id="29" w:name="_Toc7475"/>
      <w:r>
        <w:rPr>
          <w:rFonts w:ascii="宋体" w:hAnsi="宋体"/>
          <w:highlight w:val="none"/>
        </w:rPr>
        <w:t>帐号：</w:t>
      </w:r>
      <w:r>
        <w:rPr>
          <w:rFonts w:hint="eastAsia" w:ascii="宋体" w:hAnsi="宋体"/>
          <w:highlight w:val="none"/>
        </w:rPr>
        <w:t xml:space="preserve">               </w:t>
      </w: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 帐号：</w:t>
      </w:r>
      <w:bookmarkEnd w:id="29"/>
    </w:p>
    <w:p>
      <w:pPr>
        <w:wordWrap w:val="0"/>
        <w:spacing w:line="460" w:lineRule="exact"/>
        <w:ind w:right="69" w:rightChars="33"/>
        <w:rPr>
          <w:rFonts w:ascii="宋体" w:hAnsi="宋体"/>
          <w:highlight w:val="none"/>
        </w:rPr>
      </w:pPr>
      <w:bookmarkStart w:id="30" w:name="_Toc5897"/>
      <w:r>
        <w:rPr>
          <w:rFonts w:ascii="宋体" w:hAnsi="宋体"/>
          <w:highlight w:val="none"/>
        </w:rPr>
        <w:t>邮政编码：</w:t>
      </w:r>
      <w:r>
        <w:rPr>
          <w:rFonts w:hint="eastAsia" w:ascii="宋体" w:hAnsi="宋体"/>
          <w:highlight w:val="none"/>
        </w:rPr>
        <w:t xml:space="preserve">       </w:t>
      </w:r>
      <w:r>
        <w:rPr>
          <w:rFonts w:ascii="宋体" w:hAnsi="宋体"/>
          <w:highlight w:val="none"/>
        </w:rPr>
        <w:t xml:space="preserve">                </w:t>
      </w:r>
      <w:r>
        <w:rPr>
          <w:rFonts w:hint="eastAsia" w:ascii="宋体" w:hAnsi="宋体"/>
          <w:highlight w:val="none"/>
        </w:rPr>
        <w:t xml:space="preserve">        </w:t>
      </w:r>
      <w:r>
        <w:rPr>
          <w:rFonts w:ascii="宋体" w:hAnsi="宋体"/>
          <w:highlight w:val="none"/>
        </w:rPr>
        <w:t>邮政编码：</w:t>
      </w:r>
      <w:bookmarkEnd w:id="30"/>
    </w:p>
    <w:p>
      <w:pPr>
        <w:wordWrap w:val="0"/>
        <w:spacing w:line="460" w:lineRule="exact"/>
        <w:ind w:right="69" w:rightChars="33"/>
        <w:rPr>
          <w:rFonts w:hint="eastAsia" w:ascii="宋体" w:hAnsi="宋体"/>
          <w:highlight w:val="none"/>
          <w:u w:val="none"/>
        </w:rPr>
      </w:pPr>
    </w:p>
    <w:p>
      <w:pPr>
        <w:wordWrap w:val="0"/>
        <w:rPr>
          <w:rFonts w:ascii="宋体" w:hAnsi="宋体"/>
          <w:highlight w:val="none"/>
        </w:rPr>
      </w:pPr>
      <w:r>
        <w:rPr>
          <w:rFonts w:hint="eastAsia" w:ascii="宋体" w:hAnsi="宋体"/>
          <w:highlight w:val="none"/>
          <w:u w:val="single"/>
        </w:rPr>
        <w:t xml:space="preserve">       </w:t>
      </w:r>
      <w:bookmarkStart w:id="31" w:name="_Toc28963"/>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 xml:space="preserve">月 </w:t>
      </w:r>
      <w:r>
        <w:rPr>
          <w:rFonts w:hint="eastAsia" w:ascii="宋体" w:hAnsi="宋体"/>
          <w:highlight w:val="none"/>
          <w:u w:val="single"/>
        </w:rPr>
        <w:t xml:space="preserve">       </w:t>
      </w:r>
      <w:r>
        <w:rPr>
          <w:rFonts w:hint="eastAsia" w:ascii="宋体" w:hAnsi="宋体"/>
          <w:highlight w:val="none"/>
        </w:rPr>
        <w:t xml:space="preserve"> 日             </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 xml:space="preserve">月 </w:t>
      </w:r>
      <w:r>
        <w:rPr>
          <w:rFonts w:hint="eastAsia" w:ascii="宋体" w:hAnsi="宋体"/>
          <w:highlight w:val="none"/>
          <w:u w:val="single"/>
        </w:rPr>
        <w:t xml:space="preserve">      </w:t>
      </w:r>
      <w:r>
        <w:rPr>
          <w:rFonts w:hint="eastAsia" w:ascii="宋体" w:hAnsi="宋体"/>
          <w:highlight w:val="none"/>
        </w:rPr>
        <w:t>日</w:t>
      </w:r>
      <w:bookmarkEnd w:id="31"/>
      <w:bookmarkStart w:id="32" w:name="_Toc26812"/>
      <w:bookmarkStart w:id="33" w:name="_Toc26341"/>
      <w:bookmarkStart w:id="34" w:name="_Toc6422"/>
      <w:bookmarkStart w:id="35" w:name="_Toc28930"/>
    </w:p>
    <w:p>
      <w:pPr>
        <w:wordWrap w:val="0"/>
        <w:spacing w:after="100" w:afterAutospacing="1"/>
        <w:jc w:val="center"/>
        <w:outlineLvl w:val="0"/>
        <w:rPr>
          <w:rStyle w:val="132"/>
          <w:highlight w:val="none"/>
        </w:rPr>
      </w:pPr>
      <w:r>
        <w:rPr>
          <w:rFonts w:ascii="宋体" w:hAnsi="宋体"/>
          <w:highlight w:val="none"/>
        </w:rPr>
        <w:br w:type="page"/>
      </w:r>
      <w:bookmarkStart w:id="36" w:name="_Toc486238465"/>
      <w:bookmarkStart w:id="37" w:name="_Toc486238308"/>
      <w:bookmarkStart w:id="38" w:name="_Toc27059"/>
      <w:bookmarkStart w:id="39" w:name="_Toc484011667"/>
      <w:bookmarkStart w:id="40" w:name="_Toc486428083"/>
      <w:bookmarkStart w:id="41" w:name="_Toc486238257"/>
      <w:bookmarkStart w:id="42" w:name="_Toc3211"/>
      <w:bookmarkStart w:id="43" w:name="_Toc486238413"/>
      <w:r>
        <w:rPr>
          <w:rStyle w:val="132"/>
          <w:highlight w:val="none"/>
        </w:rPr>
        <w:t>通用合同条款</w:t>
      </w:r>
      <w:bookmarkEnd w:id="32"/>
      <w:bookmarkEnd w:id="33"/>
      <w:bookmarkEnd w:id="34"/>
      <w:bookmarkEnd w:id="35"/>
      <w:bookmarkEnd w:id="36"/>
      <w:bookmarkEnd w:id="37"/>
      <w:bookmarkEnd w:id="38"/>
      <w:bookmarkEnd w:id="39"/>
      <w:bookmarkEnd w:id="40"/>
      <w:bookmarkEnd w:id="41"/>
      <w:bookmarkEnd w:id="42"/>
      <w:bookmarkEnd w:id="43"/>
    </w:p>
    <w:p>
      <w:pPr>
        <w:wordWrap w:val="0"/>
        <w:spacing w:line="460" w:lineRule="exact"/>
        <w:outlineLvl w:val="0"/>
        <w:rPr>
          <w:rFonts w:ascii="宋体" w:hAnsi="宋体" w:cs="宋体"/>
          <w:sz w:val="24"/>
          <w:szCs w:val="24"/>
          <w:highlight w:val="none"/>
        </w:rPr>
      </w:pPr>
      <w:bookmarkStart w:id="44" w:name="_Toc4700"/>
      <w:bookmarkStart w:id="45" w:name="_Toc7738"/>
      <w:r>
        <w:rPr>
          <w:rFonts w:hint="eastAsia" w:ascii="宋体" w:hAnsi="宋体" w:cs="宋体"/>
          <w:b/>
          <w:bCs/>
          <w:sz w:val="24"/>
          <w:szCs w:val="24"/>
          <w:highlight w:val="none"/>
        </w:rPr>
        <w:t>1. 一般约定</w:t>
      </w:r>
      <w:bookmarkEnd w:id="44"/>
      <w:bookmarkEnd w:id="45"/>
    </w:p>
    <w:p>
      <w:pPr>
        <w:wordWrap w:val="0"/>
        <w:spacing w:line="460" w:lineRule="exact"/>
        <w:outlineLvl w:val="1"/>
        <w:rPr>
          <w:rFonts w:ascii="宋体" w:hAnsi="宋体" w:cs="宋体"/>
          <w:b/>
          <w:bCs/>
          <w:sz w:val="24"/>
          <w:szCs w:val="24"/>
          <w:highlight w:val="none"/>
        </w:rPr>
      </w:pPr>
      <w:bookmarkStart w:id="46" w:name="_Toc11396"/>
      <w:bookmarkStart w:id="47" w:name="_Toc26026"/>
      <w:r>
        <w:rPr>
          <w:rFonts w:hint="eastAsia" w:ascii="宋体" w:hAnsi="宋体" w:cs="宋体"/>
          <w:b/>
          <w:bCs/>
          <w:sz w:val="24"/>
          <w:szCs w:val="24"/>
          <w:highlight w:val="none"/>
        </w:rPr>
        <w:t>1.1 词语定义</w:t>
      </w:r>
      <w:bookmarkEnd w:id="46"/>
      <w:bookmarkEnd w:id="4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通用合同条款、专用合同条款中的下列词语应具有本款所赋予的含义。</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1.1.1 合同</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1.1.1.1 合同文件（或称合同）：指合同协议书、中标通知书、投标函及投标函附录、专用合同条款、通用合同条款、技术标准和要求、图纸、已标价工程量清单，以及其他合同文件。</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1.1.1.2 合同协议书：指第1.5款所指的合同协议书。</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1.1.1.3 中标通知书：指发包人通知承包人中标的函件。</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1.1.1.4 投标函：指构成合同文件组成部分的由承包人填写并签署的投标函。</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1.1.1.5 投标函附录：指附在投标函后构成合同文件的投标函附录。</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1.1.1.6 技术标准和要求：指构成合同文件组成部分的名为技术标准和要求（合同技术条款）的文件，包括合同双方当事人约定对其所作的修改或补充。</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1.1.1.8 已标价工程量清单：指构成合同文件组成部分的由承包人按照规定的格式和要求填写并标明价格的工程量清单。</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1.1.1.9 其他合同文件：指经合同双方当事人确认构成合同文件的其他文件。</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1.1.2 合同当事人和人员</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1.1.2.1 合同当事人:指发包人和（或）承包人。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1.1.2.2 发包人：指专用合同条款中指明并与承包人在合同协议书中签字的当事人。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1.1.2.3 承包人：指与发包人签订合同协议书的当事人。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1.1.2.3 承包人：指专用合同条款中指明并与发包人在合同协议书中签字的当事人。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1.1.2.4 承包人项目经理：指承包人派驻施工场地的全权负责人。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1.1.2.5 分包人：指专用合同条款中指明的，从承包人处分包合同中某一部分工程，并与其签订分包合同的分包人。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1.1.2.6 监理人：指在专用合同条款中指明的，受发包人委托对合同履行实施管理的法人或其他组织。</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1.1.2.7 总监理工程师（总监）：指由监理人委派常驻施工场地对合同履行实施管理的全权负责人。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1.1.3 工程和设备</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1.1.3.1 工程：指永久工程和（或）临时工程。</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1.1.3.2 永久工程：指按合同约定建造并移交给发包人的工程，包括工程设备。</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1.1.3.3 临时工程：指为完成合同约定的永久工程所修建的各类临时性工程，不包括施工设备。</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1.1.3.4 单位工程：指专用合同条款中指明特定范围的永久工程。</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1.1.3.5 工程设备：指构成或计划构成永久工程一部分的机电设备、金属结构设备、仪器装置及其他类似的设备和装置。</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1.1.3.6 施工设备：指为完成合同约定的各项工作所需的设备、器具和其他物品，不包括临时工程和材料。</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1.1.3.7 临时设施：指为完成合同约定的各项工作所服务的临时性生产和生活设施。</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1.1.3.8 承包人设备：指承包人自带的施工设备。</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1.1.3.9 施工场地（或称工地、现场）：指用于合同工程施工的场所，以及在合同中指定作为施工场地组成部分的其他场所，包括永久占地和临时占地。</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1.1.3.10 永久占地：指发包人为建设本合同工程永久征用的场地。</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1.1.3.11 临时占地：指发包人为建设本合同工程临时征用，承包人在完工后须按合同要求退还的场地。</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1.1.4 日期</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1.1.4.1 开工通知：指监理人按第11.1款通知承包人开工的函件。</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1.1.4.2 开工日期：指监理人按第11.1款发出的开工通知中写明的开工日期。</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1.1.4.3工期：指承包人在投标函中承诺的完成合同工程所需的期限，包括按第11.3款、第11.4款和第11.6款约定所作的变更。</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1.1.4.4 竣工日期：即合同工程完工日期，指第1.1.4.3目约定工期届满时的日期。实际完工日期以合同工程完工证书中写明的日期为准。</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1.1.4.5 缺陷责任期：指履行第19.2款约定的缺陷责任的期限，包括根据第19.3款约定所作的延长，具体期限由专用合同条款约定。</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1.1.4.6 基准日期：指投标截止时间前28天的日期。</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1.1.4.7 天：除特别指明外，指日历天。合同中按天计算时间的，开始当天不计入，从次日开始计算。期限最后一天的截止时间为当天24:00。</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1.1.5 合同价格和费用</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1.1.5.1 签约合同价：指签定合同时合同协议书中写明的，包括了暂列金额、暂估价的合同总金额。</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1.1.5.2 合同价格：指承包人按合同约定完成了包括缺陷责任期内的全部承包工作后，发包人应付给承包人的金额，包括在履行合同过程中按合同约定进行的变更和调整。</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1.1.5.3 费用：指为履行合同所发生的或将要发生的所有合理开支，包括管理费和应分摊的其他费用，但不包括利润。</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1.1.5.4 暂列金额：指已标价工程量清单中所列的暂列金额，用于在签订协议书时尚未确定或不可预见变更的施工及其所需材料、工程设备、服务等的金额，包括以计日工方式支付的金额。</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1.1.5.5暂估价：指发包人在工程量清单中给定的用于支付必然发生但暂时不能确定价格的材料、设备以及专业工程的金额。</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1.1.5.6 计日工：指对零星工作采取的一种计价方式，按合同中的计日工子目及其单价计价付款。</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1.1.5.7 质量保证金（或称保留金）：指按第17.4.1项约定用于保证在缺陷责任期内履行缺陷修复义务的金额。</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1.1.6 其他</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1.1.6.1 书面形式：指合同文件、信函、电报、传真等可以有形地表现所载内容的形式。</w:t>
      </w:r>
    </w:p>
    <w:p>
      <w:pPr>
        <w:wordWrap w:val="0"/>
        <w:spacing w:line="460" w:lineRule="exact"/>
        <w:outlineLvl w:val="1"/>
        <w:rPr>
          <w:rFonts w:ascii="宋体" w:hAnsi="宋体" w:cs="宋体"/>
          <w:b/>
          <w:bCs/>
          <w:sz w:val="24"/>
          <w:szCs w:val="24"/>
          <w:highlight w:val="none"/>
        </w:rPr>
      </w:pPr>
      <w:bookmarkStart w:id="48" w:name="_Toc14"/>
      <w:bookmarkStart w:id="49" w:name="_Toc20624"/>
      <w:r>
        <w:rPr>
          <w:rFonts w:hint="eastAsia" w:ascii="宋体" w:hAnsi="宋体" w:cs="宋体"/>
          <w:b/>
          <w:bCs/>
          <w:sz w:val="24"/>
          <w:szCs w:val="24"/>
          <w:highlight w:val="none"/>
        </w:rPr>
        <w:t>1.2 语言文字</w:t>
      </w:r>
      <w:bookmarkEnd w:id="48"/>
      <w:bookmarkEnd w:id="4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除专用术语外，合同使用的语言文字为中文。必要时专用术语应附有中文注释。</w:t>
      </w:r>
    </w:p>
    <w:p>
      <w:pPr>
        <w:wordWrap w:val="0"/>
        <w:spacing w:line="460" w:lineRule="exact"/>
        <w:outlineLvl w:val="1"/>
        <w:rPr>
          <w:rFonts w:ascii="宋体" w:hAnsi="宋体" w:cs="宋体"/>
          <w:b/>
          <w:bCs/>
          <w:sz w:val="24"/>
          <w:szCs w:val="24"/>
          <w:highlight w:val="none"/>
        </w:rPr>
      </w:pPr>
      <w:bookmarkStart w:id="50" w:name="_Toc17436"/>
      <w:bookmarkStart w:id="51" w:name="_Toc26667"/>
      <w:r>
        <w:rPr>
          <w:rFonts w:hint="eastAsia" w:ascii="宋体" w:hAnsi="宋体" w:cs="宋体"/>
          <w:b/>
          <w:bCs/>
          <w:sz w:val="24"/>
          <w:szCs w:val="24"/>
          <w:highlight w:val="none"/>
        </w:rPr>
        <w:t>1.3 法律</w:t>
      </w:r>
      <w:bookmarkEnd w:id="50"/>
      <w:bookmarkEnd w:id="5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适用于合同的法律包括中华人民共和国法律、行政法规、部门规章，以及工程所在地的地方法规、自治条例、单行条例和地方政府规章。</w:t>
      </w:r>
    </w:p>
    <w:p>
      <w:pPr>
        <w:wordWrap w:val="0"/>
        <w:spacing w:line="460" w:lineRule="exact"/>
        <w:outlineLvl w:val="1"/>
        <w:rPr>
          <w:rFonts w:ascii="宋体" w:hAnsi="宋体" w:cs="宋体"/>
          <w:b/>
          <w:bCs/>
          <w:sz w:val="24"/>
          <w:szCs w:val="24"/>
          <w:highlight w:val="none"/>
        </w:rPr>
      </w:pPr>
      <w:bookmarkStart w:id="52" w:name="_Toc3551"/>
      <w:bookmarkStart w:id="53" w:name="_Toc1187"/>
      <w:r>
        <w:rPr>
          <w:rFonts w:hint="eastAsia" w:ascii="宋体" w:hAnsi="宋体" w:cs="宋体"/>
          <w:b/>
          <w:bCs/>
          <w:sz w:val="24"/>
          <w:szCs w:val="24"/>
          <w:highlight w:val="none"/>
        </w:rPr>
        <w:t>1.4 合同文件的优先顺序</w:t>
      </w:r>
      <w:bookmarkEnd w:id="52"/>
      <w:bookmarkEnd w:id="5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组成合同的各项文件应互相解释，互为说明。除专用合同条款另有约定外，解释合同文件的优先顺序如下：</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（1）合同协议书；</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（2）中标通知书；</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（3）投标函及投标函附录；</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（4）专用合同条款；</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（5）通用合同条款；</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（6）技术标准和要求；</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（7）图纸；</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（8）已标价工程量清单；</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（9）其他合同文件。</w:t>
      </w:r>
    </w:p>
    <w:p>
      <w:pPr>
        <w:wordWrap w:val="0"/>
        <w:spacing w:line="460" w:lineRule="exact"/>
        <w:outlineLvl w:val="1"/>
        <w:rPr>
          <w:rFonts w:ascii="宋体" w:hAnsi="宋体" w:cs="宋体"/>
          <w:b/>
          <w:bCs/>
          <w:sz w:val="24"/>
          <w:szCs w:val="24"/>
          <w:highlight w:val="none"/>
        </w:rPr>
      </w:pPr>
      <w:bookmarkStart w:id="54" w:name="_Toc14593"/>
      <w:bookmarkStart w:id="55" w:name="_Toc210"/>
      <w:r>
        <w:rPr>
          <w:rFonts w:hint="eastAsia" w:ascii="宋体" w:hAnsi="宋体" w:cs="宋体"/>
          <w:b/>
          <w:bCs/>
          <w:sz w:val="24"/>
          <w:szCs w:val="24"/>
          <w:highlight w:val="none"/>
        </w:rPr>
        <w:t>1.5 合同协议书</w:t>
      </w:r>
      <w:bookmarkEnd w:id="54"/>
      <w:bookmarkEnd w:id="5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承包人按中标通知书规定的时间与发包人签订合同协议书。除法律另有规定或合同另有约定外，发包人和承包人的法定代表人或其委托代理人在合同协议书上签字并盖单位章后，合同生效。</w:t>
      </w:r>
    </w:p>
    <w:p>
      <w:pPr>
        <w:wordWrap w:val="0"/>
        <w:spacing w:line="460" w:lineRule="exact"/>
        <w:outlineLvl w:val="1"/>
        <w:rPr>
          <w:rFonts w:ascii="宋体" w:hAnsi="宋体" w:cs="宋体"/>
          <w:b/>
          <w:bCs/>
          <w:sz w:val="24"/>
          <w:szCs w:val="24"/>
          <w:highlight w:val="none"/>
        </w:rPr>
      </w:pPr>
      <w:bookmarkStart w:id="56" w:name="_Toc25903"/>
      <w:bookmarkStart w:id="57" w:name="_Toc32717"/>
      <w:r>
        <w:rPr>
          <w:rFonts w:hint="eastAsia" w:ascii="宋体" w:hAnsi="宋体" w:cs="宋体"/>
          <w:b/>
          <w:bCs/>
          <w:sz w:val="24"/>
          <w:szCs w:val="24"/>
          <w:highlight w:val="none"/>
        </w:rPr>
        <w:t>1.6 图纸和承包人文件</w:t>
      </w:r>
      <w:bookmarkEnd w:id="56"/>
      <w:bookmarkEnd w:id="5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1.6.1图纸的提供</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发包人应按技术标准和要求（合同技术条款）约定的期限和数量将施工图纸以及其它图纸（包括配套说明和有关资料）提供给承包人。由于发包人未按时提供图纸造成工期延误的，按第11.3款的约定办理。</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1.6.2 承包人提供的文件</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承包人提供的文件应按技术标准和要求（合同技术条款）约定的期限和数量提供给监理人。监理人应按技术标准和要求（合同技术条款）约定的期限批复承包人。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1.6.3 图纸的修改</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1.6.4 图纸的错误</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承包人发现发包人提供的图纸存在明显错误或疏忽，应及时通知监理人。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1.6.5 图纸和承包人文件的保管</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监理人和承包人均应在施工场地各保存一套完整的包含第1.6.1项、第1.6.2项、第1.6.3项约定内容的图纸和承包人文件。</w:t>
      </w:r>
    </w:p>
    <w:p>
      <w:pPr>
        <w:wordWrap w:val="0"/>
        <w:spacing w:line="460" w:lineRule="exact"/>
        <w:outlineLvl w:val="1"/>
        <w:rPr>
          <w:rFonts w:ascii="宋体" w:hAnsi="宋体" w:cs="宋体"/>
          <w:b/>
          <w:bCs/>
          <w:sz w:val="24"/>
          <w:szCs w:val="24"/>
          <w:highlight w:val="none"/>
        </w:rPr>
      </w:pPr>
      <w:bookmarkStart w:id="58" w:name="_Toc28286"/>
      <w:bookmarkStart w:id="59" w:name="_Toc1102"/>
      <w:r>
        <w:rPr>
          <w:rFonts w:hint="eastAsia" w:ascii="宋体" w:hAnsi="宋体" w:cs="宋体"/>
          <w:b/>
          <w:bCs/>
          <w:sz w:val="24"/>
          <w:szCs w:val="24"/>
          <w:highlight w:val="none"/>
        </w:rPr>
        <w:t>1.7 联络</w:t>
      </w:r>
      <w:bookmarkEnd w:id="58"/>
      <w:bookmarkEnd w:id="5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1.7.1 与合同有关的通知、批准、证明、证书、指示、要求、请求、同意、意见、确定和决定等，均应采用书面形式。</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1.7.3 来往函件均应按合同约定的期限及时发出和答复，不得无故扣压和拖延，亦不得拒收。否则，由此造成的后果由责任方负责。</w:t>
      </w:r>
    </w:p>
    <w:p>
      <w:pPr>
        <w:wordWrap w:val="0"/>
        <w:spacing w:line="460" w:lineRule="exact"/>
        <w:outlineLvl w:val="1"/>
        <w:rPr>
          <w:rFonts w:ascii="宋体" w:hAnsi="宋体" w:cs="宋体"/>
          <w:b/>
          <w:bCs/>
          <w:sz w:val="24"/>
          <w:szCs w:val="24"/>
          <w:highlight w:val="none"/>
        </w:rPr>
      </w:pPr>
      <w:bookmarkStart w:id="60" w:name="_Toc32129"/>
      <w:bookmarkStart w:id="61" w:name="_Toc17944"/>
      <w:r>
        <w:rPr>
          <w:rFonts w:hint="eastAsia" w:ascii="宋体" w:hAnsi="宋体" w:cs="宋体"/>
          <w:b/>
          <w:bCs/>
          <w:sz w:val="24"/>
          <w:szCs w:val="24"/>
          <w:highlight w:val="none"/>
        </w:rPr>
        <w:t>1.8 转让</w:t>
      </w:r>
      <w:bookmarkEnd w:id="60"/>
      <w:bookmarkEnd w:id="6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除合同另有约定外，未经对方当事人同意，一方当事人不得将合同权利全部或部分转让给第三人，也不得全部或部分转移合同义务。</w:t>
      </w:r>
    </w:p>
    <w:p>
      <w:pPr>
        <w:wordWrap w:val="0"/>
        <w:spacing w:line="460" w:lineRule="exact"/>
        <w:outlineLvl w:val="1"/>
        <w:rPr>
          <w:rFonts w:ascii="宋体" w:hAnsi="宋体" w:cs="宋体"/>
          <w:b/>
          <w:bCs/>
          <w:sz w:val="24"/>
          <w:szCs w:val="24"/>
          <w:highlight w:val="none"/>
        </w:rPr>
      </w:pPr>
      <w:bookmarkStart w:id="62" w:name="_Toc19830"/>
      <w:bookmarkStart w:id="63" w:name="_Toc7334"/>
      <w:r>
        <w:rPr>
          <w:rFonts w:hint="eastAsia" w:ascii="宋体" w:hAnsi="宋体" w:cs="宋体"/>
          <w:b/>
          <w:bCs/>
          <w:sz w:val="24"/>
          <w:szCs w:val="24"/>
          <w:highlight w:val="none"/>
        </w:rPr>
        <w:t>1.9 严禁贿赂</w:t>
      </w:r>
      <w:bookmarkEnd w:id="62"/>
      <w:bookmarkEnd w:id="6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合同双方当事人不得以贿赂或变相贿赂的方式，谋取不当利益或损害对方权益。因贿赂造成对方损失的，行为人应赔偿损失，并承担相应的法律责任。</w:t>
      </w:r>
    </w:p>
    <w:p>
      <w:pPr>
        <w:wordWrap w:val="0"/>
        <w:spacing w:line="460" w:lineRule="exact"/>
        <w:outlineLvl w:val="1"/>
        <w:rPr>
          <w:rFonts w:ascii="宋体" w:hAnsi="宋体" w:cs="宋体"/>
          <w:b/>
          <w:bCs/>
          <w:sz w:val="24"/>
          <w:szCs w:val="24"/>
          <w:highlight w:val="none"/>
        </w:rPr>
      </w:pPr>
      <w:bookmarkStart w:id="64" w:name="_Toc24909"/>
      <w:bookmarkStart w:id="65" w:name="_Toc13231"/>
      <w:r>
        <w:rPr>
          <w:rFonts w:hint="eastAsia" w:ascii="宋体" w:hAnsi="宋体" w:cs="宋体"/>
          <w:b/>
          <w:bCs/>
          <w:sz w:val="24"/>
          <w:szCs w:val="24"/>
          <w:highlight w:val="none"/>
        </w:rPr>
        <w:t>1.10 化石、文物</w:t>
      </w:r>
      <w:bookmarkEnd w:id="64"/>
      <w:bookmarkEnd w:id="6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1.10.2 承包人发现文物后不及时报告或隐瞒不报，致使文物丢失或损坏的，应赔偿损失，并承担相应的法律责任。</w:t>
      </w:r>
    </w:p>
    <w:p>
      <w:pPr>
        <w:wordWrap w:val="0"/>
        <w:spacing w:line="460" w:lineRule="exact"/>
        <w:outlineLvl w:val="1"/>
        <w:rPr>
          <w:rFonts w:ascii="宋体" w:hAnsi="宋体" w:cs="宋体"/>
          <w:b/>
          <w:bCs/>
          <w:sz w:val="24"/>
          <w:szCs w:val="24"/>
          <w:highlight w:val="none"/>
        </w:rPr>
      </w:pPr>
      <w:bookmarkStart w:id="66" w:name="_Toc27302"/>
      <w:bookmarkStart w:id="67" w:name="_Toc4892"/>
      <w:r>
        <w:rPr>
          <w:rFonts w:hint="eastAsia" w:ascii="宋体" w:hAnsi="宋体" w:cs="宋体"/>
          <w:b/>
          <w:bCs/>
          <w:sz w:val="24"/>
          <w:szCs w:val="24"/>
          <w:highlight w:val="none"/>
        </w:rPr>
        <w:t>1.11 专利技术</w:t>
      </w:r>
      <w:bookmarkEnd w:id="66"/>
      <w:bookmarkEnd w:id="6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1.11.2 承包人在投标文件中采用专利技术的，专利技术的使用费包含在投标报价内。</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1.11.3 承包人的技术秘密和声明需要保密的资料和信息，发包人和监理人不得为合同以外的目的泄露给他人。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1.11.4 合同实施过程中，发包人要求承包人采用专利技术的，发包人应办理相应的使用手续，承包人应按发包人约定的条件使用，并承担使用专利技术的相关试验工作，所需费用由发包人承担。</w:t>
      </w:r>
    </w:p>
    <w:p>
      <w:pPr>
        <w:wordWrap w:val="0"/>
        <w:spacing w:line="460" w:lineRule="exact"/>
        <w:outlineLvl w:val="1"/>
        <w:rPr>
          <w:rFonts w:ascii="宋体" w:hAnsi="宋体" w:cs="宋体"/>
          <w:b/>
          <w:bCs/>
          <w:sz w:val="24"/>
          <w:szCs w:val="24"/>
          <w:highlight w:val="none"/>
        </w:rPr>
      </w:pPr>
      <w:bookmarkStart w:id="68" w:name="_Toc16745"/>
      <w:bookmarkStart w:id="69" w:name="_Toc30707"/>
      <w:r>
        <w:rPr>
          <w:rFonts w:hint="eastAsia" w:ascii="宋体" w:hAnsi="宋体" w:cs="宋体"/>
          <w:b/>
          <w:bCs/>
          <w:sz w:val="24"/>
          <w:szCs w:val="24"/>
          <w:highlight w:val="none"/>
        </w:rPr>
        <w:t>1.12 图纸和文件的保密</w:t>
      </w:r>
      <w:bookmarkEnd w:id="68"/>
      <w:bookmarkEnd w:id="6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1.12.1 发包人提供的图纸和文件，未经发包人同意，承包人不得为合同以外的目的泄露给他人或公开发表与引用。</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1.12.2 承包人提供的文件，未经承包人同意，发包人和监理人不得为合同以外的目的泄露给他人或公开发表与引用。</w:t>
      </w:r>
    </w:p>
    <w:p>
      <w:pPr>
        <w:wordWrap w:val="0"/>
        <w:spacing w:line="460" w:lineRule="exact"/>
        <w:outlineLvl w:val="0"/>
        <w:rPr>
          <w:rFonts w:ascii="宋体" w:hAnsi="宋体" w:cs="宋体"/>
          <w:b/>
          <w:bCs/>
          <w:sz w:val="24"/>
          <w:szCs w:val="24"/>
          <w:highlight w:val="none"/>
        </w:rPr>
      </w:pPr>
      <w:bookmarkStart w:id="70" w:name="_Toc25138"/>
      <w:bookmarkStart w:id="71" w:name="_Toc11314"/>
      <w:r>
        <w:rPr>
          <w:rFonts w:hint="eastAsia" w:ascii="宋体" w:hAnsi="宋体" w:cs="宋体"/>
          <w:b/>
          <w:bCs/>
          <w:sz w:val="24"/>
          <w:szCs w:val="24"/>
          <w:highlight w:val="none"/>
        </w:rPr>
        <w:t>2. 发包人义务</w:t>
      </w:r>
      <w:bookmarkEnd w:id="70"/>
      <w:bookmarkEnd w:id="71"/>
    </w:p>
    <w:p>
      <w:pPr>
        <w:wordWrap w:val="0"/>
        <w:spacing w:line="460" w:lineRule="exact"/>
        <w:outlineLvl w:val="1"/>
        <w:rPr>
          <w:rFonts w:ascii="宋体" w:hAnsi="宋体" w:cs="宋体"/>
          <w:b/>
          <w:bCs/>
          <w:sz w:val="24"/>
          <w:szCs w:val="24"/>
          <w:highlight w:val="none"/>
        </w:rPr>
      </w:pPr>
      <w:bookmarkStart w:id="72" w:name="_Toc12911"/>
      <w:bookmarkStart w:id="73" w:name="_Toc2171"/>
      <w:r>
        <w:rPr>
          <w:rFonts w:hint="eastAsia" w:ascii="宋体" w:hAnsi="宋体" w:cs="宋体"/>
          <w:b/>
          <w:bCs/>
          <w:sz w:val="24"/>
          <w:szCs w:val="24"/>
          <w:highlight w:val="none"/>
        </w:rPr>
        <w:t>2.1 遵守法律</w:t>
      </w:r>
      <w:bookmarkEnd w:id="72"/>
      <w:bookmarkEnd w:id="7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发包人在履行合同过程中应遵守法律，并保证承包人免于承担因发包人违反法律而引起的任何责任。</w:t>
      </w:r>
    </w:p>
    <w:p>
      <w:pPr>
        <w:wordWrap w:val="0"/>
        <w:spacing w:line="460" w:lineRule="exact"/>
        <w:outlineLvl w:val="1"/>
        <w:rPr>
          <w:rFonts w:ascii="宋体" w:hAnsi="宋体" w:cs="宋体"/>
          <w:b/>
          <w:bCs/>
          <w:sz w:val="24"/>
          <w:szCs w:val="24"/>
          <w:highlight w:val="none"/>
        </w:rPr>
      </w:pPr>
      <w:bookmarkStart w:id="74" w:name="_Toc6312"/>
      <w:bookmarkStart w:id="75" w:name="_Toc20601"/>
      <w:r>
        <w:rPr>
          <w:rFonts w:hint="eastAsia" w:ascii="宋体" w:hAnsi="宋体" w:cs="宋体"/>
          <w:b/>
          <w:bCs/>
          <w:sz w:val="24"/>
          <w:szCs w:val="24"/>
          <w:highlight w:val="none"/>
        </w:rPr>
        <w:t>2.2 发出开工通知</w:t>
      </w:r>
      <w:bookmarkEnd w:id="74"/>
      <w:bookmarkEnd w:id="7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发包人应委托监理人按第11.1款的约定向承包人发出开工通知。</w:t>
      </w:r>
    </w:p>
    <w:p>
      <w:pPr>
        <w:wordWrap w:val="0"/>
        <w:spacing w:line="460" w:lineRule="exact"/>
        <w:outlineLvl w:val="1"/>
        <w:rPr>
          <w:rFonts w:ascii="宋体" w:hAnsi="宋体" w:cs="宋体"/>
          <w:b/>
          <w:bCs/>
          <w:sz w:val="24"/>
          <w:szCs w:val="24"/>
          <w:highlight w:val="none"/>
        </w:rPr>
      </w:pPr>
      <w:bookmarkStart w:id="76" w:name="_Toc18487"/>
      <w:bookmarkStart w:id="77" w:name="_Toc22284"/>
      <w:r>
        <w:rPr>
          <w:rFonts w:hint="eastAsia" w:ascii="宋体" w:hAnsi="宋体" w:cs="宋体"/>
          <w:b/>
          <w:bCs/>
          <w:sz w:val="24"/>
          <w:szCs w:val="24"/>
          <w:highlight w:val="none"/>
        </w:rPr>
        <w:t>2.3 提供施工场地</w:t>
      </w:r>
      <w:bookmarkEnd w:id="76"/>
      <w:bookmarkEnd w:id="7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发包人应按专用合同条款约定向承包人提供施工场地，以及施工场地内地下管线和地下设施等有关资料，并保证资料的真实、准确、完整。</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2.3.2 发包人提供的施工用地范围在专用合同条款中约定。</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2.3.3 除专用合同条款另有约定外，发包人应按技术标准和要求（合同技术条款）的约定，向承包人提供施工场地内的工程地质图纸和报告，以及地下障碍物图纸等施工场地有关资料，并保证资料的真实、准确、完整。</w:t>
      </w:r>
    </w:p>
    <w:p>
      <w:pPr>
        <w:wordWrap w:val="0"/>
        <w:spacing w:line="460" w:lineRule="exact"/>
        <w:outlineLvl w:val="1"/>
        <w:rPr>
          <w:rFonts w:ascii="宋体" w:hAnsi="宋体" w:cs="宋体"/>
          <w:b/>
          <w:bCs/>
          <w:sz w:val="24"/>
          <w:szCs w:val="24"/>
          <w:highlight w:val="none"/>
        </w:rPr>
      </w:pPr>
      <w:bookmarkStart w:id="78" w:name="_Toc2161"/>
      <w:bookmarkStart w:id="79" w:name="_Toc7606"/>
      <w:r>
        <w:rPr>
          <w:rFonts w:hint="eastAsia" w:ascii="宋体" w:hAnsi="宋体" w:cs="宋体"/>
          <w:b/>
          <w:bCs/>
          <w:sz w:val="24"/>
          <w:szCs w:val="24"/>
          <w:highlight w:val="none"/>
        </w:rPr>
        <w:t>2.4 协助承包人办理证件和批件</w:t>
      </w:r>
      <w:bookmarkEnd w:id="78"/>
      <w:bookmarkEnd w:id="7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发包人应协助承包人办理法律规定的有关施工证件和批件。</w:t>
      </w:r>
    </w:p>
    <w:p>
      <w:pPr>
        <w:wordWrap w:val="0"/>
        <w:spacing w:line="460" w:lineRule="exact"/>
        <w:outlineLvl w:val="1"/>
        <w:rPr>
          <w:rFonts w:ascii="宋体" w:hAnsi="宋体" w:cs="宋体"/>
          <w:b/>
          <w:bCs/>
          <w:sz w:val="24"/>
          <w:szCs w:val="24"/>
          <w:highlight w:val="none"/>
        </w:rPr>
      </w:pPr>
      <w:bookmarkStart w:id="80" w:name="_Toc12115"/>
      <w:bookmarkStart w:id="81" w:name="_Toc9059"/>
      <w:r>
        <w:rPr>
          <w:rFonts w:hint="eastAsia" w:ascii="宋体" w:hAnsi="宋体" w:cs="宋体"/>
          <w:b/>
          <w:bCs/>
          <w:sz w:val="24"/>
          <w:szCs w:val="24"/>
          <w:highlight w:val="none"/>
        </w:rPr>
        <w:t>2.5 组织设计交底</w:t>
      </w:r>
      <w:bookmarkEnd w:id="80"/>
      <w:bookmarkEnd w:id="8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发包人应根据合同进度计划，组织设计单位向承包人进行设计交底。</w:t>
      </w:r>
    </w:p>
    <w:p>
      <w:pPr>
        <w:wordWrap w:val="0"/>
        <w:spacing w:line="460" w:lineRule="exact"/>
        <w:outlineLvl w:val="1"/>
        <w:rPr>
          <w:rFonts w:ascii="宋体" w:hAnsi="宋体" w:cs="宋体"/>
          <w:b/>
          <w:bCs/>
          <w:sz w:val="24"/>
          <w:szCs w:val="24"/>
          <w:highlight w:val="none"/>
        </w:rPr>
      </w:pPr>
      <w:bookmarkStart w:id="82" w:name="_Toc10796"/>
      <w:bookmarkStart w:id="83" w:name="_Toc10191"/>
      <w:r>
        <w:rPr>
          <w:rFonts w:hint="eastAsia" w:ascii="宋体" w:hAnsi="宋体" w:cs="宋体"/>
          <w:b/>
          <w:bCs/>
          <w:sz w:val="24"/>
          <w:szCs w:val="24"/>
          <w:highlight w:val="none"/>
        </w:rPr>
        <w:t>2.6 支付合同价款</w:t>
      </w:r>
      <w:bookmarkEnd w:id="82"/>
      <w:bookmarkEnd w:id="8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发包人应按合同约定向承包人及时支付合同价款。</w:t>
      </w:r>
    </w:p>
    <w:p>
      <w:pPr>
        <w:wordWrap w:val="0"/>
        <w:spacing w:line="460" w:lineRule="exact"/>
        <w:outlineLvl w:val="1"/>
        <w:rPr>
          <w:rFonts w:ascii="宋体" w:hAnsi="宋体" w:cs="宋体"/>
          <w:b/>
          <w:bCs/>
          <w:sz w:val="24"/>
          <w:szCs w:val="24"/>
          <w:highlight w:val="none"/>
        </w:rPr>
      </w:pPr>
      <w:bookmarkStart w:id="84" w:name="_Toc18709"/>
      <w:bookmarkStart w:id="85" w:name="_Toc8798"/>
      <w:r>
        <w:rPr>
          <w:rFonts w:hint="eastAsia" w:ascii="宋体" w:hAnsi="宋体" w:cs="宋体"/>
          <w:b/>
          <w:bCs/>
          <w:sz w:val="24"/>
          <w:szCs w:val="24"/>
          <w:highlight w:val="none"/>
        </w:rPr>
        <w:t>2.7 组织竣工验收</w:t>
      </w:r>
      <w:bookmarkEnd w:id="84"/>
      <w:bookmarkEnd w:id="8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发包人应按合同约定及时组织法人验收。</w:t>
      </w:r>
    </w:p>
    <w:p>
      <w:pPr>
        <w:wordWrap w:val="0"/>
        <w:spacing w:line="460" w:lineRule="exact"/>
        <w:outlineLvl w:val="1"/>
        <w:rPr>
          <w:rFonts w:ascii="宋体" w:hAnsi="宋体" w:cs="宋体"/>
          <w:b/>
          <w:bCs/>
          <w:sz w:val="24"/>
          <w:szCs w:val="24"/>
          <w:highlight w:val="none"/>
        </w:rPr>
      </w:pPr>
      <w:bookmarkStart w:id="86" w:name="_Toc25646"/>
      <w:bookmarkStart w:id="87" w:name="_Toc681"/>
      <w:r>
        <w:rPr>
          <w:rFonts w:hint="eastAsia" w:ascii="宋体" w:hAnsi="宋体" w:cs="宋体"/>
          <w:b/>
          <w:bCs/>
          <w:sz w:val="24"/>
          <w:szCs w:val="24"/>
          <w:highlight w:val="none"/>
        </w:rPr>
        <w:t>2.8 其他义务</w:t>
      </w:r>
      <w:bookmarkEnd w:id="86"/>
      <w:bookmarkEnd w:id="8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其它义务在专用合同条款中补充约定。</w:t>
      </w:r>
    </w:p>
    <w:p>
      <w:pPr>
        <w:wordWrap w:val="0"/>
        <w:spacing w:line="460" w:lineRule="exact"/>
        <w:outlineLvl w:val="0"/>
        <w:rPr>
          <w:rFonts w:ascii="宋体" w:hAnsi="宋体" w:cs="宋体"/>
          <w:b/>
          <w:bCs/>
          <w:sz w:val="24"/>
          <w:szCs w:val="24"/>
          <w:highlight w:val="none"/>
        </w:rPr>
      </w:pPr>
      <w:bookmarkStart w:id="88" w:name="_Toc31634"/>
      <w:bookmarkStart w:id="89" w:name="_Toc30934"/>
      <w:r>
        <w:rPr>
          <w:rFonts w:hint="eastAsia" w:ascii="宋体" w:hAnsi="宋体" w:cs="宋体"/>
          <w:b/>
          <w:bCs/>
          <w:sz w:val="24"/>
          <w:szCs w:val="24"/>
          <w:highlight w:val="none"/>
        </w:rPr>
        <w:t>3. 监理人</w:t>
      </w:r>
      <w:bookmarkEnd w:id="88"/>
      <w:bookmarkEnd w:id="89"/>
    </w:p>
    <w:p>
      <w:pPr>
        <w:wordWrap w:val="0"/>
        <w:spacing w:line="460" w:lineRule="exact"/>
        <w:outlineLvl w:val="1"/>
        <w:rPr>
          <w:rFonts w:ascii="宋体" w:hAnsi="宋体" w:cs="宋体"/>
          <w:b/>
          <w:bCs/>
          <w:sz w:val="24"/>
          <w:szCs w:val="24"/>
          <w:highlight w:val="none"/>
        </w:rPr>
      </w:pPr>
      <w:bookmarkStart w:id="90" w:name="_Toc24759"/>
      <w:bookmarkStart w:id="91" w:name="_Toc26212"/>
      <w:r>
        <w:rPr>
          <w:rFonts w:hint="eastAsia" w:ascii="宋体" w:hAnsi="宋体" w:cs="宋体"/>
          <w:b/>
          <w:bCs/>
          <w:sz w:val="24"/>
          <w:szCs w:val="24"/>
          <w:highlight w:val="none"/>
        </w:rPr>
        <w:t>3.1 监理人的职责和权力</w:t>
      </w:r>
      <w:bookmarkEnd w:id="90"/>
      <w:bookmarkEnd w:id="9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3.1.2 监理人发出的任何指示应视为已得到发包人的批准，但监理人无权免除或变更合同约定的发包人和承包人的权利、义务和责任。</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3.1.3 合同约定应由承包人承担的义务和责任，不因监理人对承包人提交文件的审查或批准，对工程、材料和设备的检查和检验，以及为实施监理作出的指示等职务行为而减轻或解除。</w:t>
      </w:r>
    </w:p>
    <w:p>
      <w:pPr>
        <w:wordWrap w:val="0"/>
        <w:spacing w:line="460" w:lineRule="exact"/>
        <w:outlineLvl w:val="1"/>
        <w:rPr>
          <w:rFonts w:ascii="宋体" w:hAnsi="宋体" w:cs="宋体"/>
          <w:b/>
          <w:bCs/>
          <w:sz w:val="24"/>
          <w:szCs w:val="24"/>
          <w:highlight w:val="none"/>
        </w:rPr>
      </w:pPr>
      <w:bookmarkStart w:id="92" w:name="_Toc28793"/>
      <w:bookmarkStart w:id="93" w:name="_Toc31868"/>
      <w:r>
        <w:rPr>
          <w:rFonts w:hint="eastAsia" w:ascii="宋体" w:hAnsi="宋体" w:cs="宋体"/>
          <w:b/>
          <w:bCs/>
          <w:sz w:val="24"/>
          <w:szCs w:val="24"/>
          <w:highlight w:val="none"/>
        </w:rPr>
        <w:t>3.2 总监理工程师</w:t>
      </w:r>
      <w:bookmarkEnd w:id="92"/>
      <w:bookmarkEnd w:id="9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发包人应在发出开工通知前将总监理工程师的任命通知承包人。总监理工程师更换时，应在调离14天前通知承包人。总监理工程师短期离开施工场地的，应委派代表代行其职责，并通知承包人。</w:t>
      </w:r>
    </w:p>
    <w:p>
      <w:pPr>
        <w:wordWrap w:val="0"/>
        <w:spacing w:line="460" w:lineRule="exact"/>
        <w:outlineLvl w:val="1"/>
        <w:rPr>
          <w:rFonts w:ascii="宋体" w:hAnsi="宋体" w:cs="宋体"/>
          <w:b/>
          <w:bCs/>
          <w:sz w:val="24"/>
          <w:szCs w:val="24"/>
          <w:highlight w:val="none"/>
        </w:rPr>
      </w:pPr>
      <w:bookmarkStart w:id="94" w:name="_Toc56"/>
      <w:bookmarkStart w:id="95" w:name="_Toc28927"/>
      <w:r>
        <w:rPr>
          <w:rFonts w:hint="eastAsia" w:ascii="宋体" w:hAnsi="宋体" w:cs="宋体"/>
          <w:b/>
          <w:bCs/>
          <w:sz w:val="24"/>
          <w:szCs w:val="24"/>
          <w:highlight w:val="none"/>
        </w:rPr>
        <w:t>3.3 监理人员</w:t>
      </w:r>
      <w:bookmarkEnd w:id="94"/>
      <w:bookmarkEnd w:id="9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3.3.3 承包人对总监理工程师授权的监理人员发出的指示有疑问的，可向总监理工程师提出书面异议，总监理工程师应在48小时内对该指示予以确认、更改或撤销。</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3.3.4 除专用合同条款另有约定外，总监理工程师不应将第3.5款约定应由总监理工程师作出确定的权力授权或委托给其他监理人员。</w:t>
      </w:r>
    </w:p>
    <w:p>
      <w:pPr>
        <w:wordWrap w:val="0"/>
        <w:spacing w:line="460" w:lineRule="exact"/>
        <w:outlineLvl w:val="1"/>
        <w:rPr>
          <w:rFonts w:ascii="宋体" w:hAnsi="宋体" w:cs="宋体"/>
          <w:b/>
          <w:bCs/>
          <w:sz w:val="24"/>
          <w:szCs w:val="24"/>
          <w:highlight w:val="none"/>
        </w:rPr>
      </w:pPr>
      <w:bookmarkStart w:id="96" w:name="_Toc5209"/>
      <w:bookmarkStart w:id="97" w:name="_Toc32705"/>
      <w:r>
        <w:rPr>
          <w:rFonts w:hint="eastAsia" w:ascii="宋体" w:hAnsi="宋体" w:cs="宋体"/>
          <w:b/>
          <w:bCs/>
          <w:sz w:val="24"/>
          <w:szCs w:val="24"/>
          <w:highlight w:val="none"/>
        </w:rPr>
        <w:t>3.4 监理人的指示</w:t>
      </w:r>
      <w:bookmarkEnd w:id="96"/>
      <w:bookmarkEnd w:id="9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3.4.1 监理人应按第3.1款的约定向承包人发出指示，监理人的指示应盖有监理人授权的施工场地机构章，并由总监理工程师或总监理工程师按第3.3.1项约定授权的监理人员签字。</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3.4.2 承包人收到监理人按第3.4.1项作出的指示后应遵照执行。指示构成变更的，应按第15条处理。</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3.4.4 除合同另有约定外，承包人只从总监理工程师或按第3.3.1项被授权的监理人员处取得指示。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3.4.5 由于监理人未能按合同约定发出指示、指示延误或指示错误而导致承包人费用增加和（或）工期延误的，由发包人承担赔偿责任。</w:t>
      </w:r>
    </w:p>
    <w:p>
      <w:pPr>
        <w:wordWrap w:val="0"/>
        <w:spacing w:line="460" w:lineRule="exact"/>
        <w:outlineLvl w:val="1"/>
        <w:rPr>
          <w:rFonts w:ascii="宋体" w:hAnsi="宋体" w:cs="宋体"/>
          <w:b/>
          <w:bCs/>
          <w:sz w:val="24"/>
          <w:szCs w:val="24"/>
          <w:highlight w:val="none"/>
        </w:rPr>
      </w:pPr>
      <w:bookmarkStart w:id="98" w:name="_Toc19590"/>
      <w:bookmarkStart w:id="99" w:name="_Toc7306"/>
      <w:r>
        <w:rPr>
          <w:rFonts w:hint="eastAsia" w:ascii="宋体" w:hAnsi="宋体" w:cs="宋体"/>
          <w:b/>
          <w:bCs/>
          <w:sz w:val="24"/>
          <w:szCs w:val="24"/>
          <w:highlight w:val="none"/>
        </w:rPr>
        <w:t>3.5 商定或确定</w:t>
      </w:r>
      <w:bookmarkEnd w:id="98"/>
      <w:bookmarkEnd w:id="9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3.5.1合同约定总监理工程师应按照本款对任何事项进行商定或确定时，总监理工程师应与合同当事人协商，尽量达成一致。不能达成一致的，总监理工程师应认真研究后审慎确定。</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wordWrap w:val="0"/>
        <w:spacing w:line="460" w:lineRule="exact"/>
        <w:outlineLvl w:val="0"/>
        <w:rPr>
          <w:rFonts w:ascii="宋体" w:hAnsi="宋体" w:cs="宋体"/>
          <w:b/>
          <w:bCs/>
          <w:sz w:val="24"/>
          <w:szCs w:val="24"/>
          <w:highlight w:val="none"/>
        </w:rPr>
      </w:pPr>
      <w:bookmarkStart w:id="100" w:name="_Toc19006"/>
      <w:bookmarkStart w:id="101" w:name="_Toc306"/>
      <w:r>
        <w:rPr>
          <w:rFonts w:hint="eastAsia" w:ascii="宋体" w:hAnsi="宋体" w:cs="宋体"/>
          <w:b/>
          <w:bCs/>
          <w:sz w:val="24"/>
          <w:szCs w:val="24"/>
          <w:highlight w:val="none"/>
        </w:rPr>
        <w:t>4. 承包人</w:t>
      </w:r>
      <w:bookmarkEnd w:id="100"/>
      <w:bookmarkEnd w:id="101"/>
    </w:p>
    <w:p>
      <w:pPr>
        <w:wordWrap w:val="0"/>
        <w:spacing w:line="460" w:lineRule="exact"/>
        <w:outlineLvl w:val="1"/>
        <w:rPr>
          <w:rFonts w:ascii="宋体" w:hAnsi="宋体" w:cs="宋体"/>
          <w:b/>
          <w:bCs/>
          <w:sz w:val="24"/>
          <w:szCs w:val="24"/>
          <w:highlight w:val="none"/>
        </w:rPr>
      </w:pPr>
      <w:bookmarkStart w:id="102" w:name="_Toc4744"/>
      <w:bookmarkStart w:id="103" w:name="_Toc8104"/>
      <w:r>
        <w:rPr>
          <w:rFonts w:hint="eastAsia" w:ascii="宋体" w:hAnsi="宋体" w:cs="宋体"/>
          <w:b/>
          <w:bCs/>
          <w:sz w:val="24"/>
          <w:szCs w:val="24"/>
          <w:highlight w:val="none"/>
        </w:rPr>
        <w:t>4.1 承包人的一般义务</w:t>
      </w:r>
      <w:bookmarkEnd w:id="102"/>
      <w:bookmarkEnd w:id="10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4.1.1 遵守法律</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承包人在履行合同过程中应遵守法律，并保证发包人免于承担因承包人违反法律而引起的任何责任。</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4.1.2 依法纳税</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承包人应按有关法律规定纳税，应缴纳的税金包括在合同价格内。</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4.1.3 完成各项承包工作</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4.1.4 对施工作业和施工方法的完备性负责</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承包人应按合同约定的工作内容和施工进度要求，编制施工组织设计和施工措施计划，并对所有施工作业和施工方法的完备性和安全可靠性负责。</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4.1.5 保证工程施工和人员的安全</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承包人应按第9.2款约定采取施工安全措施，确保工程及其人员、材料、设备和设施的安全，防止因工程施工造成的人身伤害和财产损失。</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4.1.6 负责施工场地及其周边环境与生态的保护工作</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承包人应按照第9.4款约定负责施工场地及其周边环境与生态的保护工作。</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4.1.7 避免施工对公众与他人的利益造成损害</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4.1.8 为他人提供方便</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4.1.9 工程的维护和照管</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4.1.10 其他义务</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其它义务在专用合同条款中补充约定。</w:t>
      </w:r>
    </w:p>
    <w:p>
      <w:pPr>
        <w:wordWrap w:val="0"/>
        <w:spacing w:line="460" w:lineRule="exact"/>
        <w:outlineLvl w:val="1"/>
        <w:rPr>
          <w:rFonts w:ascii="宋体" w:hAnsi="宋体" w:cs="宋体"/>
          <w:b/>
          <w:bCs/>
          <w:sz w:val="24"/>
          <w:szCs w:val="24"/>
          <w:highlight w:val="none"/>
        </w:rPr>
      </w:pPr>
      <w:bookmarkStart w:id="104" w:name="_Toc6341"/>
      <w:bookmarkStart w:id="105" w:name="_Toc9899"/>
      <w:r>
        <w:rPr>
          <w:rFonts w:hint="eastAsia" w:ascii="宋体" w:hAnsi="宋体" w:cs="宋体"/>
          <w:b/>
          <w:bCs/>
          <w:sz w:val="24"/>
          <w:szCs w:val="24"/>
          <w:highlight w:val="none"/>
        </w:rPr>
        <w:t>4.2 履约担保</w:t>
      </w:r>
      <w:bookmarkEnd w:id="104"/>
      <w:bookmarkEnd w:id="10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承包人应保证其履约担保在发包人颁发合同工程完工证书前一直有效。发包人应在合同工程完工证书颁发后28天内将履约担保退还给承包人。</w:t>
      </w:r>
    </w:p>
    <w:p>
      <w:pPr>
        <w:wordWrap w:val="0"/>
        <w:spacing w:line="460" w:lineRule="exact"/>
        <w:outlineLvl w:val="1"/>
        <w:rPr>
          <w:rFonts w:ascii="宋体" w:hAnsi="宋体" w:cs="宋体"/>
          <w:b/>
          <w:bCs/>
          <w:sz w:val="24"/>
          <w:szCs w:val="24"/>
          <w:highlight w:val="none"/>
        </w:rPr>
      </w:pPr>
      <w:bookmarkStart w:id="106" w:name="_Toc21344"/>
      <w:bookmarkStart w:id="107" w:name="_Toc15986"/>
      <w:r>
        <w:rPr>
          <w:rFonts w:hint="eastAsia" w:ascii="宋体" w:hAnsi="宋体" w:cs="宋体"/>
          <w:b/>
          <w:bCs/>
          <w:sz w:val="24"/>
          <w:szCs w:val="24"/>
          <w:highlight w:val="none"/>
        </w:rPr>
        <w:t>4.3 分包</w:t>
      </w:r>
      <w:bookmarkEnd w:id="106"/>
      <w:bookmarkEnd w:id="10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4.3.1 承包人不得将其承包的全部工程转包给第三人，或将其承包的全部工程肢解后以分包的名义转包给第三人。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4.3.2 承包人不得将工程主体、关键性工作分包给第三人。除专用合同条款另有约定外，未经发包人同意，承包人不得将工程的其他部分或工作分包给第三人。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4.3.3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由指定分包人造成的与其分包工作有关的一切索赔、诉讼和损失赔偿由指定分包人直接对发包人负责，承包人不对此承担责任。</w:t>
      </w:r>
    </w:p>
    <w:p>
      <w:pPr>
        <w:wordWrap w:val="0"/>
        <w:spacing w:line="460" w:lineRule="exact"/>
        <w:outlineLvl w:val="1"/>
        <w:rPr>
          <w:rFonts w:ascii="宋体" w:hAnsi="宋体" w:cs="宋体"/>
          <w:b/>
          <w:bCs/>
          <w:sz w:val="24"/>
          <w:szCs w:val="24"/>
          <w:highlight w:val="none"/>
        </w:rPr>
      </w:pPr>
      <w:bookmarkStart w:id="108" w:name="_Toc3378"/>
      <w:bookmarkStart w:id="109" w:name="_Toc25392"/>
      <w:r>
        <w:rPr>
          <w:rFonts w:hint="eastAsia" w:ascii="宋体" w:hAnsi="宋体" w:cs="宋体"/>
          <w:b/>
          <w:bCs/>
          <w:sz w:val="24"/>
          <w:szCs w:val="24"/>
          <w:highlight w:val="none"/>
        </w:rPr>
        <w:t>4.4 联合体</w:t>
      </w:r>
      <w:bookmarkEnd w:id="108"/>
      <w:bookmarkEnd w:id="10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4.4.1 联合体各方应共同与发包人签订合同协议书。联合体各方应为履行合同承担连带责任。</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4.4.2 联合体协议经发包人确认后作为合同附件。在履行合同过程中，未经发包人同意，不得修改联合体协议。</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4.4.3 联合体牵头人负责与发包人和监理人联系，并接受指示，负责组织联合体各成员全面履行合同。</w:t>
      </w:r>
    </w:p>
    <w:p>
      <w:pPr>
        <w:wordWrap w:val="0"/>
        <w:spacing w:line="460" w:lineRule="exact"/>
        <w:outlineLvl w:val="1"/>
        <w:rPr>
          <w:rFonts w:ascii="宋体" w:hAnsi="宋体" w:cs="宋体"/>
          <w:b/>
          <w:bCs/>
          <w:sz w:val="24"/>
          <w:szCs w:val="24"/>
          <w:highlight w:val="none"/>
        </w:rPr>
      </w:pPr>
      <w:bookmarkStart w:id="110" w:name="_Toc20569"/>
      <w:bookmarkStart w:id="111" w:name="_Toc14034"/>
      <w:r>
        <w:rPr>
          <w:rFonts w:hint="eastAsia" w:ascii="宋体" w:hAnsi="宋体" w:cs="宋体"/>
          <w:b/>
          <w:bCs/>
          <w:sz w:val="24"/>
          <w:szCs w:val="24"/>
          <w:highlight w:val="none"/>
        </w:rPr>
        <w:t>4.5 承包人项目经理</w:t>
      </w:r>
      <w:bookmarkEnd w:id="110"/>
      <w:bookmarkEnd w:id="11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4.5.3承包人为履行合同发出的一切函件均应盖有承包人授权的施工场地管理机构章，并由承包人项目经理或其授权代表签字。</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4.5.4 承包人项目经理可以授权其下属人员履行其某项职责，但事先应将这些人员的姓名和授权范围通知监理人。</w:t>
      </w:r>
    </w:p>
    <w:p>
      <w:pPr>
        <w:wordWrap w:val="0"/>
        <w:spacing w:line="460" w:lineRule="exact"/>
        <w:outlineLvl w:val="1"/>
        <w:rPr>
          <w:rFonts w:ascii="宋体" w:hAnsi="宋体" w:cs="宋体"/>
          <w:b/>
          <w:bCs/>
          <w:sz w:val="24"/>
          <w:szCs w:val="24"/>
          <w:highlight w:val="none"/>
        </w:rPr>
      </w:pPr>
      <w:bookmarkStart w:id="112" w:name="_Toc11467"/>
      <w:bookmarkStart w:id="113" w:name="_Toc25537"/>
      <w:r>
        <w:rPr>
          <w:rFonts w:hint="eastAsia" w:ascii="宋体" w:hAnsi="宋体" w:cs="宋体"/>
          <w:b/>
          <w:bCs/>
          <w:sz w:val="24"/>
          <w:szCs w:val="24"/>
          <w:highlight w:val="none"/>
        </w:rPr>
        <w:t>4.6 承包人人员的管理</w:t>
      </w:r>
      <w:bookmarkEnd w:id="112"/>
      <w:bookmarkEnd w:id="11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4.6.2 为完成合同约定的各项工作，承包人应向施工场地派遣或雇佣足够数量的下列人员：</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（1）具有相应资格的专业技工和合格的普工；</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（2）具有相应施工经验的技术人员；</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（3）具有相应岗位资格的各级管理人员。</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4.6.3 承包人安排在施工场地的主要管理人员和技术骨干应相对稳定。承包人更换主要管理人员和技术骨干时，应取得监理人的同意。</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4.6.4 特殊岗位的工作人员均应持有相应的资格证明，监理人有权随时检查。监理人认为有必要时，可进行现场考核。</w:t>
      </w:r>
    </w:p>
    <w:p>
      <w:pPr>
        <w:wordWrap w:val="0"/>
        <w:spacing w:line="460" w:lineRule="exact"/>
        <w:outlineLvl w:val="1"/>
        <w:rPr>
          <w:rFonts w:ascii="宋体" w:hAnsi="宋体" w:cs="宋体"/>
          <w:b/>
          <w:bCs/>
          <w:sz w:val="24"/>
          <w:szCs w:val="24"/>
          <w:highlight w:val="none"/>
        </w:rPr>
      </w:pPr>
      <w:bookmarkStart w:id="114" w:name="_Toc5361"/>
      <w:bookmarkStart w:id="115" w:name="_Toc18148"/>
      <w:r>
        <w:rPr>
          <w:rFonts w:hint="eastAsia" w:ascii="宋体" w:hAnsi="宋体" w:cs="宋体"/>
          <w:b/>
          <w:bCs/>
          <w:sz w:val="24"/>
          <w:szCs w:val="24"/>
          <w:highlight w:val="none"/>
        </w:rPr>
        <w:t>4.7 撤换承包人项目经理和其他人员</w:t>
      </w:r>
      <w:bookmarkEnd w:id="114"/>
      <w:bookmarkEnd w:id="11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承包人应对其项目经理和其他人员进行有效管理。监理人要求撤换不能胜任本职工作、行为不端或玩忽职守的承包人项目经理和其他人员的，承包人应予以撤换。</w:t>
      </w:r>
    </w:p>
    <w:p>
      <w:pPr>
        <w:wordWrap w:val="0"/>
        <w:spacing w:line="460" w:lineRule="exact"/>
        <w:outlineLvl w:val="1"/>
        <w:rPr>
          <w:rFonts w:ascii="宋体" w:hAnsi="宋体" w:cs="宋体"/>
          <w:b/>
          <w:bCs/>
          <w:sz w:val="24"/>
          <w:szCs w:val="24"/>
          <w:highlight w:val="none"/>
        </w:rPr>
      </w:pPr>
      <w:bookmarkStart w:id="116" w:name="_Toc26684"/>
      <w:bookmarkStart w:id="117" w:name="_Toc27033"/>
      <w:r>
        <w:rPr>
          <w:rFonts w:hint="eastAsia" w:ascii="宋体" w:hAnsi="宋体" w:cs="宋体"/>
          <w:b/>
          <w:bCs/>
          <w:sz w:val="24"/>
          <w:szCs w:val="24"/>
          <w:highlight w:val="none"/>
        </w:rPr>
        <w:t>4.8 保障承包人人员的合法权益</w:t>
      </w:r>
      <w:bookmarkEnd w:id="116"/>
      <w:bookmarkEnd w:id="11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4.8.1 承包人应与其雇佣的人员签订劳动合同，购买社保并按时发放工资。</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4.8.3 承包人应为其雇佣人员提供必要的食宿条件，以及符合环境保护和卫生要求的生活环境，在远离城镇的施工场地，还应配备必要的伤病防治和急救的医务人员与医疗设施。</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4.8.5 承包人应按有关法律规定和合同约定，为其雇佣人员办理保险。</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4.8.6 承包人应负责处理其雇佣人员因工伤亡事故的善后事宜。</w:t>
      </w:r>
    </w:p>
    <w:p>
      <w:pPr>
        <w:wordWrap w:val="0"/>
        <w:spacing w:line="460" w:lineRule="exact"/>
        <w:outlineLvl w:val="1"/>
        <w:rPr>
          <w:rFonts w:ascii="宋体" w:hAnsi="宋体" w:cs="宋体"/>
          <w:b/>
          <w:bCs/>
          <w:sz w:val="24"/>
          <w:szCs w:val="24"/>
          <w:highlight w:val="none"/>
        </w:rPr>
      </w:pPr>
      <w:bookmarkStart w:id="118" w:name="_Toc28814"/>
      <w:bookmarkStart w:id="119" w:name="_Toc19802"/>
      <w:r>
        <w:rPr>
          <w:rFonts w:hint="eastAsia" w:ascii="宋体" w:hAnsi="宋体" w:cs="宋体"/>
          <w:b/>
          <w:bCs/>
          <w:sz w:val="24"/>
          <w:szCs w:val="24"/>
          <w:highlight w:val="none"/>
        </w:rPr>
        <w:t>4.9 工程价款应专款专用</w:t>
      </w:r>
      <w:bookmarkEnd w:id="118"/>
      <w:bookmarkEnd w:id="11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发包人按合同约定支付给承包人的各项价款应专用于合同工程。</w:t>
      </w:r>
    </w:p>
    <w:p>
      <w:pPr>
        <w:wordWrap w:val="0"/>
        <w:spacing w:line="460" w:lineRule="exact"/>
        <w:outlineLvl w:val="1"/>
        <w:rPr>
          <w:rFonts w:ascii="宋体" w:hAnsi="宋体" w:cs="宋体"/>
          <w:b/>
          <w:bCs/>
          <w:sz w:val="24"/>
          <w:szCs w:val="24"/>
          <w:highlight w:val="none"/>
        </w:rPr>
      </w:pPr>
      <w:bookmarkStart w:id="120" w:name="_Toc14961"/>
      <w:bookmarkStart w:id="121" w:name="_Toc21534"/>
      <w:r>
        <w:rPr>
          <w:rFonts w:hint="eastAsia" w:ascii="宋体" w:hAnsi="宋体" w:cs="宋体"/>
          <w:b/>
          <w:bCs/>
          <w:sz w:val="24"/>
          <w:szCs w:val="24"/>
          <w:highlight w:val="none"/>
        </w:rPr>
        <w:t>4.10 承包人现场查勘</w:t>
      </w:r>
      <w:bookmarkEnd w:id="120"/>
      <w:bookmarkEnd w:id="12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4.10.1 发包人应将其持有的现场地质勘探资料、水文气象资料提供给承包人，并对其准确性负责。但承包人应对其阅读上述有关资料后所作出的解释和推断负责。</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wordWrap w:val="0"/>
        <w:spacing w:line="460" w:lineRule="exact"/>
        <w:outlineLvl w:val="1"/>
        <w:rPr>
          <w:rFonts w:ascii="宋体" w:hAnsi="宋体" w:cs="宋体"/>
          <w:b/>
          <w:bCs/>
          <w:sz w:val="24"/>
          <w:szCs w:val="24"/>
          <w:highlight w:val="none"/>
        </w:rPr>
      </w:pPr>
      <w:bookmarkStart w:id="122" w:name="_Toc12049"/>
      <w:bookmarkStart w:id="123" w:name="_Toc12681"/>
      <w:r>
        <w:rPr>
          <w:rFonts w:hint="eastAsia" w:ascii="宋体" w:hAnsi="宋体" w:cs="宋体"/>
          <w:b/>
          <w:bCs/>
          <w:sz w:val="24"/>
          <w:szCs w:val="24"/>
          <w:highlight w:val="none"/>
        </w:rPr>
        <w:t>4.11 不利物质条件</w:t>
      </w:r>
      <w:bookmarkEnd w:id="122"/>
      <w:bookmarkEnd w:id="12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4.11.1 除专用合同条款另有约定外，不利物质条件是指在施工中遭遇不可预见的外界障碍或自然条件造成施工受阻。</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pPr>
        <w:wordWrap w:val="0"/>
        <w:spacing w:line="460" w:lineRule="exact"/>
        <w:outlineLvl w:val="0"/>
        <w:rPr>
          <w:rFonts w:ascii="宋体" w:hAnsi="宋体" w:cs="宋体"/>
          <w:b/>
          <w:bCs/>
          <w:sz w:val="24"/>
          <w:szCs w:val="24"/>
          <w:highlight w:val="none"/>
        </w:rPr>
      </w:pPr>
      <w:bookmarkStart w:id="124" w:name="_Toc5658"/>
      <w:bookmarkStart w:id="125" w:name="_Toc128"/>
      <w:r>
        <w:rPr>
          <w:rFonts w:hint="eastAsia" w:ascii="宋体" w:hAnsi="宋体" w:cs="宋体"/>
          <w:b/>
          <w:bCs/>
          <w:sz w:val="24"/>
          <w:szCs w:val="24"/>
          <w:highlight w:val="none"/>
        </w:rPr>
        <w:t>5. 材料和工程设备</w:t>
      </w:r>
      <w:bookmarkEnd w:id="124"/>
      <w:bookmarkEnd w:id="125"/>
    </w:p>
    <w:p>
      <w:pPr>
        <w:wordWrap w:val="0"/>
        <w:spacing w:line="460" w:lineRule="exact"/>
        <w:outlineLvl w:val="1"/>
        <w:rPr>
          <w:rFonts w:ascii="宋体" w:hAnsi="宋体" w:cs="宋体"/>
          <w:b/>
          <w:bCs/>
          <w:sz w:val="24"/>
          <w:szCs w:val="24"/>
          <w:highlight w:val="none"/>
        </w:rPr>
      </w:pPr>
      <w:bookmarkStart w:id="126" w:name="_Toc19408"/>
      <w:bookmarkStart w:id="127" w:name="_Toc15369"/>
      <w:r>
        <w:rPr>
          <w:rFonts w:hint="eastAsia" w:ascii="宋体" w:hAnsi="宋体" w:cs="宋体"/>
          <w:b/>
          <w:bCs/>
          <w:sz w:val="24"/>
          <w:szCs w:val="24"/>
          <w:highlight w:val="none"/>
        </w:rPr>
        <w:t>5.1 承包人提供的材料和工程设备</w:t>
      </w:r>
      <w:bookmarkEnd w:id="126"/>
      <w:bookmarkEnd w:id="12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5.1.1 承包人负责采购、运输和保管完成本合同工作所需的材料和工程设备。承包人应对其采购的材料和工程设备负责。</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wordWrap w:val="0"/>
        <w:spacing w:line="460" w:lineRule="exact"/>
        <w:outlineLvl w:val="1"/>
        <w:rPr>
          <w:rFonts w:ascii="宋体" w:hAnsi="宋体" w:cs="宋体"/>
          <w:b/>
          <w:bCs/>
          <w:sz w:val="24"/>
          <w:szCs w:val="24"/>
          <w:highlight w:val="none"/>
        </w:rPr>
      </w:pPr>
      <w:bookmarkStart w:id="128" w:name="_Toc9291"/>
      <w:bookmarkStart w:id="129" w:name="_Toc25227"/>
      <w:r>
        <w:rPr>
          <w:rFonts w:hint="eastAsia" w:ascii="宋体" w:hAnsi="宋体" w:cs="宋体"/>
          <w:b/>
          <w:bCs/>
          <w:sz w:val="24"/>
          <w:szCs w:val="24"/>
          <w:highlight w:val="none"/>
        </w:rPr>
        <w:t>5.2 材料和工程设备专用于合同工程</w:t>
      </w:r>
      <w:bookmarkEnd w:id="128"/>
      <w:bookmarkEnd w:id="12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5.2.1运入施工场地的材料、工程设备，包括备品备件、安装专用工器具与随机资料，必须专用于合同工程，未经监理人同意，承包人不得运出施工场地或挪作他用。</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5.2.2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wordWrap w:val="0"/>
        <w:spacing w:line="460" w:lineRule="exact"/>
        <w:outlineLvl w:val="1"/>
        <w:rPr>
          <w:rFonts w:ascii="宋体" w:hAnsi="宋体" w:cs="宋体"/>
          <w:b/>
          <w:bCs/>
          <w:sz w:val="24"/>
          <w:szCs w:val="24"/>
          <w:highlight w:val="none"/>
        </w:rPr>
      </w:pPr>
      <w:bookmarkStart w:id="130" w:name="_Toc16333"/>
      <w:bookmarkStart w:id="131" w:name="_Toc19503"/>
      <w:r>
        <w:rPr>
          <w:rFonts w:hint="eastAsia" w:ascii="宋体" w:hAnsi="宋体" w:cs="宋体"/>
          <w:b/>
          <w:bCs/>
          <w:sz w:val="24"/>
          <w:szCs w:val="24"/>
          <w:highlight w:val="none"/>
        </w:rPr>
        <w:t>5.3 禁止使用不合格的材料和工程设备</w:t>
      </w:r>
      <w:bookmarkEnd w:id="130"/>
      <w:bookmarkEnd w:id="13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5.3.1 监理人有权拒绝承包人提供的不合格材料或工程设备，并要求承包人立即进行更换。监理人应在更换后再次进行检查和检验，由此增加的费用和（或）工期延误由承包人承担。</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5.3.2 监理人发现承包人使用了不合格的材料和工程设备，应即时发出指示要求承包人立即改正，并禁止在工程中继续使用不合格的材料和工程设备。</w:t>
      </w:r>
    </w:p>
    <w:p>
      <w:pPr>
        <w:wordWrap w:val="0"/>
        <w:spacing w:line="460" w:lineRule="exact"/>
        <w:outlineLvl w:val="0"/>
        <w:rPr>
          <w:rFonts w:ascii="宋体" w:hAnsi="宋体" w:cs="宋体"/>
          <w:b/>
          <w:bCs/>
          <w:sz w:val="24"/>
          <w:szCs w:val="24"/>
          <w:highlight w:val="none"/>
        </w:rPr>
      </w:pPr>
      <w:bookmarkStart w:id="132" w:name="_Toc13107"/>
      <w:bookmarkStart w:id="133" w:name="_Toc17856"/>
      <w:r>
        <w:rPr>
          <w:rFonts w:hint="eastAsia" w:ascii="宋体" w:hAnsi="宋体" w:cs="宋体"/>
          <w:b/>
          <w:bCs/>
          <w:sz w:val="24"/>
          <w:szCs w:val="24"/>
          <w:highlight w:val="none"/>
        </w:rPr>
        <w:t>6. 施工设备和临时设施</w:t>
      </w:r>
      <w:bookmarkEnd w:id="132"/>
      <w:bookmarkEnd w:id="133"/>
    </w:p>
    <w:p>
      <w:pPr>
        <w:wordWrap w:val="0"/>
        <w:spacing w:line="460" w:lineRule="exact"/>
        <w:outlineLvl w:val="1"/>
        <w:rPr>
          <w:rFonts w:ascii="宋体" w:hAnsi="宋体" w:cs="宋体"/>
          <w:b/>
          <w:bCs/>
          <w:sz w:val="24"/>
          <w:szCs w:val="24"/>
          <w:highlight w:val="none"/>
        </w:rPr>
      </w:pPr>
      <w:bookmarkStart w:id="134" w:name="_Toc17668"/>
      <w:bookmarkStart w:id="135" w:name="_Toc2794"/>
      <w:r>
        <w:rPr>
          <w:rFonts w:hint="eastAsia" w:ascii="宋体" w:hAnsi="宋体" w:cs="宋体"/>
          <w:b/>
          <w:bCs/>
          <w:sz w:val="24"/>
          <w:szCs w:val="24"/>
          <w:highlight w:val="none"/>
        </w:rPr>
        <w:t>6.1 承包人提供的施工设备和临时设施</w:t>
      </w:r>
      <w:bookmarkEnd w:id="134"/>
      <w:bookmarkEnd w:id="13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6.1.1 承包人应按合同进度计划的要求，及时配置施工设备和修建临时设施。进入施工场地的承包人设备需经监理人核查后才能投入使用。承包人更换合同约定的承包人设备的，应报监理人批准。</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6.1.2除专用合同条款另有约定外，承包人应自行承担修建临时设施的费用，需要临时占地的，应由发包人办理申请手续并承担相应费用。</w:t>
      </w:r>
    </w:p>
    <w:p>
      <w:pPr>
        <w:wordWrap w:val="0"/>
        <w:spacing w:line="460" w:lineRule="exact"/>
        <w:outlineLvl w:val="1"/>
        <w:rPr>
          <w:rFonts w:ascii="宋体" w:hAnsi="宋体" w:cs="宋体"/>
          <w:b/>
          <w:bCs/>
          <w:sz w:val="24"/>
          <w:szCs w:val="24"/>
          <w:highlight w:val="none"/>
        </w:rPr>
      </w:pPr>
      <w:bookmarkStart w:id="136" w:name="_Toc5373"/>
      <w:bookmarkStart w:id="137" w:name="_Toc8957"/>
      <w:r>
        <w:rPr>
          <w:rFonts w:hint="eastAsia" w:ascii="宋体" w:hAnsi="宋体" w:cs="宋体"/>
          <w:b/>
          <w:bCs/>
          <w:sz w:val="24"/>
          <w:szCs w:val="24"/>
          <w:highlight w:val="none"/>
        </w:rPr>
        <w:t>6.2 发包人提供的施工设备和临时设施</w:t>
      </w:r>
      <w:bookmarkEnd w:id="136"/>
      <w:bookmarkEnd w:id="13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发包人提供的施工设备或临时设施在专用合同条款中约定。</w:t>
      </w:r>
    </w:p>
    <w:p>
      <w:pPr>
        <w:wordWrap w:val="0"/>
        <w:spacing w:line="460" w:lineRule="exact"/>
        <w:outlineLvl w:val="1"/>
        <w:rPr>
          <w:rFonts w:ascii="宋体" w:hAnsi="宋体" w:cs="宋体"/>
          <w:b/>
          <w:bCs/>
          <w:sz w:val="24"/>
          <w:szCs w:val="24"/>
          <w:highlight w:val="none"/>
        </w:rPr>
      </w:pPr>
      <w:bookmarkStart w:id="138" w:name="_Toc7759"/>
      <w:bookmarkStart w:id="139" w:name="_Toc18097"/>
      <w:r>
        <w:rPr>
          <w:rFonts w:hint="eastAsia" w:ascii="宋体" w:hAnsi="宋体" w:cs="宋体"/>
          <w:b/>
          <w:bCs/>
          <w:sz w:val="24"/>
          <w:szCs w:val="24"/>
          <w:highlight w:val="none"/>
        </w:rPr>
        <w:t>6.3 要求承包人增加或更换施工设备</w:t>
      </w:r>
      <w:bookmarkEnd w:id="138"/>
      <w:bookmarkEnd w:id="13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承包人使用的施工设备不能满足合同进度计划和（或）质量要求时，监理人有权要求承包人增加或更换施工设备，承包人应及时增加或更换，由此增加的费用和（或）工期延误由承包人承担。</w:t>
      </w:r>
    </w:p>
    <w:p>
      <w:pPr>
        <w:wordWrap w:val="0"/>
        <w:spacing w:line="460" w:lineRule="exact"/>
        <w:outlineLvl w:val="1"/>
        <w:rPr>
          <w:rFonts w:ascii="宋体" w:hAnsi="宋体" w:cs="宋体"/>
          <w:b/>
          <w:bCs/>
          <w:sz w:val="24"/>
          <w:szCs w:val="24"/>
          <w:highlight w:val="none"/>
        </w:rPr>
      </w:pPr>
      <w:bookmarkStart w:id="140" w:name="_Toc15908"/>
      <w:bookmarkStart w:id="141" w:name="_Toc27628"/>
      <w:r>
        <w:rPr>
          <w:rFonts w:hint="eastAsia" w:ascii="宋体" w:hAnsi="宋体" w:cs="宋体"/>
          <w:b/>
          <w:bCs/>
          <w:sz w:val="24"/>
          <w:szCs w:val="24"/>
          <w:highlight w:val="none"/>
        </w:rPr>
        <w:t>6.4 施工设备和临时设施专用于合同工程</w:t>
      </w:r>
      <w:bookmarkEnd w:id="140"/>
      <w:bookmarkEnd w:id="14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6.4.2 经监理人同意，承包人可根据合同进度计划撤走闲置的施工设备。</w:t>
      </w:r>
    </w:p>
    <w:p>
      <w:pPr>
        <w:wordWrap w:val="0"/>
        <w:spacing w:line="460" w:lineRule="exact"/>
        <w:outlineLvl w:val="0"/>
        <w:rPr>
          <w:rFonts w:ascii="宋体" w:hAnsi="宋体" w:cs="宋体"/>
          <w:b/>
          <w:bCs/>
          <w:sz w:val="24"/>
          <w:szCs w:val="24"/>
          <w:highlight w:val="none"/>
        </w:rPr>
      </w:pPr>
      <w:bookmarkStart w:id="142" w:name="_Toc12201"/>
      <w:bookmarkStart w:id="143" w:name="_Toc21494"/>
      <w:r>
        <w:rPr>
          <w:rFonts w:hint="eastAsia" w:ascii="宋体" w:hAnsi="宋体" w:cs="宋体"/>
          <w:b/>
          <w:bCs/>
          <w:sz w:val="24"/>
          <w:szCs w:val="24"/>
          <w:highlight w:val="none"/>
        </w:rPr>
        <w:t>7. 交通运输</w:t>
      </w:r>
      <w:bookmarkEnd w:id="142"/>
      <w:bookmarkEnd w:id="143"/>
    </w:p>
    <w:p>
      <w:pPr>
        <w:wordWrap w:val="0"/>
        <w:spacing w:line="460" w:lineRule="exact"/>
        <w:outlineLvl w:val="1"/>
        <w:rPr>
          <w:rFonts w:ascii="宋体" w:hAnsi="宋体" w:cs="宋体"/>
          <w:b/>
          <w:bCs/>
          <w:sz w:val="24"/>
          <w:szCs w:val="24"/>
          <w:highlight w:val="none"/>
        </w:rPr>
      </w:pPr>
      <w:bookmarkStart w:id="144" w:name="_Toc25304"/>
      <w:bookmarkStart w:id="145" w:name="_Toc29313"/>
      <w:r>
        <w:rPr>
          <w:rFonts w:hint="eastAsia" w:ascii="宋体" w:hAnsi="宋体" w:cs="宋体"/>
          <w:b/>
          <w:bCs/>
          <w:sz w:val="24"/>
          <w:szCs w:val="24"/>
          <w:highlight w:val="none"/>
        </w:rPr>
        <w:t>7.1 道路通行权和场外设施</w:t>
      </w:r>
      <w:bookmarkEnd w:id="144"/>
      <w:bookmarkEnd w:id="14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wordWrap w:val="0"/>
        <w:spacing w:line="460" w:lineRule="exact"/>
        <w:outlineLvl w:val="1"/>
        <w:rPr>
          <w:rFonts w:ascii="宋体" w:hAnsi="宋体" w:cs="宋体"/>
          <w:b/>
          <w:bCs/>
          <w:sz w:val="24"/>
          <w:szCs w:val="24"/>
          <w:highlight w:val="none"/>
        </w:rPr>
      </w:pPr>
      <w:bookmarkStart w:id="146" w:name="_Toc17420"/>
      <w:bookmarkStart w:id="147" w:name="_Toc30475"/>
      <w:r>
        <w:rPr>
          <w:rFonts w:hint="eastAsia" w:ascii="宋体" w:hAnsi="宋体" w:cs="宋体"/>
          <w:b/>
          <w:bCs/>
          <w:sz w:val="24"/>
          <w:szCs w:val="24"/>
          <w:highlight w:val="none"/>
        </w:rPr>
        <w:t>7.2 场内施工道路</w:t>
      </w:r>
      <w:bookmarkEnd w:id="146"/>
      <w:bookmarkEnd w:id="14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7.2.2 承包人修建的临时道路和交通设施，应免费提供发包人、监理人以及与本合同有关的其他承包人使用。</w:t>
      </w:r>
    </w:p>
    <w:p>
      <w:pPr>
        <w:wordWrap w:val="0"/>
        <w:spacing w:line="460" w:lineRule="exact"/>
        <w:outlineLvl w:val="1"/>
        <w:rPr>
          <w:rFonts w:ascii="宋体" w:hAnsi="宋体" w:cs="宋体"/>
          <w:b/>
          <w:bCs/>
          <w:sz w:val="24"/>
          <w:szCs w:val="24"/>
          <w:highlight w:val="none"/>
        </w:rPr>
      </w:pPr>
      <w:bookmarkStart w:id="148" w:name="_Toc2145"/>
      <w:bookmarkStart w:id="149" w:name="_Toc3675"/>
      <w:r>
        <w:rPr>
          <w:rFonts w:hint="eastAsia" w:ascii="宋体" w:hAnsi="宋体" w:cs="宋体"/>
          <w:b/>
          <w:bCs/>
          <w:sz w:val="24"/>
          <w:szCs w:val="24"/>
          <w:highlight w:val="none"/>
        </w:rPr>
        <w:t>7.3 场外交通</w:t>
      </w:r>
      <w:bookmarkEnd w:id="148"/>
      <w:bookmarkEnd w:id="14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7.3.1 承包人车辆外出行驶所需的场外公共道路的通行费、养路费和税款等由承包人承担。</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7.3.2 承包人应遵守有关交通法规，严格按照道路和桥梁的限制荷重安全行驶，并服从交通管理部门的检查和监督。</w:t>
      </w:r>
    </w:p>
    <w:p>
      <w:pPr>
        <w:wordWrap w:val="0"/>
        <w:spacing w:line="460" w:lineRule="exact"/>
        <w:outlineLvl w:val="1"/>
        <w:rPr>
          <w:rFonts w:ascii="宋体" w:hAnsi="宋体" w:cs="宋体"/>
          <w:b/>
          <w:bCs/>
          <w:sz w:val="24"/>
          <w:szCs w:val="24"/>
          <w:highlight w:val="none"/>
        </w:rPr>
      </w:pPr>
      <w:bookmarkStart w:id="150" w:name="_Toc2846"/>
      <w:bookmarkStart w:id="151" w:name="_Toc31023"/>
      <w:r>
        <w:rPr>
          <w:rFonts w:hint="eastAsia" w:ascii="宋体" w:hAnsi="宋体" w:cs="宋体"/>
          <w:b/>
          <w:bCs/>
          <w:sz w:val="24"/>
          <w:szCs w:val="24"/>
          <w:highlight w:val="none"/>
        </w:rPr>
        <w:t>7.4 超大件和超重件的运输</w:t>
      </w:r>
      <w:bookmarkEnd w:id="150"/>
      <w:bookmarkEnd w:id="15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wordWrap w:val="0"/>
        <w:spacing w:line="460" w:lineRule="exact"/>
        <w:outlineLvl w:val="1"/>
        <w:rPr>
          <w:rFonts w:ascii="宋体" w:hAnsi="宋体" w:cs="宋体"/>
          <w:b/>
          <w:bCs/>
          <w:sz w:val="24"/>
          <w:szCs w:val="24"/>
          <w:highlight w:val="none"/>
        </w:rPr>
      </w:pPr>
      <w:bookmarkStart w:id="152" w:name="_Toc29504"/>
      <w:bookmarkStart w:id="153" w:name="_Toc20852"/>
      <w:r>
        <w:rPr>
          <w:rFonts w:hint="eastAsia" w:ascii="宋体" w:hAnsi="宋体" w:cs="宋体"/>
          <w:b/>
          <w:bCs/>
          <w:sz w:val="24"/>
          <w:szCs w:val="24"/>
          <w:highlight w:val="none"/>
        </w:rPr>
        <w:t>7.5 道路和桥梁的损坏责任</w:t>
      </w:r>
      <w:bookmarkEnd w:id="152"/>
      <w:bookmarkEnd w:id="15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因承包人运输造成施工场地内外公共道路和桥梁损坏的，由承包人承担修复损坏的全部费用和可能引起的赔偿。</w:t>
      </w:r>
    </w:p>
    <w:p>
      <w:pPr>
        <w:wordWrap w:val="0"/>
        <w:spacing w:line="460" w:lineRule="exact"/>
        <w:outlineLvl w:val="1"/>
        <w:rPr>
          <w:rFonts w:ascii="宋体" w:hAnsi="宋体" w:cs="宋体"/>
          <w:b/>
          <w:bCs/>
          <w:sz w:val="24"/>
          <w:szCs w:val="24"/>
          <w:highlight w:val="none"/>
        </w:rPr>
      </w:pPr>
      <w:bookmarkStart w:id="154" w:name="_Toc6532"/>
      <w:bookmarkStart w:id="155" w:name="_Toc11984"/>
      <w:r>
        <w:rPr>
          <w:rFonts w:hint="eastAsia" w:ascii="宋体" w:hAnsi="宋体" w:cs="宋体"/>
          <w:b/>
          <w:bCs/>
          <w:sz w:val="24"/>
          <w:szCs w:val="24"/>
          <w:highlight w:val="none"/>
        </w:rPr>
        <w:t>7.6 水路和航空运输</w:t>
      </w:r>
      <w:bookmarkEnd w:id="154"/>
      <w:bookmarkEnd w:id="15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本条上述各款的内容适用于水路运输和航空运输，其中“道路”一词的涵义包括河道、航线、船闸、机场、码头、堤防以及水路或航空运输中其他相似结构物；“车辆”一词的涵义包括船舶和飞机等。</w:t>
      </w:r>
    </w:p>
    <w:p>
      <w:pPr>
        <w:wordWrap w:val="0"/>
        <w:spacing w:line="460" w:lineRule="exact"/>
        <w:outlineLvl w:val="0"/>
        <w:rPr>
          <w:rFonts w:ascii="宋体" w:hAnsi="宋体" w:cs="宋体"/>
          <w:b/>
          <w:bCs/>
          <w:sz w:val="24"/>
          <w:szCs w:val="24"/>
          <w:highlight w:val="none"/>
        </w:rPr>
      </w:pPr>
      <w:bookmarkStart w:id="156" w:name="_Toc15694"/>
      <w:bookmarkStart w:id="157" w:name="_Toc4425"/>
      <w:r>
        <w:rPr>
          <w:rFonts w:hint="eastAsia" w:ascii="宋体" w:hAnsi="宋体" w:cs="宋体"/>
          <w:b/>
          <w:bCs/>
          <w:sz w:val="24"/>
          <w:szCs w:val="24"/>
          <w:highlight w:val="none"/>
        </w:rPr>
        <w:t>8. 测量放线</w:t>
      </w:r>
      <w:bookmarkEnd w:id="156"/>
      <w:bookmarkEnd w:id="157"/>
    </w:p>
    <w:p>
      <w:pPr>
        <w:wordWrap w:val="0"/>
        <w:spacing w:line="460" w:lineRule="exact"/>
        <w:outlineLvl w:val="1"/>
        <w:rPr>
          <w:rFonts w:ascii="宋体" w:hAnsi="宋体" w:cs="宋体"/>
          <w:b/>
          <w:bCs/>
          <w:sz w:val="24"/>
          <w:szCs w:val="24"/>
          <w:highlight w:val="none"/>
        </w:rPr>
      </w:pPr>
      <w:bookmarkStart w:id="158" w:name="_Toc13071"/>
      <w:bookmarkStart w:id="159" w:name="_Toc13936"/>
      <w:r>
        <w:rPr>
          <w:rFonts w:hint="eastAsia" w:ascii="宋体" w:hAnsi="宋体" w:cs="宋体"/>
          <w:b/>
          <w:bCs/>
          <w:sz w:val="24"/>
          <w:szCs w:val="24"/>
          <w:highlight w:val="none"/>
        </w:rPr>
        <w:t>8.1 施工控制网</w:t>
      </w:r>
      <w:bookmarkEnd w:id="158"/>
      <w:bookmarkEnd w:id="15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8.1.2承包人应负责管理施工控制网点。施工控制网点丢失或损坏的，承包人应及时修复。承包人应承担施工控制网点的管理与修复费用，并在工程竣工后将施工控制网点移交发包人。</w:t>
      </w:r>
    </w:p>
    <w:p>
      <w:pPr>
        <w:wordWrap w:val="0"/>
        <w:spacing w:line="460" w:lineRule="exact"/>
        <w:outlineLvl w:val="1"/>
        <w:rPr>
          <w:rFonts w:ascii="宋体" w:hAnsi="宋体" w:cs="宋体"/>
          <w:b/>
          <w:bCs/>
          <w:sz w:val="24"/>
          <w:szCs w:val="24"/>
          <w:highlight w:val="none"/>
        </w:rPr>
      </w:pPr>
      <w:bookmarkStart w:id="160" w:name="_Toc6170"/>
      <w:bookmarkStart w:id="161" w:name="_Toc21568"/>
      <w:r>
        <w:rPr>
          <w:rFonts w:hint="eastAsia" w:ascii="宋体" w:hAnsi="宋体" w:cs="宋体"/>
          <w:b/>
          <w:bCs/>
          <w:sz w:val="24"/>
          <w:szCs w:val="24"/>
          <w:highlight w:val="none"/>
        </w:rPr>
        <w:t>8.2 施工测量</w:t>
      </w:r>
      <w:bookmarkEnd w:id="160"/>
      <w:bookmarkEnd w:id="16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8.2.1承包人应负责施工过程中的全部施工测量放线工作，并配置合格的人员、仪器、设备和其他物品。</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8.2.2监理人可以指示承包人进行抽样复测，当复测中发现错误或出现超过合同约定的误差时，承包人应按监理人指示进行修正或补测，并承担相应的复测费用。</w:t>
      </w:r>
    </w:p>
    <w:p>
      <w:pPr>
        <w:wordWrap w:val="0"/>
        <w:spacing w:line="460" w:lineRule="exact"/>
        <w:outlineLvl w:val="1"/>
        <w:rPr>
          <w:rFonts w:ascii="宋体" w:hAnsi="宋体" w:cs="宋体"/>
          <w:b/>
          <w:bCs/>
          <w:sz w:val="24"/>
          <w:szCs w:val="24"/>
          <w:highlight w:val="none"/>
        </w:rPr>
      </w:pPr>
      <w:bookmarkStart w:id="162" w:name="_Toc22546"/>
      <w:bookmarkStart w:id="163" w:name="_Toc31516"/>
      <w:r>
        <w:rPr>
          <w:rFonts w:hint="eastAsia" w:ascii="宋体" w:hAnsi="宋体" w:cs="宋体"/>
          <w:b/>
          <w:bCs/>
          <w:sz w:val="24"/>
          <w:szCs w:val="24"/>
          <w:highlight w:val="none"/>
        </w:rPr>
        <w:t>8.3 基准资料错误的责任</w:t>
      </w:r>
      <w:bookmarkEnd w:id="162"/>
      <w:bookmarkEnd w:id="16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wordWrap w:val="0"/>
        <w:spacing w:line="460" w:lineRule="exact"/>
        <w:outlineLvl w:val="1"/>
        <w:rPr>
          <w:rFonts w:ascii="宋体" w:hAnsi="宋体" w:cs="宋体"/>
          <w:b/>
          <w:bCs/>
          <w:sz w:val="24"/>
          <w:szCs w:val="24"/>
          <w:highlight w:val="none"/>
        </w:rPr>
      </w:pPr>
      <w:bookmarkStart w:id="164" w:name="_Toc8278"/>
      <w:bookmarkStart w:id="165" w:name="_Toc29135"/>
      <w:r>
        <w:rPr>
          <w:rFonts w:hint="eastAsia" w:ascii="宋体" w:hAnsi="宋体" w:cs="宋体"/>
          <w:b/>
          <w:bCs/>
          <w:sz w:val="24"/>
          <w:szCs w:val="24"/>
          <w:highlight w:val="none"/>
        </w:rPr>
        <w:t>8.4 监理人使用施工控制网</w:t>
      </w:r>
      <w:bookmarkEnd w:id="164"/>
      <w:bookmarkEnd w:id="16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监理人需要使用施工控制网的，承包人应提供必要的协助，发包人不再为此支付费用。</w:t>
      </w:r>
    </w:p>
    <w:p>
      <w:pPr>
        <w:wordWrap w:val="0"/>
        <w:spacing w:line="460" w:lineRule="exact"/>
        <w:outlineLvl w:val="1"/>
        <w:rPr>
          <w:rFonts w:ascii="宋体" w:hAnsi="宋体" w:cs="宋体"/>
          <w:b/>
          <w:bCs/>
          <w:sz w:val="24"/>
          <w:szCs w:val="24"/>
          <w:highlight w:val="none"/>
        </w:rPr>
      </w:pPr>
      <w:bookmarkStart w:id="166" w:name="_Toc28340"/>
      <w:bookmarkStart w:id="167" w:name="_Toc18255"/>
      <w:r>
        <w:rPr>
          <w:rFonts w:hint="eastAsia" w:ascii="宋体" w:hAnsi="宋体" w:cs="宋体"/>
          <w:b/>
          <w:bCs/>
          <w:sz w:val="24"/>
          <w:szCs w:val="24"/>
          <w:highlight w:val="none"/>
        </w:rPr>
        <w:t>8.5 补充地质勘探</w:t>
      </w:r>
      <w:bookmarkEnd w:id="166"/>
      <w:bookmarkEnd w:id="16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pPr>
        <w:wordWrap w:val="0"/>
        <w:spacing w:line="460" w:lineRule="exact"/>
        <w:outlineLvl w:val="0"/>
        <w:rPr>
          <w:rFonts w:ascii="宋体" w:hAnsi="宋体" w:cs="宋体"/>
          <w:b/>
          <w:bCs/>
          <w:sz w:val="24"/>
          <w:szCs w:val="24"/>
          <w:highlight w:val="none"/>
        </w:rPr>
      </w:pPr>
      <w:bookmarkStart w:id="168" w:name="_Toc26550"/>
      <w:bookmarkStart w:id="169" w:name="_Toc3848"/>
      <w:r>
        <w:rPr>
          <w:rFonts w:hint="eastAsia" w:ascii="宋体" w:hAnsi="宋体" w:cs="宋体"/>
          <w:b/>
          <w:bCs/>
          <w:sz w:val="24"/>
          <w:szCs w:val="24"/>
          <w:highlight w:val="none"/>
        </w:rPr>
        <w:t>9. 施工安全、治安保卫和环境保护</w:t>
      </w:r>
      <w:bookmarkEnd w:id="168"/>
      <w:bookmarkEnd w:id="169"/>
    </w:p>
    <w:p>
      <w:pPr>
        <w:wordWrap w:val="0"/>
        <w:spacing w:line="460" w:lineRule="exact"/>
        <w:outlineLvl w:val="1"/>
        <w:rPr>
          <w:rFonts w:ascii="宋体" w:hAnsi="宋体" w:cs="宋体"/>
          <w:b/>
          <w:bCs/>
          <w:sz w:val="24"/>
          <w:szCs w:val="24"/>
          <w:highlight w:val="none"/>
        </w:rPr>
      </w:pPr>
      <w:bookmarkStart w:id="170" w:name="_Toc18677"/>
      <w:bookmarkStart w:id="171" w:name="_Toc31415"/>
      <w:r>
        <w:rPr>
          <w:rFonts w:hint="eastAsia" w:ascii="宋体" w:hAnsi="宋体" w:cs="宋体"/>
          <w:b/>
          <w:bCs/>
          <w:sz w:val="24"/>
          <w:szCs w:val="24"/>
          <w:highlight w:val="none"/>
        </w:rPr>
        <w:t>9.1 发包人的施工安全责任</w:t>
      </w:r>
      <w:bookmarkEnd w:id="170"/>
      <w:bookmarkEnd w:id="17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9.1.2 发包人应对其现场机构雇佣的全部人员的工伤事故承担责任，但由于承包人原因造成发包人人员工伤的，应由承包人承担责任。</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9.1.3 发包人应负责赔偿以下各种情况造成的第三者人身伤亡和财产损失：</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（1）工程或工程的任何部分对土地的占用所造成的第三者财产损失；</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（2）由于发包人原因在施工场地及其毗邻地带造成的第三者人身伤亡和财产损失。</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9.1.5 发包人按照已标价工程量清单所列金额和合同约定的计量支付规定，支付安全作业环境及安全施工措施所需费用。</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9.1.6 发包人负责组织工程参建单位编制保证安全生产的措施方案。工程开工前，就落实保证安全生产的措施进行全面系统的布置，进一步明确承包人的安全生产责任。</w:t>
      </w:r>
    </w:p>
    <w:p>
      <w:pPr>
        <w:wordWrap w:val="0"/>
        <w:spacing w:line="460" w:lineRule="exact"/>
        <w:outlineLvl w:val="1"/>
        <w:rPr>
          <w:rFonts w:ascii="宋体" w:hAnsi="宋体" w:cs="宋体"/>
          <w:b/>
          <w:bCs/>
          <w:sz w:val="24"/>
          <w:szCs w:val="24"/>
          <w:highlight w:val="none"/>
        </w:rPr>
      </w:pPr>
      <w:bookmarkStart w:id="172" w:name="_Toc8260"/>
      <w:bookmarkStart w:id="173" w:name="_Toc21224"/>
      <w:r>
        <w:rPr>
          <w:rFonts w:hint="eastAsia" w:ascii="宋体" w:hAnsi="宋体" w:cs="宋体"/>
          <w:b/>
          <w:bCs/>
          <w:sz w:val="24"/>
          <w:szCs w:val="24"/>
          <w:highlight w:val="none"/>
        </w:rPr>
        <w:t>9.2 承包人的施工安全责任</w:t>
      </w:r>
      <w:bookmarkEnd w:id="172"/>
      <w:bookmarkEnd w:id="17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9.2.2 承包人应加强施工作业安全管理，特别应加强易燃、易爆材料、火工器材、有毒与腐蚀性材料和其他危险品的管理，以及对爆破作业和地下工程施工等危险作业的管理。</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9.2.3 承包人应严格按照国家安全标准制定施工安全操作规程，配备必要的安全生产和劳动保护设施，加强对承包人人员的安全教育，并发放安全工作手册和劳动保护用具。</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9.2.4 承包人应按监理人的指示制定应对灾害的紧急预案，报送监理人审批。承包人还应按预案做好安全检查，配置必要的救助物资和器材，切实保护好有关人员的人身和财产安全。</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9.2.5 合同约定的安全作业环境及安全施工措施所需费用应遵守有关规定，并包括在相关工作的合同价格中。因采取合同未约定的安全作业环境及安全施工措施增加的费用，由监理人按第3.5款商定或确定。</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9.2.6 承包人应对其履行合同所雇佣的全部人员，包括分包人人员的工伤事故承担责任，但由于发包人原因造成承包人人员工伤事故的，应由发包人承担责任。</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9.2.7 由于承包人原因在施工场地内及其毗邻地带造成的第三者人员伤亡和财产损失，由承包人负责赔偿。</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9.2.8 承包人已标价工程量清单应包含工程安全作业环境及安全施工措施所需费用。</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9.2.10 承包人应设立安全生产管理机构，施工现场应有专职安全生产管理人员。</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9.2.11 承包人应负责对特种作业人员进行专门的安全作业培训，并保证特种作业人员持证上岗。</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9.2.13 承包人在使用施工起重机械和整体提升脚手架、模板等自升式架设设施前，应组织有关单位进行验收。</w:t>
      </w:r>
    </w:p>
    <w:p>
      <w:pPr>
        <w:wordWrap w:val="0"/>
        <w:spacing w:line="460" w:lineRule="exact"/>
        <w:outlineLvl w:val="1"/>
        <w:rPr>
          <w:rFonts w:ascii="宋体" w:hAnsi="宋体" w:cs="宋体"/>
          <w:b/>
          <w:bCs/>
          <w:sz w:val="24"/>
          <w:szCs w:val="24"/>
          <w:highlight w:val="none"/>
        </w:rPr>
      </w:pPr>
      <w:bookmarkStart w:id="174" w:name="_Toc13456"/>
      <w:bookmarkStart w:id="175" w:name="_Toc8795"/>
      <w:r>
        <w:rPr>
          <w:rFonts w:hint="eastAsia" w:ascii="宋体" w:hAnsi="宋体" w:cs="宋体"/>
          <w:b/>
          <w:bCs/>
          <w:sz w:val="24"/>
          <w:szCs w:val="24"/>
          <w:highlight w:val="none"/>
        </w:rPr>
        <w:t>9.3 治安保卫</w:t>
      </w:r>
      <w:bookmarkEnd w:id="174"/>
      <w:bookmarkEnd w:id="17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9.3.1 承包人应统一管理施工场地的治安保卫事项，履行合同工程的治安保卫职责。</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9.3.2 承包人应做好包括生活区在内的各自管辖区的治安保卫工作。</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9.3.3 承包人应在工程开工后，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wordWrap w:val="0"/>
        <w:spacing w:line="460" w:lineRule="exact"/>
        <w:outlineLvl w:val="1"/>
        <w:rPr>
          <w:rFonts w:ascii="宋体" w:hAnsi="宋体" w:cs="宋体"/>
          <w:b/>
          <w:bCs/>
          <w:sz w:val="24"/>
          <w:szCs w:val="24"/>
          <w:highlight w:val="none"/>
        </w:rPr>
      </w:pPr>
      <w:bookmarkStart w:id="176" w:name="_Toc23807"/>
      <w:bookmarkStart w:id="177" w:name="_Toc22670"/>
      <w:r>
        <w:rPr>
          <w:rFonts w:hint="eastAsia" w:ascii="宋体" w:hAnsi="宋体" w:cs="宋体"/>
          <w:b/>
          <w:bCs/>
          <w:sz w:val="24"/>
          <w:szCs w:val="24"/>
          <w:highlight w:val="none"/>
        </w:rPr>
        <w:t>9.4 环境保护</w:t>
      </w:r>
      <w:bookmarkEnd w:id="176"/>
      <w:bookmarkEnd w:id="17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9.4.1 承包人在施工过程中，应遵守有关环境保护的法律，履行合同约定的环境保护义务，并对违反法律和合同约定义务所造成的环境破坏、人身伤害和财产损失负责。</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9.4.2 承包人应按合同约定的环保工作内容，编制施工环保措施计划，报送监理人审批。</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9.4.4 承包人应按合同约定采取有效措施，对施工开挖的边坡及时进行支护,维护排水设施，并进行水土保护，避免因施工造成的地质灾害。</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9.4.5 承包人应按国家饮用水管理标准定期对饮用水源进行监测，防止施工活动污染饮用水源。</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9.4.6 承包人应按合同约定，加强对噪声、粉尘、废气、废水和废油的控制，努力降低噪声，控制粉尘和废气浓度，做好废水和废油的治理和排放。</w:t>
      </w:r>
    </w:p>
    <w:p>
      <w:pPr>
        <w:wordWrap w:val="0"/>
        <w:spacing w:line="460" w:lineRule="exact"/>
        <w:outlineLvl w:val="1"/>
        <w:rPr>
          <w:rFonts w:ascii="宋体" w:hAnsi="宋体" w:cs="宋体"/>
          <w:b/>
          <w:bCs/>
          <w:sz w:val="24"/>
          <w:szCs w:val="24"/>
          <w:highlight w:val="none"/>
        </w:rPr>
      </w:pPr>
      <w:bookmarkStart w:id="178" w:name="_Toc638"/>
      <w:bookmarkStart w:id="179" w:name="_Toc22439"/>
      <w:r>
        <w:rPr>
          <w:rFonts w:hint="eastAsia" w:ascii="宋体" w:hAnsi="宋体" w:cs="宋体"/>
          <w:b/>
          <w:bCs/>
          <w:sz w:val="24"/>
          <w:szCs w:val="24"/>
          <w:highlight w:val="none"/>
        </w:rPr>
        <w:t>9.5 事故处理</w:t>
      </w:r>
      <w:bookmarkEnd w:id="178"/>
      <w:bookmarkEnd w:id="17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9.5.1 发包人负责组织参建单位制定本工程的质量与安全事故应急预案。</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9.5.2 承包人应对施工现场易发生重大事故的部位、环节进行监控，配备救援器材、设备，并定期组织演练。</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9.5.3 工程开工前，承包人应根据本工程的特点制定施工现场施工质量与安全事故应急预案，并报发包人备案。</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9.5.4 施工过程中发生事故时，发包人、承包人应立即启动应急预案。</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9.5.5 事故调查处理由发包人按相关规定履行手续，承包人应配合。</w:t>
      </w:r>
    </w:p>
    <w:p>
      <w:pPr>
        <w:wordWrap w:val="0"/>
        <w:spacing w:line="460" w:lineRule="exact"/>
        <w:outlineLvl w:val="1"/>
        <w:rPr>
          <w:rFonts w:ascii="宋体" w:hAnsi="宋体" w:cs="宋体"/>
          <w:b/>
          <w:bCs/>
          <w:sz w:val="24"/>
          <w:szCs w:val="24"/>
          <w:highlight w:val="none"/>
        </w:rPr>
      </w:pPr>
      <w:bookmarkStart w:id="180" w:name="_Toc22853"/>
      <w:bookmarkStart w:id="181" w:name="_Toc14148"/>
      <w:r>
        <w:rPr>
          <w:rFonts w:hint="eastAsia" w:ascii="宋体" w:hAnsi="宋体" w:cs="宋体"/>
          <w:b/>
          <w:bCs/>
          <w:sz w:val="24"/>
          <w:szCs w:val="24"/>
          <w:highlight w:val="none"/>
        </w:rPr>
        <w:t>9.6 水土保持</w:t>
      </w:r>
      <w:bookmarkEnd w:id="180"/>
      <w:bookmarkEnd w:id="18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9.6.1 承包人在施工过程中，应遵守有关水土保持的法律法规和规章，履行合同约定的水土保持义务，并对其违反法律和合同约定义务所造成的水土流失灾害、人身伤害和财产损失负责。</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9.6.2承包人的水土保持措施计划，应满足技术标准和要求（合同技术条款）约定的要求。</w:t>
      </w:r>
    </w:p>
    <w:p>
      <w:pPr>
        <w:wordWrap w:val="0"/>
        <w:spacing w:line="460" w:lineRule="exact"/>
        <w:outlineLvl w:val="1"/>
        <w:rPr>
          <w:rFonts w:ascii="宋体" w:hAnsi="宋体" w:cs="宋体"/>
          <w:b/>
          <w:bCs/>
          <w:sz w:val="24"/>
          <w:szCs w:val="24"/>
          <w:highlight w:val="none"/>
        </w:rPr>
      </w:pPr>
      <w:bookmarkStart w:id="182" w:name="_Toc26783"/>
      <w:bookmarkStart w:id="183" w:name="_Toc26466"/>
      <w:r>
        <w:rPr>
          <w:rFonts w:hint="eastAsia" w:ascii="宋体" w:hAnsi="宋体" w:cs="宋体"/>
          <w:b/>
          <w:bCs/>
          <w:sz w:val="24"/>
          <w:szCs w:val="24"/>
          <w:highlight w:val="none"/>
        </w:rPr>
        <w:t>9.7 文明工地</w:t>
      </w:r>
      <w:bookmarkEnd w:id="182"/>
      <w:bookmarkEnd w:id="18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承包人应按创建文明建设工地的规划和办法，履行职责，承担相应责任。所需费用应含在已标价工程量清单中。</w:t>
      </w:r>
    </w:p>
    <w:p>
      <w:pPr>
        <w:wordWrap w:val="0"/>
        <w:spacing w:line="460" w:lineRule="exact"/>
        <w:outlineLvl w:val="0"/>
        <w:rPr>
          <w:rFonts w:ascii="宋体" w:hAnsi="宋体" w:cs="宋体"/>
          <w:b/>
          <w:bCs/>
          <w:sz w:val="24"/>
          <w:szCs w:val="24"/>
          <w:highlight w:val="none"/>
        </w:rPr>
      </w:pPr>
      <w:bookmarkStart w:id="184" w:name="_Toc20097"/>
      <w:bookmarkStart w:id="185" w:name="_Toc12531"/>
      <w:r>
        <w:rPr>
          <w:rFonts w:hint="eastAsia" w:ascii="宋体" w:hAnsi="宋体" w:cs="宋体"/>
          <w:b/>
          <w:bCs/>
          <w:sz w:val="24"/>
          <w:szCs w:val="24"/>
          <w:highlight w:val="none"/>
        </w:rPr>
        <w:t>10. 进度计划</w:t>
      </w:r>
      <w:bookmarkEnd w:id="184"/>
      <w:bookmarkEnd w:id="185"/>
    </w:p>
    <w:p>
      <w:pPr>
        <w:wordWrap w:val="0"/>
        <w:spacing w:line="460" w:lineRule="exact"/>
        <w:outlineLvl w:val="1"/>
        <w:rPr>
          <w:rFonts w:ascii="宋体" w:hAnsi="宋体" w:cs="宋体"/>
          <w:b/>
          <w:bCs/>
          <w:sz w:val="24"/>
          <w:szCs w:val="24"/>
          <w:highlight w:val="none"/>
        </w:rPr>
      </w:pPr>
      <w:bookmarkStart w:id="186" w:name="_Toc27819"/>
      <w:bookmarkStart w:id="187" w:name="_Toc6364"/>
      <w:r>
        <w:rPr>
          <w:rFonts w:hint="eastAsia" w:ascii="宋体" w:hAnsi="宋体" w:cs="宋体"/>
          <w:b/>
          <w:bCs/>
          <w:sz w:val="24"/>
          <w:szCs w:val="24"/>
          <w:highlight w:val="none"/>
        </w:rPr>
        <w:t>10.1 合同进度计划</w:t>
      </w:r>
      <w:bookmarkEnd w:id="186"/>
      <w:bookmarkEnd w:id="18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pPr>
        <w:wordWrap w:val="0"/>
        <w:spacing w:line="460" w:lineRule="exact"/>
        <w:outlineLvl w:val="1"/>
        <w:rPr>
          <w:rFonts w:ascii="宋体" w:hAnsi="宋体" w:cs="宋体"/>
          <w:b/>
          <w:bCs/>
          <w:sz w:val="24"/>
          <w:szCs w:val="24"/>
          <w:highlight w:val="none"/>
        </w:rPr>
      </w:pPr>
      <w:bookmarkStart w:id="188" w:name="_Toc28517"/>
      <w:bookmarkStart w:id="189" w:name="_Toc24155"/>
      <w:r>
        <w:rPr>
          <w:rFonts w:hint="eastAsia" w:ascii="宋体" w:hAnsi="宋体" w:cs="宋体"/>
          <w:b/>
          <w:bCs/>
          <w:sz w:val="24"/>
          <w:szCs w:val="24"/>
          <w:highlight w:val="none"/>
        </w:rPr>
        <w:t>10.2 合同进度计划的修订</w:t>
      </w:r>
      <w:bookmarkEnd w:id="188"/>
      <w:bookmarkEnd w:id="18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pPr>
        <w:wordWrap w:val="0"/>
        <w:spacing w:line="460" w:lineRule="exact"/>
        <w:outlineLvl w:val="1"/>
        <w:rPr>
          <w:rFonts w:ascii="宋体" w:hAnsi="宋体" w:cs="宋体"/>
          <w:b/>
          <w:bCs/>
          <w:sz w:val="24"/>
          <w:szCs w:val="24"/>
          <w:highlight w:val="none"/>
        </w:rPr>
      </w:pPr>
      <w:bookmarkStart w:id="190" w:name="_Toc22387"/>
      <w:bookmarkStart w:id="191" w:name="_Toc29423"/>
      <w:r>
        <w:rPr>
          <w:rFonts w:hint="eastAsia" w:ascii="宋体" w:hAnsi="宋体" w:cs="宋体"/>
          <w:b/>
          <w:bCs/>
          <w:sz w:val="24"/>
          <w:szCs w:val="24"/>
          <w:highlight w:val="none"/>
        </w:rPr>
        <w:t>10.3 单位工程进度计划</w:t>
      </w:r>
      <w:bookmarkEnd w:id="190"/>
      <w:bookmarkEnd w:id="19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监理人认为有必要时，承包人应按监理人指示的内容和期限，并根据合同进度计划的进度控制要求，编制单位工程进度计划，提交监理人审批。</w:t>
      </w:r>
    </w:p>
    <w:p>
      <w:pPr>
        <w:wordWrap w:val="0"/>
        <w:spacing w:line="460" w:lineRule="exact"/>
        <w:outlineLvl w:val="1"/>
        <w:rPr>
          <w:rFonts w:ascii="宋体" w:hAnsi="宋体" w:cs="宋体"/>
          <w:b/>
          <w:bCs/>
          <w:sz w:val="24"/>
          <w:szCs w:val="24"/>
          <w:highlight w:val="none"/>
        </w:rPr>
      </w:pPr>
      <w:bookmarkStart w:id="192" w:name="_Toc10657"/>
      <w:bookmarkStart w:id="193" w:name="_Toc32019"/>
      <w:r>
        <w:rPr>
          <w:rFonts w:hint="eastAsia" w:ascii="宋体" w:hAnsi="宋体" w:cs="宋体"/>
          <w:b/>
          <w:bCs/>
          <w:sz w:val="24"/>
          <w:szCs w:val="24"/>
          <w:highlight w:val="none"/>
        </w:rPr>
        <w:t>10.4 提交资金流估算表</w:t>
      </w:r>
      <w:bookmarkEnd w:id="192"/>
      <w:bookmarkEnd w:id="19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pPr>
        <w:wordWrap w:val="0"/>
        <w:spacing w:line="460" w:lineRule="exact"/>
        <w:outlineLvl w:val="0"/>
        <w:rPr>
          <w:rFonts w:ascii="宋体" w:hAnsi="宋体" w:cs="宋体"/>
          <w:b/>
          <w:bCs/>
          <w:sz w:val="24"/>
          <w:szCs w:val="24"/>
          <w:highlight w:val="none"/>
        </w:rPr>
      </w:pPr>
      <w:bookmarkStart w:id="194" w:name="_Toc17129"/>
      <w:bookmarkStart w:id="195" w:name="_Toc25041"/>
      <w:r>
        <w:rPr>
          <w:rFonts w:hint="eastAsia" w:ascii="宋体" w:hAnsi="宋体" w:cs="宋体"/>
          <w:b/>
          <w:bCs/>
          <w:sz w:val="24"/>
          <w:szCs w:val="24"/>
          <w:highlight w:val="none"/>
        </w:rPr>
        <w:t>11. 开工和竣工</w:t>
      </w:r>
      <w:bookmarkEnd w:id="194"/>
      <w:bookmarkEnd w:id="195"/>
    </w:p>
    <w:p>
      <w:pPr>
        <w:wordWrap w:val="0"/>
        <w:spacing w:line="460" w:lineRule="exact"/>
        <w:outlineLvl w:val="1"/>
        <w:rPr>
          <w:rFonts w:ascii="宋体" w:hAnsi="宋体" w:cs="宋体"/>
          <w:b/>
          <w:bCs/>
          <w:sz w:val="24"/>
          <w:szCs w:val="24"/>
          <w:highlight w:val="none"/>
        </w:rPr>
      </w:pPr>
      <w:bookmarkStart w:id="196" w:name="_Toc12039"/>
      <w:bookmarkStart w:id="197" w:name="_Toc9671"/>
      <w:r>
        <w:rPr>
          <w:rFonts w:hint="eastAsia" w:ascii="宋体" w:hAnsi="宋体" w:cs="宋体"/>
          <w:b/>
          <w:bCs/>
          <w:sz w:val="24"/>
          <w:szCs w:val="24"/>
          <w:highlight w:val="none"/>
        </w:rPr>
        <w:t>11.1 开工</w:t>
      </w:r>
      <w:bookmarkEnd w:id="196"/>
      <w:bookmarkEnd w:id="19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11.1.1 监理人应在开工日期7天前向承包人发出开工通知。监理人在发出开工通知前应获得发包人同意。工期自监理人发出的开工通知中载明的开工日期起计算。承包人应在开工日期后尽快施工。</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11.1.3 若发包人未能按合同约定向承包人提供开工的必要条件，承包人有权要求延长工期。监理人应在收到承包人的书面要求后，按第3.5款的约定，与合同双方商定或确定增加的费用和延长的工期。</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pPr>
        <w:wordWrap w:val="0"/>
        <w:spacing w:line="460" w:lineRule="exact"/>
        <w:outlineLvl w:val="1"/>
        <w:rPr>
          <w:rFonts w:ascii="宋体" w:hAnsi="宋体" w:cs="宋体"/>
          <w:b/>
          <w:bCs/>
          <w:sz w:val="24"/>
          <w:szCs w:val="24"/>
          <w:highlight w:val="none"/>
        </w:rPr>
      </w:pPr>
      <w:bookmarkStart w:id="198" w:name="_Toc20552"/>
      <w:bookmarkStart w:id="199" w:name="_Toc19578"/>
      <w:r>
        <w:rPr>
          <w:rFonts w:hint="eastAsia" w:ascii="宋体" w:hAnsi="宋体" w:cs="宋体"/>
          <w:b/>
          <w:bCs/>
          <w:sz w:val="24"/>
          <w:szCs w:val="24"/>
          <w:highlight w:val="none"/>
        </w:rPr>
        <w:t>11.2 竣工（完工）</w:t>
      </w:r>
      <w:bookmarkEnd w:id="198"/>
      <w:bookmarkEnd w:id="19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承包人应在第1.1.4.3目约定的期限内完成合同工程。合同工程实际完工日期在合同工程完工证书中明确。</w:t>
      </w:r>
    </w:p>
    <w:p>
      <w:pPr>
        <w:wordWrap w:val="0"/>
        <w:spacing w:line="460" w:lineRule="exact"/>
        <w:outlineLvl w:val="1"/>
        <w:rPr>
          <w:rFonts w:ascii="宋体" w:hAnsi="宋体" w:cs="宋体"/>
          <w:b/>
          <w:bCs/>
          <w:sz w:val="24"/>
          <w:szCs w:val="24"/>
          <w:highlight w:val="none"/>
        </w:rPr>
      </w:pPr>
      <w:bookmarkStart w:id="200" w:name="_Toc18118"/>
      <w:bookmarkStart w:id="201" w:name="_Toc29101"/>
      <w:r>
        <w:rPr>
          <w:rFonts w:hint="eastAsia" w:ascii="宋体" w:hAnsi="宋体" w:cs="宋体"/>
          <w:b/>
          <w:bCs/>
          <w:sz w:val="24"/>
          <w:szCs w:val="24"/>
          <w:highlight w:val="none"/>
        </w:rPr>
        <w:t>11.3 发包人的工期延误</w:t>
      </w:r>
      <w:bookmarkEnd w:id="200"/>
      <w:bookmarkEnd w:id="20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在履行合同过程中，由于发包人的下列原因造成工期延误的，承包人有权要求发包人延长工期和（或）增加费用，并支付合理利润。需要修订合同进度计划的，按照第10.2款的约定办理。</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（1）增加合同工作内容；</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（2）改变合同中任何一项工作的质量要求或其他特性；</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（3）发包人迟延提供材料、工程设备或变更交货地点的；</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（4）因发包人原因导致的暂停施工；</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（5）提供图纸延误；</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（6）未按合同约定及时支付预付款、进度款，因财政原因导致的除外；</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（7）发包人造成工期延误的其他原因。</w:t>
      </w:r>
    </w:p>
    <w:p>
      <w:pPr>
        <w:wordWrap w:val="0"/>
        <w:spacing w:line="460" w:lineRule="exact"/>
        <w:outlineLvl w:val="1"/>
        <w:rPr>
          <w:rFonts w:ascii="宋体" w:hAnsi="宋体" w:cs="宋体"/>
          <w:b/>
          <w:bCs/>
          <w:sz w:val="24"/>
          <w:szCs w:val="24"/>
          <w:highlight w:val="none"/>
        </w:rPr>
      </w:pPr>
      <w:bookmarkStart w:id="202" w:name="_Toc24736"/>
      <w:bookmarkStart w:id="203" w:name="_Toc13750"/>
      <w:r>
        <w:rPr>
          <w:rFonts w:hint="eastAsia" w:ascii="宋体" w:hAnsi="宋体" w:cs="宋体"/>
          <w:b/>
          <w:bCs/>
          <w:sz w:val="24"/>
          <w:szCs w:val="24"/>
          <w:highlight w:val="none"/>
        </w:rPr>
        <w:t>11.4 异常恶劣的气候条件</w:t>
      </w:r>
      <w:bookmarkEnd w:id="202"/>
      <w:bookmarkEnd w:id="20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由于出现专用合同条款规定的异常恶劣气候的条件导致工期延误的，承包人有权要求发包人延长工期。</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11.4.1 当工程所在地发生危及施工安全的异常恶劣气候时，发包人和承包人应按本合同通用合同条款第12条的约定，及时采取暂停施工或部分暂停施工措施。异常恶劣气候条件解除后，承包人应及时安排复工。</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11.4.2 异常恶劣气候条件造成的工期延误和工程损坏，应由发包人与承包人参照本合同通用合同条款第21.3款的约定协商处理。</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11.4.3 本合同工程界定异常恶劣气候条件的范围在专用合同条款中约定。</w:t>
      </w:r>
    </w:p>
    <w:p>
      <w:pPr>
        <w:wordWrap w:val="0"/>
        <w:spacing w:line="460" w:lineRule="exact"/>
        <w:outlineLvl w:val="1"/>
        <w:rPr>
          <w:rFonts w:ascii="宋体" w:hAnsi="宋体" w:cs="宋体"/>
          <w:b/>
          <w:bCs/>
          <w:sz w:val="24"/>
          <w:szCs w:val="24"/>
          <w:highlight w:val="none"/>
        </w:rPr>
      </w:pPr>
      <w:bookmarkStart w:id="204" w:name="_Toc12948"/>
      <w:bookmarkStart w:id="205" w:name="_Toc5212"/>
      <w:r>
        <w:rPr>
          <w:rFonts w:hint="eastAsia" w:ascii="宋体" w:hAnsi="宋体" w:cs="宋体"/>
          <w:b/>
          <w:bCs/>
          <w:sz w:val="24"/>
          <w:szCs w:val="24"/>
          <w:highlight w:val="none"/>
        </w:rPr>
        <w:t>11.5 承包人的工期延误</w:t>
      </w:r>
      <w:bookmarkEnd w:id="204"/>
      <w:bookmarkEnd w:id="20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wordWrap w:val="0"/>
        <w:spacing w:line="460" w:lineRule="exact"/>
        <w:outlineLvl w:val="1"/>
        <w:rPr>
          <w:rFonts w:ascii="宋体" w:hAnsi="宋体" w:cs="宋体"/>
          <w:b/>
          <w:bCs/>
          <w:sz w:val="24"/>
          <w:szCs w:val="24"/>
          <w:highlight w:val="none"/>
        </w:rPr>
      </w:pPr>
      <w:bookmarkStart w:id="206" w:name="_Toc19961"/>
      <w:bookmarkStart w:id="207" w:name="_Toc28929"/>
      <w:r>
        <w:rPr>
          <w:rFonts w:hint="eastAsia" w:ascii="宋体" w:hAnsi="宋体" w:cs="宋体"/>
          <w:b/>
          <w:bCs/>
          <w:sz w:val="24"/>
          <w:szCs w:val="24"/>
          <w:highlight w:val="none"/>
        </w:rPr>
        <w:t>11.6 工期提前</w:t>
      </w:r>
      <w:bookmarkEnd w:id="206"/>
      <w:bookmarkEnd w:id="20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发包人要求提前完工的，双方协商一致后应签订提前完工协议，协议内容包括：</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（1）提前的时间和修订后的进度计划；</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（2）承包人的赶工措施；</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（3）发包人为赶工提供的条件；</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（4）赶工费用（包括利润和奖金）。</w:t>
      </w:r>
    </w:p>
    <w:p>
      <w:pPr>
        <w:wordWrap w:val="0"/>
        <w:spacing w:line="460" w:lineRule="exact"/>
        <w:outlineLvl w:val="0"/>
        <w:rPr>
          <w:rFonts w:ascii="宋体" w:hAnsi="宋体" w:cs="宋体"/>
          <w:b/>
          <w:bCs/>
          <w:sz w:val="24"/>
          <w:szCs w:val="24"/>
          <w:highlight w:val="none"/>
        </w:rPr>
      </w:pPr>
      <w:bookmarkStart w:id="208" w:name="_Toc9931"/>
      <w:bookmarkStart w:id="209" w:name="_Toc22691"/>
      <w:r>
        <w:rPr>
          <w:rFonts w:hint="eastAsia" w:ascii="宋体" w:hAnsi="宋体" w:cs="宋体"/>
          <w:b/>
          <w:bCs/>
          <w:sz w:val="24"/>
          <w:szCs w:val="24"/>
          <w:highlight w:val="none"/>
        </w:rPr>
        <w:t>12. 暂停施工</w:t>
      </w:r>
      <w:bookmarkEnd w:id="208"/>
      <w:bookmarkEnd w:id="209"/>
    </w:p>
    <w:p>
      <w:pPr>
        <w:wordWrap w:val="0"/>
        <w:spacing w:line="460" w:lineRule="exact"/>
        <w:outlineLvl w:val="1"/>
        <w:rPr>
          <w:rFonts w:ascii="宋体" w:hAnsi="宋体" w:cs="宋体"/>
          <w:b/>
          <w:bCs/>
          <w:sz w:val="24"/>
          <w:szCs w:val="24"/>
          <w:highlight w:val="none"/>
        </w:rPr>
      </w:pPr>
      <w:bookmarkStart w:id="210" w:name="_Toc10647"/>
      <w:bookmarkStart w:id="211" w:name="_Toc18541"/>
      <w:r>
        <w:rPr>
          <w:rFonts w:hint="eastAsia" w:ascii="宋体" w:hAnsi="宋体" w:cs="宋体"/>
          <w:b/>
          <w:bCs/>
          <w:sz w:val="24"/>
          <w:szCs w:val="24"/>
          <w:highlight w:val="none"/>
        </w:rPr>
        <w:t>12.1 承包人暂停施工的责任</w:t>
      </w:r>
      <w:bookmarkEnd w:id="210"/>
      <w:bookmarkEnd w:id="21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因下列暂停施工增加的费用和（或）工期延误由承包人承担：</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（1）承包人违约引起的暂停施工；</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（2）由于承包人原因为工程合理施工和安全保障所必需的暂停施工；</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（3）承包人擅自暂停施工；</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（4）承包人其他原因引起的暂停施工；</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（5）专用合同条款约定由承包人承担的其他暂停施工。</w:t>
      </w:r>
    </w:p>
    <w:p>
      <w:pPr>
        <w:wordWrap w:val="0"/>
        <w:spacing w:line="460" w:lineRule="exact"/>
        <w:outlineLvl w:val="1"/>
        <w:rPr>
          <w:rFonts w:ascii="宋体" w:hAnsi="宋体" w:cs="宋体"/>
          <w:b/>
          <w:bCs/>
          <w:sz w:val="24"/>
          <w:szCs w:val="24"/>
          <w:highlight w:val="none"/>
        </w:rPr>
      </w:pPr>
      <w:bookmarkStart w:id="212" w:name="_Toc6133"/>
      <w:bookmarkStart w:id="213" w:name="_Toc23956"/>
      <w:r>
        <w:rPr>
          <w:rFonts w:hint="eastAsia" w:ascii="宋体" w:hAnsi="宋体" w:cs="宋体"/>
          <w:b/>
          <w:bCs/>
          <w:sz w:val="24"/>
          <w:szCs w:val="24"/>
          <w:highlight w:val="none"/>
        </w:rPr>
        <w:t>12.2 发包人暂停施工的责任</w:t>
      </w:r>
      <w:bookmarkEnd w:id="212"/>
      <w:bookmarkEnd w:id="21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由于发包人原因引起的暂停施工造成工期延误的，承包人有权要求发包人延长工期和（或）增加费用，并支付合理利润。</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属于下列任何一种情况引起的暂停施工，均为发包人的责任：</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（1）由于发包人违约引起的暂停施工；</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（2）由于不可抗力的自然或社会因素引起的暂停施工；</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（3）专用合同条款中约定的其它由于发包人原因引起的暂停施工。</w:t>
      </w:r>
    </w:p>
    <w:p>
      <w:pPr>
        <w:wordWrap w:val="0"/>
        <w:spacing w:line="460" w:lineRule="exact"/>
        <w:outlineLvl w:val="1"/>
        <w:rPr>
          <w:rFonts w:ascii="宋体" w:hAnsi="宋体" w:cs="宋体"/>
          <w:b/>
          <w:bCs/>
          <w:sz w:val="24"/>
          <w:szCs w:val="24"/>
          <w:highlight w:val="none"/>
        </w:rPr>
      </w:pPr>
      <w:bookmarkStart w:id="214" w:name="_Toc21443"/>
      <w:bookmarkStart w:id="215" w:name="_Toc8196"/>
      <w:r>
        <w:rPr>
          <w:rFonts w:hint="eastAsia" w:ascii="宋体" w:hAnsi="宋体" w:cs="宋体"/>
          <w:b/>
          <w:bCs/>
          <w:sz w:val="24"/>
          <w:szCs w:val="24"/>
          <w:highlight w:val="none"/>
        </w:rPr>
        <w:t>12.3 监理人暂停施工指示</w:t>
      </w:r>
      <w:bookmarkEnd w:id="214"/>
      <w:bookmarkEnd w:id="21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12.3.1 监理人认为有必要时，可向承包人作出暂停施工的指示，承包人应按监理人指示暂停施工。不论由于何种原因引起的暂停施工，暂停施工期间承包人应负责妥善保护工程并提供安全保障。</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wordWrap w:val="0"/>
        <w:spacing w:line="460" w:lineRule="exact"/>
        <w:outlineLvl w:val="1"/>
        <w:rPr>
          <w:rFonts w:ascii="宋体" w:hAnsi="宋体" w:cs="宋体"/>
          <w:b/>
          <w:bCs/>
          <w:sz w:val="24"/>
          <w:szCs w:val="24"/>
          <w:highlight w:val="none"/>
        </w:rPr>
      </w:pPr>
      <w:bookmarkStart w:id="216" w:name="_Toc1197"/>
      <w:bookmarkStart w:id="217" w:name="_Toc2586"/>
      <w:r>
        <w:rPr>
          <w:rFonts w:hint="eastAsia" w:ascii="宋体" w:hAnsi="宋体" w:cs="宋体"/>
          <w:b/>
          <w:bCs/>
          <w:sz w:val="24"/>
          <w:szCs w:val="24"/>
          <w:highlight w:val="none"/>
        </w:rPr>
        <w:t>12.4 暂停施工后的复工</w:t>
      </w:r>
      <w:bookmarkEnd w:id="216"/>
      <w:bookmarkEnd w:id="21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12.4.2 承包人无故拖延和拒绝复工的，由此增加的费用和工期延误由承包人承担；因发包人原因无法按时复工的，承包人有权要求发包人延长工期和（或）增加费用，并支付合理利润。</w:t>
      </w:r>
    </w:p>
    <w:p>
      <w:pPr>
        <w:wordWrap w:val="0"/>
        <w:spacing w:line="460" w:lineRule="exact"/>
        <w:outlineLvl w:val="1"/>
        <w:rPr>
          <w:rFonts w:ascii="宋体" w:hAnsi="宋体" w:cs="宋体"/>
          <w:b/>
          <w:bCs/>
          <w:sz w:val="24"/>
          <w:szCs w:val="24"/>
          <w:highlight w:val="none"/>
        </w:rPr>
      </w:pPr>
      <w:bookmarkStart w:id="218" w:name="_Toc15673"/>
      <w:bookmarkStart w:id="219" w:name="_Toc12038"/>
      <w:r>
        <w:rPr>
          <w:rFonts w:hint="eastAsia" w:ascii="宋体" w:hAnsi="宋体" w:cs="宋体"/>
          <w:b/>
          <w:bCs/>
          <w:sz w:val="24"/>
          <w:szCs w:val="24"/>
          <w:highlight w:val="none"/>
        </w:rPr>
        <w:t>12.5 暂停施工持续56天以上</w:t>
      </w:r>
      <w:bookmarkEnd w:id="218"/>
      <w:bookmarkEnd w:id="21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12.5.2 由于承包人责任引起的暂停施工，如承包人在收到监理人暂停施工指示后56天内不认真采取有效的复工措施，造成工期延误，可视为承包人违约，应按第22.1款的规定办理。</w:t>
      </w:r>
    </w:p>
    <w:p>
      <w:pPr>
        <w:wordWrap w:val="0"/>
        <w:spacing w:line="460" w:lineRule="exact"/>
        <w:outlineLvl w:val="0"/>
        <w:rPr>
          <w:rFonts w:ascii="宋体" w:hAnsi="宋体" w:cs="宋体"/>
          <w:b/>
          <w:bCs/>
          <w:sz w:val="24"/>
          <w:szCs w:val="24"/>
          <w:highlight w:val="none"/>
        </w:rPr>
      </w:pPr>
      <w:bookmarkStart w:id="220" w:name="_Toc6366"/>
      <w:bookmarkStart w:id="221" w:name="_Toc24747"/>
      <w:r>
        <w:rPr>
          <w:rFonts w:hint="eastAsia" w:ascii="宋体" w:hAnsi="宋体" w:cs="宋体"/>
          <w:b/>
          <w:bCs/>
          <w:sz w:val="24"/>
          <w:szCs w:val="24"/>
          <w:highlight w:val="none"/>
        </w:rPr>
        <w:t>13. 工程质量</w:t>
      </w:r>
      <w:bookmarkEnd w:id="220"/>
      <w:bookmarkEnd w:id="221"/>
    </w:p>
    <w:p>
      <w:pPr>
        <w:wordWrap w:val="0"/>
        <w:spacing w:line="460" w:lineRule="exact"/>
        <w:outlineLvl w:val="1"/>
        <w:rPr>
          <w:rFonts w:ascii="宋体" w:hAnsi="宋体" w:cs="宋体"/>
          <w:b/>
          <w:bCs/>
          <w:sz w:val="24"/>
          <w:szCs w:val="24"/>
          <w:highlight w:val="none"/>
        </w:rPr>
      </w:pPr>
      <w:bookmarkStart w:id="222" w:name="_Toc48"/>
      <w:bookmarkStart w:id="223" w:name="_Toc19715"/>
      <w:r>
        <w:rPr>
          <w:rFonts w:hint="eastAsia" w:ascii="宋体" w:hAnsi="宋体" w:cs="宋体"/>
          <w:b/>
          <w:bCs/>
          <w:sz w:val="24"/>
          <w:szCs w:val="24"/>
          <w:highlight w:val="none"/>
        </w:rPr>
        <w:t>13.1 工程质量要求</w:t>
      </w:r>
      <w:bookmarkEnd w:id="222"/>
      <w:bookmarkEnd w:id="22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13.1.1 工程质量验收按合同约定验收标准执行。</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13.1.2 因承包人原因造成工程质量达不到合同约定验收标准的，监理人有权要求承包人返工直至符合合同要求为止，由此造成的费用增加和（或）工期延误由承包人承担。</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13.1.3 因发包人原因造成工程质量达不到合同约定验收标准的，发包人应承担由于承包人返工造成的费用增加和（或）工期延误，并支付承包人合理利润。</w:t>
      </w:r>
    </w:p>
    <w:p>
      <w:pPr>
        <w:wordWrap w:val="0"/>
        <w:spacing w:line="460" w:lineRule="exact"/>
        <w:outlineLvl w:val="1"/>
        <w:rPr>
          <w:rFonts w:ascii="宋体" w:hAnsi="宋体" w:cs="宋体"/>
          <w:b/>
          <w:bCs/>
          <w:sz w:val="24"/>
          <w:szCs w:val="24"/>
          <w:highlight w:val="none"/>
        </w:rPr>
      </w:pPr>
      <w:bookmarkStart w:id="224" w:name="_Toc3989"/>
      <w:bookmarkStart w:id="225" w:name="_Toc2599"/>
      <w:r>
        <w:rPr>
          <w:rFonts w:hint="eastAsia" w:ascii="宋体" w:hAnsi="宋体" w:cs="宋体"/>
          <w:b/>
          <w:bCs/>
          <w:sz w:val="24"/>
          <w:szCs w:val="24"/>
          <w:highlight w:val="none"/>
        </w:rPr>
        <w:t>13.2 承包人的质量管理</w:t>
      </w:r>
      <w:bookmarkEnd w:id="224"/>
      <w:bookmarkEnd w:id="22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13.2.2 承包人应加强对施工人员的质量教育和技术培训，定期考核施工人员的劳动技能，严格执行规范和操作规程。</w:t>
      </w:r>
    </w:p>
    <w:p>
      <w:pPr>
        <w:wordWrap w:val="0"/>
        <w:spacing w:line="460" w:lineRule="exact"/>
        <w:outlineLvl w:val="1"/>
        <w:rPr>
          <w:rFonts w:ascii="宋体" w:hAnsi="宋体" w:cs="宋体"/>
          <w:b/>
          <w:bCs/>
          <w:sz w:val="24"/>
          <w:szCs w:val="24"/>
          <w:highlight w:val="none"/>
        </w:rPr>
      </w:pPr>
      <w:bookmarkStart w:id="226" w:name="_Toc13701"/>
      <w:bookmarkStart w:id="227" w:name="_Toc31140"/>
      <w:r>
        <w:rPr>
          <w:rFonts w:hint="eastAsia" w:ascii="宋体" w:hAnsi="宋体" w:cs="宋体"/>
          <w:b/>
          <w:bCs/>
          <w:sz w:val="24"/>
          <w:szCs w:val="24"/>
          <w:highlight w:val="none"/>
        </w:rPr>
        <w:t>13.3 承包人的质量检查</w:t>
      </w:r>
      <w:bookmarkEnd w:id="226"/>
      <w:bookmarkEnd w:id="22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承包人应按合同约定对材料、工程设备以及工程的所有部位及其施工工艺进行全过程的质量检查和检验，并作详细记录，编制工程质量报表，报送监理人审查。</w:t>
      </w:r>
    </w:p>
    <w:p>
      <w:pPr>
        <w:wordWrap w:val="0"/>
        <w:spacing w:line="460" w:lineRule="exact"/>
        <w:outlineLvl w:val="1"/>
        <w:rPr>
          <w:rFonts w:ascii="宋体" w:hAnsi="宋体" w:cs="宋体"/>
          <w:b/>
          <w:bCs/>
          <w:sz w:val="24"/>
          <w:szCs w:val="24"/>
          <w:highlight w:val="none"/>
        </w:rPr>
      </w:pPr>
      <w:bookmarkStart w:id="228" w:name="_Toc28191"/>
      <w:bookmarkStart w:id="229" w:name="_Toc6860"/>
      <w:r>
        <w:rPr>
          <w:rFonts w:hint="eastAsia" w:ascii="宋体" w:hAnsi="宋体" w:cs="宋体"/>
          <w:b/>
          <w:bCs/>
          <w:sz w:val="24"/>
          <w:szCs w:val="24"/>
          <w:highlight w:val="none"/>
        </w:rPr>
        <w:t>13.4 监理人的质量检查</w:t>
      </w:r>
      <w:bookmarkEnd w:id="228"/>
      <w:bookmarkEnd w:id="22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wordWrap w:val="0"/>
        <w:spacing w:line="460" w:lineRule="exact"/>
        <w:outlineLvl w:val="1"/>
        <w:rPr>
          <w:rFonts w:ascii="宋体" w:hAnsi="宋体" w:cs="宋体"/>
          <w:b/>
          <w:bCs/>
          <w:sz w:val="24"/>
          <w:szCs w:val="24"/>
          <w:highlight w:val="none"/>
        </w:rPr>
      </w:pPr>
      <w:bookmarkStart w:id="230" w:name="_Toc24777"/>
      <w:bookmarkStart w:id="231" w:name="_Toc11110"/>
      <w:r>
        <w:rPr>
          <w:rFonts w:hint="eastAsia" w:ascii="宋体" w:hAnsi="宋体" w:cs="宋体"/>
          <w:b/>
          <w:bCs/>
          <w:sz w:val="24"/>
          <w:szCs w:val="24"/>
          <w:highlight w:val="none"/>
        </w:rPr>
        <w:t>13.5 工程隐蔽部位覆盖前的检查</w:t>
      </w:r>
      <w:bookmarkEnd w:id="230"/>
      <w:bookmarkEnd w:id="23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13.5.1 通知监理人检查</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13.5.2 监理人未到场检查</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13.5.3 监理人重新检查</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13.5.4 承包人私自覆盖</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承包人未通知监理人到场检查，私自将工程隐蔽部位覆盖的，监理人有权指示承包人钻孔探测或揭开检查，由此增加的费用和（或）工期延误由承包人承担。</w:t>
      </w:r>
    </w:p>
    <w:p>
      <w:pPr>
        <w:wordWrap w:val="0"/>
        <w:spacing w:line="460" w:lineRule="exact"/>
        <w:outlineLvl w:val="1"/>
        <w:rPr>
          <w:rFonts w:ascii="宋体" w:hAnsi="宋体" w:cs="宋体"/>
          <w:b/>
          <w:bCs/>
          <w:sz w:val="24"/>
          <w:szCs w:val="24"/>
          <w:highlight w:val="none"/>
        </w:rPr>
      </w:pPr>
      <w:bookmarkStart w:id="232" w:name="_Toc3498"/>
      <w:bookmarkStart w:id="233" w:name="_Toc10043"/>
      <w:r>
        <w:rPr>
          <w:rFonts w:hint="eastAsia" w:ascii="宋体" w:hAnsi="宋体" w:cs="宋体"/>
          <w:b/>
          <w:bCs/>
          <w:sz w:val="24"/>
          <w:szCs w:val="24"/>
          <w:highlight w:val="none"/>
        </w:rPr>
        <w:t>13.6 清除不合格工程</w:t>
      </w:r>
      <w:bookmarkEnd w:id="232"/>
      <w:bookmarkEnd w:id="23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wordWrap w:val="0"/>
        <w:spacing w:line="460" w:lineRule="exact"/>
        <w:outlineLvl w:val="1"/>
        <w:rPr>
          <w:rFonts w:ascii="宋体" w:hAnsi="宋体" w:cs="宋体"/>
          <w:b/>
          <w:bCs/>
          <w:sz w:val="24"/>
          <w:szCs w:val="24"/>
          <w:highlight w:val="none"/>
        </w:rPr>
      </w:pPr>
      <w:bookmarkStart w:id="234" w:name="_Toc22751"/>
      <w:bookmarkStart w:id="235" w:name="_Toc7683"/>
      <w:r>
        <w:rPr>
          <w:rFonts w:hint="eastAsia" w:ascii="宋体" w:hAnsi="宋体" w:cs="宋体"/>
          <w:b/>
          <w:bCs/>
          <w:sz w:val="24"/>
          <w:szCs w:val="24"/>
          <w:highlight w:val="none"/>
        </w:rPr>
        <w:t>13.7 质量评定</w:t>
      </w:r>
      <w:bookmarkEnd w:id="234"/>
      <w:bookmarkEnd w:id="23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13.7.1 发包人应组织承包人进行工程项目划分，并确定单位工程、主要分部工程、重要隐蔽单元工程和关键部位单元工程。</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13.7.2 工程实施过程中，单位工程、主要分部工程、重要隐蔽单元工程和关键部位单元工程的项目划分需要调整时，承包人应报发包人确认。</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13.7.3 承包人应在单元（工序）工程质量自评合格后，报监理人核定质量等级并签证认可。</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13.7.5 承包人应在分部工程质量自评合格后，报监理人复核和发包人认定。发包人负责按有关规定完成分部工程质量结论报工程质量监督机构核备（核定）手续。</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13.7.6 承包人应在单位工程质量自评合格后，报监理人复核和发包人认定。发包人负责按有关规定完成单位工程质量结论报工程质量监督机构核定手续。</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13.7.7 除专用合同条款另有约定外，工程质量等级分为合格和优良，应分别达到约定的标准。</w:t>
      </w:r>
    </w:p>
    <w:p>
      <w:pPr>
        <w:wordWrap w:val="0"/>
        <w:spacing w:line="460" w:lineRule="exact"/>
        <w:outlineLvl w:val="1"/>
        <w:rPr>
          <w:rFonts w:ascii="宋体" w:hAnsi="宋体" w:cs="宋体"/>
          <w:b/>
          <w:bCs/>
          <w:sz w:val="24"/>
          <w:szCs w:val="24"/>
          <w:highlight w:val="none"/>
        </w:rPr>
      </w:pPr>
      <w:bookmarkStart w:id="236" w:name="_Toc24901"/>
      <w:bookmarkStart w:id="237" w:name="_Toc8295"/>
      <w:r>
        <w:rPr>
          <w:rFonts w:hint="eastAsia" w:ascii="宋体" w:hAnsi="宋体" w:cs="宋体"/>
          <w:b/>
          <w:bCs/>
          <w:sz w:val="24"/>
          <w:szCs w:val="24"/>
          <w:highlight w:val="none"/>
        </w:rPr>
        <w:t>13.8 质量事故处理</w:t>
      </w:r>
      <w:bookmarkEnd w:id="236"/>
      <w:bookmarkEnd w:id="23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13.8.1 发生质量事故时，承包人应及时向发包人和监理人报告。</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13.8.2 质量事故调查处理由发包人按相关规定履行手续，承包人应配合。</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13.8.3 承包人应对质量缺陷进行备案。发包人委托监理人对质量缺陷备案情况进行监督检查并履行相关手续。</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13.8.4 除专用合同条款另有约定外，工程竣工验收时，发包人负责向竣工验收委员会汇报并提交历次质量缺陷处理的备案资料。</w:t>
      </w:r>
    </w:p>
    <w:p>
      <w:pPr>
        <w:wordWrap w:val="0"/>
        <w:spacing w:line="460" w:lineRule="exact"/>
        <w:outlineLvl w:val="0"/>
        <w:rPr>
          <w:rFonts w:ascii="宋体" w:hAnsi="宋体" w:cs="宋体"/>
          <w:b/>
          <w:bCs/>
          <w:sz w:val="24"/>
          <w:szCs w:val="24"/>
          <w:highlight w:val="none"/>
        </w:rPr>
      </w:pPr>
      <w:bookmarkStart w:id="238" w:name="_Toc12870"/>
      <w:bookmarkStart w:id="239" w:name="_Toc11613"/>
      <w:r>
        <w:rPr>
          <w:rFonts w:hint="eastAsia" w:ascii="宋体" w:hAnsi="宋体" w:cs="宋体"/>
          <w:b/>
          <w:bCs/>
          <w:sz w:val="24"/>
          <w:szCs w:val="24"/>
          <w:highlight w:val="none"/>
        </w:rPr>
        <w:t>14. 试验和检验</w:t>
      </w:r>
      <w:bookmarkEnd w:id="238"/>
      <w:bookmarkEnd w:id="239"/>
    </w:p>
    <w:p>
      <w:pPr>
        <w:wordWrap w:val="0"/>
        <w:spacing w:line="460" w:lineRule="exact"/>
        <w:outlineLvl w:val="1"/>
        <w:rPr>
          <w:rFonts w:ascii="宋体" w:hAnsi="宋体" w:cs="宋体"/>
          <w:b/>
          <w:bCs/>
          <w:sz w:val="24"/>
          <w:szCs w:val="24"/>
          <w:highlight w:val="none"/>
        </w:rPr>
      </w:pPr>
      <w:bookmarkStart w:id="240" w:name="_Toc8557"/>
      <w:bookmarkStart w:id="241" w:name="_Toc22388"/>
      <w:r>
        <w:rPr>
          <w:rFonts w:hint="eastAsia" w:ascii="宋体" w:hAnsi="宋体" w:cs="宋体"/>
          <w:b/>
          <w:bCs/>
          <w:sz w:val="24"/>
          <w:szCs w:val="24"/>
          <w:highlight w:val="none"/>
        </w:rPr>
        <w:t>14.1 材料、工程设备和工程的试验和检验</w:t>
      </w:r>
      <w:bookmarkEnd w:id="240"/>
      <w:bookmarkEnd w:id="24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14.1.1 承包人应按合同约定进行材料、工程设备和工程的检验，并为监理人对上述材料、工程设备和工程的质量检查提供必要的检验资料和原始记录。按合同约定应由监理人与承包人共同进行检验的，由承包人负责提供必要的检验资料和原始记录。</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14.1.2 监理人未按合同约定派员参加试验和检验的，除监理人另有指示外，承包人可自行试验和检验，并应立即将试验和检验结果报送监理人，监理人应签字确认。</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14.1.3 监理人对承包人的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14.1.4 承包人应按相关规定和标准对水泥、钢材等原材料与中间产品质量进行检验，并报监理人复核。</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14.1.6 对专用合同条款约定的试块、试件及有关材料，监理人实行见证取样。见证取样资料由承包人制备，记录应真实齐全，监理人、承包人等参与见证取样人员均应在相关文件上签字。</w:t>
      </w:r>
    </w:p>
    <w:p>
      <w:pPr>
        <w:wordWrap w:val="0"/>
        <w:spacing w:line="460" w:lineRule="exact"/>
        <w:outlineLvl w:val="1"/>
        <w:rPr>
          <w:rFonts w:ascii="宋体" w:hAnsi="宋体" w:cs="宋体"/>
          <w:b/>
          <w:bCs/>
          <w:sz w:val="24"/>
          <w:szCs w:val="24"/>
          <w:highlight w:val="none"/>
        </w:rPr>
      </w:pPr>
      <w:bookmarkStart w:id="242" w:name="_Toc11881"/>
      <w:bookmarkStart w:id="243" w:name="_Toc23291"/>
      <w:r>
        <w:rPr>
          <w:rFonts w:hint="eastAsia" w:ascii="宋体" w:hAnsi="宋体" w:cs="宋体"/>
          <w:b/>
          <w:bCs/>
          <w:sz w:val="24"/>
          <w:szCs w:val="24"/>
          <w:highlight w:val="none"/>
        </w:rPr>
        <w:t>14.2 现场材料试验</w:t>
      </w:r>
      <w:bookmarkEnd w:id="242"/>
      <w:bookmarkEnd w:id="24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14.2.1 承包人根据合同约定或监理人指示进行的现场材料试验，应由承包人提供试验场所、试验人员、试验设备器材以及其他必要的试验条件。</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14.2.2 监理人在必要时可以使用承包人的试验场所、试验设备器材以及其他试验条件，进行以工程质量检查为目的的复核性材料试验，承包人应予以协助。</w:t>
      </w:r>
    </w:p>
    <w:p>
      <w:pPr>
        <w:wordWrap w:val="0"/>
        <w:spacing w:line="460" w:lineRule="exact"/>
        <w:outlineLvl w:val="1"/>
        <w:rPr>
          <w:rFonts w:ascii="宋体" w:hAnsi="宋体" w:cs="宋体"/>
          <w:b/>
          <w:bCs/>
          <w:sz w:val="24"/>
          <w:szCs w:val="24"/>
          <w:highlight w:val="none"/>
        </w:rPr>
      </w:pPr>
      <w:bookmarkStart w:id="244" w:name="_Toc13665"/>
      <w:bookmarkStart w:id="245" w:name="_Toc11490"/>
      <w:r>
        <w:rPr>
          <w:rFonts w:hint="eastAsia" w:ascii="宋体" w:hAnsi="宋体" w:cs="宋体"/>
          <w:b/>
          <w:bCs/>
          <w:sz w:val="24"/>
          <w:szCs w:val="24"/>
          <w:highlight w:val="none"/>
        </w:rPr>
        <w:t>14.3 现场工艺试验</w:t>
      </w:r>
      <w:bookmarkEnd w:id="244"/>
      <w:bookmarkEnd w:id="24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承包人应按合同约定或监理人指示进行现场工艺试验。对大型的现场工艺试验，监理人认为必要时，应由承包人根据监理人提出的工艺试验要求，编制工艺试验措施计划，报送监理人审批。</w:t>
      </w:r>
    </w:p>
    <w:p>
      <w:pPr>
        <w:wordWrap w:val="0"/>
        <w:spacing w:line="460" w:lineRule="exact"/>
        <w:outlineLvl w:val="0"/>
        <w:rPr>
          <w:rFonts w:ascii="宋体" w:hAnsi="宋体" w:cs="宋体"/>
          <w:b/>
          <w:bCs/>
          <w:sz w:val="24"/>
          <w:szCs w:val="24"/>
          <w:highlight w:val="none"/>
        </w:rPr>
      </w:pPr>
      <w:bookmarkStart w:id="246" w:name="_Toc6753"/>
      <w:bookmarkStart w:id="247" w:name="_Toc16555"/>
      <w:r>
        <w:rPr>
          <w:rFonts w:hint="eastAsia" w:ascii="宋体" w:hAnsi="宋体" w:cs="宋体"/>
          <w:b/>
          <w:bCs/>
          <w:sz w:val="24"/>
          <w:szCs w:val="24"/>
          <w:highlight w:val="none"/>
        </w:rPr>
        <w:t>15. 变更</w:t>
      </w:r>
      <w:bookmarkEnd w:id="246"/>
      <w:bookmarkEnd w:id="247"/>
    </w:p>
    <w:p>
      <w:pPr>
        <w:wordWrap w:val="0"/>
        <w:spacing w:line="460" w:lineRule="exact"/>
        <w:outlineLvl w:val="1"/>
        <w:rPr>
          <w:rFonts w:ascii="宋体" w:hAnsi="宋体" w:cs="宋体"/>
          <w:b/>
          <w:bCs/>
          <w:sz w:val="24"/>
          <w:szCs w:val="24"/>
          <w:highlight w:val="none"/>
        </w:rPr>
      </w:pPr>
      <w:bookmarkStart w:id="248" w:name="_Toc12951"/>
      <w:bookmarkStart w:id="249" w:name="_Toc19459"/>
      <w:r>
        <w:rPr>
          <w:rFonts w:hint="eastAsia" w:ascii="宋体" w:hAnsi="宋体" w:cs="宋体"/>
          <w:b/>
          <w:bCs/>
          <w:sz w:val="24"/>
          <w:szCs w:val="24"/>
          <w:highlight w:val="none"/>
        </w:rPr>
        <w:t>15.1 变更的范围和内容</w:t>
      </w:r>
      <w:bookmarkEnd w:id="248"/>
      <w:bookmarkEnd w:id="24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在履行合同中发生以下情形之一，应按照本款规定进行变更。</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（1）取消合同中任何一项工作，但被取消的工作不能转由发包人或其它人实施；</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（2）改变合同中任何一项工作的质量或其它特性；</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（3）改变合同工程的基线、标高、位置或尺寸；</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（4）改变合同中任何一项工作的施工时间或改变已批准的施工工艺或顺序；</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（5）为完成工程需要追加的额外工作；</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（6）增加或减少专用合同条款中约定的关键项目工程量超过其工程总量的一定数量百分比。</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上述第（1）～（6）目的变更内容引起工程施工组织和进度计划发生实质性变动和影响其原定的价格时，才予调整该项目的单价。第（6）目情形下单价调整方式在专用合同条款中约定。</w:t>
      </w:r>
    </w:p>
    <w:p>
      <w:pPr>
        <w:wordWrap w:val="0"/>
        <w:spacing w:line="460" w:lineRule="exact"/>
        <w:outlineLvl w:val="1"/>
        <w:rPr>
          <w:rFonts w:ascii="宋体" w:hAnsi="宋体" w:cs="宋体"/>
          <w:b/>
          <w:bCs/>
          <w:sz w:val="24"/>
          <w:szCs w:val="24"/>
          <w:highlight w:val="none"/>
        </w:rPr>
      </w:pPr>
      <w:bookmarkStart w:id="250" w:name="_Toc27730"/>
      <w:bookmarkStart w:id="251" w:name="_Toc13699"/>
      <w:r>
        <w:rPr>
          <w:rFonts w:hint="eastAsia" w:ascii="宋体" w:hAnsi="宋体" w:cs="宋体"/>
          <w:b/>
          <w:bCs/>
          <w:sz w:val="24"/>
          <w:szCs w:val="24"/>
          <w:highlight w:val="none"/>
        </w:rPr>
        <w:t>15.2 变更权</w:t>
      </w:r>
      <w:bookmarkEnd w:id="250"/>
      <w:bookmarkEnd w:id="25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在履行合同过程中，经发包人同意，监理人可按第15.3款约定的变更程序向承包人作出变更指示，承包人应遵照执行。没有监理人的变更指示，承包人不得擅自变更。</w:t>
      </w:r>
    </w:p>
    <w:p>
      <w:pPr>
        <w:wordWrap w:val="0"/>
        <w:spacing w:line="460" w:lineRule="exact"/>
        <w:outlineLvl w:val="1"/>
        <w:rPr>
          <w:rFonts w:ascii="宋体" w:hAnsi="宋体" w:cs="宋体"/>
          <w:b/>
          <w:bCs/>
          <w:sz w:val="24"/>
          <w:szCs w:val="24"/>
          <w:highlight w:val="none"/>
        </w:rPr>
      </w:pPr>
      <w:bookmarkStart w:id="252" w:name="_Toc9865"/>
      <w:bookmarkStart w:id="253" w:name="_Toc16654"/>
      <w:r>
        <w:rPr>
          <w:rFonts w:hint="eastAsia" w:ascii="宋体" w:hAnsi="宋体" w:cs="宋体"/>
          <w:b/>
          <w:bCs/>
          <w:sz w:val="24"/>
          <w:szCs w:val="24"/>
          <w:highlight w:val="none"/>
        </w:rPr>
        <w:t>15.3 变更程序</w:t>
      </w:r>
      <w:bookmarkEnd w:id="252"/>
      <w:bookmarkEnd w:id="25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15.3.1 变更的提出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（2）在合同履行过程中，发生第15.1款约定情形的，监理人应按照第15.3.3项约定向承包人发出变更指示。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（4）若承包人收到监理人的变更意向书后认为难以实施此项变更，应立即通知监理人，说明原因并附详细依据。监理人与承包人和发包人协商后确定撤销、改变或不改变原变更意向书。</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15.3.2 变更估价</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（2）变更工作影响工期的，承包人应提出调整工期的具体细节。监理人认为有必要时，可要求承包人提交要求提前或延长工期的施工进度计划及相应施工措施等详细资料。</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（3）除专用合同条款对期限另有约定外，监理人收到承包人变更报价书后的14天内，根据第15.4款约定的估价原则，按照第3.5款商定或确定变更价格。</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15.3.3 变更指示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（1）变更指示只能由监理人发出。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（2）变更指示应说明变更的目的、范围、变更内容以及变更的工程量及其进度和技术要求，并附有关图纸和文件。承包人收到变更指示后，应按变更指示进行变更工作。</w:t>
      </w:r>
    </w:p>
    <w:p>
      <w:pPr>
        <w:wordWrap w:val="0"/>
        <w:spacing w:line="460" w:lineRule="exact"/>
        <w:outlineLvl w:val="1"/>
        <w:rPr>
          <w:rFonts w:ascii="宋体" w:hAnsi="宋体" w:cs="宋体"/>
          <w:b/>
          <w:bCs/>
          <w:sz w:val="24"/>
          <w:szCs w:val="24"/>
          <w:highlight w:val="none"/>
        </w:rPr>
      </w:pPr>
      <w:bookmarkStart w:id="254" w:name="_Toc27599"/>
      <w:bookmarkStart w:id="255" w:name="_Toc4294"/>
      <w:r>
        <w:rPr>
          <w:rFonts w:hint="eastAsia" w:ascii="宋体" w:hAnsi="宋体" w:cs="宋体"/>
          <w:b/>
          <w:bCs/>
          <w:sz w:val="24"/>
          <w:szCs w:val="24"/>
          <w:highlight w:val="none"/>
        </w:rPr>
        <w:t>15.4 变更的估价原则</w:t>
      </w:r>
      <w:bookmarkEnd w:id="254"/>
      <w:bookmarkEnd w:id="25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除专用合同条款另有约定外，因变更引起的价格调整按照本款约定处理。</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15.4.1 已标价工程量清单中有适用于变更工作的子目的，采用该子目的单价。</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15.4.2 已标价工程量清单中无适用于变更工作的子目，但有类似子目的，可在合理范围内参照类似子目的单价，由监理人按第3.5款商定或确定变更工作的单价。</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15.4.3 已标价工程量清单中无适用或类似子目的单价，可按照成本加利润的原则，由监理人按第3.5款商定或确定变更工作的单价。</w:t>
      </w:r>
    </w:p>
    <w:p>
      <w:pPr>
        <w:wordWrap w:val="0"/>
        <w:spacing w:line="460" w:lineRule="exact"/>
        <w:outlineLvl w:val="1"/>
        <w:rPr>
          <w:rFonts w:ascii="宋体" w:hAnsi="宋体" w:cs="宋体"/>
          <w:b/>
          <w:bCs/>
          <w:sz w:val="24"/>
          <w:szCs w:val="24"/>
          <w:highlight w:val="none"/>
        </w:rPr>
      </w:pPr>
      <w:bookmarkStart w:id="256" w:name="_Toc21219"/>
      <w:bookmarkStart w:id="257" w:name="_Toc23058"/>
      <w:r>
        <w:rPr>
          <w:rFonts w:hint="eastAsia" w:ascii="宋体" w:hAnsi="宋体" w:cs="宋体"/>
          <w:b/>
          <w:bCs/>
          <w:sz w:val="24"/>
          <w:szCs w:val="24"/>
          <w:highlight w:val="none"/>
        </w:rPr>
        <w:t>15.5 承包人的合理化建议</w:t>
      </w:r>
      <w:bookmarkEnd w:id="256"/>
      <w:bookmarkEnd w:id="25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15.5.2 承包人提出的合理化建议降低了合同价格、缩短了工期或者提高了工程经济效益的，发包人可按国家有关规定在专用合同条款中约定给予奖励。</w:t>
      </w:r>
    </w:p>
    <w:p>
      <w:pPr>
        <w:wordWrap w:val="0"/>
        <w:spacing w:line="460" w:lineRule="exact"/>
        <w:outlineLvl w:val="1"/>
        <w:rPr>
          <w:rFonts w:ascii="宋体" w:hAnsi="宋体" w:cs="宋体"/>
          <w:b/>
          <w:bCs/>
          <w:sz w:val="24"/>
          <w:szCs w:val="24"/>
          <w:highlight w:val="none"/>
        </w:rPr>
      </w:pPr>
      <w:bookmarkStart w:id="258" w:name="_Toc26198"/>
      <w:bookmarkStart w:id="259" w:name="_Toc273"/>
      <w:r>
        <w:rPr>
          <w:rFonts w:hint="eastAsia" w:ascii="宋体" w:hAnsi="宋体" w:cs="宋体"/>
          <w:b/>
          <w:bCs/>
          <w:sz w:val="24"/>
          <w:szCs w:val="24"/>
          <w:highlight w:val="none"/>
        </w:rPr>
        <w:t>15.6 暂列金额</w:t>
      </w:r>
      <w:bookmarkEnd w:id="258"/>
      <w:bookmarkEnd w:id="25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暂列金额只能按照监理人的指示使用，并对合同价格进行相应调整。</w:t>
      </w:r>
    </w:p>
    <w:p>
      <w:pPr>
        <w:wordWrap w:val="0"/>
        <w:spacing w:line="460" w:lineRule="exact"/>
        <w:outlineLvl w:val="1"/>
        <w:rPr>
          <w:rFonts w:ascii="宋体" w:hAnsi="宋体" w:cs="宋体"/>
          <w:b/>
          <w:bCs/>
          <w:sz w:val="24"/>
          <w:szCs w:val="24"/>
          <w:highlight w:val="none"/>
        </w:rPr>
      </w:pPr>
      <w:bookmarkStart w:id="260" w:name="_Toc18559"/>
      <w:bookmarkStart w:id="261" w:name="_Toc16378"/>
      <w:r>
        <w:rPr>
          <w:rFonts w:hint="eastAsia" w:ascii="宋体" w:hAnsi="宋体" w:cs="宋体"/>
          <w:b/>
          <w:bCs/>
          <w:sz w:val="24"/>
          <w:szCs w:val="24"/>
          <w:highlight w:val="none"/>
        </w:rPr>
        <w:t>15.7 计日工</w:t>
      </w:r>
      <w:bookmarkEnd w:id="260"/>
      <w:bookmarkEnd w:id="26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15.7.1 发包人认为有必要时，由监理人通知承包人以计日工方式实施变更的零星工作。其价款按列入已标价工程量清单中的计日工计价子目及其单价进行计算。</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15.7.2 采用计日工计价的任何一项变更工作，应从暂列金额中支付，承包人应在该项变更的实施过程中，每天提交以下报表和有关凭证报送监理人审批：</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（1）工作名称、内容和数量；</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（2）投入该工作所有人员的姓名、工种、级别和耗用工时；</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（3）投入该工作的材料类别和数量；</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（4）投入该工作的施工设备型号、台数和耗用台时；</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（5）监理人要求提交的其他资料和凭证。</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15.7.3 计日工由承包人汇总后，按第17.3.2项的约定列入进度付款申请单，由监理人复核并经发包人同意后列入进度付款。</w:t>
      </w:r>
    </w:p>
    <w:p>
      <w:pPr>
        <w:wordWrap w:val="0"/>
        <w:spacing w:line="460" w:lineRule="exact"/>
        <w:outlineLvl w:val="1"/>
        <w:rPr>
          <w:rFonts w:ascii="宋体" w:hAnsi="宋体" w:cs="宋体"/>
          <w:b/>
          <w:bCs/>
          <w:sz w:val="24"/>
          <w:szCs w:val="24"/>
          <w:highlight w:val="none"/>
        </w:rPr>
      </w:pPr>
      <w:bookmarkStart w:id="262" w:name="_Toc3799"/>
      <w:bookmarkStart w:id="263" w:name="_Toc3025"/>
      <w:r>
        <w:rPr>
          <w:rFonts w:hint="eastAsia" w:ascii="宋体" w:hAnsi="宋体" w:cs="宋体"/>
          <w:b/>
          <w:bCs/>
          <w:sz w:val="24"/>
          <w:szCs w:val="24"/>
          <w:highlight w:val="none"/>
        </w:rPr>
        <w:t>15.8 暂估价</w:t>
      </w:r>
      <w:bookmarkEnd w:id="262"/>
      <w:bookmarkEnd w:id="26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wordWrap w:val="0"/>
        <w:spacing w:line="460" w:lineRule="exact"/>
        <w:outlineLvl w:val="0"/>
        <w:rPr>
          <w:rFonts w:ascii="宋体" w:hAnsi="宋体" w:cs="宋体"/>
          <w:b/>
          <w:bCs/>
          <w:sz w:val="24"/>
          <w:szCs w:val="24"/>
          <w:highlight w:val="none"/>
        </w:rPr>
      </w:pPr>
      <w:bookmarkStart w:id="264" w:name="_Toc8132"/>
      <w:bookmarkStart w:id="265" w:name="_Toc12361"/>
      <w:r>
        <w:rPr>
          <w:rFonts w:hint="eastAsia" w:ascii="宋体" w:hAnsi="宋体" w:cs="宋体"/>
          <w:b/>
          <w:bCs/>
          <w:sz w:val="24"/>
          <w:szCs w:val="24"/>
          <w:highlight w:val="none"/>
        </w:rPr>
        <w:t>16. 价格调整</w:t>
      </w:r>
      <w:bookmarkEnd w:id="264"/>
      <w:bookmarkEnd w:id="265"/>
    </w:p>
    <w:p>
      <w:pPr>
        <w:wordWrap w:val="0"/>
        <w:spacing w:line="460" w:lineRule="exact"/>
        <w:outlineLvl w:val="1"/>
        <w:rPr>
          <w:rFonts w:ascii="宋体" w:hAnsi="宋体" w:cs="宋体"/>
          <w:b/>
          <w:bCs/>
          <w:sz w:val="24"/>
          <w:szCs w:val="24"/>
          <w:highlight w:val="none"/>
        </w:rPr>
      </w:pPr>
      <w:bookmarkStart w:id="266" w:name="_Toc29694"/>
      <w:bookmarkStart w:id="267" w:name="_Toc4766"/>
      <w:r>
        <w:rPr>
          <w:rFonts w:hint="eastAsia" w:ascii="宋体" w:hAnsi="宋体" w:cs="宋体"/>
          <w:b/>
          <w:bCs/>
          <w:sz w:val="24"/>
          <w:szCs w:val="24"/>
          <w:highlight w:val="none"/>
        </w:rPr>
        <w:t>16.1 法律变化引起的价格调整</w:t>
      </w:r>
      <w:bookmarkEnd w:id="266"/>
      <w:bookmarkEnd w:id="26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wordWrap w:val="0"/>
        <w:spacing w:line="460" w:lineRule="exact"/>
        <w:outlineLvl w:val="0"/>
        <w:rPr>
          <w:rFonts w:ascii="宋体" w:hAnsi="宋体" w:cs="宋体"/>
          <w:b/>
          <w:bCs/>
          <w:sz w:val="24"/>
          <w:szCs w:val="24"/>
          <w:highlight w:val="none"/>
        </w:rPr>
      </w:pPr>
      <w:bookmarkStart w:id="268" w:name="_Toc11264"/>
      <w:bookmarkStart w:id="269" w:name="_Toc25871"/>
      <w:r>
        <w:rPr>
          <w:rFonts w:hint="eastAsia" w:ascii="宋体" w:hAnsi="宋体" w:cs="宋体"/>
          <w:b/>
          <w:bCs/>
          <w:sz w:val="24"/>
          <w:szCs w:val="24"/>
          <w:highlight w:val="none"/>
        </w:rPr>
        <w:t>17. 计量与支付</w:t>
      </w:r>
      <w:bookmarkEnd w:id="268"/>
      <w:bookmarkEnd w:id="269"/>
    </w:p>
    <w:p>
      <w:pPr>
        <w:wordWrap w:val="0"/>
        <w:spacing w:line="460" w:lineRule="exact"/>
        <w:outlineLvl w:val="1"/>
        <w:rPr>
          <w:rFonts w:ascii="宋体" w:hAnsi="宋体" w:cs="宋体"/>
          <w:b/>
          <w:bCs/>
          <w:sz w:val="24"/>
          <w:szCs w:val="24"/>
          <w:highlight w:val="none"/>
        </w:rPr>
      </w:pPr>
      <w:bookmarkStart w:id="270" w:name="_Toc4559"/>
      <w:bookmarkStart w:id="271" w:name="_Toc24603"/>
      <w:r>
        <w:rPr>
          <w:rFonts w:hint="eastAsia" w:ascii="宋体" w:hAnsi="宋体" w:cs="宋体"/>
          <w:b/>
          <w:bCs/>
          <w:sz w:val="24"/>
          <w:szCs w:val="24"/>
          <w:highlight w:val="none"/>
        </w:rPr>
        <w:t>17.1 计量</w:t>
      </w:r>
      <w:bookmarkEnd w:id="270"/>
      <w:bookmarkEnd w:id="27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17.1.1 计量单位</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计量采用国家法定的计量单位。</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17.1.2 计量方法</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结算工程量应按工程量清单中约定的方法计量。</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17.1.3 计量周期</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除专用合同条款另有约定外，单价子目已完成工程量按月计量，总价子目的计量周期按批准的支付分解报告确定。</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17.1.4 单价子目的计量</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（1）已标价工程量清单中的单价子目工程量为估算工程量。结算工程量是承包人实际完成的，并按合同约定的计量方法进行计量的工程量。</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（2）承包人对已完成的工程进行计量，向监理人提交进度付款申请单、已完成工程量报表和有关计量资料。</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（4）监理人认为有必要时，可通知承包人共同进行联合测量、计量，承包人应遵照执行。</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（6）监理人应在收到承包人提交的工程量报表后的7天内进行复核，监理人未在约定时间内复核的，承包人提交的工程量报表中的工程量视为承包人实际完成的工程量，据此计算工程价款。</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17.1.5 总价子目的计量</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总价子目的分解和计量按照下述约定进行。</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（1）总价子目的计量和支付应以总价为基础，不因第16.1款中的因素而进行调整。承包人实际完成的工程量，是进行工程目标管理和控制进度支付的依据。</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（3）监理人对承包人提交的上述资料进行复核，以确定分阶段实际完成的工程量和工程形象目标。对其有异议的，可要求承包人按第8.2款约定进行共同复核和抽样复测。</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（4）除按照第15条约定的变更外，总价子目的工程量是承包人用于结算的最终工程量。</w:t>
      </w:r>
    </w:p>
    <w:p>
      <w:pPr>
        <w:wordWrap w:val="0"/>
        <w:spacing w:line="460" w:lineRule="exact"/>
        <w:outlineLvl w:val="1"/>
        <w:rPr>
          <w:rFonts w:ascii="宋体" w:hAnsi="宋体" w:cs="宋体"/>
          <w:b/>
          <w:bCs/>
          <w:sz w:val="24"/>
          <w:szCs w:val="24"/>
          <w:highlight w:val="none"/>
        </w:rPr>
      </w:pPr>
      <w:bookmarkStart w:id="272" w:name="_Toc9809"/>
      <w:bookmarkStart w:id="273" w:name="_Toc26125"/>
      <w:r>
        <w:rPr>
          <w:rFonts w:hint="eastAsia" w:ascii="宋体" w:hAnsi="宋体" w:cs="宋体"/>
          <w:b/>
          <w:bCs/>
          <w:sz w:val="24"/>
          <w:szCs w:val="24"/>
          <w:highlight w:val="none"/>
        </w:rPr>
        <w:t>17.2 预付款</w:t>
      </w:r>
      <w:bookmarkEnd w:id="272"/>
      <w:bookmarkEnd w:id="27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17.2.1 预付款</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17.2.2 预付款保函（担保）</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除专用合同条款另有约定外，承包人应在收到预付款的同时向发包人提交预付款保函，预付款保函的担保金额应与预付款金额相同。保函的担保金额可根据预付款扣回的金额相应递减。</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（1）承包人应在收到第一次工程预付款的同时向发包人提交工程预付款担保，担保金额应与第一次工程预付款金额相同，工程预付款担保在第一次工程预付款被发包人扣回前一直有效。</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（2）工程材料预付款的担保在专用合同条款中约定。</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（3）预付款担保的担保金额可根据预付款扣回的金额相应递减。</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17.2.3 预付款的扣回与还清</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预付款在进度付款中扣回，扣回与还清办法在专用合同条款中约定。在颁发合同工程完工证书前，由于不可抗力或其它原因解除合同时，预付款尚未扣清的，尚未扣清的预付款余额应作为承包人的到期应付款。</w:t>
      </w:r>
    </w:p>
    <w:p>
      <w:pPr>
        <w:wordWrap w:val="0"/>
        <w:spacing w:line="460" w:lineRule="exact"/>
        <w:outlineLvl w:val="1"/>
        <w:rPr>
          <w:rFonts w:ascii="宋体" w:hAnsi="宋体" w:cs="宋体"/>
          <w:b/>
          <w:bCs/>
          <w:sz w:val="24"/>
          <w:szCs w:val="24"/>
          <w:highlight w:val="none"/>
        </w:rPr>
      </w:pPr>
      <w:bookmarkStart w:id="274" w:name="_Toc2217"/>
      <w:bookmarkStart w:id="275" w:name="_Toc17508"/>
      <w:r>
        <w:rPr>
          <w:rFonts w:hint="eastAsia" w:ascii="宋体" w:hAnsi="宋体" w:cs="宋体"/>
          <w:b/>
          <w:bCs/>
          <w:sz w:val="24"/>
          <w:szCs w:val="24"/>
          <w:highlight w:val="none"/>
        </w:rPr>
        <w:t>17.3 工程进度付款</w:t>
      </w:r>
      <w:bookmarkEnd w:id="274"/>
      <w:bookmarkEnd w:id="27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17.3.1 付款周期</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付款周期同计量周期。</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17.3.2 进度付款申请单</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（1）截至本次付款周期末已实施工程的价款；</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（2）根据第15条应增加和扣减的变更金额；</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（3）根据第23条应增加和扣减的索赔金额；</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（4）根据第17.2款约定应支付的预付款和扣减的返还预付款；</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（5）根据第17.4.1项约定应扣减的质量保证金；</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（6）根据合同应增加和扣减的其他金额。</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17.3.3 进度付款证书和支付时间</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（2）发包人应在监理人收到进度付款申请单后的28天内，将进度应付款支付给承包人。发包人不按期支付的，按专用合同条款的约定支付逾期付款违约金。</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（3）监理人出具进度付款证书，不应视为监理人已同意、批准或接受了承包人完成的该部分工作。</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（4）进度付款涉及政府投资资金的，按照国库集中支付等国家相关规定和专用合同条款的约定办理。</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17.3.4 工程进度付款的修正</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在对以往历次已签发的进度付款证书进行汇总和复核中发现错、漏或重复的，监理人有权予以修正，承包人也有权提出修正申请。经双方复核同意的修正，应在本次进度付款中支付或扣除。</w:t>
      </w:r>
    </w:p>
    <w:p>
      <w:pPr>
        <w:wordWrap w:val="0"/>
        <w:spacing w:line="460" w:lineRule="exact"/>
        <w:outlineLvl w:val="1"/>
        <w:rPr>
          <w:rFonts w:ascii="宋体" w:hAnsi="宋体" w:cs="宋体"/>
          <w:b/>
          <w:bCs/>
          <w:sz w:val="24"/>
          <w:szCs w:val="24"/>
          <w:highlight w:val="none"/>
        </w:rPr>
      </w:pPr>
      <w:bookmarkStart w:id="276" w:name="_Toc27895"/>
      <w:bookmarkStart w:id="277" w:name="_Toc6284"/>
      <w:r>
        <w:rPr>
          <w:rFonts w:hint="eastAsia" w:ascii="宋体" w:hAnsi="宋体" w:cs="宋体"/>
          <w:b/>
          <w:bCs/>
          <w:sz w:val="24"/>
          <w:szCs w:val="24"/>
          <w:highlight w:val="none"/>
        </w:rPr>
        <w:t>17.4 质量保证金</w:t>
      </w:r>
      <w:bookmarkEnd w:id="276"/>
      <w:bookmarkEnd w:id="27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17.4.2 在第1.1.4.5目约定的缺陷责任期满时，发包人将在30个工作日内会同承包人按照合同约定的内容核实承包人是否完成保修责任。如无异议，发包人应当在核实后将剩余的质量保证金无息支付给承包人。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17.4.3 在第1.1.4.5目约定的缺陷责任期满时，承包人没有完成缺陷责任的，发包人有权扣留与未履行责任剩余工作所需金额相应的质量保证金余额，并有权根据第19.3款约定要求延长缺陷责任期，直至完成剩余工作为止。</w:t>
      </w:r>
    </w:p>
    <w:p>
      <w:pPr>
        <w:wordWrap w:val="0"/>
        <w:spacing w:line="460" w:lineRule="exact"/>
        <w:outlineLvl w:val="1"/>
        <w:rPr>
          <w:rFonts w:ascii="宋体" w:hAnsi="宋体" w:cs="宋体"/>
          <w:b/>
          <w:bCs/>
          <w:sz w:val="24"/>
          <w:szCs w:val="24"/>
          <w:highlight w:val="none"/>
        </w:rPr>
      </w:pPr>
      <w:bookmarkStart w:id="278" w:name="_Toc7482"/>
      <w:bookmarkStart w:id="279" w:name="_Toc20353"/>
      <w:r>
        <w:rPr>
          <w:rFonts w:hint="eastAsia" w:ascii="宋体" w:hAnsi="宋体" w:cs="宋体"/>
          <w:b/>
          <w:bCs/>
          <w:sz w:val="24"/>
          <w:szCs w:val="24"/>
          <w:highlight w:val="none"/>
        </w:rPr>
        <w:t>17.5 竣工结算（完工结算）</w:t>
      </w:r>
      <w:bookmarkEnd w:id="278"/>
      <w:bookmarkEnd w:id="27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17.5.1 竣工（完工）付款申请单</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（2）监理人对完工付款申请单有异议的，有权要求承包人进行修正和提供补充资料。经监理人和承包人协商后，由承包人向监理人提交修正后的完工付款申请单。</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17.5.2 竣工（完工）付款证书及支付时间</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（2）发包人应在监理人出具完工付款证书后的14天内，将应支付款支付给承包人。发包人不按期支付的，按第17.3.3（2）目的约定，将逾期付款违约金支付给承包人。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（3）承包人对发包人签认的完工付款证书有异议的，发包人可出具完工付款申请单中承包人已同意部分的临时付款证书。存在争议的部分，按第24条的约定办理。</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（4）完工付款涉及政府投资资金的，按第17.3.3（4）目的约定办理。</w:t>
      </w:r>
    </w:p>
    <w:p>
      <w:pPr>
        <w:wordWrap w:val="0"/>
        <w:spacing w:line="460" w:lineRule="exact"/>
        <w:outlineLvl w:val="1"/>
        <w:rPr>
          <w:rFonts w:ascii="宋体" w:hAnsi="宋体" w:cs="宋体"/>
          <w:b/>
          <w:bCs/>
          <w:sz w:val="24"/>
          <w:szCs w:val="24"/>
          <w:highlight w:val="none"/>
        </w:rPr>
      </w:pPr>
      <w:bookmarkStart w:id="280" w:name="_Toc19848"/>
      <w:bookmarkStart w:id="281" w:name="_Toc14168"/>
      <w:r>
        <w:rPr>
          <w:rFonts w:hint="eastAsia" w:ascii="宋体" w:hAnsi="宋体" w:cs="宋体"/>
          <w:b/>
          <w:bCs/>
          <w:sz w:val="24"/>
          <w:szCs w:val="24"/>
          <w:highlight w:val="none"/>
        </w:rPr>
        <w:t>17.6 最终结清</w:t>
      </w:r>
      <w:bookmarkEnd w:id="280"/>
      <w:bookmarkEnd w:id="28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17.6.1 最终结清申请单</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（1）工程质量保修责任终止证书签发后，承包人应按监理人批准的格式提交最终结清申请单。提交最终结清申请单的份数在专用合同条款中约定。</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（2）发包人对最终结清申请单内容有异议的，有权要求承包人进行修正和提供补充资料，由承包人向监理人提交修正后的最终结清申请单。</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17.6.2 最终结清证书和支付时间</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（2）发包人应在监理人出具最终结清证书后的14天内，将应支付款支付给承包人。发包人不按期支付的，按第17.3.3（2）目的约定，将逾期付款违约金支付给承包人。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（3）承包人对发包人签认的最终结清证书有异议的，按第24条的约定办理。</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（4）最终结清付款涉及政府投资资金的，按第17.3.3（４）目的约定办理。</w:t>
      </w:r>
    </w:p>
    <w:p>
      <w:pPr>
        <w:wordWrap w:val="0"/>
        <w:spacing w:line="460" w:lineRule="exact"/>
        <w:outlineLvl w:val="1"/>
        <w:rPr>
          <w:rFonts w:ascii="宋体" w:hAnsi="宋体" w:cs="宋体"/>
          <w:b/>
          <w:bCs/>
          <w:sz w:val="24"/>
          <w:szCs w:val="24"/>
          <w:highlight w:val="none"/>
        </w:rPr>
      </w:pPr>
      <w:bookmarkStart w:id="282" w:name="_Toc24827"/>
      <w:bookmarkStart w:id="283" w:name="_Toc29485"/>
      <w:r>
        <w:rPr>
          <w:rFonts w:hint="eastAsia" w:ascii="宋体" w:hAnsi="宋体" w:cs="宋体"/>
          <w:b/>
          <w:bCs/>
          <w:sz w:val="24"/>
          <w:szCs w:val="24"/>
          <w:highlight w:val="none"/>
        </w:rPr>
        <w:t>17.7 竣工财务决算</w:t>
      </w:r>
      <w:bookmarkEnd w:id="282"/>
      <w:bookmarkEnd w:id="28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发包人负责编制本工程项目竣工财务决算，承包人应按专用合同条款的约定提供竣工财务决算编制所需的相关材料。</w:t>
      </w:r>
    </w:p>
    <w:p>
      <w:pPr>
        <w:wordWrap w:val="0"/>
        <w:spacing w:line="460" w:lineRule="exact"/>
        <w:outlineLvl w:val="0"/>
        <w:rPr>
          <w:rFonts w:ascii="宋体" w:hAnsi="宋体" w:cs="宋体"/>
          <w:b/>
          <w:bCs/>
          <w:sz w:val="24"/>
          <w:szCs w:val="24"/>
          <w:highlight w:val="none"/>
        </w:rPr>
      </w:pPr>
      <w:bookmarkStart w:id="284" w:name="_Toc21004"/>
      <w:bookmarkStart w:id="285" w:name="_Toc18880"/>
      <w:r>
        <w:rPr>
          <w:rFonts w:hint="eastAsia" w:ascii="宋体" w:hAnsi="宋体" w:cs="宋体"/>
          <w:b/>
          <w:bCs/>
          <w:sz w:val="24"/>
          <w:szCs w:val="24"/>
          <w:highlight w:val="none"/>
        </w:rPr>
        <w:t>18 竣工验收（验收）</w:t>
      </w:r>
      <w:bookmarkEnd w:id="284"/>
      <w:bookmarkEnd w:id="285"/>
    </w:p>
    <w:p>
      <w:pPr>
        <w:wordWrap w:val="0"/>
        <w:spacing w:line="460" w:lineRule="exact"/>
        <w:outlineLvl w:val="1"/>
        <w:rPr>
          <w:rFonts w:ascii="宋体" w:hAnsi="宋体" w:cs="宋体"/>
          <w:b/>
          <w:bCs/>
          <w:sz w:val="24"/>
          <w:szCs w:val="24"/>
          <w:highlight w:val="none"/>
        </w:rPr>
      </w:pPr>
      <w:bookmarkStart w:id="286" w:name="_Toc15217"/>
      <w:bookmarkStart w:id="287" w:name="_Toc29466"/>
      <w:r>
        <w:rPr>
          <w:rFonts w:hint="eastAsia" w:ascii="宋体" w:hAnsi="宋体" w:cs="宋体"/>
          <w:b/>
          <w:bCs/>
          <w:sz w:val="24"/>
          <w:szCs w:val="24"/>
          <w:highlight w:val="none"/>
        </w:rPr>
        <w:t>18.1 验收工作分类</w:t>
      </w:r>
      <w:bookmarkEnd w:id="286"/>
      <w:bookmarkEnd w:id="28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wordWrap w:val="0"/>
        <w:spacing w:line="460" w:lineRule="exact"/>
        <w:outlineLvl w:val="1"/>
        <w:rPr>
          <w:rFonts w:ascii="宋体" w:hAnsi="宋体" w:cs="宋体"/>
          <w:b/>
          <w:bCs/>
          <w:sz w:val="24"/>
          <w:szCs w:val="24"/>
          <w:highlight w:val="none"/>
        </w:rPr>
      </w:pPr>
      <w:bookmarkStart w:id="288" w:name="_Toc25170"/>
      <w:bookmarkStart w:id="289" w:name="_Toc14489"/>
      <w:r>
        <w:rPr>
          <w:rFonts w:hint="eastAsia" w:ascii="宋体" w:hAnsi="宋体" w:cs="宋体"/>
          <w:b/>
          <w:bCs/>
          <w:sz w:val="24"/>
          <w:szCs w:val="24"/>
          <w:highlight w:val="none"/>
        </w:rPr>
        <w:t>18.2 分部工程验收</w:t>
      </w:r>
      <w:bookmarkEnd w:id="288"/>
      <w:bookmarkEnd w:id="28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18.2.1 分部工程具备验收条件时，承包人应向发包人提交验收申请报告，发包人应在收到验收申请报告之日起10个工作日内决定是否同意进行验收。</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18.2.2 除专用合同条款另有约定外，监理人主持分部工程验收，承包人应派符合条件的代表参加验收工作组。</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18.2.3 分部工程验收通过后，发包人向承包人发送分部工程验收鉴定书。承包人应及时完成分部工程验收鉴定书载明应由承包人处理的遗留问题。</w:t>
      </w:r>
    </w:p>
    <w:p>
      <w:pPr>
        <w:wordWrap w:val="0"/>
        <w:spacing w:line="460" w:lineRule="exact"/>
        <w:outlineLvl w:val="1"/>
        <w:rPr>
          <w:rFonts w:ascii="宋体" w:hAnsi="宋体" w:cs="宋体"/>
          <w:b/>
          <w:bCs/>
          <w:sz w:val="24"/>
          <w:szCs w:val="24"/>
          <w:highlight w:val="none"/>
        </w:rPr>
      </w:pPr>
      <w:bookmarkStart w:id="290" w:name="_Toc32236"/>
      <w:bookmarkStart w:id="291" w:name="_Toc9537"/>
      <w:r>
        <w:rPr>
          <w:rFonts w:hint="eastAsia" w:ascii="宋体" w:hAnsi="宋体" w:cs="宋体"/>
          <w:b/>
          <w:bCs/>
          <w:sz w:val="24"/>
          <w:szCs w:val="24"/>
          <w:highlight w:val="none"/>
        </w:rPr>
        <w:t>18.3 单位工程验收</w:t>
      </w:r>
      <w:bookmarkEnd w:id="290"/>
      <w:bookmarkEnd w:id="29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18.3.1 单位工程具备验收条件时，承包人应向发包人提交验收申请报告，发包人应在收到验收申请报告之日起10个工作日内决定是否同意进行验收。</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18.3.2 发包人主持单位工程验收，承包人应派符合条件的代表参加验收工作组。</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18.3.3 单位工程验收通过后，发包人向承包人发送单位工程验收鉴定书。承包人应及时完成单位工程验收鉴定书载明应由承包人处理的遗留问题。</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18.3.4 需提前投入使用的单位工程在专用合同条款中明确。</w:t>
      </w:r>
    </w:p>
    <w:p>
      <w:pPr>
        <w:wordWrap w:val="0"/>
        <w:spacing w:line="460" w:lineRule="exact"/>
        <w:outlineLvl w:val="1"/>
        <w:rPr>
          <w:rFonts w:ascii="宋体" w:hAnsi="宋体" w:cs="宋体"/>
          <w:b/>
          <w:bCs/>
          <w:sz w:val="24"/>
          <w:szCs w:val="24"/>
          <w:highlight w:val="none"/>
        </w:rPr>
      </w:pPr>
      <w:bookmarkStart w:id="292" w:name="_Toc23417"/>
      <w:bookmarkStart w:id="293" w:name="_Toc29546"/>
      <w:r>
        <w:rPr>
          <w:rFonts w:hint="eastAsia" w:ascii="宋体" w:hAnsi="宋体" w:cs="宋体"/>
          <w:b/>
          <w:bCs/>
          <w:sz w:val="24"/>
          <w:szCs w:val="24"/>
          <w:highlight w:val="none"/>
        </w:rPr>
        <w:t>18.4 合同工程完工验收</w:t>
      </w:r>
      <w:bookmarkEnd w:id="292"/>
      <w:bookmarkEnd w:id="29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18.4.1 合同工程具备验收条件时，承包人应向发包人提交验收申请报告，发包人应在收到验收申请报告之日起20个工作日内决定是否同意进行验收。</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18.4.2 发包人主持合同工程完工验收，承包人应派代表参加验收工作组。</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18.4.3 合同工程完工验收通过后，发包人向承包人发送合同工程完工验收鉴定书。承包人应及时完成合同工程完工验收鉴定书载明应由承包人处理的遗留问题。</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pPr>
        <w:wordWrap w:val="0"/>
        <w:spacing w:line="460" w:lineRule="exact"/>
        <w:outlineLvl w:val="1"/>
        <w:rPr>
          <w:rFonts w:ascii="宋体" w:hAnsi="宋体" w:cs="宋体"/>
          <w:b/>
          <w:bCs/>
          <w:sz w:val="24"/>
          <w:szCs w:val="24"/>
          <w:highlight w:val="none"/>
        </w:rPr>
      </w:pPr>
      <w:bookmarkStart w:id="294" w:name="_Toc455"/>
      <w:bookmarkStart w:id="295" w:name="_Toc19202"/>
      <w:r>
        <w:rPr>
          <w:rFonts w:hint="eastAsia" w:ascii="宋体" w:hAnsi="宋体" w:cs="宋体"/>
          <w:b/>
          <w:bCs/>
          <w:sz w:val="24"/>
          <w:szCs w:val="24"/>
          <w:highlight w:val="none"/>
        </w:rPr>
        <w:t>18.5 阶段验收</w:t>
      </w:r>
      <w:bookmarkEnd w:id="294"/>
      <w:bookmarkEnd w:id="29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18.5.1 工程建设具备阶段验收条件时，发包人负责提出阶段验收申请报告。承包人应派代表参加阶段验收，并作为被验收单位在验收鉴定书上签字。阶段验收的具体类别在专用合同条款中约定。</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18.5.2 承包人应及时完成阶段验收鉴定书载明应由承包人处理的遗留问题。</w:t>
      </w:r>
    </w:p>
    <w:p>
      <w:pPr>
        <w:wordWrap w:val="0"/>
        <w:spacing w:line="460" w:lineRule="exact"/>
        <w:outlineLvl w:val="1"/>
        <w:rPr>
          <w:rFonts w:ascii="宋体" w:hAnsi="宋体" w:cs="宋体"/>
          <w:b/>
          <w:bCs/>
          <w:sz w:val="24"/>
          <w:szCs w:val="24"/>
          <w:highlight w:val="none"/>
        </w:rPr>
      </w:pPr>
      <w:bookmarkStart w:id="296" w:name="_Toc26797"/>
      <w:bookmarkStart w:id="297" w:name="_Toc10550"/>
      <w:r>
        <w:rPr>
          <w:rFonts w:hint="eastAsia" w:ascii="宋体" w:hAnsi="宋体" w:cs="宋体"/>
          <w:b/>
          <w:bCs/>
          <w:sz w:val="24"/>
          <w:szCs w:val="24"/>
          <w:highlight w:val="none"/>
        </w:rPr>
        <w:t>18.6 专项验收</w:t>
      </w:r>
      <w:bookmarkEnd w:id="296"/>
      <w:bookmarkEnd w:id="29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18.6.1 发包人负责提出专项验收申请报告。承包人应按专项验收的相关规定参加专项验收。专项验收的具体类别在专用合同条款中约定。</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18.6.2 承包人应及时完成专项验收成果性文件载明应由承包人处理的遗留问题。</w:t>
      </w:r>
    </w:p>
    <w:p>
      <w:pPr>
        <w:wordWrap w:val="0"/>
        <w:spacing w:line="460" w:lineRule="exact"/>
        <w:outlineLvl w:val="1"/>
        <w:rPr>
          <w:rFonts w:ascii="宋体" w:hAnsi="宋体" w:cs="宋体"/>
          <w:b/>
          <w:bCs/>
          <w:sz w:val="24"/>
          <w:szCs w:val="24"/>
          <w:highlight w:val="none"/>
        </w:rPr>
      </w:pPr>
      <w:bookmarkStart w:id="298" w:name="_Toc8831"/>
      <w:bookmarkStart w:id="299" w:name="_Toc7697"/>
      <w:r>
        <w:rPr>
          <w:rFonts w:hint="eastAsia" w:ascii="宋体" w:hAnsi="宋体" w:cs="宋体"/>
          <w:b/>
          <w:bCs/>
          <w:sz w:val="24"/>
          <w:szCs w:val="24"/>
          <w:highlight w:val="none"/>
        </w:rPr>
        <w:t>18.7 竣工验收</w:t>
      </w:r>
      <w:bookmarkEnd w:id="298"/>
      <w:bookmarkEnd w:id="29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18.7.1 申请竣工验收前，发包人组织竣工验收自查，承包人应派代表参加。</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18.7.2 竣工验收分为竣工技术预验收和竣工验收两个阶段。发包人应通知承包人派代表参加技术预验收和竣工验收。</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18.7.3 专用合同条款约定工程需要进行技术鉴定的，承包人应提交有关资料并完成配合工作。</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18.7.4 竣工验收需要进行质量检测的，所需费用由发包人承担，但因承包人原因造成质量不合格的除外。</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18.7.5 工程质量保修期满以及竣工验收遗留问题和尾工处理完成并通过验收后，发包人负责将处理情况和验收成果报送竣工验收主持单位，申请领取工程竣工证书，并发送承包人。</w:t>
      </w:r>
    </w:p>
    <w:p>
      <w:pPr>
        <w:wordWrap w:val="0"/>
        <w:spacing w:line="460" w:lineRule="exact"/>
        <w:outlineLvl w:val="1"/>
        <w:rPr>
          <w:rFonts w:ascii="宋体" w:hAnsi="宋体" w:cs="宋体"/>
          <w:b/>
          <w:bCs/>
          <w:sz w:val="24"/>
          <w:szCs w:val="24"/>
          <w:highlight w:val="none"/>
        </w:rPr>
      </w:pPr>
      <w:bookmarkStart w:id="300" w:name="_Toc5572"/>
      <w:bookmarkStart w:id="301" w:name="_Toc30121"/>
      <w:r>
        <w:rPr>
          <w:rFonts w:hint="eastAsia" w:ascii="宋体" w:hAnsi="宋体" w:cs="宋体"/>
          <w:b/>
          <w:bCs/>
          <w:sz w:val="24"/>
          <w:szCs w:val="24"/>
          <w:highlight w:val="none"/>
        </w:rPr>
        <w:t>18.8 施工期运行</w:t>
      </w:r>
      <w:bookmarkEnd w:id="300"/>
      <w:bookmarkEnd w:id="30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18.8.2 在施工期运行中发现工程或工程设备损坏或存在缺陷的，由承包人按第19.2款约定进行修复。</w:t>
      </w:r>
    </w:p>
    <w:p>
      <w:pPr>
        <w:wordWrap w:val="0"/>
        <w:spacing w:line="460" w:lineRule="exact"/>
        <w:outlineLvl w:val="1"/>
        <w:rPr>
          <w:rFonts w:ascii="宋体" w:hAnsi="宋体" w:cs="宋体"/>
          <w:b/>
          <w:bCs/>
          <w:sz w:val="24"/>
          <w:szCs w:val="24"/>
          <w:highlight w:val="none"/>
        </w:rPr>
      </w:pPr>
      <w:bookmarkStart w:id="302" w:name="_Toc21947"/>
      <w:bookmarkStart w:id="303" w:name="_Toc24016"/>
      <w:r>
        <w:rPr>
          <w:rFonts w:hint="eastAsia" w:ascii="宋体" w:hAnsi="宋体" w:cs="宋体"/>
          <w:b/>
          <w:bCs/>
          <w:sz w:val="24"/>
          <w:szCs w:val="24"/>
          <w:highlight w:val="none"/>
        </w:rPr>
        <w:t>18.9 试运行</w:t>
      </w:r>
      <w:bookmarkEnd w:id="302"/>
      <w:bookmarkEnd w:id="30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18.9.1 除专用合同条款另有约定外，承包人应按规定进行工程及工程设备试运行，负责提供试运行所需的人员、器材和必要的条件，并承担全部试运行费用。</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wordWrap w:val="0"/>
        <w:spacing w:line="460" w:lineRule="exact"/>
        <w:outlineLvl w:val="1"/>
        <w:rPr>
          <w:rFonts w:ascii="宋体" w:hAnsi="宋体" w:cs="宋体"/>
          <w:b/>
          <w:bCs/>
          <w:sz w:val="24"/>
          <w:szCs w:val="24"/>
          <w:highlight w:val="none"/>
        </w:rPr>
      </w:pPr>
      <w:bookmarkStart w:id="304" w:name="_Toc22150"/>
      <w:bookmarkStart w:id="305" w:name="_Toc8815"/>
      <w:r>
        <w:rPr>
          <w:rFonts w:hint="eastAsia" w:ascii="宋体" w:hAnsi="宋体" w:cs="宋体"/>
          <w:b/>
          <w:bCs/>
          <w:sz w:val="24"/>
          <w:szCs w:val="24"/>
          <w:highlight w:val="none"/>
        </w:rPr>
        <w:t>18.10 竣工（完工）清场</w:t>
      </w:r>
      <w:bookmarkEnd w:id="304"/>
      <w:bookmarkEnd w:id="30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18.10.1 工程项目竣工（完工）清场的工作范围和内容在技术标准和要求（合同技术条款）中约定。</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18.10.2 承包人未按监理人的要求恢复临时占地，或者场地清理未达到合同约定的，发包人有权委托其它人恢复或清理，所发生的金额从拟支付给承包人的款项中扣除。</w:t>
      </w:r>
    </w:p>
    <w:p>
      <w:pPr>
        <w:wordWrap w:val="0"/>
        <w:spacing w:line="460" w:lineRule="exact"/>
        <w:outlineLvl w:val="1"/>
        <w:rPr>
          <w:rFonts w:ascii="宋体" w:hAnsi="宋体" w:cs="宋体"/>
          <w:b/>
          <w:bCs/>
          <w:sz w:val="24"/>
          <w:szCs w:val="24"/>
          <w:highlight w:val="none"/>
        </w:rPr>
      </w:pPr>
      <w:bookmarkStart w:id="306" w:name="_Toc16318"/>
      <w:bookmarkStart w:id="307" w:name="_Toc10258"/>
      <w:r>
        <w:rPr>
          <w:rFonts w:hint="eastAsia" w:ascii="宋体" w:hAnsi="宋体" w:cs="宋体"/>
          <w:b/>
          <w:bCs/>
          <w:sz w:val="24"/>
          <w:szCs w:val="24"/>
          <w:highlight w:val="none"/>
        </w:rPr>
        <w:t>18.11 施工队伍的撤离</w:t>
      </w:r>
      <w:bookmarkEnd w:id="306"/>
      <w:bookmarkEnd w:id="30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合同工程完工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wordWrap w:val="0"/>
        <w:spacing w:line="460" w:lineRule="exact"/>
        <w:outlineLvl w:val="0"/>
        <w:rPr>
          <w:rFonts w:ascii="宋体" w:hAnsi="宋体" w:cs="宋体"/>
          <w:b/>
          <w:bCs/>
          <w:sz w:val="24"/>
          <w:szCs w:val="24"/>
          <w:highlight w:val="none"/>
        </w:rPr>
      </w:pPr>
      <w:bookmarkStart w:id="308" w:name="_Toc8702"/>
      <w:bookmarkStart w:id="309" w:name="_Toc21207"/>
      <w:r>
        <w:rPr>
          <w:rFonts w:hint="eastAsia" w:ascii="宋体" w:hAnsi="宋体" w:cs="宋体"/>
          <w:b/>
          <w:bCs/>
          <w:sz w:val="24"/>
          <w:szCs w:val="24"/>
          <w:highlight w:val="none"/>
        </w:rPr>
        <w:t>19. 缺陷责任与保修责任</w:t>
      </w:r>
      <w:bookmarkEnd w:id="308"/>
      <w:bookmarkEnd w:id="309"/>
    </w:p>
    <w:p>
      <w:pPr>
        <w:wordWrap w:val="0"/>
        <w:spacing w:line="460" w:lineRule="exact"/>
        <w:outlineLvl w:val="1"/>
        <w:rPr>
          <w:rFonts w:ascii="宋体" w:hAnsi="宋体" w:cs="宋体"/>
          <w:b/>
          <w:bCs/>
          <w:sz w:val="24"/>
          <w:szCs w:val="24"/>
          <w:highlight w:val="none"/>
        </w:rPr>
      </w:pPr>
      <w:bookmarkStart w:id="310" w:name="_Toc25275"/>
      <w:bookmarkStart w:id="311" w:name="_Toc6562"/>
      <w:r>
        <w:rPr>
          <w:rFonts w:hint="eastAsia" w:ascii="宋体" w:hAnsi="宋体" w:cs="宋体"/>
          <w:b/>
          <w:bCs/>
          <w:sz w:val="24"/>
          <w:szCs w:val="24"/>
          <w:highlight w:val="none"/>
        </w:rPr>
        <w:t>19.1 缺陷责任期的起算时间</w:t>
      </w:r>
      <w:bookmarkEnd w:id="310"/>
      <w:bookmarkEnd w:id="31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除专用合同条款另有约定外，缺陷责任期从工程通过合同工程完工验收后开始计算。在合同工程完工验收前，已经发包人提前验收的单位工程或部分工程，若未投入使用，其缺陷责任期亦从工程通过合同工程完工验收后开始计算；若已投入使用，其缺陷责任期从通过单位工程或部分工程投入使用验收后开始计算。缺陷责任期的期限在专用合同条款中约定。</w:t>
      </w:r>
    </w:p>
    <w:p>
      <w:pPr>
        <w:wordWrap w:val="0"/>
        <w:spacing w:line="460" w:lineRule="exact"/>
        <w:outlineLvl w:val="1"/>
        <w:rPr>
          <w:rFonts w:ascii="宋体" w:hAnsi="宋体" w:cs="宋体"/>
          <w:b/>
          <w:bCs/>
          <w:sz w:val="24"/>
          <w:szCs w:val="24"/>
          <w:highlight w:val="none"/>
        </w:rPr>
      </w:pPr>
      <w:bookmarkStart w:id="312" w:name="_Toc30495"/>
      <w:bookmarkStart w:id="313" w:name="_Toc12474"/>
      <w:r>
        <w:rPr>
          <w:rFonts w:hint="eastAsia" w:ascii="宋体" w:hAnsi="宋体" w:cs="宋体"/>
          <w:b/>
          <w:bCs/>
          <w:sz w:val="24"/>
          <w:szCs w:val="24"/>
          <w:highlight w:val="none"/>
        </w:rPr>
        <w:t>19.2 缺陷责任</w:t>
      </w:r>
      <w:bookmarkEnd w:id="312"/>
      <w:bookmarkEnd w:id="31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19.2.1 承包人应在缺陷责任期内对已交付使用的工程承担缺陷责任。</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19.2.4 承包人不能在合理时间内修复缺陷的，发包人可自行修复或委托其他人修复，所需费用和利润的承担，按第19.2.3项约定办理。</w:t>
      </w:r>
    </w:p>
    <w:p>
      <w:pPr>
        <w:wordWrap w:val="0"/>
        <w:spacing w:line="460" w:lineRule="exact"/>
        <w:outlineLvl w:val="1"/>
        <w:rPr>
          <w:rFonts w:ascii="宋体" w:hAnsi="宋体" w:cs="宋体"/>
          <w:b/>
          <w:bCs/>
          <w:sz w:val="24"/>
          <w:szCs w:val="24"/>
          <w:highlight w:val="none"/>
        </w:rPr>
      </w:pPr>
      <w:bookmarkStart w:id="314" w:name="_Toc20404"/>
      <w:bookmarkStart w:id="315" w:name="_Toc9691"/>
      <w:r>
        <w:rPr>
          <w:rFonts w:hint="eastAsia" w:ascii="宋体" w:hAnsi="宋体" w:cs="宋体"/>
          <w:b/>
          <w:bCs/>
          <w:sz w:val="24"/>
          <w:szCs w:val="24"/>
          <w:highlight w:val="none"/>
        </w:rPr>
        <w:t>19.3 缺陷责任期的延长</w:t>
      </w:r>
      <w:bookmarkEnd w:id="314"/>
      <w:bookmarkEnd w:id="31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由于承包人原因造成某项缺陷或损坏使某项工程或工程设备不能按原定目标使用而需要再次检查、检验和修复的，发包人有权要求承包人相应延长缺陷责任期，但缺陷责任期最长不超过1年。</w:t>
      </w:r>
    </w:p>
    <w:p>
      <w:pPr>
        <w:wordWrap w:val="0"/>
        <w:spacing w:line="460" w:lineRule="exact"/>
        <w:outlineLvl w:val="1"/>
        <w:rPr>
          <w:rFonts w:ascii="宋体" w:hAnsi="宋体" w:cs="宋体"/>
          <w:b/>
          <w:bCs/>
          <w:sz w:val="24"/>
          <w:szCs w:val="24"/>
          <w:highlight w:val="none"/>
        </w:rPr>
      </w:pPr>
      <w:bookmarkStart w:id="316" w:name="_Toc14828"/>
      <w:bookmarkStart w:id="317" w:name="_Toc7907"/>
      <w:r>
        <w:rPr>
          <w:rFonts w:hint="eastAsia" w:ascii="宋体" w:hAnsi="宋体" w:cs="宋体"/>
          <w:b/>
          <w:bCs/>
          <w:sz w:val="24"/>
          <w:szCs w:val="24"/>
          <w:highlight w:val="none"/>
        </w:rPr>
        <w:t>19.4 进一步试验和试运行</w:t>
      </w:r>
      <w:bookmarkEnd w:id="316"/>
      <w:bookmarkEnd w:id="31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任何一项缺陷或损坏修复后，经检查证明其影响了工程或工程设备的使用性能，承包人应重新进行合同约定的试验和试运行，试验和试运行的全部费用应由责任方承担。</w:t>
      </w:r>
    </w:p>
    <w:p>
      <w:pPr>
        <w:wordWrap w:val="0"/>
        <w:spacing w:line="460" w:lineRule="exact"/>
        <w:outlineLvl w:val="1"/>
        <w:rPr>
          <w:rFonts w:ascii="宋体" w:hAnsi="宋体" w:cs="宋体"/>
          <w:b/>
          <w:bCs/>
          <w:sz w:val="24"/>
          <w:szCs w:val="24"/>
          <w:highlight w:val="none"/>
        </w:rPr>
      </w:pPr>
      <w:bookmarkStart w:id="318" w:name="_Toc6141"/>
      <w:bookmarkStart w:id="319" w:name="_Toc31562"/>
      <w:r>
        <w:rPr>
          <w:rFonts w:hint="eastAsia" w:ascii="宋体" w:hAnsi="宋体" w:cs="宋体"/>
          <w:b/>
          <w:bCs/>
          <w:sz w:val="24"/>
          <w:szCs w:val="24"/>
          <w:highlight w:val="none"/>
        </w:rPr>
        <w:t>19.5 承包人的进入权</w:t>
      </w:r>
      <w:bookmarkEnd w:id="318"/>
      <w:bookmarkEnd w:id="31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缺陷责任期内承包人为缺陷修复工作需要，有权进入工程现场，但应遵守发包人的保安和保密规定。</w:t>
      </w:r>
    </w:p>
    <w:p>
      <w:pPr>
        <w:wordWrap w:val="0"/>
        <w:spacing w:line="460" w:lineRule="exact"/>
        <w:outlineLvl w:val="1"/>
        <w:rPr>
          <w:rFonts w:ascii="宋体" w:hAnsi="宋体" w:cs="宋体"/>
          <w:b/>
          <w:bCs/>
          <w:sz w:val="24"/>
          <w:szCs w:val="24"/>
          <w:highlight w:val="none"/>
        </w:rPr>
      </w:pPr>
      <w:bookmarkStart w:id="320" w:name="_Toc25707"/>
      <w:bookmarkStart w:id="321" w:name="_Toc30383"/>
      <w:r>
        <w:rPr>
          <w:rFonts w:hint="eastAsia" w:ascii="宋体" w:hAnsi="宋体" w:cs="宋体"/>
          <w:b/>
          <w:bCs/>
          <w:sz w:val="24"/>
          <w:szCs w:val="24"/>
          <w:highlight w:val="none"/>
        </w:rPr>
        <w:t>19.6 缺陷责任期终止证书</w:t>
      </w:r>
      <w:bookmarkEnd w:id="320"/>
      <w:bookmarkEnd w:id="32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合同工程完工验收或投入使用验收后，发包人与承包人应办理工程交接手续，承包人应向发包人递交工程质量保修书。</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缺陷责任期期满后30个工作日内，发包人应向承包人颁发工程质量保修责任终止证书，并退还剩余的质量保证金，但保修责任范围内的质量缺陷未处理完成的应除外。</w:t>
      </w:r>
    </w:p>
    <w:p>
      <w:pPr>
        <w:wordWrap w:val="0"/>
        <w:spacing w:line="460" w:lineRule="exact"/>
        <w:outlineLvl w:val="1"/>
        <w:rPr>
          <w:rFonts w:ascii="宋体" w:hAnsi="宋体" w:cs="宋体"/>
          <w:b/>
          <w:bCs/>
          <w:sz w:val="24"/>
          <w:szCs w:val="24"/>
          <w:highlight w:val="none"/>
        </w:rPr>
      </w:pPr>
      <w:bookmarkStart w:id="322" w:name="_Toc21728"/>
      <w:bookmarkStart w:id="323" w:name="_Toc23924"/>
      <w:r>
        <w:rPr>
          <w:rFonts w:hint="eastAsia" w:ascii="宋体" w:hAnsi="宋体" w:cs="宋体"/>
          <w:b/>
          <w:bCs/>
          <w:sz w:val="24"/>
          <w:szCs w:val="24"/>
          <w:highlight w:val="none"/>
        </w:rPr>
        <w:t>19.7 保修责任</w:t>
      </w:r>
      <w:bookmarkEnd w:id="322"/>
      <w:bookmarkEnd w:id="32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合同当事人根据有关法律规定，在专用合同条款中约定工程质量保修范围、期限和责任。工程质量保修期自实际竣工日期起计算。在全部工程竣工验收前，已经发包人提前验收的单位工程，其工程质量保修期的起算日期相应提前。</w:t>
      </w:r>
    </w:p>
    <w:p>
      <w:pPr>
        <w:wordWrap w:val="0"/>
        <w:spacing w:line="460" w:lineRule="exact"/>
        <w:outlineLvl w:val="0"/>
        <w:rPr>
          <w:rFonts w:ascii="宋体" w:hAnsi="宋体" w:cs="宋体"/>
          <w:b/>
          <w:bCs/>
          <w:sz w:val="24"/>
          <w:szCs w:val="24"/>
          <w:highlight w:val="none"/>
        </w:rPr>
      </w:pPr>
      <w:bookmarkStart w:id="324" w:name="_Toc6140"/>
      <w:bookmarkStart w:id="325" w:name="_Toc19312"/>
      <w:r>
        <w:rPr>
          <w:rFonts w:hint="eastAsia" w:ascii="宋体" w:hAnsi="宋体" w:cs="宋体"/>
          <w:b/>
          <w:bCs/>
          <w:sz w:val="24"/>
          <w:szCs w:val="24"/>
          <w:highlight w:val="none"/>
        </w:rPr>
        <w:t>20. 保险</w:t>
      </w:r>
      <w:bookmarkEnd w:id="324"/>
      <w:bookmarkEnd w:id="325"/>
    </w:p>
    <w:p>
      <w:pPr>
        <w:wordWrap w:val="0"/>
        <w:spacing w:line="460" w:lineRule="exact"/>
        <w:outlineLvl w:val="1"/>
        <w:rPr>
          <w:rFonts w:ascii="宋体" w:hAnsi="宋体" w:cs="宋体"/>
          <w:b/>
          <w:bCs/>
          <w:sz w:val="24"/>
          <w:szCs w:val="24"/>
          <w:highlight w:val="none"/>
        </w:rPr>
      </w:pPr>
      <w:bookmarkStart w:id="326" w:name="_Toc29799"/>
      <w:bookmarkStart w:id="327" w:name="_Toc28365"/>
      <w:r>
        <w:rPr>
          <w:rFonts w:hint="eastAsia" w:ascii="宋体" w:hAnsi="宋体" w:cs="宋体"/>
          <w:b/>
          <w:bCs/>
          <w:sz w:val="24"/>
          <w:szCs w:val="24"/>
          <w:highlight w:val="none"/>
        </w:rPr>
        <w:t>20.1 工程保险</w:t>
      </w:r>
      <w:bookmarkEnd w:id="326"/>
      <w:bookmarkEnd w:id="32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wordWrap w:val="0"/>
        <w:spacing w:line="460" w:lineRule="exact"/>
        <w:outlineLvl w:val="1"/>
        <w:rPr>
          <w:rFonts w:ascii="宋体" w:hAnsi="宋体" w:cs="宋体"/>
          <w:b/>
          <w:bCs/>
          <w:sz w:val="24"/>
          <w:szCs w:val="24"/>
          <w:highlight w:val="none"/>
        </w:rPr>
      </w:pPr>
      <w:bookmarkStart w:id="328" w:name="_Toc7760"/>
      <w:bookmarkStart w:id="329" w:name="_Toc26178"/>
      <w:r>
        <w:rPr>
          <w:rFonts w:hint="eastAsia" w:ascii="宋体" w:hAnsi="宋体" w:cs="宋体"/>
          <w:b/>
          <w:bCs/>
          <w:sz w:val="24"/>
          <w:szCs w:val="24"/>
          <w:highlight w:val="none"/>
        </w:rPr>
        <w:t>20.2 人员工伤事故的保险</w:t>
      </w:r>
      <w:bookmarkEnd w:id="328"/>
      <w:bookmarkEnd w:id="32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20.2.1 承包人员工伤事故的保险</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承包人应依照有关法律规定参加工伤保险，为其履行合同所雇佣的全部人员，缴纳工伤保险费，并要求其分包人也进行此项保险。</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20.2.2 发包人员工伤事故的保险</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发包人应依照有关法律规定参加工伤保险，为其现场机构雇佣的全部人员，缴纳工伤保险费，并要求其监理人也进行此项保险。</w:t>
      </w:r>
    </w:p>
    <w:p>
      <w:pPr>
        <w:wordWrap w:val="0"/>
        <w:spacing w:line="460" w:lineRule="exact"/>
        <w:outlineLvl w:val="1"/>
        <w:rPr>
          <w:rFonts w:ascii="宋体" w:hAnsi="宋体" w:cs="宋体"/>
          <w:b/>
          <w:bCs/>
          <w:sz w:val="24"/>
          <w:szCs w:val="24"/>
          <w:highlight w:val="none"/>
        </w:rPr>
      </w:pPr>
      <w:bookmarkStart w:id="330" w:name="_Toc21085"/>
      <w:bookmarkStart w:id="331" w:name="_Toc24143"/>
      <w:r>
        <w:rPr>
          <w:rFonts w:hint="eastAsia" w:ascii="宋体" w:hAnsi="宋体" w:cs="宋体"/>
          <w:b/>
          <w:bCs/>
          <w:sz w:val="24"/>
          <w:szCs w:val="24"/>
          <w:highlight w:val="none"/>
        </w:rPr>
        <w:t>20.3 人身意外伤害险</w:t>
      </w:r>
      <w:bookmarkEnd w:id="330"/>
      <w:bookmarkEnd w:id="33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20.3.1 发包人应在整个施工期间为其现场机构雇用的全部人员，投保人身意外伤害险，缴纳保险费，并要求其监理人也进行此项保险。</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20.3.2 承包人应在整个施工期间为其现场机构雇用的全部人员，投保人身意外伤害险，缴纳保险费，并要求其分包人也进行此项保险。</w:t>
      </w:r>
    </w:p>
    <w:p>
      <w:pPr>
        <w:wordWrap w:val="0"/>
        <w:spacing w:line="460" w:lineRule="exact"/>
        <w:outlineLvl w:val="1"/>
        <w:rPr>
          <w:rFonts w:ascii="宋体" w:hAnsi="宋体" w:cs="宋体"/>
          <w:b/>
          <w:bCs/>
          <w:sz w:val="24"/>
          <w:szCs w:val="24"/>
          <w:highlight w:val="none"/>
        </w:rPr>
      </w:pPr>
      <w:bookmarkStart w:id="332" w:name="_Toc28983"/>
      <w:bookmarkStart w:id="333" w:name="_Toc13162"/>
      <w:r>
        <w:rPr>
          <w:rFonts w:hint="eastAsia" w:ascii="宋体" w:hAnsi="宋体" w:cs="宋体"/>
          <w:b/>
          <w:bCs/>
          <w:sz w:val="24"/>
          <w:szCs w:val="24"/>
          <w:highlight w:val="none"/>
        </w:rPr>
        <w:t>20.4 第三者责任险</w:t>
      </w:r>
      <w:bookmarkEnd w:id="332"/>
      <w:bookmarkEnd w:id="33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20.4.2 在缺陷责任期终止证书颁发前，承包人应以承包人和发包人的共同名义，投保第20.4.1项约定的第三者责任险，其保险费率、保险金额等有关内容在专用合同条款中约定。</w:t>
      </w:r>
    </w:p>
    <w:p>
      <w:pPr>
        <w:wordWrap w:val="0"/>
        <w:spacing w:line="460" w:lineRule="exact"/>
        <w:outlineLvl w:val="1"/>
        <w:rPr>
          <w:rFonts w:ascii="宋体" w:hAnsi="宋体" w:cs="宋体"/>
          <w:b/>
          <w:bCs/>
          <w:sz w:val="24"/>
          <w:szCs w:val="24"/>
          <w:highlight w:val="none"/>
        </w:rPr>
      </w:pPr>
      <w:bookmarkStart w:id="334" w:name="_Toc12953"/>
      <w:bookmarkStart w:id="335" w:name="_Toc12996"/>
      <w:r>
        <w:rPr>
          <w:rFonts w:hint="eastAsia" w:ascii="宋体" w:hAnsi="宋体" w:cs="宋体"/>
          <w:b/>
          <w:bCs/>
          <w:sz w:val="24"/>
          <w:szCs w:val="24"/>
          <w:highlight w:val="none"/>
        </w:rPr>
        <w:t>20.5 其他保险</w:t>
      </w:r>
      <w:bookmarkEnd w:id="334"/>
      <w:bookmarkEnd w:id="33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除专用合同条款另有约定外，承包人应为其施工设备、进场的材料和工程设备等办理保险。</w:t>
      </w:r>
    </w:p>
    <w:p>
      <w:pPr>
        <w:wordWrap w:val="0"/>
        <w:spacing w:line="460" w:lineRule="exact"/>
        <w:outlineLvl w:val="1"/>
        <w:rPr>
          <w:rFonts w:ascii="宋体" w:hAnsi="宋体" w:cs="宋体"/>
          <w:b/>
          <w:bCs/>
          <w:sz w:val="24"/>
          <w:szCs w:val="24"/>
          <w:highlight w:val="none"/>
        </w:rPr>
      </w:pPr>
      <w:bookmarkStart w:id="336" w:name="_Toc32342"/>
      <w:bookmarkStart w:id="337" w:name="_Toc16099"/>
      <w:r>
        <w:rPr>
          <w:rFonts w:hint="eastAsia" w:ascii="宋体" w:hAnsi="宋体" w:cs="宋体"/>
          <w:b/>
          <w:bCs/>
          <w:sz w:val="24"/>
          <w:szCs w:val="24"/>
          <w:highlight w:val="none"/>
        </w:rPr>
        <w:t>20.6 对各项保险的一般要求</w:t>
      </w:r>
      <w:bookmarkEnd w:id="336"/>
      <w:bookmarkEnd w:id="33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20.6.1 保险凭证</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承包人应在专用合同条款约定的期限内向发包人提交各项保险生效的证据和保险单副本，保险单必须与专用合同条款约定的条件保持一致。</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20.6.2 保险合同条款的变动</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承包人需要变动保险合同条款时，应事先征得发包人同意，并通知监理人。保险人作出变动的，承包人应在收到保险人通知后立即通知发包人和监理人。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20.6.3 持续保险</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承包人应与保险人保持联系，使保险人能够随时了解工程实施中的变动，并确保按保险合同条款要求持续保险。</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20.6.4 保险金不足的补偿</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保险金不足以补偿损失时，应由承包人和发包人各自负责补偿的范围和金额在专用合同条款中约定。</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20.6.5 未按约定投保的补救</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（1）由于负有投保义务的一方当事人未按合同约定办理保险，或未能使保险持续有效的，另一方当事人可代为办理，所需费用由对方当事人承担。</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（2）由于负有投保义务的一方当事人未按合同约定办理某项保险，导致受益人未能得到保险人的赔偿，原应从该项保险得到的保险金应由负有投保义务的一方当事人支付。</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20.6.6 报告义务</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当保险事故发生时，投保人应按照保险单规定的条件和期限及时向保险人报告。</w:t>
      </w:r>
    </w:p>
    <w:p>
      <w:pPr>
        <w:wordWrap w:val="0"/>
        <w:spacing w:line="460" w:lineRule="exact"/>
        <w:outlineLvl w:val="1"/>
        <w:rPr>
          <w:rFonts w:ascii="宋体" w:hAnsi="宋体" w:cs="宋体"/>
          <w:b/>
          <w:bCs/>
          <w:sz w:val="24"/>
          <w:szCs w:val="24"/>
          <w:highlight w:val="none"/>
        </w:rPr>
      </w:pPr>
      <w:bookmarkStart w:id="338" w:name="_Toc28259"/>
      <w:bookmarkStart w:id="339" w:name="_Toc10609"/>
      <w:r>
        <w:rPr>
          <w:rFonts w:hint="eastAsia" w:ascii="宋体" w:hAnsi="宋体" w:cs="宋体"/>
          <w:b/>
          <w:bCs/>
          <w:sz w:val="24"/>
          <w:szCs w:val="24"/>
          <w:highlight w:val="none"/>
        </w:rPr>
        <w:t>20.7 风险责任的转移</w:t>
      </w:r>
      <w:bookmarkEnd w:id="338"/>
      <w:bookmarkEnd w:id="33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工程通过合同工程完工验收并移交给发包人后，原由承包人应承担的风险责任，以及保险的责任、权利和义务同时转移给发包人，但承包人在缺陷责任期与工程质量保修期前造成损失和损坏情形除外。</w:t>
      </w:r>
    </w:p>
    <w:p>
      <w:pPr>
        <w:wordWrap w:val="0"/>
        <w:spacing w:line="460" w:lineRule="exact"/>
        <w:outlineLvl w:val="0"/>
        <w:rPr>
          <w:rFonts w:ascii="宋体" w:hAnsi="宋体" w:cs="宋体"/>
          <w:b/>
          <w:bCs/>
          <w:sz w:val="24"/>
          <w:szCs w:val="24"/>
          <w:highlight w:val="none"/>
        </w:rPr>
      </w:pPr>
      <w:bookmarkStart w:id="340" w:name="_Toc23456"/>
      <w:bookmarkStart w:id="341" w:name="_Toc29879"/>
      <w:r>
        <w:rPr>
          <w:rFonts w:hint="eastAsia" w:ascii="宋体" w:hAnsi="宋体" w:cs="宋体"/>
          <w:b/>
          <w:bCs/>
          <w:sz w:val="24"/>
          <w:szCs w:val="24"/>
          <w:highlight w:val="none"/>
        </w:rPr>
        <w:t>21. 不可抗力</w:t>
      </w:r>
      <w:bookmarkEnd w:id="340"/>
      <w:bookmarkEnd w:id="341"/>
    </w:p>
    <w:p>
      <w:pPr>
        <w:wordWrap w:val="0"/>
        <w:spacing w:line="460" w:lineRule="exact"/>
        <w:outlineLvl w:val="1"/>
        <w:rPr>
          <w:rFonts w:ascii="宋体" w:hAnsi="宋体" w:cs="宋体"/>
          <w:b/>
          <w:bCs/>
          <w:sz w:val="24"/>
          <w:szCs w:val="24"/>
          <w:highlight w:val="none"/>
        </w:rPr>
      </w:pPr>
      <w:bookmarkStart w:id="342" w:name="_Toc2818"/>
      <w:bookmarkStart w:id="343" w:name="_Toc30253"/>
      <w:r>
        <w:rPr>
          <w:rFonts w:hint="eastAsia" w:ascii="宋体" w:hAnsi="宋体" w:cs="宋体"/>
          <w:b/>
          <w:bCs/>
          <w:sz w:val="24"/>
          <w:szCs w:val="24"/>
          <w:highlight w:val="none"/>
        </w:rPr>
        <w:t>21.1 不可抗力的确认</w:t>
      </w:r>
      <w:bookmarkEnd w:id="342"/>
      <w:bookmarkEnd w:id="34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22.1.1 承包人违约的情形</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在履行合同过程中发生的下列情况属承包人违约：</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（1）承包人违反第1.8款或第4.3款的约定，私自将合同的全部或部分权利转让给其他人，或私自将合同的全部或部分义务转移给其他人；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（2）承包人违反第5.3款或第6.4款的约定，未经监理人批准，私自将已按合同约定进入施工场地的施工设备、临时设施或材料撤离施工场地；</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（3）承包人违反第5.4款的约定使用了不合格材料或工程设备，工程质量达不到标准要求，又拒绝清除不合格工程；</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（4）承包人未能按合同进度计划及时完成合同约定的工作，已造成或预期造成工期延误；</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（5）承包人在缺陷责任期内，未能对合同工程完工验收鉴定书所列的缺陷清单的内容或缺陷责任期内发生的缺陷进行修复，而又拒绝按监理人指示再进行修补；</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（6）承包人无法继续履行或明确表示不履行或实质上已停止履行合同；</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（7）承包人不按合同约定履行义务的其它情况。</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wordWrap w:val="0"/>
        <w:spacing w:line="460" w:lineRule="exact"/>
        <w:outlineLvl w:val="1"/>
        <w:rPr>
          <w:rFonts w:ascii="宋体" w:hAnsi="宋体" w:cs="宋体"/>
          <w:b/>
          <w:bCs/>
          <w:sz w:val="24"/>
          <w:szCs w:val="24"/>
          <w:highlight w:val="none"/>
        </w:rPr>
      </w:pPr>
      <w:bookmarkStart w:id="344" w:name="_Toc21757"/>
      <w:bookmarkStart w:id="345" w:name="_Toc28776"/>
      <w:r>
        <w:rPr>
          <w:rFonts w:hint="eastAsia" w:ascii="宋体" w:hAnsi="宋体" w:cs="宋体"/>
          <w:b/>
          <w:bCs/>
          <w:sz w:val="24"/>
          <w:szCs w:val="24"/>
          <w:highlight w:val="none"/>
        </w:rPr>
        <w:t>21.2 不可抗力的通知</w:t>
      </w:r>
      <w:bookmarkEnd w:id="344"/>
      <w:bookmarkEnd w:id="34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21.2.1 合同一方当事人遇到不可抗力事件，使其履行合同义务受到阻碍时，应立即通知合同另一方当事人和监理人，书面说明不可抗力和受阻碍的详细情况，并提供必要的证明。</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pPr>
        <w:wordWrap w:val="0"/>
        <w:spacing w:line="460" w:lineRule="exact"/>
        <w:outlineLvl w:val="1"/>
        <w:rPr>
          <w:rFonts w:ascii="宋体" w:hAnsi="宋体" w:cs="宋体"/>
          <w:b/>
          <w:bCs/>
          <w:sz w:val="24"/>
          <w:szCs w:val="24"/>
          <w:highlight w:val="none"/>
        </w:rPr>
      </w:pPr>
      <w:bookmarkStart w:id="346" w:name="_Toc12516"/>
      <w:bookmarkStart w:id="347" w:name="_Toc4607"/>
      <w:r>
        <w:rPr>
          <w:rFonts w:hint="eastAsia" w:ascii="宋体" w:hAnsi="宋体" w:cs="宋体"/>
          <w:b/>
          <w:bCs/>
          <w:sz w:val="24"/>
          <w:szCs w:val="24"/>
          <w:highlight w:val="none"/>
        </w:rPr>
        <w:t>21.3 不可抗力后果及其处理</w:t>
      </w:r>
      <w:bookmarkEnd w:id="346"/>
      <w:bookmarkEnd w:id="34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21.3.1 不可抗力造成损害的责任</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除专用合同条款另有约定外，不可抗力导致的人员伤亡、财产损失、费用增加和（或）工期延误等后果，由合同双方按以下原则承担：</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（1）永久工程，包括已运至施工场地的材料和工程设备的损害，以及因工程损害造成的第三者人员伤亡和财产损失由发包人承担；</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（2）承包人设备的损坏由承包人承担；</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（3）发包人和承包人各自承担其人员伤亡和其他财产损失及其相关费用；</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（4）承包人的停工损失由承包人承担，但停工期间应监理人要求照管工程和清理、修复工程的金额由发包人承担；</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（5）不能按期竣工的，应合理延长工期，承包人不需支付逾期竣工违约金。发包人要求赶工的，承包人应采取赶工措施，赶工费用由发包人承担。</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21.3.2 延迟履行期间发生的不可抗力</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合同一方当事人延迟履行，在延迟履行期间发生不可抗力的，不免除其责任。</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21.3.3 避免和减少不可抗力损失</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不可抗力发生后，发包人和承包人均应采取措施尽量避免和减少损失的扩大，任何一方没有采取有效措施导致损失扩大的，应对扩大的损失承担责任。</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21.3.4 因不可抗力解除合同</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wordWrap w:val="0"/>
        <w:spacing w:line="460" w:lineRule="exact"/>
        <w:outlineLvl w:val="0"/>
        <w:rPr>
          <w:rFonts w:ascii="宋体" w:hAnsi="宋体" w:cs="宋体"/>
          <w:b/>
          <w:bCs/>
          <w:sz w:val="24"/>
          <w:szCs w:val="24"/>
          <w:highlight w:val="none"/>
        </w:rPr>
      </w:pPr>
      <w:bookmarkStart w:id="348" w:name="_Toc3671"/>
      <w:bookmarkStart w:id="349" w:name="_Toc29331"/>
      <w:r>
        <w:rPr>
          <w:rFonts w:hint="eastAsia" w:ascii="宋体" w:hAnsi="宋体" w:cs="宋体"/>
          <w:b/>
          <w:bCs/>
          <w:sz w:val="24"/>
          <w:szCs w:val="24"/>
          <w:highlight w:val="none"/>
        </w:rPr>
        <w:t>22. 违约</w:t>
      </w:r>
      <w:bookmarkEnd w:id="348"/>
      <w:bookmarkEnd w:id="349"/>
    </w:p>
    <w:p>
      <w:pPr>
        <w:wordWrap w:val="0"/>
        <w:spacing w:line="460" w:lineRule="exact"/>
        <w:outlineLvl w:val="1"/>
        <w:rPr>
          <w:rFonts w:ascii="宋体" w:hAnsi="宋体" w:cs="宋体"/>
          <w:b/>
          <w:bCs/>
          <w:sz w:val="24"/>
          <w:szCs w:val="24"/>
          <w:highlight w:val="none"/>
        </w:rPr>
      </w:pPr>
      <w:bookmarkStart w:id="350" w:name="_Toc24125"/>
      <w:bookmarkStart w:id="351" w:name="_Toc1655"/>
      <w:r>
        <w:rPr>
          <w:rFonts w:hint="eastAsia" w:ascii="宋体" w:hAnsi="宋体" w:cs="宋体"/>
          <w:b/>
          <w:bCs/>
          <w:sz w:val="24"/>
          <w:szCs w:val="24"/>
          <w:highlight w:val="none"/>
        </w:rPr>
        <w:t>22.1 承包人违约</w:t>
      </w:r>
      <w:bookmarkEnd w:id="350"/>
      <w:bookmarkEnd w:id="35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22.1.1 承包人违约的情形</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在履行合同过程中发生的下列情况属承包人违约：</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（1）承包人违反第1.8款或第4.3款的约定，私自将合同的全部或部分权利转让给其他人，或私自将合同的全部或部分义务转移给其他人；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（2）承包人违反第5.3款或第6.4款的约定，未经监理人批准，私自将已按合同约定进入施工场地的施工设备、临时设施或材料撤离施工场地；</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（3）承包人违反第5.3款的约定使用了不合格材料或工程设备，工程质量达不到标准要求，又拒绝清除不合格工程；</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（4）承包人未能按合同进度计划及时完成合同约定的工作，已造成或预期造成工期延误；</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（5）承包人在缺陷责任期内，未能对工程接收证书所列的缺陷清单的内容或缺陷责任期内发生的缺陷进行修复，而又拒绝按监理人指示再进行修补；</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（6）承包人无法继续履行或明确表示不履行或实质上已停止履行合同；</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（7）承包人不按合同约定履行义务的其他情况。</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22.1.2 对承包人违约的处理</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（1）承包人发生第22.1.1（6）目约定的违约情况时，发包人可通知承包人立即解除合同，并按有关法律处理。</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（2）承包人发生除第22.1.1（6）目约定以外的其他违约情况时，监理人可向承包人发出整改通知，要求其在指定的期限内改正。承包人应承担其违约所引起的费用增加和（或）工期延误。</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（3）经检查证明承包人已采取了有效措施纠正违约行为，具备复工条件的，可由监理人签发复工通知复工。</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22.1.3 承包人违约解除合同</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包括但不限于追究违约金、损失赔偿、诉讼费、保全费、保全担保费、律师费、保全费、公证费等费用）。</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22.1.4 合同解除后的估价、付款和结清</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（1）合同解除后，监理人按第3.5款商定或确定承包人实际完成工作的价值，以及承包人已提供的材料、施工设备、工程设备和临时工程等的价值。</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（2）合同解除后，发包人应暂停对承包人的一切付款，查清各项付款和已扣款金额，包括承包人应支付的违约金。</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（3）合同解除后，发包人应按第23.4款的约定向承包人索赔由于解除合同给发包人造成的损失。</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（4）合同双方确认上述往来款项后，出具最终结清付款证书，结清全部合同款项。</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（5）发包人和承包人未能就解除合同后的结清达成一致而形成争议的，按第24条的约定办理。</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22.1.5 协议利益的转让</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因承包人违约解除合同的，发包人有权要求承包人将其为实施合同而签订的材料和设备的订货协议或任何服务协议利益转让给发包人，并在解除合同后的14天内，依法办理转让手续。</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22.1.6 紧急情况下无能力或不愿进行抢救</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wordWrap w:val="0"/>
        <w:spacing w:line="460" w:lineRule="exact"/>
        <w:outlineLvl w:val="1"/>
        <w:rPr>
          <w:rFonts w:ascii="宋体" w:hAnsi="宋体" w:cs="宋体"/>
          <w:b/>
          <w:bCs/>
          <w:sz w:val="24"/>
          <w:szCs w:val="24"/>
          <w:highlight w:val="none"/>
        </w:rPr>
      </w:pPr>
      <w:bookmarkStart w:id="352" w:name="_Toc224"/>
      <w:bookmarkStart w:id="353" w:name="_Toc6844"/>
      <w:r>
        <w:rPr>
          <w:rFonts w:hint="eastAsia" w:ascii="宋体" w:hAnsi="宋体" w:cs="宋体"/>
          <w:b/>
          <w:bCs/>
          <w:sz w:val="24"/>
          <w:szCs w:val="24"/>
          <w:highlight w:val="none"/>
        </w:rPr>
        <w:t>22.2 发包人违约</w:t>
      </w:r>
      <w:bookmarkEnd w:id="352"/>
      <w:bookmarkEnd w:id="35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22.2.1 发包人违约的情形</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在履行合同过程中发生的下列情形，属发包人违约：</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（1）发包人未能按合同约定支付预付款或合同价款，或拖延、拒绝批准付款申请和支付凭证，导致付款延误的，发包人申请财政拨款即视为履行了付款义务，因财政拨付导致的迟延不属于违约；</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（2）发包人原因造成停工的；</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（3）监理人无正当理由没有在约定期限内发出复工指示，导致承包人无法复工的；</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（4）发包人无法继续履行或明确表示不履行或实质上已停止履行合同的；</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（5）发包人不履行合同约定其他义务的。</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22.2.2 承包人有权暂停施工</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22.2.3 发包人违约解除合同</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（1）发生第22.2.1（4）目的违约情况时，承包人可书面通知发包人解除合同。</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（2）承包人按22.2.2项暂停施工28天后，发包人仍不纠正违约行为的，承包人可向发包人发出解除合同通知。但承包人的这一行动不免除发包人承担的违约责任，也不影响承包人根据合同约定享有的索赔权利。</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22.2.4 解除合同后的付款</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因发包人违约解除合同的，发包人应在解除合同后28天内向承包人支付下列金额，承包人应在此期限内及时向发包人提交要求支付下列金额的有关资料和凭证：</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（1）合同解除日以前所完成工作的价款；</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（2）承包人为该工程施工订购并已付款的材料、工程设备和其他物品的金额。发包人付还后，该材料、工程设备和其他物品归发包人所有；</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（3）承包人为完成工程所发生的，而发包人未支付的金额；</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（4）承包人撤离施工场地以及遣散承包人人员的金额；</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（5）由于解除合同应赔偿的承包人损失；</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（6）按合同约定在合同解除日前应支付给承包人的其他金额。</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发包人应按本项约定支付上述金额并退还质量保证金和履约担保，但有权要求承包人支付应偿还给发包人的各项金额。</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22.2.5 解除合同后的承包人撤离</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wordWrap w:val="0"/>
        <w:spacing w:line="460" w:lineRule="exact"/>
        <w:outlineLvl w:val="1"/>
        <w:rPr>
          <w:rFonts w:ascii="宋体" w:hAnsi="宋体" w:cs="宋体"/>
          <w:b/>
          <w:bCs/>
          <w:sz w:val="24"/>
          <w:szCs w:val="24"/>
          <w:highlight w:val="none"/>
        </w:rPr>
      </w:pPr>
      <w:bookmarkStart w:id="354" w:name="_Toc12216"/>
      <w:bookmarkStart w:id="355" w:name="_Toc27832"/>
      <w:r>
        <w:rPr>
          <w:rFonts w:hint="eastAsia" w:ascii="宋体" w:hAnsi="宋体" w:cs="宋体"/>
          <w:b/>
          <w:bCs/>
          <w:sz w:val="24"/>
          <w:szCs w:val="24"/>
          <w:highlight w:val="none"/>
        </w:rPr>
        <w:t>22.3 第三人造成的违约</w:t>
      </w:r>
      <w:bookmarkEnd w:id="354"/>
      <w:bookmarkEnd w:id="35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在履行合同过程中，一方当事人因第三人的原因造成违约的，应当向对方当事人承担违约责任。一方当事人和第三人之间的纠纷，依照法律规定或者按照约定解决。</w:t>
      </w:r>
    </w:p>
    <w:p>
      <w:pPr>
        <w:wordWrap w:val="0"/>
        <w:spacing w:line="460" w:lineRule="exact"/>
        <w:outlineLvl w:val="0"/>
        <w:rPr>
          <w:rFonts w:ascii="宋体" w:hAnsi="宋体" w:cs="宋体"/>
          <w:b/>
          <w:bCs/>
          <w:sz w:val="24"/>
          <w:szCs w:val="24"/>
          <w:highlight w:val="none"/>
        </w:rPr>
      </w:pPr>
      <w:bookmarkStart w:id="356" w:name="_Toc30347"/>
      <w:bookmarkStart w:id="357" w:name="_Toc19882"/>
      <w:r>
        <w:rPr>
          <w:rFonts w:hint="eastAsia" w:ascii="宋体" w:hAnsi="宋体" w:cs="宋体"/>
          <w:b/>
          <w:bCs/>
          <w:sz w:val="24"/>
          <w:szCs w:val="24"/>
          <w:highlight w:val="none"/>
        </w:rPr>
        <w:t>23. 索赔</w:t>
      </w:r>
      <w:bookmarkEnd w:id="356"/>
      <w:bookmarkEnd w:id="357"/>
    </w:p>
    <w:p>
      <w:pPr>
        <w:wordWrap w:val="0"/>
        <w:spacing w:line="460" w:lineRule="exact"/>
        <w:outlineLvl w:val="1"/>
        <w:rPr>
          <w:rFonts w:ascii="宋体" w:hAnsi="宋体" w:cs="宋体"/>
          <w:b/>
          <w:bCs/>
          <w:sz w:val="24"/>
          <w:szCs w:val="24"/>
          <w:highlight w:val="none"/>
        </w:rPr>
      </w:pPr>
      <w:bookmarkStart w:id="358" w:name="_Toc23636"/>
      <w:bookmarkStart w:id="359" w:name="_Toc8486"/>
      <w:r>
        <w:rPr>
          <w:rFonts w:hint="eastAsia" w:ascii="宋体" w:hAnsi="宋体" w:cs="宋体"/>
          <w:b/>
          <w:bCs/>
          <w:sz w:val="24"/>
          <w:szCs w:val="24"/>
          <w:highlight w:val="none"/>
        </w:rPr>
        <w:t>23.1 承包人索赔的提出</w:t>
      </w:r>
      <w:bookmarkEnd w:id="358"/>
      <w:bookmarkEnd w:id="35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根据合同约定，承包人认为有权得到追加付款和（或）延长工期的，应按以下程序向发包人提出索赔：</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（2）承包人应在发出索赔意向通知书后28天内，向监理人正式递交索赔通知书。索赔通知书应详细说明索赔理由以及要求追加的付款金额和（或）延长的工期，并附必要的记录和证明材料；</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（3）索赔事件具有连续影响的，承包人应按合理时间间隔继续递交延续索赔通知，说明连续影响的实际情况和记录，列出累计的追加付款金额和（或）工期延长天数；</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（4）在索赔事件影响结束后的28天内，承包人应向监理人递交最终索赔通知书，说明最终要求索赔的追加付款金额和延长的工期，并附必要的记录和证明材料。</w:t>
      </w:r>
    </w:p>
    <w:p>
      <w:pPr>
        <w:wordWrap w:val="0"/>
        <w:spacing w:line="460" w:lineRule="exact"/>
        <w:outlineLvl w:val="1"/>
        <w:rPr>
          <w:rFonts w:ascii="宋体" w:hAnsi="宋体" w:cs="宋体"/>
          <w:b/>
          <w:bCs/>
          <w:sz w:val="24"/>
          <w:szCs w:val="24"/>
          <w:highlight w:val="none"/>
        </w:rPr>
      </w:pPr>
      <w:bookmarkStart w:id="360" w:name="_Toc13002"/>
      <w:bookmarkStart w:id="361" w:name="_Toc32518"/>
      <w:r>
        <w:rPr>
          <w:rFonts w:hint="eastAsia" w:ascii="宋体" w:hAnsi="宋体" w:cs="宋体"/>
          <w:b/>
          <w:bCs/>
          <w:sz w:val="24"/>
          <w:szCs w:val="24"/>
          <w:highlight w:val="none"/>
        </w:rPr>
        <w:t>23.2 承包人索赔处理程序</w:t>
      </w:r>
      <w:bookmarkEnd w:id="360"/>
      <w:bookmarkEnd w:id="36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（1）监理人收到承包人提交的索赔通知书后，应及时审查索赔通知书的内容、查验承包人的记录和证明材料，必要时监理人可要求承包人提交全部原始记录副本。</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（2）监理人应按第3.5款商定或确定追加的付款和（或）延长的工期，并在收到上述索赔通知书或有关索赔的进一步证明材料后的42天内，将索赔处理结果答复承包人。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（3）承包人接受索赔处理结果的，发包人应在作出索赔处理结果答复后28天内完成赔付。承包人不接受索赔处理结果的，按第24条的约定办理。</w:t>
      </w:r>
    </w:p>
    <w:p>
      <w:pPr>
        <w:wordWrap w:val="0"/>
        <w:spacing w:line="460" w:lineRule="exact"/>
        <w:outlineLvl w:val="1"/>
        <w:rPr>
          <w:rFonts w:ascii="宋体" w:hAnsi="宋体" w:cs="宋体"/>
          <w:b/>
          <w:bCs/>
          <w:sz w:val="24"/>
          <w:szCs w:val="24"/>
          <w:highlight w:val="none"/>
        </w:rPr>
      </w:pPr>
      <w:bookmarkStart w:id="362" w:name="_Toc16712"/>
      <w:bookmarkStart w:id="363" w:name="_Toc23923"/>
      <w:r>
        <w:rPr>
          <w:rFonts w:hint="eastAsia" w:ascii="宋体" w:hAnsi="宋体" w:cs="宋体"/>
          <w:b/>
          <w:bCs/>
          <w:sz w:val="24"/>
          <w:szCs w:val="24"/>
          <w:highlight w:val="none"/>
        </w:rPr>
        <w:t>23.3 承包人提出索赔的期限</w:t>
      </w:r>
      <w:bookmarkEnd w:id="362"/>
      <w:bookmarkEnd w:id="36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23.3.1承包人按第17.5款的约定接受了完工付款证书后，应被认为已无权再提出在合同工程完工证书颁发前所发生的任何索赔。</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23.3.2 承包人按第17.6款的约定提交的最终结清申请单中，只限于提出合同工程完工证书颁发后发生的索赔。提出索赔的期限自接受最终结清证书时终止。</w:t>
      </w:r>
    </w:p>
    <w:p>
      <w:pPr>
        <w:wordWrap w:val="0"/>
        <w:spacing w:line="460" w:lineRule="exact"/>
        <w:outlineLvl w:val="1"/>
        <w:rPr>
          <w:rFonts w:ascii="宋体" w:hAnsi="宋体" w:cs="宋体"/>
          <w:b/>
          <w:bCs/>
          <w:sz w:val="24"/>
          <w:szCs w:val="24"/>
          <w:highlight w:val="none"/>
        </w:rPr>
      </w:pPr>
      <w:bookmarkStart w:id="364" w:name="_Toc17133"/>
      <w:bookmarkStart w:id="365" w:name="_Toc30765"/>
      <w:r>
        <w:rPr>
          <w:rFonts w:hint="eastAsia" w:ascii="宋体" w:hAnsi="宋体" w:cs="宋体"/>
          <w:b/>
          <w:bCs/>
          <w:sz w:val="24"/>
          <w:szCs w:val="24"/>
          <w:highlight w:val="none"/>
        </w:rPr>
        <w:t>23.4 发包人的索赔</w:t>
      </w:r>
      <w:bookmarkEnd w:id="364"/>
      <w:bookmarkEnd w:id="36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23.4.2 监理人按第3.5款商定或确定发包人从承包人处得到赔付的金额和（或）缺陷责任期的延长期。承包人应付给发包人的金额可从拟支付给承包人的合同价款中扣除，或由承包人以其他方式支付给发包人。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pPr>
        <w:wordWrap w:val="0"/>
        <w:spacing w:line="460" w:lineRule="exact"/>
        <w:outlineLvl w:val="0"/>
        <w:rPr>
          <w:rFonts w:ascii="宋体" w:hAnsi="宋体" w:cs="宋体"/>
          <w:b/>
          <w:bCs/>
          <w:sz w:val="24"/>
          <w:szCs w:val="24"/>
          <w:highlight w:val="none"/>
        </w:rPr>
      </w:pPr>
      <w:bookmarkStart w:id="366" w:name="_Toc9328"/>
      <w:bookmarkStart w:id="367" w:name="_Toc5516"/>
      <w:r>
        <w:rPr>
          <w:rFonts w:hint="eastAsia" w:ascii="宋体" w:hAnsi="宋体" w:cs="宋体"/>
          <w:b/>
          <w:bCs/>
          <w:sz w:val="24"/>
          <w:szCs w:val="24"/>
          <w:highlight w:val="none"/>
        </w:rPr>
        <w:t>24. 争议的解决</w:t>
      </w:r>
      <w:bookmarkEnd w:id="366"/>
      <w:bookmarkEnd w:id="367"/>
    </w:p>
    <w:p>
      <w:pPr>
        <w:wordWrap w:val="0"/>
        <w:spacing w:line="460" w:lineRule="exact"/>
        <w:outlineLvl w:val="1"/>
        <w:rPr>
          <w:rFonts w:ascii="宋体" w:hAnsi="宋体" w:cs="宋体"/>
          <w:b/>
          <w:bCs/>
          <w:sz w:val="24"/>
          <w:szCs w:val="24"/>
          <w:highlight w:val="none"/>
        </w:rPr>
      </w:pPr>
      <w:bookmarkStart w:id="368" w:name="_Toc14902"/>
      <w:bookmarkStart w:id="369" w:name="_Toc3838"/>
      <w:r>
        <w:rPr>
          <w:rFonts w:hint="eastAsia" w:ascii="宋体" w:hAnsi="宋体" w:cs="宋体"/>
          <w:b/>
          <w:bCs/>
          <w:sz w:val="24"/>
          <w:szCs w:val="24"/>
          <w:highlight w:val="none"/>
        </w:rPr>
        <w:t>24.1 争议的解决方式</w:t>
      </w:r>
      <w:bookmarkEnd w:id="368"/>
      <w:bookmarkEnd w:id="36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发包人和承包人在履行合同中发生争议的，可以友好协商解决或者提请争议评审组评审。合同当事人友好协商解决不成、不愿提请争议评审或者不接受争议评审组意见的，可在专用合同条款中约定下列第</w:t>
      </w:r>
      <w:r>
        <w:rPr>
          <w:rFonts w:hint="eastAsia" w:ascii="宋体" w:hAnsi="宋体" w:cs="宋体"/>
          <w:b/>
          <w:bCs/>
          <w:sz w:val="24"/>
          <w:szCs w:val="24"/>
          <w:highlight w:val="none"/>
          <w:u w:val="single"/>
        </w:rPr>
        <w:t>（2）</w:t>
      </w:r>
      <w:r>
        <w:rPr>
          <w:rFonts w:hint="eastAsia" w:ascii="宋体" w:hAnsi="宋体" w:cs="宋体"/>
          <w:sz w:val="24"/>
          <w:szCs w:val="24"/>
          <w:highlight w:val="none"/>
        </w:rPr>
        <w:t>种方式解决。</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（1）向约定的仲裁委员会申请仲裁；</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（2）向有管辖权的人民法院提起诉讼。</w:t>
      </w:r>
    </w:p>
    <w:p>
      <w:pPr>
        <w:wordWrap w:val="0"/>
        <w:spacing w:line="460" w:lineRule="exact"/>
        <w:outlineLvl w:val="1"/>
        <w:rPr>
          <w:rFonts w:ascii="宋体" w:hAnsi="宋体" w:cs="宋体"/>
          <w:b/>
          <w:bCs/>
          <w:sz w:val="24"/>
          <w:szCs w:val="24"/>
          <w:highlight w:val="none"/>
        </w:rPr>
      </w:pPr>
      <w:bookmarkStart w:id="370" w:name="_Toc6847"/>
      <w:bookmarkStart w:id="371" w:name="_Toc17812"/>
      <w:r>
        <w:rPr>
          <w:rFonts w:hint="eastAsia" w:ascii="宋体" w:hAnsi="宋体" w:cs="宋体"/>
          <w:b/>
          <w:bCs/>
          <w:sz w:val="24"/>
          <w:szCs w:val="24"/>
          <w:highlight w:val="none"/>
        </w:rPr>
        <w:t>24.2 友好解决</w:t>
      </w:r>
      <w:bookmarkEnd w:id="370"/>
      <w:bookmarkEnd w:id="37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在提请争议评审、仲裁或者诉讼前，以及在争议评审、仲裁或诉讼过程中，发包人和承包人均可共同努力友好协商解决争议。</w:t>
      </w:r>
    </w:p>
    <w:p>
      <w:pPr>
        <w:wordWrap w:val="0"/>
        <w:spacing w:line="460" w:lineRule="exact"/>
        <w:outlineLvl w:val="1"/>
        <w:rPr>
          <w:rFonts w:ascii="宋体" w:hAnsi="宋体" w:cs="宋体"/>
          <w:b/>
          <w:bCs/>
          <w:sz w:val="24"/>
          <w:szCs w:val="24"/>
          <w:highlight w:val="none"/>
        </w:rPr>
      </w:pPr>
      <w:bookmarkStart w:id="372" w:name="_Toc2290"/>
      <w:bookmarkStart w:id="373" w:name="_Toc2713"/>
      <w:r>
        <w:rPr>
          <w:rFonts w:hint="eastAsia" w:ascii="宋体" w:hAnsi="宋体" w:cs="宋体"/>
          <w:b/>
          <w:bCs/>
          <w:sz w:val="24"/>
          <w:szCs w:val="24"/>
          <w:highlight w:val="none"/>
        </w:rPr>
        <w:t>24.3 争议评审</w:t>
      </w:r>
      <w:bookmarkEnd w:id="372"/>
      <w:bookmarkEnd w:id="373"/>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24.3.1 采用争议评审的，发包人和承包人应在开工日后的28天内或在争议发生后，协商成立争议评审组。争议评审组由有合同管理和工程实践经验的专家组成。</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24.3.2 合同双方的争议，应首先由申请人向争议评审组提交一份详细的评审申请报告，并附必要的文件、图纸和证明材料，申请人还应将上述报告的副本同时提交给被申请人和监理人。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24.3.3 被申请人在收到申请人评审申请报告副本后的28天内，向争议评审组提交一份答辩报告，并附证明材料。被申请人应将答辩报告的副本同时提交给申请人和监理人。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24.3.4 除专用合同条款另有约定外，争议评审组在收到合同双方报告后的14天内，邀请双方代表和有关人员举行调查会，向双方调查争议细节；必要时争议评审组可要求双方进一步提供补充材料。</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24.3.6 发包人和承包人接受评审意见的，由监理人根据评审意见拟定执行协议，经争议双方签字后作为合同的补充文件，并遵照执行。</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wordWrap w:val="0"/>
        <w:spacing w:line="460" w:lineRule="exact"/>
        <w:outlineLvl w:val="1"/>
        <w:rPr>
          <w:rFonts w:ascii="宋体" w:hAnsi="宋体" w:cs="宋体"/>
          <w:b/>
          <w:bCs/>
          <w:sz w:val="24"/>
          <w:szCs w:val="24"/>
          <w:highlight w:val="none"/>
        </w:rPr>
      </w:pPr>
      <w:bookmarkStart w:id="374" w:name="_Toc28395"/>
      <w:bookmarkStart w:id="375" w:name="_Toc19615"/>
      <w:r>
        <w:rPr>
          <w:rFonts w:hint="eastAsia" w:ascii="宋体" w:hAnsi="宋体" w:cs="宋体"/>
          <w:b/>
          <w:bCs/>
          <w:sz w:val="24"/>
          <w:szCs w:val="24"/>
          <w:highlight w:val="none"/>
        </w:rPr>
        <w:t>24.4 仲裁</w:t>
      </w:r>
      <w:bookmarkEnd w:id="374"/>
      <w:bookmarkEnd w:id="37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24.4.1 若合同双方商定直接向仲裁机构申请仲裁，应签订仲裁协议并约定仲裁机构。</w:t>
      </w:r>
    </w:p>
    <w:p>
      <w:pPr>
        <w:wordWrap w:val="0"/>
        <w:spacing w:line="460" w:lineRule="exact"/>
        <w:ind w:firstLine="480" w:firstLineChars="200"/>
        <w:rPr>
          <w:rFonts w:ascii="宋体" w:hAnsi="宋体" w:cs="宋体"/>
          <w:sz w:val="24"/>
          <w:szCs w:val="24"/>
          <w:highlight w:val="none"/>
        </w:rPr>
        <w:sectPr>
          <w:headerReference r:id="rId3" w:type="default"/>
          <w:footerReference r:id="rId4" w:type="default"/>
          <w:pgSz w:w="11906" w:h="16838"/>
          <w:pgMar w:top="1440" w:right="1800" w:bottom="1440" w:left="1800" w:header="851" w:footer="992" w:gutter="0"/>
          <w:cols w:space="0" w:num="1"/>
          <w:rtlGutter w:val="0"/>
          <w:docGrid w:type="lines" w:linePitch="312" w:charSpace="0"/>
        </w:sectPr>
      </w:pPr>
      <w:r>
        <w:rPr>
          <w:rFonts w:hint="eastAsia" w:ascii="宋体" w:hAnsi="宋体" w:cs="宋体"/>
          <w:sz w:val="24"/>
          <w:szCs w:val="24"/>
          <w:highlight w:val="none"/>
        </w:rPr>
        <w:t>24.4.2 若合同双方未能达成仲裁协议，则本合同的仲裁条款无效，任一方均有权向人民法院提起诉讼。</w:t>
      </w:r>
    </w:p>
    <w:p>
      <w:pPr>
        <w:wordWrap w:val="0"/>
        <w:spacing w:line="460" w:lineRule="exact"/>
        <w:jc w:val="center"/>
        <w:outlineLvl w:val="0"/>
        <w:rPr>
          <w:rFonts w:ascii="宋体" w:hAnsi="宋体" w:cs="宋体"/>
          <w:b/>
          <w:bCs/>
          <w:sz w:val="32"/>
          <w:szCs w:val="32"/>
          <w:highlight w:val="none"/>
        </w:rPr>
      </w:pPr>
      <w:bookmarkStart w:id="376" w:name="_Toc15479"/>
      <w:bookmarkStart w:id="377" w:name="_Toc29478"/>
      <w:bookmarkStart w:id="378" w:name="_Toc486428084"/>
      <w:bookmarkStart w:id="379" w:name="_Toc16386"/>
      <w:bookmarkStart w:id="380" w:name="_Toc486238414"/>
      <w:bookmarkStart w:id="381" w:name="_Toc486238466"/>
      <w:bookmarkStart w:id="382" w:name="_Toc486238258"/>
      <w:bookmarkStart w:id="383" w:name="_Toc486238309"/>
      <w:bookmarkStart w:id="384" w:name="_Toc28290"/>
      <w:bookmarkStart w:id="385" w:name="_Toc484011668"/>
      <w:r>
        <w:rPr>
          <w:rFonts w:hint="eastAsia" w:ascii="宋体" w:hAnsi="宋体" w:cs="宋体"/>
          <w:b/>
          <w:bCs/>
          <w:sz w:val="32"/>
          <w:szCs w:val="32"/>
          <w:highlight w:val="none"/>
        </w:rPr>
        <w:t>专用合同条款</w:t>
      </w:r>
      <w:bookmarkEnd w:id="376"/>
      <w:bookmarkEnd w:id="377"/>
      <w:bookmarkEnd w:id="378"/>
      <w:bookmarkEnd w:id="379"/>
      <w:bookmarkEnd w:id="380"/>
      <w:bookmarkEnd w:id="381"/>
      <w:bookmarkEnd w:id="382"/>
      <w:bookmarkEnd w:id="383"/>
      <w:bookmarkEnd w:id="384"/>
      <w:bookmarkEnd w:id="385"/>
    </w:p>
    <w:p>
      <w:pPr>
        <w:wordWrap w:val="0"/>
        <w:spacing w:line="460" w:lineRule="exact"/>
        <w:outlineLvl w:val="0"/>
        <w:rPr>
          <w:rFonts w:ascii="宋体" w:hAnsi="宋体" w:cs="宋体"/>
          <w:sz w:val="24"/>
          <w:szCs w:val="24"/>
          <w:highlight w:val="none"/>
        </w:rPr>
      </w:pPr>
      <w:bookmarkStart w:id="386" w:name="_Toc13158"/>
      <w:r>
        <w:rPr>
          <w:rFonts w:hint="eastAsia" w:ascii="宋体" w:hAnsi="宋体" w:cs="宋体"/>
          <w:b/>
          <w:bCs/>
          <w:sz w:val="24"/>
          <w:szCs w:val="24"/>
          <w:highlight w:val="none"/>
        </w:rPr>
        <w:t>1 一般约定</w:t>
      </w:r>
      <w:bookmarkEnd w:id="386"/>
    </w:p>
    <w:p>
      <w:pPr>
        <w:wordWrap w:val="0"/>
        <w:spacing w:line="460" w:lineRule="exact"/>
        <w:outlineLvl w:val="1"/>
        <w:rPr>
          <w:rFonts w:ascii="宋体" w:hAnsi="宋体" w:cs="宋体"/>
          <w:sz w:val="24"/>
          <w:szCs w:val="24"/>
          <w:highlight w:val="none"/>
        </w:rPr>
      </w:pPr>
      <w:bookmarkStart w:id="387" w:name="_Toc17086"/>
      <w:r>
        <w:rPr>
          <w:rFonts w:hint="eastAsia" w:ascii="宋体" w:hAnsi="宋体" w:cs="宋体"/>
          <w:b/>
          <w:bCs/>
          <w:sz w:val="24"/>
          <w:szCs w:val="24"/>
          <w:highlight w:val="none"/>
        </w:rPr>
        <w:t>1.1 词语定义</w:t>
      </w:r>
      <w:bookmarkEnd w:id="38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1.1.1 合同当事人和人员</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1.1.2 发包人：</w:t>
      </w:r>
      <w:r>
        <w:rPr>
          <w:rFonts w:hint="eastAsia" w:ascii="宋体" w:hAnsi="宋体" w:cs="宋体"/>
          <w:sz w:val="24"/>
          <w:szCs w:val="24"/>
          <w:highlight w:val="none"/>
          <w:u w:val="single"/>
        </w:rPr>
        <w:t xml:space="preserve"> </w:t>
      </w:r>
      <w:r>
        <w:rPr>
          <w:rFonts w:hint="eastAsia" w:ascii="宋体" w:hAnsi="宋体" w:cs="宋体"/>
          <w:b/>
          <w:bCs/>
          <w:sz w:val="24"/>
          <w:szCs w:val="24"/>
          <w:highlight w:val="none"/>
          <w:u w:val="single"/>
        </w:rPr>
        <w:t xml:space="preserve"> </w:t>
      </w:r>
      <w:r>
        <w:rPr>
          <w:rFonts w:ascii="宋体" w:hAnsi="宋体" w:cs="宋体"/>
          <w:b/>
          <w:bCs/>
          <w:sz w:val="24"/>
          <w:szCs w:val="24"/>
          <w:highlight w:val="none"/>
          <w:u w:val="single"/>
        </w:rPr>
        <w:t xml:space="preserve">                     </w:t>
      </w:r>
      <w:r>
        <w:rPr>
          <w:rFonts w:hint="eastAsia" w:ascii="宋体" w:hAnsi="宋体" w:cs="宋体"/>
          <w:sz w:val="24"/>
          <w:szCs w:val="24"/>
          <w:highlight w:val="none"/>
        </w:rPr>
        <w:t>。</w:t>
      </w:r>
    </w:p>
    <w:p>
      <w:pPr>
        <w:wordWrap w:val="0"/>
        <w:spacing w:line="460" w:lineRule="exact"/>
        <w:ind w:firstLine="480" w:firstLineChars="200"/>
        <w:rPr>
          <w:rFonts w:ascii="宋体" w:hAnsi="宋体" w:cs="宋体"/>
          <w:sz w:val="24"/>
          <w:szCs w:val="24"/>
          <w:highlight w:val="none"/>
          <w:u w:val="single"/>
        </w:rPr>
      </w:pPr>
      <w:r>
        <w:rPr>
          <w:rFonts w:hint="eastAsia" w:ascii="宋体" w:hAnsi="宋体" w:cs="宋体"/>
          <w:sz w:val="24"/>
          <w:szCs w:val="24"/>
          <w:highlight w:val="none"/>
        </w:rPr>
        <w:t>1.1.3 承包人：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1.1.4 监理人：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pPr>
        <w:wordWrap w:val="0"/>
        <w:spacing w:line="460" w:lineRule="exact"/>
        <w:ind w:firstLine="480" w:firstLineChars="200"/>
        <w:rPr>
          <w:rFonts w:ascii="宋体" w:hAnsi="宋体" w:cs="宋体"/>
          <w:sz w:val="24"/>
          <w:szCs w:val="24"/>
          <w:highlight w:val="none"/>
          <w:u w:val="single"/>
        </w:rPr>
      </w:pPr>
      <w:r>
        <w:rPr>
          <w:rFonts w:hint="eastAsia" w:ascii="宋体" w:hAnsi="宋体" w:cs="宋体"/>
          <w:sz w:val="24"/>
          <w:szCs w:val="24"/>
          <w:highlight w:val="none"/>
        </w:rPr>
        <w:t>1.1.5 日期：</w:t>
      </w:r>
      <w:r>
        <w:rPr>
          <w:rFonts w:hint="eastAsia" w:ascii="宋体" w:hAnsi="宋体" w:cs="宋体"/>
          <w:sz w:val="24"/>
          <w:szCs w:val="24"/>
          <w:highlight w:val="none"/>
          <w:u w:val="single"/>
        </w:rPr>
        <w:t>合同工程完工验收鉴定书或单位工程验收鉴定书注明的完工日。</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1.1.6 承包人施工项目负责人（项目经理）：本合同项目经理为：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。负责项目施工总承包管理和协调等全面组织工作。</w:t>
      </w:r>
    </w:p>
    <w:p>
      <w:pPr>
        <w:wordWrap w:val="0"/>
        <w:spacing w:line="460" w:lineRule="exact"/>
        <w:outlineLvl w:val="1"/>
        <w:rPr>
          <w:rFonts w:ascii="宋体" w:hAnsi="宋体" w:cs="宋体"/>
          <w:sz w:val="24"/>
          <w:szCs w:val="24"/>
          <w:highlight w:val="none"/>
        </w:rPr>
      </w:pPr>
      <w:bookmarkStart w:id="388" w:name="_Toc8604"/>
      <w:r>
        <w:rPr>
          <w:rFonts w:hint="eastAsia" w:ascii="宋体" w:hAnsi="宋体" w:cs="宋体"/>
          <w:b/>
          <w:bCs/>
          <w:sz w:val="24"/>
          <w:szCs w:val="24"/>
          <w:highlight w:val="none"/>
        </w:rPr>
        <w:t>1.2 合同文件的优先顺序</w:t>
      </w:r>
      <w:bookmarkEnd w:id="388"/>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合同文件的优先解释顺序如下：</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（1）合同协议书；</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（2）中标通知书；</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（3）投标函及投标函附录；</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（4）专用合同条款；</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（5）通用合同条款；</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（6）招标文件（包括补充、修改、澄清文件、答疑纪要、工程量清单及总说明等）；</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（7）标准、规范及有关技术文件；</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（8）施工设计图纸；</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（9）投标文件。</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（10）其他：</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A.合同协议书中约定采用总价合同形式的，已标价工程量清单中的各项工程量对合同双方具有合同约束力。</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B.图纸与技术标准和要求之间有矛盾或者不一致的，以其中要求较严格的标准为准。</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C.合同双方在合同履行过程中签订的补充协议亦构成合同文件的组成部分，其解释顺序视其内容与其他合同文件的相互关系而定。</w:t>
      </w:r>
    </w:p>
    <w:p>
      <w:pPr>
        <w:wordWrap w:val="0"/>
        <w:spacing w:line="460" w:lineRule="exact"/>
        <w:outlineLvl w:val="1"/>
        <w:rPr>
          <w:rFonts w:ascii="宋体" w:hAnsi="宋体" w:cs="宋体"/>
          <w:b/>
          <w:bCs/>
          <w:sz w:val="24"/>
          <w:szCs w:val="24"/>
          <w:highlight w:val="none"/>
        </w:rPr>
      </w:pPr>
      <w:bookmarkStart w:id="389" w:name="_Toc16899"/>
      <w:r>
        <w:rPr>
          <w:rFonts w:hint="eastAsia" w:ascii="宋体" w:hAnsi="宋体" w:cs="宋体"/>
          <w:b/>
          <w:bCs/>
          <w:sz w:val="24"/>
          <w:szCs w:val="24"/>
          <w:highlight w:val="none"/>
        </w:rPr>
        <w:t>1.3 联络</w:t>
      </w:r>
      <w:bookmarkEnd w:id="38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1.3.1发包人和承包人应当在15天内将与合同有关的通知、批准、证明、证书、指示、指令、要求、请求、同意、意见、确定和决定等书面函件送达对方当事人。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1.3.2 发包人接收文件的地点：</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办公室</w:t>
      </w:r>
      <w:r>
        <w:rPr>
          <w:rFonts w:hint="eastAsia" w:ascii="宋体" w:hAnsi="宋体" w:cs="宋体"/>
          <w:sz w:val="24"/>
          <w:szCs w:val="24"/>
          <w:highlight w:val="none"/>
        </w:rPr>
        <w:t xml:space="preserve"> ；</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发包人指定的接收人为：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承包人接收文件的地点：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                </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承包人指定的接收人为：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wordWrap w:val="0"/>
        <w:spacing w:line="460" w:lineRule="exact"/>
        <w:ind w:firstLine="480" w:firstLineChars="200"/>
        <w:rPr>
          <w:rFonts w:ascii="宋体" w:hAnsi="宋体" w:cs="宋体"/>
          <w:sz w:val="24"/>
          <w:szCs w:val="24"/>
          <w:highlight w:val="none"/>
          <w:u w:val="single"/>
        </w:rPr>
      </w:pPr>
      <w:r>
        <w:rPr>
          <w:rFonts w:hint="eastAsia" w:ascii="宋体" w:hAnsi="宋体" w:cs="宋体"/>
          <w:sz w:val="24"/>
          <w:szCs w:val="24"/>
          <w:highlight w:val="none"/>
        </w:rPr>
        <w:t xml:space="preserve">监理人接收文件的地点： </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监理人指定的接收人为：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wordWrap w:val="0"/>
        <w:spacing w:line="460" w:lineRule="exact"/>
        <w:outlineLvl w:val="0"/>
        <w:rPr>
          <w:rFonts w:ascii="宋体" w:hAnsi="宋体" w:cs="宋体"/>
          <w:sz w:val="24"/>
          <w:szCs w:val="24"/>
          <w:highlight w:val="none"/>
        </w:rPr>
      </w:pPr>
      <w:bookmarkStart w:id="390" w:name="_Toc16061"/>
      <w:r>
        <w:rPr>
          <w:rFonts w:hint="eastAsia" w:ascii="宋体" w:hAnsi="宋体" w:cs="宋体"/>
          <w:b/>
          <w:bCs/>
          <w:sz w:val="24"/>
          <w:szCs w:val="24"/>
          <w:highlight w:val="none"/>
        </w:rPr>
        <w:t>2 发包人义务</w:t>
      </w:r>
      <w:bookmarkEnd w:id="390"/>
    </w:p>
    <w:p>
      <w:pPr>
        <w:wordWrap w:val="0"/>
        <w:spacing w:line="460" w:lineRule="exact"/>
        <w:outlineLvl w:val="1"/>
        <w:rPr>
          <w:rFonts w:ascii="宋体" w:hAnsi="宋体" w:cs="宋体"/>
          <w:b/>
          <w:bCs/>
          <w:sz w:val="24"/>
          <w:szCs w:val="24"/>
          <w:highlight w:val="none"/>
        </w:rPr>
      </w:pPr>
      <w:bookmarkStart w:id="391" w:name="_Toc12274"/>
      <w:r>
        <w:rPr>
          <w:rFonts w:hint="eastAsia" w:ascii="宋体" w:hAnsi="宋体" w:cs="宋体"/>
          <w:b/>
          <w:bCs/>
          <w:sz w:val="24"/>
          <w:szCs w:val="24"/>
          <w:highlight w:val="none"/>
        </w:rPr>
        <w:t>2.1 提供施工场地</w:t>
      </w:r>
      <w:bookmarkEnd w:id="391"/>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2.1.1 永久占地的范围和面积：以发包人提供的规划文件为准，但在新建工程投入正常使用前，不得占用现有设施的用地。发包人将最迟在合同约定的施工开工日期向承包人移交部分场地，并将随着工程的进展，视情况分期移交更多的现场给承包人，以便承包人能按进度计划进行施工。鉴于工程建设项目的特点，发包人将会分期提供场地，承包人应据此调整施工进度计划,并确保在计划完工日期前完工。承包人只能在发包人提供的施工场地范围内进行布置、安排和组织施工。承包人如需占用发包人提供的施工场地范围以外的场地，须自行办理有关手续及承担相关费用，发包人不另行支付。</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2.1.2 临时占地的范围和面积：不提供，承包人需对施工场地及周边环境做好充分调查，如工程需要临时占地的，由承包人向相关部门依法提出申请手续及承担相关费用，发包人不另行支付。</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2.1.3 施工场地应具备的施工条件及提供的时间：根据经发包人审查批准的施工组织设计，双方另行约定。</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2.1.4 完成施工所需水、电、通讯线路接驳的时间及地点，施工场内的用水、用电及通讯网络由承包人自行报装、接驳和敷设并承担费用。相关费用不单列，视作承包人已综合考虑，结算时不单独计算。且须按国家安装规范安装经正式检验的独立施工用水表、电表，施工用水、用电费及通讯费等由承包方负责，相关费用不单列，相关费用需建安工程费用中标折率中考虑。</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2.1.5 施工场地外部道路通行权提供时间和要求：根据项目工期的要求及项目实际情况，若需增开临时出入口（或场外临时便道），发包人协助承包人开通施工场地与紧邻公共道路的通道，承包人自行承担城区道路、收费道路通行所需要办理的各项手续以满足施工运输的需要，并承担费用，该费用不单列，默认为承包人已在建安工程费用中标折率中考虑。</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2.1.6 施工场地内工程地质、地下管线、地下设施等有关资料的提供时间和要求：发包人应在施工开工前向承包人提供施工场地已有的工程地质和地下管线资料（如有），但由于资料涉及多个部门，准确性难以保证资料仅作为重要危险源或者重要保护物的提示性作用，承包人在使用上述资料时应当慎重。承包人应做好前期的地下物探工作，物探费用不单列，默认为承包人已在建安工程费用中标折率中考虑，对重要的管线、重要保护物、危险源区域进行施工时应当进行采取人工槽探或物探方式进行管线排查，防止资料标示位置与实际出现偏移或错误，确保重要保护对象的绝对安全。承包人在施工设计前应对地上、地下管线及邻近建（构）筑物、设施情况自行探测、调查、勘核，施工过程中承包人应采取有效措施保护地上、地下管线及邻近建（构）筑物和设施的安全，积极进行管线方面的协调工作，涉及需要迁改的管线的要尽快设计图纸办理审批，该费用不单列，默认为承包人已在建安工程费用中标折率中考虑。施工过程中若因施工原因对地上、地下管线及邻近建（构）筑物和设施造成损坏，承包人须承担全部责任。</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2.1.7 发包人应在合同双方签订合同协议书后的14天内，将本合同工程的施工场地范围图提交给承包人。发包人提供的施工场地范围图应标明场地范围内永久占地与临时占地的范围和界限，如果发包人提供的施工用地不能满足承包人施工需要，承包人应自行解决其他施工临时用地。</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2.1.8 发包人提供的施工场地范围为：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发包人提供给承包人的施工用地范围为</w:t>
      </w:r>
      <w:r>
        <w:rPr>
          <w:rFonts w:hint="eastAsia" w:ascii="宋体" w:hAnsi="宋体" w:cs="宋体"/>
          <w:sz w:val="24"/>
          <w:szCs w:val="24"/>
          <w:highlight w:val="none"/>
          <w:u w:val="single"/>
        </w:rPr>
        <w:t>图纸已标明范围内的土地</w:t>
      </w:r>
      <w:r>
        <w:rPr>
          <w:rFonts w:hint="eastAsia" w:ascii="宋体" w:hAnsi="宋体" w:cs="宋体"/>
          <w:sz w:val="24"/>
          <w:szCs w:val="24"/>
          <w:highlight w:val="none"/>
        </w:rPr>
        <w:t>。经发包人提出，承包人应同意将发包人书面通知因各种原因引起的不能施工区段或停止施工的内容从合同中剥离并按照第15.4结算，且承包人不得以此为由向发包人索赔。</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2.1.9 施工场地应当在监理人发出的开工通知中载明的开工日期前</w:t>
      </w:r>
      <w:r>
        <w:rPr>
          <w:rFonts w:hint="eastAsia" w:ascii="宋体" w:hAnsi="宋体" w:cs="宋体"/>
          <w:sz w:val="24"/>
          <w:szCs w:val="24"/>
          <w:highlight w:val="none"/>
          <w:u w:val="single"/>
        </w:rPr>
        <w:t xml:space="preserve"> 14 </w:t>
      </w:r>
      <w:r>
        <w:rPr>
          <w:rFonts w:hint="eastAsia" w:ascii="宋体" w:hAnsi="宋体" w:cs="宋体"/>
          <w:sz w:val="24"/>
          <w:szCs w:val="24"/>
          <w:highlight w:val="none"/>
        </w:rPr>
        <w:t>天基本具备施工条件，发包人最迟应当在合同预定的开工日期向承包人移交部分施工场地，并根据工程的进展情况，视情况分期移交剩余施工场地给承包人，以便承包人能按进度计划进行施工，承包人应据此调整施工进度计划,因推迟移交场地并经双方共同认定耽误施工时间的，应根据实际情况相应推迟完工日期。</w:t>
      </w:r>
    </w:p>
    <w:p>
      <w:pPr>
        <w:wordWrap w:val="0"/>
        <w:spacing w:line="460" w:lineRule="exact"/>
        <w:outlineLvl w:val="1"/>
        <w:rPr>
          <w:rFonts w:ascii="宋体" w:hAnsi="宋体" w:cs="宋体"/>
          <w:b/>
          <w:bCs/>
          <w:sz w:val="24"/>
          <w:szCs w:val="24"/>
          <w:highlight w:val="none"/>
        </w:rPr>
      </w:pPr>
      <w:bookmarkStart w:id="392" w:name="_Toc25238"/>
      <w:r>
        <w:rPr>
          <w:rFonts w:hint="eastAsia" w:ascii="宋体" w:hAnsi="宋体" w:cs="宋体"/>
          <w:b/>
          <w:bCs/>
          <w:sz w:val="24"/>
          <w:szCs w:val="24"/>
          <w:highlight w:val="none"/>
        </w:rPr>
        <w:t>2.2 办理证件和批件</w:t>
      </w:r>
      <w:bookmarkEnd w:id="392"/>
    </w:p>
    <w:p>
      <w:pPr>
        <w:pStyle w:val="18"/>
        <w:wordWrap w:val="0"/>
        <w:spacing w:after="0" w:line="460" w:lineRule="exact"/>
        <w:ind w:firstLine="480" w:firstLineChars="200"/>
        <w:rPr>
          <w:rFonts w:ascii="宋体" w:hAnsi="宋体" w:cs="宋体"/>
          <w:sz w:val="24"/>
          <w:szCs w:val="24"/>
          <w:highlight w:val="none"/>
        </w:rPr>
      </w:pPr>
      <w:r>
        <w:rPr>
          <w:rFonts w:hint="eastAsia" w:ascii="宋体" w:hAnsi="宋体" w:cs="宋体"/>
          <w:kern w:val="2"/>
          <w:sz w:val="24"/>
          <w:szCs w:val="24"/>
          <w:highlight w:val="none"/>
        </w:rPr>
        <w:t>发包人负责办理项目的立项审批手续，因提供资料不及时导致的工期延误由承包人负责。发包人委托承包人负责办理施工图审查、各专业报建与备案、建设工程施工许可证、树木保护、移植或砍伐、临时占用道路、夜间施工证、余泥渣土排放证、余泥排放许可证和质量安全监督登记等施工过程中所需证件及合法手续，以及建设工程联合验收、竣工备案、档案验收等验收手续。发包人负责协助提供相关的证明文件，负责对审核报审、报批的文件内容并签章确认，出席审核或审查会议。上述依规定缴纳的行政性费用由发包人承担，其余工作性费用均由承包人承担及支付。</w:t>
      </w:r>
    </w:p>
    <w:p>
      <w:pPr>
        <w:wordWrap w:val="0"/>
        <w:spacing w:line="460" w:lineRule="exact"/>
        <w:outlineLvl w:val="1"/>
        <w:rPr>
          <w:rFonts w:ascii="宋体" w:hAnsi="宋体" w:cs="宋体"/>
          <w:b/>
          <w:bCs/>
          <w:sz w:val="24"/>
          <w:szCs w:val="24"/>
          <w:highlight w:val="none"/>
        </w:rPr>
      </w:pPr>
      <w:bookmarkStart w:id="393" w:name="_Toc17041"/>
      <w:r>
        <w:rPr>
          <w:rFonts w:hint="eastAsia" w:ascii="宋体" w:hAnsi="宋体" w:cs="宋体"/>
          <w:b/>
          <w:bCs/>
          <w:sz w:val="24"/>
          <w:szCs w:val="24"/>
          <w:highlight w:val="none"/>
        </w:rPr>
        <w:t>2.3 支付合同价款</w:t>
      </w:r>
      <w:bookmarkEnd w:id="393"/>
    </w:p>
    <w:p>
      <w:pPr>
        <w:wordWrap w:val="0"/>
        <w:spacing w:line="460" w:lineRule="exact"/>
        <w:ind w:firstLine="480" w:firstLineChars="200"/>
        <w:rPr>
          <w:rFonts w:ascii="宋体" w:hAnsi="宋体" w:cs="宋体"/>
          <w:sz w:val="24"/>
          <w:szCs w:val="24"/>
          <w:highlight w:val="none"/>
          <w:u w:val="single"/>
        </w:rPr>
      </w:pPr>
      <w:r>
        <w:rPr>
          <w:rFonts w:hint="eastAsia" w:ascii="宋体" w:hAnsi="宋体" w:cs="宋体"/>
          <w:sz w:val="24"/>
          <w:szCs w:val="24"/>
          <w:highlight w:val="none"/>
        </w:rPr>
        <w:t>本款双方约定为：</w:t>
      </w:r>
      <w:r>
        <w:rPr>
          <w:rFonts w:hint="eastAsia" w:ascii="宋体" w:hAnsi="宋体" w:cs="宋体"/>
          <w:sz w:val="24"/>
          <w:szCs w:val="24"/>
          <w:highlight w:val="none"/>
          <w:u w:val="single"/>
        </w:rPr>
        <w:t>发包人按合同约定支付合同价款。</w:t>
      </w:r>
    </w:p>
    <w:p>
      <w:pPr>
        <w:wordWrap w:val="0"/>
        <w:spacing w:line="460" w:lineRule="exact"/>
        <w:outlineLvl w:val="1"/>
        <w:rPr>
          <w:rFonts w:ascii="宋体" w:hAnsi="宋体" w:cs="宋体"/>
          <w:b/>
          <w:bCs/>
          <w:sz w:val="24"/>
          <w:szCs w:val="24"/>
          <w:highlight w:val="none"/>
        </w:rPr>
      </w:pPr>
      <w:bookmarkStart w:id="394" w:name="_Toc23258"/>
      <w:r>
        <w:rPr>
          <w:rFonts w:hint="eastAsia" w:ascii="宋体" w:hAnsi="宋体" w:cs="宋体"/>
          <w:b/>
          <w:bCs/>
          <w:sz w:val="24"/>
          <w:szCs w:val="24"/>
          <w:highlight w:val="none"/>
        </w:rPr>
        <w:t>2.4 组织竣工验收</w:t>
      </w:r>
      <w:bookmarkEnd w:id="394"/>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发包人应按合同约定及时组织相关验收，包括单体工程验收、整体竣工验收。</w:t>
      </w:r>
    </w:p>
    <w:p>
      <w:pPr>
        <w:wordWrap w:val="0"/>
        <w:spacing w:line="460" w:lineRule="exact"/>
        <w:outlineLvl w:val="1"/>
        <w:rPr>
          <w:rFonts w:ascii="宋体" w:hAnsi="宋体" w:cs="宋体"/>
          <w:b/>
          <w:bCs/>
          <w:sz w:val="24"/>
          <w:szCs w:val="24"/>
          <w:highlight w:val="none"/>
        </w:rPr>
      </w:pPr>
      <w:bookmarkStart w:id="395" w:name="_Toc18818"/>
      <w:r>
        <w:rPr>
          <w:rFonts w:hint="eastAsia" w:ascii="宋体" w:hAnsi="宋体" w:cs="宋体"/>
          <w:b/>
          <w:bCs/>
          <w:sz w:val="24"/>
          <w:szCs w:val="24"/>
          <w:highlight w:val="none"/>
        </w:rPr>
        <w:t>2.5 其它义务</w:t>
      </w:r>
      <w:bookmarkEnd w:id="39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2.5.1 发包人提供施工图纸及相关资料；及时接收已完工程，并按照合同约定及时支付工程款及其他各种款项。</w:t>
      </w:r>
    </w:p>
    <w:p>
      <w:pPr>
        <w:wordWrap w:val="0"/>
        <w:spacing w:line="460" w:lineRule="exact"/>
        <w:ind w:firstLine="480" w:firstLineChars="200"/>
        <w:rPr>
          <w:rFonts w:ascii="宋体" w:hAnsi="宋体" w:cs="宋体"/>
          <w:sz w:val="24"/>
          <w:szCs w:val="24"/>
          <w:highlight w:val="none"/>
          <w:u w:val="single"/>
        </w:rPr>
      </w:pPr>
      <w:r>
        <w:rPr>
          <w:rFonts w:hint="eastAsia" w:ascii="宋体" w:hAnsi="宋体" w:cs="宋体"/>
          <w:sz w:val="24"/>
          <w:szCs w:val="24"/>
          <w:highlight w:val="none"/>
        </w:rPr>
        <w:t xml:space="preserve">2.5.2 </w:t>
      </w:r>
      <w:r>
        <w:rPr>
          <w:rFonts w:hint="eastAsia" w:ascii="宋体" w:hAnsi="宋体" w:cs="宋体"/>
          <w:sz w:val="24"/>
          <w:szCs w:val="24"/>
          <w:highlight w:val="none"/>
          <w:u w:val="single"/>
        </w:rPr>
        <w:t xml:space="preserve">    其他        </w:t>
      </w:r>
    </w:p>
    <w:p>
      <w:pPr>
        <w:wordWrap w:val="0"/>
        <w:spacing w:line="460" w:lineRule="exact"/>
        <w:outlineLvl w:val="0"/>
        <w:rPr>
          <w:rFonts w:ascii="宋体" w:hAnsi="宋体" w:cs="宋体"/>
          <w:b/>
          <w:bCs/>
          <w:sz w:val="24"/>
          <w:szCs w:val="24"/>
          <w:highlight w:val="none"/>
        </w:rPr>
      </w:pPr>
      <w:bookmarkStart w:id="396" w:name="_Toc30326"/>
      <w:r>
        <w:rPr>
          <w:rFonts w:hint="eastAsia" w:ascii="宋体" w:hAnsi="宋体" w:cs="宋体"/>
          <w:b/>
          <w:bCs/>
          <w:sz w:val="24"/>
          <w:szCs w:val="24"/>
          <w:highlight w:val="none"/>
        </w:rPr>
        <w:t>3 监理人</w:t>
      </w:r>
      <w:bookmarkEnd w:id="396"/>
    </w:p>
    <w:p>
      <w:pPr>
        <w:wordWrap w:val="0"/>
        <w:spacing w:line="460" w:lineRule="exact"/>
        <w:outlineLvl w:val="1"/>
        <w:rPr>
          <w:rFonts w:ascii="宋体" w:hAnsi="宋体" w:cs="宋体"/>
          <w:b/>
          <w:bCs/>
          <w:sz w:val="24"/>
          <w:szCs w:val="24"/>
          <w:highlight w:val="none"/>
        </w:rPr>
      </w:pPr>
      <w:bookmarkStart w:id="397" w:name="_Toc26243"/>
      <w:r>
        <w:rPr>
          <w:rFonts w:hint="eastAsia" w:ascii="宋体" w:hAnsi="宋体" w:cs="宋体"/>
          <w:b/>
          <w:bCs/>
          <w:sz w:val="24"/>
          <w:szCs w:val="24"/>
          <w:highlight w:val="none"/>
        </w:rPr>
        <w:t>3.1 监理人的职责和权力</w:t>
      </w:r>
      <w:bookmarkEnd w:id="397"/>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监理人须根据发包人事先批准的权力范围行使权力，发包人批准的权力范围：</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（1）确定延长完工期限；</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（2）作出变更决定；</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（3）批准承包人更换施工项目负责人、施工项目技术负责人施工管理及技术人员。</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（4）在合同履行期间，发包人有权根据具体情况调整监理人需经发包人批准的权力范围并通知承包人</w:t>
      </w:r>
    </w:p>
    <w:p>
      <w:pPr>
        <w:wordWrap w:val="0"/>
        <w:spacing w:line="460" w:lineRule="exact"/>
        <w:outlineLvl w:val="0"/>
        <w:rPr>
          <w:rFonts w:ascii="宋体" w:hAnsi="宋体" w:cs="宋体"/>
          <w:b/>
          <w:bCs/>
          <w:sz w:val="24"/>
          <w:szCs w:val="24"/>
          <w:highlight w:val="none"/>
        </w:rPr>
      </w:pPr>
      <w:bookmarkStart w:id="398" w:name="_Toc19598"/>
      <w:r>
        <w:rPr>
          <w:rFonts w:hint="eastAsia" w:ascii="宋体" w:hAnsi="宋体" w:cs="宋体"/>
          <w:b/>
          <w:bCs/>
          <w:sz w:val="24"/>
          <w:szCs w:val="24"/>
          <w:highlight w:val="none"/>
        </w:rPr>
        <w:t>4 承包人</w:t>
      </w:r>
      <w:bookmarkEnd w:id="398"/>
    </w:p>
    <w:p>
      <w:pPr>
        <w:wordWrap w:val="0"/>
        <w:spacing w:line="460" w:lineRule="exact"/>
        <w:outlineLvl w:val="1"/>
        <w:rPr>
          <w:rFonts w:ascii="宋体" w:hAnsi="宋体" w:cs="宋体"/>
          <w:b/>
          <w:bCs/>
          <w:sz w:val="24"/>
          <w:szCs w:val="24"/>
          <w:highlight w:val="none"/>
        </w:rPr>
      </w:pPr>
      <w:bookmarkStart w:id="399" w:name="_Toc26374"/>
      <w:r>
        <w:rPr>
          <w:rFonts w:hint="eastAsia" w:ascii="宋体" w:hAnsi="宋体" w:cs="宋体"/>
          <w:b/>
          <w:bCs/>
          <w:sz w:val="24"/>
          <w:szCs w:val="24"/>
          <w:highlight w:val="none"/>
        </w:rPr>
        <w:t>4.1 承包人的一般义务</w:t>
      </w:r>
      <w:bookmarkEnd w:id="399"/>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（1）及时进场施工。承包人应在接到开工通知后3天内调遣人员和调配施工设备、材料进入工地，按施工总进度要求完成施工准备工作。</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提交施工组织设计、施工措施计划和部分施工图纸。承包人应按合同规定的内容在签订合同后5天内提交施工组织设计，在接到开工通知后7天内，按照监理人和发包人的意见修正施工组织设计、施工措施计划和由承包人负责的施工图纸，报送监理人审批，并对现场作业和施工方法的完备和可靠负全部责任。由于各类原因引起的施工方案调整，在接到相关通知后7天内，调整施工组织设计、施工措施计划和由承包人负责的施工图纸，报送监理人审批，并对现场作业和施工方法的完备和可靠负全部责任。以上资料每延期提交1天，按承包人工期延误处理。</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工程完工后，应按照合同约定提交工程完工验收申请报告和完工结算申请书文件，逾期或者不按规定提交的，发包人有权依据已有资料做出判断并报送给结算审核方，以保证结算的连续性,由此产生的费用由承包人承担。</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（4）配合有关部门的检查、审计等工作，包括并不限于提供工程或账务资料和说明。</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（5）完工清场和撤离</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应在合同规定的期限内完成工地清理并按期撤退其人员、施工设备和剩余材料。在单位工程验收前，对承包人逾期未清理的施工设备和剩余材料、余泥，发包人可委托他人进行清理，所需费用在承包人预留结算金和保修金中扣除，承包人不得提出异议。</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（6）配合施工清障</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施工期间，承包人应配合发包人进行施工用地范围内的施工清障。并根据发包人的指示合理安排或调整施工计划，由此造成的工期延误和费用增加按11.5条规定办理。用地范围内的障碍物由承包人清除（具体工作由发包方明确），费用由投标人在投标报价时考虑。</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（7）拆除原有建（构）筑物</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承包人在拆除的每一建（构）筑物前都须书面报发包人，经发包人同意后方能实施拆除。</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（8）工程施工过程中，如果需要借用施工沿线企、事业单位及村落的道路或场地的（指工程建设范围以外），其相关的事宜及费用由承包人自行解决。</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（9）</w:t>
      </w:r>
      <w:r>
        <w:rPr>
          <w:rFonts w:hint="eastAsia" w:ascii="宋体" w:hAnsi="宋体"/>
          <w:kern w:val="0"/>
          <w:sz w:val="24"/>
          <w:szCs w:val="24"/>
          <w:highlight w:val="none"/>
          <w:lang w:val="zh-CN"/>
        </w:rPr>
        <w:t>施工实名制</w:t>
      </w:r>
    </w:p>
    <w:p>
      <w:pPr>
        <w:wordWrap w:val="0"/>
        <w:spacing w:line="480" w:lineRule="exact"/>
        <w:ind w:firstLine="480" w:firstLineChars="200"/>
        <w:rPr>
          <w:rFonts w:ascii="宋体" w:hAnsi="宋体"/>
          <w:sz w:val="24"/>
          <w:szCs w:val="24"/>
          <w:highlight w:val="none"/>
        </w:rPr>
      </w:pPr>
      <w:r>
        <w:rPr>
          <w:rFonts w:hint="eastAsia" w:ascii="宋体" w:hAnsi="宋体"/>
          <w:sz w:val="24"/>
          <w:szCs w:val="24"/>
          <w:highlight w:val="none"/>
        </w:rPr>
        <w:t>按《住房城乡建设部 人力资源社会保障部关于印发建筑工人实名管理办法（试行）的通知》（建市〔2019〕18号）实施建筑施工实名制。</w:t>
      </w:r>
    </w:p>
    <w:p>
      <w:pPr>
        <w:wordWrap w:val="0"/>
        <w:spacing w:line="480" w:lineRule="exact"/>
        <w:ind w:firstLine="480" w:firstLineChars="200"/>
        <w:rPr>
          <w:rFonts w:ascii="宋体" w:hAnsi="宋体"/>
          <w:sz w:val="24"/>
          <w:szCs w:val="24"/>
          <w:highlight w:val="none"/>
        </w:rPr>
      </w:pPr>
      <w:r>
        <w:rPr>
          <w:rFonts w:hint="eastAsia" w:ascii="宋体" w:hAnsi="宋体"/>
          <w:sz w:val="24"/>
          <w:szCs w:val="24"/>
          <w:highlight w:val="none"/>
        </w:rPr>
        <w:t>（10）承包人必须以高度负责的态度，对存在可能引发劳资纠纷的各种因素进行排查， 及时化解、处理可能发生劳资纠纷的不稳定因素；尤其是对恶意煽动施工人员集体上访、集聚围阻的行为，要善于及时发现并敢于揭露、制止，创造安全、文明、和谐的环境。</w:t>
      </w:r>
    </w:p>
    <w:p>
      <w:pPr>
        <w:wordWrap w:val="0"/>
        <w:spacing w:line="460" w:lineRule="exact"/>
        <w:outlineLvl w:val="1"/>
        <w:rPr>
          <w:rFonts w:ascii="宋体" w:hAnsi="宋体" w:cs="宋体"/>
          <w:b/>
          <w:bCs/>
          <w:sz w:val="24"/>
          <w:szCs w:val="24"/>
          <w:highlight w:val="none"/>
        </w:rPr>
      </w:pPr>
      <w:bookmarkStart w:id="400" w:name="_Toc9281"/>
      <w:r>
        <w:rPr>
          <w:rFonts w:hint="eastAsia" w:ascii="宋体" w:hAnsi="宋体" w:cs="宋体"/>
          <w:b/>
          <w:bCs/>
          <w:sz w:val="24"/>
          <w:szCs w:val="24"/>
          <w:highlight w:val="none"/>
        </w:rPr>
        <w:t>4.2 履约担保</w:t>
      </w:r>
      <w:bookmarkEnd w:id="400"/>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4.2.1履约担保的格式和金额</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承包人应在签订合同</w:t>
      </w:r>
      <w:r>
        <w:rPr>
          <w:rFonts w:hint="eastAsia" w:ascii="宋体" w:hAnsi="宋体" w:cs="宋体"/>
          <w:sz w:val="24"/>
          <w:szCs w:val="24"/>
          <w:highlight w:val="none"/>
          <w:lang w:val="en-US" w:eastAsia="zh-CN"/>
        </w:rPr>
        <w:t>后</w:t>
      </w:r>
      <w:r>
        <w:rPr>
          <w:rFonts w:hint="eastAsia" w:ascii="宋体" w:hAnsi="宋体" w:cs="宋体"/>
          <w:sz w:val="24"/>
          <w:szCs w:val="24"/>
          <w:highlight w:val="none"/>
        </w:rPr>
        <w:t>，按照发包人在招标文件中规定的格式或者其他经过发包人认可的格式向发包人递交一份履约保函,履约保函可采用银行保函，保险保函或保险保单等形式。经过发包人认可的其他格式的履约保函，其担保条款的实质性内容应当与发包人在招标文件中规定的格式内容保持一致。履约保函的金额</w:t>
      </w:r>
      <w:r>
        <w:rPr>
          <w:rFonts w:hint="eastAsia" w:ascii="宋体" w:hAnsi="宋体" w:cs="宋体"/>
          <w:b/>
          <w:bCs/>
          <w:sz w:val="24"/>
          <w:szCs w:val="24"/>
          <w:highlight w:val="none"/>
        </w:rPr>
        <w:t>按照中标合同额的10%提交</w:t>
      </w:r>
      <w:r>
        <w:rPr>
          <w:rFonts w:hint="eastAsia" w:ascii="宋体" w:hAnsi="宋体" w:cs="宋体"/>
          <w:sz w:val="24"/>
          <w:szCs w:val="24"/>
          <w:highlight w:val="none"/>
        </w:rPr>
        <w:t>。履约保函是本合同的附件。</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4.2.1.1承包人提交的履约保函在到期前，承包人应提前7天向发包人提交新的保函以替换即将到期的保函，且新提交的保函的期限延长不得少于6个月。如承包人未及时提交的，发包人有权直接要求担保银行支付其担保的全部金额。</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当发生违约情形而导致履约保证金被扣罚或因其他原因，而导致履约保证金余额少于剩余工程量的10%,或者少于合同总价的2%的，承包人应在收到发包人通知之日起在7天内补足，补足后的履约保证金金额应相当于剩余工程量的10%，且不得低于合同总价的2%，否则按两者较高者补足。对于未按时限要求补足的，发包人有权扣罚剩余的全部履约保证金并有权解除合同。</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4.2.1.2承包人应按时足额向雇员支付劳务工资，并不低于当地最低工资标准。对于因承包人拖欠劳务工资而造成群体性示威、游行等，造成一切不良社会影响后果的，发包人有权从承包人履约保证金或应付、将付给承包人的款项中扣除5000元/次作为违约金。发包人有权根据承包人的雇员所提供的数据直接将劳务工资支付给承包人雇员，并在应付、将付给承包人的工程款或其他款项中扣除。上述行为对发包人造成损失和（或）导致工期延误的，应赔偿发包人的损失，工期不予顺延。</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4.2.2履约担保的有效期</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履约担保的有效期应当自本合同生效之日起且至发包人签认并由监理人向承包人出具工程接收证书之日且工程结算通过财政审定止。如果承包人无法获得一份不带具体截止日期的担保，履约担保中应当有“变更工程竣工日期的，保证期间按照变更后的竣工日期做相应调整”或类似约定的条款。</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4.2.3履约担保的退还</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履约担保应在监理人向承包人颁发（出具）工程接收证书且完成工程结算财政审定之日后15天内退还给承包人。</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4.2.4通知义务</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不管履约保函条款中如何约定，发包人根据保函条款提出索赔或兑现要求15天前，应通知承包人并说明导致此类索赔或兑现的违约性质或原因。相应地，承包人根据保函条款提出索赔或兑现要求15天前，也应通知发包人并说明导致此类索赔或兑现的违约性质或原因。但是，本项约定的通知不应理解为是在任何意义上寻求承包人或者发包人的同意。</w:t>
      </w:r>
    </w:p>
    <w:p>
      <w:pPr>
        <w:wordWrap w:val="0"/>
        <w:spacing w:line="460" w:lineRule="exact"/>
        <w:outlineLvl w:val="1"/>
        <w:rPr>
          <w:rFonts w:ascii="宋体" w:hAnsi="宋体" w:cs="宋体"/>
          <w:b/>
          <w:bCs/>
          <w:sz w:val="24"/>
          <w:szCs w:val="24"/>
          <w:highlight w:val="none"/>
        </w:rPr>
      </w:pPr>
      <w:r>
        <w:rPr>
          <w:rFonts w:hint="eastAsia" w:ascii="宋体" w:hAnsi="宋体" w:cs="宋体"/>
          <w:b/>
          <w:bCs/>
          <w:sz w:val="24"/>
          <w:szCs w:val="24"/>
          <w:highlight w:val="none"/>
        </w:rPr>
        <w:t>4.3 分包</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本款不采用。</w:t>
      </w:r>
    </w:p>
    <w:p>
      <w:pPr>
        <w:wordWrap w:val="0"/>
        <w:spacing w:line="460" w:lineRule="exact"/>
        <w:outlineLvl w:val="1"/>
        <w:rPr>
          <w:rFonts w:ascii="宋体" w:hAnsi="宋体" w:cs="宋体"/>
          <w:b/>
          <w:bCs/>
          <w:sz w:val="24"/>
          <w:szCs w:val="24"/>
          <w:highlight w:val="none"/>
        </w:rPr>
      </w:pPr>
      <w:bookmarkStart w:id="401" w:name="_Toc12123"/>
      <w:r>
        <w:rPr>
          <w:rFonts w:hint="eastAsia" w:ascii="宋体" w:hAnsi="宋体" w:cs="宋体"/>
          <w:b/>
          <w:bCs/>
          <w:sz w:val="24"/>
          <w:szCs w:val="24"/>
          <w:highlight w:val="none"/>
        </w:rPr>
        <w:t>4.4 联合体</w:t>
      </w:r>
      <w:bookmarkEnd w:id="401"/>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本款不采用,不接受联合体。</w:t>
      </w:r>
    </w:p>
    <w:p>
      <w:pPr>
        <w:wordWrap w:val="0"/>
        <w:spacing w:line="460" w:lineRule="exact"/>
        <w:outlineLvl w:val="1"/>
        <w:rPr>
          <w:rFonts w:ascii="宋体" w:hAnsi="宋体" w:cs="宋体"/>
          <w:b/>
          <w:bCs/>
          <w:sz w:val="24"/>
          <w:szCs w:val="24"/>
          <w:highlight w:val="none"/>
        </w:rPr>
      </w:pPr>
      <w:r>
        <w:rPr>
          <w:rFonts w:hint="eastAsia" w:ascii="宋体" w:hAnsi="宋体" w:cs="宋体"/>
          <w:b/>
          <w:bCs/>
          <w:sz w:val="24"/>
          <w:szCs w:val="24"/>
          <w:highlight w:val="none"/>
        </w:rPr>
        <w:t>4.5 承包人项目经理</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施工项目负责人（项目经理）姓名：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wordWrap w:val="0"/>
        <w:spacing w:line="460" w:lineRule="exact"/>
        <w:outlineLvl w:val="1"/>
        <w:rPr>
          <w:rFonts w:ascii="宋体" w:hAnsi="宋体" w:cs="宋体"/>
          <w:b/>
          <w:bCs/>
          <w:sz w:val="24"/>
          <w:szCs w:val="24"/>
          <w:highlight w:val="none"/>
        </w:rPr>
      </w:pPr>
      <w:bookmarkStart w:id="402" w:name="_Toc19363"/>
      <w:r>
        <w:rPr>
          <w:rFonts w:hint="eastAsia" w:ascii="宋体" w:hAnsi="宋体" w:cs="宋体"/>
          <w:b/>
          <w:bCs/>
          <w:sz w:val="24"/>
          <w:szCs w:val="24"/>
          <w:highlight w:val="none"/>
        </w:rPr>
        <w:t>4.6 承包人人员的管理</w:t>
      </w:r>
      <w:bookmarkEnd w:id="402"/>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4.6.1 承包人提交项目管理机构及施工现场管理人员安排报告的期限：</w:t>
      </w:r>
      <w:r>
        <w:rPr>
          <w:rFonts w:hint="eastAsia" w:ascii="宋体" w:hAnsi="宋体" w:cs="宋体"/>
          <w:sz w:val="24"/>
          <w:szCs w:val="24"/>
          <w:highlight w:val="none"/>
          <w:u w:val="single"/>
        </w:rPr>
        <w:t>接到开工通知之日7日历天内</w:t>
      </w:r>
      <w:r>
        <w:rPr>
          <w:rFonts w:hint="eastAsia" w:ascii="宋体" w:hAnsi="宋体" w:cs="宋体"/>
          <w:sz w:val="24"/>
          <w:szCs w:val="24"/>
          <w:highlight w:val="none"/>
        </w:rPr>
        <w:t>。</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4.6.2 承包人无正当理由拒绝撤换主要施工管理人员的违约责任：</w:t>
      </w:r>
      <w:r>
        <w:rPr>
          <w:rFonts w:hint="eastAsia" w:ascii="宋体" w:hAnsi="宋体" w:cs="宋体"/>
          <w:sz w:val="24"/>
          <w:szCs w:val="24"/>
          <w:highlight w:val="none"/>
          <w:u w:val="single"/>
        </w:rPr>
        <w:t>承包人承担由此导致发包人所产生的一切损失</w:t>
      </w:r>
      <w:r>
        <w:rPr>
          <w:rFonts w:hint="eastAsia" w:ascii="宋体" w:hAnsi="宋体" w:cs="宋体"/>
          <w:sz w:val="24"/>
          <w:szCs w:val="24"/>
          <w:highlight w:val="none"/>
        </w:rPr>
        <w:t>。</w:t>
      </w:r>
    </w:p>
    <w:p>
      <w:pPr>
        <w:wordWrap w:val="0"/>
        <w:spacing w:line="48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4.6.3 承包人主要施工管理人员离开施工现场的批准要求：</w:t>
      </w:r>
      <w:r>
        <w:rPr>
          <w:rFonts w:hint="eastAsia" w:ascii="宋体" w:hAnsi="宋体" w:cs="宋体"/>
          <w:sz w:val="24"/>
          <w:szCs w:val="24"/>
          <w:highlight w:val="none"/>
          <w:u w:val="single"/>
        </w:rPr>
        <w:t>按通用合同</w:t>
      </w:r>
      <w:r>
        <w:rPr>
          <w:rFonts w:hint="eastAsia" w:ascii="宋体" w:hAnsi="宋体" w:cs="宋体"/>
          <w:sz w:val="24"/>
          <w:szCs w:val="24"/>
          <w:highlight w:val="none"/>
          <w:u w:val="single"/>
          <w:lang w:val="en-US" w:eastAsia="zh-CN"/>
        </w:rPr>
        <w:t>条款</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4.6.4 承包人擅自更换主要施工管理人员的违约责任：</w:t>
      </w:r>
      <w:r>
        <w:rPr>
          <w:rFonts w:hint="eastAsia" w:ascii="宋体" w:hAnsi="宋体" w:cs="宋体"/>
          <w:sz w:val="24"/>
          <w:szCs w:val="24"/>
          <w:highlight w:val="none"/>
          <w:u w:val="single"/>
        </w:rPr>
        <w:t>承包人承担由此导致发包人所产生的一切损失</w:t>
      </w:r>
      <w:r>
        <w:rPr>
          <w:rFonts w:hint="eastAsia" w:ascii="宋体" w:hAnsi="宋体" w:cs="宋体"/>
          <w:sz w:val="24"/>
          <w:szCs w:val="24"/>
          <w:highlight w:val="none"/>
        </w:rPr>
        <w:t>。</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4.6.5 承包人主要施工管理人员擅自离开施工现场的违约责任：</w:t>
      </w:r>
      <w:r>
        <w:rPr>
          <w:rFonts w:hint="eastAsia" w:ascii="宋体" w:hAnsi="宋体" w:cs="宋体"/>
          <w:sz w:val="24"/>
          <w:szCs w:val="24"/>
          <w:highlight w:val="none"/>
          <w:u w:val="single"/>
        </w:rPr>
        <w:t>承包人承担由此导致发包人所产生的一切损失</w:t>
      </w:r>
      <w:r>
        <w:rPr>
          <w:rFonts w:hint="eastAsia" w:ascii="宋体" w:hAnsi="宋体" w:cs="宋体"/>
          <w:sz w:val="24"/>
          <w:szCs w:val="24"/>
          <w:highlight w:val="none"/>
        </w:rPr>
        <w:t>。</w:t>
      </w:r>
    </w:p>
    <w:p>
      <w:pPr>
        <w:wordWrap w:val="0"/>
        <w:spacing w:line="460" w:lineRule="exact"/>
        <w:outlineLvl w:val="0"/>
        <w:rPr>
          <w:rFonts w:ascii="宋体" w:hAnsi="宋体" w:cs="宋体"/>
          <w:b/>
          <w:bCs/>
          <w:sz w:val="24"/>
          <w:szCs w:val="24"/>
          <w:highlight w:val="none"/>
        </w:rPr>
      </w:pPr>
      <w:bookmarkStart w:id="403" w:name="_Toc21367"/>
      <w:r>
        <w:rPr>
          <w:rFonts w:hint="eastAsia" w:ascii="宋体" w:hAnsi="宋体" w:cs="宋体"/>
          <w:b/>
          <w:bCs/>
          <w:sz w:val="24"/>
          <w:szCs w:val="24"/>
          <w:highlight w:val="none"/>
        </w:rPr>
        <w:t>5 材料和工程设备</w:t>
      </w:r>
      <w:bookmarkEnd w:id="403"/>
    </w:p>
    <w:p>
      <w:pPr>
        <w:wordWrap w:val="0"/>
        <w:spacing w:line="460" w:lineRule="exact"/>
        <w:outlineLvl w:val="1"/>
        <w:rPr>
          <w:rFonts w:ascii="宋体" w:hAnsi="宋体" w:cs="宋体"/>
          <w:b/>
          <w:bCs/>
          <w:sz w:val="24"/>
          <w:szCs w:val="24"/>
          <w:highlight w:val="none"/>
        </w:rPr>
      </w:pPr>
      <w:r>
        <w:rPr>
          <w:rFonts w:hint="eastAsia" w:ascii="宋体" w:hAnsi="宋体" w:cs="宋体"/>
          <w:b/>
          <w:bCs/>
          <w:sz w:val="24"/>
          <w:szCs w:val="24"/>
          <w:highlight w:val="none"/>
        </w:rPr>
        <w:t>5.1 承包人提供的材料和工程设备</w:t>
      </w:r>
    </w:p>
    <w:p>
      <w:pPr>
        <w:wordWrap w:val="0"/>
        <w:spacing w:line="480" w:lineRule="exact"/>
        <w:ind w:firstLine="480" w:firstLineChars="200"/>
        <w:rPr>
          <w:rFonts w:ascii="宋体" w:hAnsi="宋体" w:cs="宋体"/>
          <w:sz w:val="24"/>
          <w:szCs w:val="24"/>
          <w:highlight w:val="none"/>
        </w:rPr>
      </w:pPr>
      <w:bookmarkStart w:id="404" w:name="_Toc26376"/>
      <w:r>
        <w:rPr>
          <w:rFonts w:hint="eastAsia" w:ascii="宋体" w:hAnsi="宋体" w:cs="宋体"/>
          <w:sz w:val="24"/>
          <w:szCs w:val="24"/>
          <w:highlight w:val="none"/>
        </w:rPr>
        <w:t>需要承包人报送样品的材料或工程设备，样品的种类、名称、规格、数量要求：</w:t>
      </w:r>
      <w:r>
        <w:rPr>
          <w:rFonts w:hint="eastAsia" w:ascii="宋体" w:hAnsi="宋体" w:cs="宋体"/>
          <w:sz w:val="24"/>
          <w:szCs w:val="24"/>
          <w:highlight w:val="none"/>
          <w:u w:val="single"/>
        </w:rPr>
        <w:t>按照法律法规及相关规定执行</w:t>
      </w:r>
      <w:r>
        <w:rPr>
          <w:rFonts w:hint="eastAsia" w:ascii="宋体" w:hAnsi="宋体" w:cs="宋体"/>
          <w:sz w:val="24"/>
          <w:szCs w:val="24"/>
          <w:highlight w:val="none"/>
        </w:rPr>
        <w:t>。</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承包人采购用于本工程的设备或仪器，在签订供货协议前应将供货厂家的相关信息、设备参数等材料提交监理人审核，并经发包人确认。确保采购的设备或仪器完全满足本工程设计技术需求。</w:t>
      </w:r>
    </w:p>
    <w:p>
      <w:pPr>
        <w:wordWrap w:val="0"/>
        <w:spacing w:line="460" w:lineRule="exact"/>
        <w:ind w:firstLine="480" w:firstLineChars="200"/>
        <w:outlineLvl w:val="1"/>
        <w:rPr>
          <w:rFonts w:ascii="宋体" w:hAnsi="宋体" w:cs="宋体"/>
          <w:sz w:val="24"/>
          <w:szCs w:val="24"/>
          <w:highlight w:val="none"/>
          <w:u w:val="single"/>
        </w:rPr>
      </w:pPr>
      <w:r>
        <w:rPr>
          <w:rFonts w:hint="eastAsia" w:ascii="宋体" w:hAnsi="宋体" w:cs="宋体"/>
          <w:sz w:val="24"/>
          <w:szCs w:val="24"/>
          <w:highlight w:val="none"/>
        </w:rPr>
        <w:t>其他</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pPr>
        <w:wordWrap w:val="0"/>
        <w:spacing w:line="460" w:lineRule="exact"/>
        <w:outlineLvl w:val="1"/>
        <w:rPr>
          <w:rFonts w:ascii="宋体" w:hAnsi="宋体" w:cs="宋体"/>
          <w:b/>
          <w:bCs/>
          <w:sz w:val="24"/>
          <w:szCs w:val="24"/>
          <w:highlight w:val="none"/>
        </w:rPr>
      </w:pPr>
      <w:r>
        <w:rPr>
          <w:rFonts w:hint="eastAsia" w:ascii="宋体" w:hAnsi="宋体" w:cs="宋体"/>
          <w:b/>
          <w:bCs/>
          <w:sz w:val="24"/>
          <w:szCs w:val="24"/>
          <w:highlight w:val="none"/>
        </w:rPr>
        <w:t>5.2 发包人提供的材料和工程设备</w:t>
      </w:r>
      <w:bookmarkEnd w:id="404"/>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本款不采用。</w:t>
      </w:r>
    </w:p>
    <w:p>
      <w:pPr>
        <w:wordWrap w:val="0"/>
        <w:spacing w:line="460" w:lineRule="exact"/>
        <w:outlineLvl w:val="1"/>
        <w:rPr>
          <w:rFonts w:ascii="宋体" w:hAnsi="宋体" w:cs="宋体"/>
          <w:b/>
          <w:bCs/>
          <w:sz w:val="24"/>
          <w:szCs w:val="24"/>
          <w:highlight w:val="none"/>
        </w:rPr>
      </w:pPr>
      <w:r>
        <w:rPr>
          <w:rFonts w:hint="eastAsia" w:ascii="宋体" w:hAnsi="宋体" w:cs="宋体"/>
          <w:b/>
          <w:bCs/>
          <w:sz w:val="24"/>
          <w:szCs w:val="24"/>
          <w:highlight w:val="none"/>
        </w:rPr>
        <w:t>5.4 禁止使用不合格的材料和工程设备</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严禁将不合格的材料运往现场，经监理人查库发现的不合格材料，应禁止使用。承包人违约使用了不合格材料，应按本合同《通用合同条款》条款第5.4条的规定处理。</w:t>
      </w:r>
    </w:p>
    <w:p>
      <w:pPr>
        <w:wordWrap w:val="0"/>
        <w:spacing w:line="460" w:lineRule="exact"/>
        <w:outlineLvl w:val="0"/>
        <w:rPr>
          <w:rFonts w:ascii="宋体" w:hAnsi="宋体" w:cs="宋体"/>
          <w:b/>
          <w:bCs/>
          <w:sz w:val="24"/>
          <w:szCs w:val="24"/>
          <w:highlight w:val="none"/>
        </w:rPr>
      </w:pPr>
      <w:bookmarkStart w:id="405" w:name="_Toc31863"/>
      <w:r>
        <w:rPr>
          <w:rFonts w:hint="eastAsia" w:ascii="宋体" w:hAnsi="宋体" w:cs="宋体"/>
          <w:b/>
          <w:bCs/>
          <w:sz w:val="24"/>
          <w:szCs w:val="24"/>
          <w:highlight w:val="none"/>
        </w:rPr>
        <w:t>7 施工安全、治安保卫和环境保护</w:t>
      </w:r>
      <w:bookmarkEnd w:id="405"/>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7.1.1 项目安全生产的达标目标及相应事项的约定：</w:t>
      </w:r>
      <w:r>
        <w:rPr>
          <w:rFonts w:hint="eastAsia" w:ascii="宋体" w:hAnsi="宋体" w:cs="宋体"/>
          <w:sz w:val="24"/>
          <w:szCs w:val="24"/>
          <w:highlight w:val="none"/>
          <w:u w:val="single"/>
        </w:rPr>
        <w:t>按照法律法规及相关规定执行</w:t>
      </w:r>
      <w:r>
        <w:rPr>
          <w:rFonts w:hint="eastAsia" w:ascii="宋体" w:hAnsi="宋体" w:cs="宋体"/>
          <w:sz w:val="24"/>
          <w:szCs w:val="24"/>
          <w:highlight w:val="none"/>
        </w:rPr>
        <w:t>。</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7.1.2 关于治安保卫的特别约定：</w:t>
      </w:r>
      <w:r>
        <w:rPr>
          <w:rFonts w:hint="eastAsia" w:ascii="宋体" w:hAnsi="宋体" w:cs="宋体"/>
          <w:sz w:val="24"/>
          <w:szCs w:val="24"/>
          <w:highlight w:val="none"/>
          <w:u w:val="single"/>
        </w:rPr>
        <w:t>按照法律法规及相关规定执行</w:t>
      </w:r>
      <w:r>
        <w:rPr>
          <w:rFonts w:hint="eastAsia" w:ascii="宋体" w:hAnsi="宋体" w:cs="宋体"/>
          <w:sz w:val="24"/>
          <w:szCs w:val="24"/>
          <w:highlight w:val="none"/>
        </w:rPr>
        <w:t>。</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7.1.3 关于编制施工场地治安管理计划的约定：</w:t>
      </w:r>
      <w:r>
        <w:rPr>
          <w:rFonts w:hint="eastAsia" w:ascii="宋体" w:hAnsi="宋体" w:cs="宋体"/>
          <w:sz w:val="24"/>
          <w:szCs w:val="24"/>
          <w:highlight w:val="none"/>
          <w:u w:val="single"/>
        </w:rPr>
        <w:t>按照法律法规及相关规定执行</w:t>
      </w:r>
      <w:r>
        <w:rPr>
          <w:rFonts w:hint="eastAsia" w:ascii="宋体" w:hAnsi="宋体" w:cs="宋体"/>
          <w:sz w:val="24"/>
          <w:szCs w:val="24"/>
          <w:highlight w:val="none"/>
        </w:rPr>
        <w:t>。</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7.1.4 关于环境保护的相关约定：</w:t>
      </w:r>
      <w:r>
        <w:rPr>
          <w:rFonts w:hint="eastAsia" w:ascii="宋体" w:hAnsi="宋体" w:cs="宋体"/>
          <w:sz w:val="24"/>
          <w:szCs w:val="24"/>
          <w:highlight w:val="none"/>
          <w:u w:val="single"/>
        </w:rPr>
        <w:t>按照法律法规及相关规定执行。</w:t>
      </w:r>
    </w:p>
    <w:p>
      <w:pPr>
        <w:wordWrap w:val="0"/>
        <w:spacing w:line="460" w:lineRule="exact"/>
        <w:outlineLvl w:val="0"/>
        <w:rPr>
          <w:rFonts w:ascii="宋体" w:hAnsi="宋体" w:cs="宋体"/>
          <w:b/>
          <w:bCs/>
          <w:sz w:val="24"/>
          <w:szCs w:val="24"/>
          <w:highlight w:val="none"/>
        </w:rPr>
      </w:pPr>
      <w:bookmarkStart w:id="406" w:name="_Toc11908"/>
      <w:r>
        <w:rPr>
          <w:rFonts w:hint="eastAsia" w:ascii="宋体" w:hAnsi="宋体" w:cs="宋体"/>
          <w:b/>
          <w:bCs/>
          <w:sz w:val="24"/>
          <w:szCs w:val="24"/>
          <w:highlight w:val="none"/>
        </w:rPr>
        <w:t>8 开工和竣工（完工）</w:t>
      </w:r>
      <w:bookmarkEnd w:id="406"/>
    </w:p>
    <w:p>
      <w:pPr>
        <w:wordWrap w:val="0"/>
        <w:spacing w:line="460" w:lineRule="exact"/>
        <w:outlineLvl w:val="1"/>
        <w:rPr>
          <w:rFonts w:ascii="宋体" w:hAnsi="宋体" w:cs="宋体"/>
          <w:b/>
          <w:bCs/>
          <w:sz w:val="24"/>
          <w:szCs w:val="24"/>
          <w:highlight w:val="none"/>
        </w:rPr>
      </w:pPr>
      <w:bookmarkStart w:id="407" w:name="_Toc11806"/>
      <w:r>
        <w:rPr>
          <w:rFonts w:hint="eastAsia" w:ascii="宋体" w:hAnsi="宋体" w:cs="宋体"/>
          <w:b/>
          <w:bCs/>
          <w:sz w:val="24"/>
          <w:szCs w:val="24"/>
          <w:highlight w:val="none"/>
        </w:rPr>
        <w:t>8.1开工</w:t>
      </w:r>
      <w:bookmarkEnd w:id="407"/>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开始工作的条件：以监理下发的开工通知为准，承包人应按此约定进场开展施工工作，并按经发包人批准的进度计划及通知，按期开工施工。</w:t>
      </w:r>
    </w:p>
    <w:p>
      <w:pPr>
        <w:wordWrap w:val="0"/>
        <w:spacing w:line="460" w:lineRule="exact"/>
        <w:outlineLvl w:val="1"/>
        <w:rPr>
          <w:rFonts w:ascii="宋体" w:hAnsi="宋体" w:cs="宋体"/>
          <w:b/>
          <w:bCs/>
          <w:sz w:val="24"/>
          <w:szCs w:val="24"/>
          <w:highlight w:val="none"/>
        </w:rPr>
      </w:pPr>
      <w:bookmarkStart w:id="408" w:name="_Toc32685"/>
      <w:r>
        <w:rPr>
          <w:rFonts w:hint="eastAsia" w:ascii="宋体" w:hAnsi="宋体" w:cs="宋体"/>
          <w:b/>
          <w:bCs/>
          <w:sz w:val="24"/>
          <w:szCs w:val="24"/>
          <w:highlight w:val="none"/>
        </w:rPr>
        <w:t>8.2 竣工</w:t>
      </w:r>
      <w:bookmarkEnd w:id="408"/>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本合同范围内的工程计划完工日期：</w:t>
      </w:r>
      <w:r>
        <w:rPr>
          <w:rFonts w:hint="eastAsia" w:ascii="宋体" w:hAnsi="宋体" w:cs="宋体"/>
          <w:sz w:val="24"/>
          <w:szCs w:val="24"/>
          <w:highlight w:val="none"/>
          <w:u w:val="single"/>
        </w:rPr>
        <w:t xml:space="preserve">       年    月    日。</w:t>
      </w:r>
    </w:p>
    <w:p>
      <w:pPr>
        <w:wordWrap w:val="0"/>
        <w:spacing w:line="460" w:lineRule="exact"/>
        <w:outlineLvl w:val="1"/>
        <w:rPr>
          <w:rFonts w:ascii="宋体" w:hAnsi="宋体" w:cs="宋体"/>
          <w:b/>
          <w:bCs/>
          <w:sz w:val="24"/>
          <w:szCs w:val="24"/>
          <w:highlight w:val="none"/>
        </w:rPr>
      </w:pPr>
      <w:bookmarkStart w:id="409" w:name="_Toc3318"/>
      <w:r>
        <w:rPr>
          <w:rFonts w:hint="eastAsia" w:ascii="宋体" w:hAnsi="宋体" w:cs="宋体"/>
          <w:b/>
          <w:bCs/>
          <w:sz w:val="24"/>
          <w:szCs w:val="24"/>
          <w:highlight w:val="none"/>
        </w:rPr>
        <w:t>8.4 异常恶劣的气候条件</w:t>
      </w:r>
      <w:bookmarkEnd w:id="409"/>
    </w:p>
    <w:p>
      <w:pPr>
        <w:wordWrap w:val="0"/>
        <w:spacing w:line="480" w:lineRule="exact"/>
        <w:ind w:firstLine="480" w:firstLineChars="200"/>
        <w:rPr>
          <w:rFonts w:ascii="宋体" w:hAnsi="宋体" w:cs="宋体"/>
          <w:sz w:val="24"/>
          <w:szCs w:val="24"/>
          <w:highlight w:val="none"/>
        </w:rPr>
      </w:pPr>
      <w:bookmarkStart w:id="410" w:name="_Toc11176"/>
      <w:r>
        <w:rPr>
          <w:rFonts w:hint="eastAsia" w:ascii="宋体" w:hAnsi="宋体" w:cs="宋体"/>
          <w:sz w:val="24"/>
          <w:szCs w:val="24"/>
          <w:highlight w:val="none"/>
        </w:rPr>
        <w:t>发包人和承包人同意以下情形视为异常恶劣的气候条件：</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u w:val="single"/>
        </w:rPr>
        <w:t xml:space="preserve">        按照法律法规及相关规定执行        </w:t>
      </w:r>
      <w:r>
        <w:rPr>
          <w:rFonts w:hint="eastAsia" w:ascii="宋体" w:hAnsi="宋体" w:cs="宋体"/>
          <w:sz w:val="24"/>
          <w:szCs w:val="24"/>
          <w:highlight w:val="none"/>
        </w:rPr>
        <w:t xml:space="preserve"> ；</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u w:val="single"/>
        </w:rPr>
        <w:t xml:space="preserve">                      无                  </w:t>
      </w:r>
      <w:r>
        <w:rPr>
          <w:rFonts w:hint="eastAsia" w:ascii="宋体" w:hAnsi="宋体" w:cs="宋体"/>
          <w:sz w:val="24"/>
          <w:szCs w:val="24"/>
          <w:highlight w:val="none"/>
        </w:rPr>
        <w:t xml:space="preserve"> 。</w:t>
      </w:r>
    </w:p>
    <w:p>
      <w:pPr>
        <w:wordWrap w:val="0"/>
        <w:spacing w:line="460" w:lineRule="exact"/>
        <w:outlineLvl w:val="1"/>
        <w:rPr>
          <w:rFonts w:ascii="宋体" w:hAnsi="宋体" w:cs="宋体"/>
          <w:b/>
          <w:bCs/>
          <w:sz w:val="24"/>
          <w:szCs w:val="24"/>
          <w:highlight w:val="none"/>
        </w:rPr>
      </w:pPr>
      <w:r>
        <w:rPr>
          <w:rFonts w:hint="eastAsia" w:ascii="宋体" w:hAnsi="宋体" w:cs="宋体"/>
          <w:b/>
          <w:bCs/>
          <w:sz w:val="24"/>
          <w:szCs w:val="24"/>
          <w:highlight w:val="none"/>
        </w:rPr>
        <w:t>8.5 承包人工期延误</w:t>
      </w:r>
      <w:bookmarkEnd w:id="410"/>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8.5.1 因发包人原因导致工期延误</w:t>
      </w:r>
    </w:p>
    <w:p>
      <w:pPr>
        <w:wordWrap w:val="0"/>
        <w:spacing w:line="480" w:lineRule="exact"/>
        <w:ind w:firstLine="480" w:firstLineChars="200"/>
        <w:rPr>
          <w:rFonts w:eastAsia="仿宋_GB2312"/>
          <w:sz w:val="30"/>
          <w:szCs w:val="32"/>
          <w:highlight w:val="none"/>
        </w:rPr>
      </w:pPr>
      <w:r>
        <w:rPr>
          <w:rFonts w:hint="eastAsia" w:ascii="宋体" w:hAnsi="宋体" w:cs="宋体"/>
          <w:sz w:val="24"/>
          <w:szCs w:val="24"/>
          <w:highlight w:val="none"/>
        </w:rPr>
        <w:t>因发包人原因导致工期延误的其他情形：</w:t>
      </w:r>
      <w:r>
        <w:rPr>
          <w:rFonts w:hint="eastAsia" w:ascii="宋体" w:hAnsi="宋体" w:cs="宋体"/>
          <w:sz w:val="24"/>
          <w:szCs w:val="24"/>
          <w:highlight w:val="none"/>
          <w:u w:val="single"/>
        </w:rPr>
        <w:t xml:space="preserve">  无   </w:t>
      </w:r>
      <w:r>
        <w:rPr>
          <w:rFonts w:eastAsia="仿宋_GB2312"/>
          <w:sz w:val="30"/>
          <w:szCs w:val="32"/>
          <w:highlight w:val="none"/>
        </w:rPr>
        <w:t>。</w:t>
      </w:r>
    </w:p>
    <w:p>
      <w:pPr>
        <w:wordWrap w:val="0"/>
        <w:spacing w:line="480" w:lineRule="exact"/>
        <w:ind w:firstLine="480" w:firstLineChars="200"/>
        <w:rPr>
          <w:rFonts w:ascii="宋体" w:hAnsi="宋体" w:cs="宋体"/>
          <w:sz w:val="24"/>
          <w:szCs w:val="24"/>
          <w:highlight w:val="none"/>
        </w:rPr>
      </w:pPr>
      <w:bookmarkStart w:id="411" w:name="_Toc318581169"/>
      <w:bookmarkStart w:id="412" w:name="_Toc312678012"/>
      <w:bookmarkStart w:id="413" w:name="_Toc312677486"/>
      <w:bookmarkStart w:id="414" w:name="_Toc303539127"/>
      <w:bookmarkStart w:id="415" w:name="_Toc304295548"/>
      <w:bookmarkStart w:id="416" w:name="_Toc297123518"/>
      <w:bookmarkStart w:id="417" w:name="_Toc300934970"/>
      <w:bookmarkStart w:id="418" w:name="_Toc297216177"/>
      <w:r>
        <w:rPr>
          <w:rFonts w:hint="eastAsia" w:ascii="宋体" w:hAnsi="宋体" w:cs="宋体"/>
          <w:sz w:val="24"/>
          <w:szCs w:val="24"/>
          <w:highlight w:val="none"/>
        </w:rPr>
        <w:t>8.5.2 因承包人原因导致工期延误</w:t>
      </w:r>
    </w:p>
    <w:bookmarkEnd w:id="411"/>
    <w:bookmarkEnd w:id="412"/>
    <w:bookmarkEnd w:id="413"/>
    <w:p>
      <w:pPr>
        <w:wordWrap w:val="0"/>
        <w:spacing w:line="480" w:lineRule="exact"/>
        <w:ind w:firstLine="480" w:firstLineChars="200"/>
        <w:rPr>
          <w:rFonts w:eastAsia="仿宋_GB2312"/>
          <w:sz w:val="30"/>
          <w:szCs w:val="32"/>
          <w:highlight w:val="none"/>
        </w:rPr>
      </w:pPr>
      <w:r>
        <w:rPr>
          <w:rFonts w:hint="eastAsia" w:ascii="宋体" w:hAnsi="宋体" w:cs="宋体"/>
          <w:sz w:val="24"/>
          <w:szCs w:val="24"/>
          <w:highlight w:val="none"/>
        </w:rPr>
        <w:t>因</w:t>
      </w:r>
      <w:bookmarkStart w:id="419" w:name="_Toc312677487"/>
      <w:bookmarkStart w:id="420" w:name="_Toc312678013"/>
      <w:bookmarkStart w:id="421" w:name="_Toc318581170"/>
      <w:r>
        <w:rPr>
          <w:rFonts w:hint="eastAsia" w:ascii="宋体" w:hAnsi="宋体" w:cs="宋体"/>
          <w:sz w:val="24"/>
          <w:szCs w:val="24"/>
          <w:highlight w:val="none"/>
        </w:rPr>
        <w:t>承包人原因造成工期延误，逾期竣工违约金的计算方法为：</w:t>
      </w:r>
      <w:r>
        <w:rPr>
          <w:rFonts w:hint="eastAsia" w:ascii="宋体" w:hAnsi="宋体" w:cs="宋体"/>
          <w:sz w:val="24"/>
          <w:szCs w:val="24"/>
          <w:highlight w:val="none"/>
          <w:u w:val="single"/>
        </w:rPr>
        <w:t>逾期完工违约金额为工程结算评审价的0.5‰(每天)，但其最终的累计总金额不应超过工程结算评审价的5%</w:t>
      </w:r>
      <w:r>
        <w:rPr>
          <w:rFonts w:eastAsia="仿宋_GB2312"/>
          <w:sz w:val="30"/>
          <w:szCs w:val="32"/>
          <w:highlight w:val="none"/>
        </w:rPr>
        <w:t>。</w:t>
      </w:r>
      <w:bookmarkEnd w:id="414"/>
      <w:bookmarkEnd w:id="415"/>
      <w:bookmarkEnd w:id="416"/>
      <w:bookmarkEnd w:id="417"/>
      <w:bookmarkEnd w:id="418"/>
      <w:bookmarkEnd w:id="419"/>
      <w:bookmarkEnd w:id="420"/>
    </w:p>
    <w:bookmarkEnd w:id="421"/>
    <w:p>
      <w:pPr>
        <w:wordWrap w:val="0"/>
        <w:spacing w:line="460" w:lineRule="exact"/>
        <w:outlineLvl w:val="1"/>
        <w:rPr>
          <w:rFonts w:ascii="宋体" w:hAnsi="宋体" w:cs="宋体"/>
          <w:b/>
          <w:bCs/>
          <w:sz w:val="24"/>
          <w:szCs w:val="24"/>
          <w:highlight w:val="none"/>
        </w:rPr>
      </w:pPr>
      <w:bookmarkStart w:id="422" w:name="_Toc28848"/>
      <w:r>
        <w:rPr>
          <w:rFonts w:hint="eastAsia" w:ascii="宋体" w:hAnsi="宋体" w:cs="宋体"/>
          <w:b/>
          <w:bCs/>
          <w:sz w:val="24"/>
          <w:szCs w:val="24"/>
          <w:highlight w:val="none"/>
        </w:rPr>
        <w:t>8.6 工期提前</w:t>
      </w:r>
      <w:bookmarkEnd w:id="422"/>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提前竣工的奖励：</w:t>
      </w:r>
      <w:r>
        <w:rPr>
          <w:rFonts w:hint="eastAsia" w:ascii="宋体" w:hAnsi="宋体" w:cs="宋体"/>
          <w:sz w:val="24"/>
          <w:szCs w:val="24"/>
          <w:highlight w:val="none"/>
          <w:u w:val="single"/>
        </w:rPr>
        <w:t xml:space="preserve">         无          </w:t>
      </w:r>
    </w:p>
    <w:p>
      <w:pPr>
        <w:wordWrap w:val="0"/>
        <w:spacing w:line="460" w:lineRule="exact"/>
        <w:outlineLvl w:val="0"/>
        <w:rPr>
          <w:rFonts w:ascii="宋体" w:hAnsi="宋体" w:cs="宋体"/>
          <w:b/>
          <w:bCs/>
          <w:sz w:val="24"/>
          <w:szCs w:val="24"/>
          <w:highlight w:val="none"/>
        </w:rPr>
      </w:pPr>
      <w:bookmarkStart w:id="423" w:name="_Toc30579"/>
      <w:r>
        <w:rPr>
          <w:rFonts w:hint="eastAsia" w:ascii="宋体" w:hAnsi="宋体" w:cs="宋体"/>
          <w:b/>
          <w:bCs/>
          <w:sz w:val="24"/>
          <w:szCs w:val="24"/>
          <w:highlight w:val="none"/>
        </w:rPr>
        <w:t>9 暂停施工</w:t>
      </w:r>
      <w:bookmarkEnd w:id="423"/>
    </w:p>
    <w:p>
      <w:pPr>
        <w:wordWrap w:val="0"/>
        <w:spacing w:line="460" w:lineRule="exact"/>
        <w:outlineLvl w:val="1"/>
        <w:rPr>
          <w:rFonts w:ascii="宋体" w:hAnsi="宋体" w:cs="宋体"/>
          <w:b/>
          <w:bCs/>
          <w:sz w:val="24"/>
          <w:szCs w:val="24"/>
          <w:highlight w:val="none"/>
        </w:rPr>
      </w:pPr>
      <w:bookmarkStart w:id="424" w:name="_Toc30217"/>
      <w:r>
        <w:rPr>
          <w:rFonts w:hint="eastAsia" w:ascii="宋体" w:hAnsi="宋体" w:cs="宋体"/>
          <w:b/>
          <w:bCs/>
          <w:sz w:val="24"/>
          <w:szCs w:val="24"/>
          <w:highlight w:val="none"/>
        </w:rPr>
        <w:t>9.1 承包人暂停施工的责任</w:t>
      </w:r>
      <w:bookmarkEnd w:id="424"/>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合同履行过程中发生下列情形之一的，承包人可向发包人发出通知，要求发包人采取有效措施予以纠正。</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（1）发包人未能按合同约定支付价款，或拖延、拒绝批准付款申请和支付证书，导致付款延误的；</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（2）监理人无正当理由没有在约定期限内发出复工指示，导致承包人无法复工的；</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（3）发包人无法继续履行或明确表示不履行或实质上已停止履行合同的；</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（4）发包人不履行合同约定其他义务的。</w:t>
      </w:r>
    </w:p>
    <w:p>
      <w:pPr>
        <w:wordWrap w:val="0"/>
        <w:spacing w:line="460" w:lineRule="exact"/>
        <w:outlineLvl w:val="1"/>
        <w:rPr>
          <w:rFonts w:ascii="宋体" w:hAnsi="宋体" w:cs="宋体"/>
          <w:b/>
          <w:bCs/>
          <w:sz w:val="24"/>
          <w:szCs w:val="24"/>
          <w:highlight w:val="none"/>
        </w:rPr>
      </w:pPr>
      <w:bookmarkStart w:id="425" w:name="_Toc17492"/>
      <w:r>
        <w:rPr>
          <w:rFonts w:hint="eastAsia" w:ascii="宋体" w:hAnsi="宋体" w:cs="宋体"/>
          <w:b/>
          <w:bCs/>
          <w:sz w:val="24"/>
          <w:szCs w:val="24"/>
          <w:highlight w:val="none"/>
        </w:rPr>
        <w:t>9.2 发包人暂停施工的责任</w:t>
      </w:r>
      <w:bookmarkEnd w:id="425"/>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发包人认为必要时，可通过监理人向承包人发出暂停工作的指示，承包人应按监理人指示暂停工作。</w:t>
      </w:r>
    </w:p>
    <w:p>
      <w:pPr>
        <w:wordWrap w:val="0"/>
        <w:spacing w:line="460" w:lineRule="exact"/>
        <w:outlineLvl w:val="1"/>
        <w:rPr>
          <w:rFonts w:ascii="宋体" w:hAnsi="宋体" w:cs="宋体"/>
          <w:b/>
          <w:bCs/>
          <w:sz w:val="24"/>
          <w:szCs w:val="24"/>
          <w:highlight w:val="none"/>
        </w:rPr>
      </w:pPr>
      <w:bookmarkStart w:id="426" w:name="_Toc13117"/>
      <w:r>
        <w:rPr>
          <w:rFonts w:hint="eastAsia" w:ascii="宋体" w:hAnsi="宋体" w:cs="宋体"/>
          <w:b/>
          <w:bCs/>
          <w:sz w:val="24"/>
          <w:szCs w:val="24"/>
          <w:highlight w:val="none"/>
        </w:rPr>
        <w:t>9.3暂停施工后的复工</w:t>
      </w:r>
      <w:bookmarkEnd w:id="426"/>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承包人无故拖延和拒绝复工的，由此增加的费用和工期延误由承包人承担。因发包人原因无法按时复工的，工期相应顺延。</w:t>
      </w:r>
    </w:p>
    <w:p>
      <w:pPr>
        <w:wordWrap w:val="0"/>
        <w:spacing w:line="460" w:lineRule="exact"/>
        <w:outlineLvl w:val="0"/>
        <w:rPr>
          <w:rFonts w:ascii="宋体" w:hAnsi="宋体" w:cs="宋体"/>
          <w:b/>
          <w:bCs/>
          <w:sz w:val="24"/>
          <w:szCs w:val="24"/>
          <w:highlight w:val="none"/>
        </w:rPr>
      </w:pPr>
      <w:bookmarkStart w:id="427" w:name="_Toc29016"/>
      <w:r>
        <w:rPr>
          <w:rFonts w:hint="eastAsia" w:ascii="宋体" w:hAnsi="宋体" w:cs="宋体"/>
          <w:b/>
          <w:bCs/>
          <w:sz w:val="24"/>
          <w:szCs w:val="24"/>
          <w:highlight w:val="none"/>
        </w:rPr>
        <w:t>10 工程质量</w:t>
      </w:r>
      <w:bookmarkEnd w:id="427"/>
    </w:p>
    <w:p>
      <w:pPr>
        <w:wordWrap w:val="0"/>
        <w:spacing w:line="460" w:lineRule="exact"/>
        <w:outlineLvl w:val="1"/>
        <w:rPr>
          <w:rFonts w:ascii="宋体" w:hAnsi="宋体" w:cs="宋体"/>
          <w:b/>
          <w:bCs/>
          <w:sz w:val="24"/>
          <w:szCs w:val="24"/>
          <w:highlight w:val="none"/>
        </w:rPr>
      </w:pPr>
      <w:bookmarkStart w:id="428" w:name="_Toc3569"/>
      <w:r>
        <w:rPr>
          <w:rFonts w:hint="eastAsia" w:ascii="宋体" w:hAnsi="宋体" w:cs="宋体"/>
          <w:b/>
          <w:bCs/>
          <w:sz w:val="24"/>
          <w:szCs w:val="24"/>
          <w:highlight w:val="none"/>
        </w:rPr>
        <w:t>10.1 工程质量要求</w:t>
      </w:r>
      <w:bookmarkEnd w:id="428"/>
    </w:p>
    <w:p>
      <w:pPr>
        <w:wordWrap w:val="0"/>
        <w:spacing w:line="480" w:lineRule="exact"/>
        <w:ind w:firstLine="480" w:firstLineChars="200"/>
        <w:rPr>
          <w:rFonts w:ascii="宋体" w:hAnsi="宋体" w:cs="宋体"/>
          <w:sz w:val="24"/>
          <w:szCs w:val="24"/>
          <w:highlight w:val="none"/>
          <w:u w:val="single"/>
        </w:rPr>
      </w:pPr>
      <w:r>
        <w:rPr>
          <w:rFonts w:hint="eastAsia" w:ascii="宋体" w:hAnsi="宋体" w:cs="宋体"/>
          <w:sz w:val="24"/>
          <w:szCs w:val="24"/>
          <w:highlight w:val="none"/>
        </w:rPr>
        <w:t>工程质量验收标准：</w:t>
      </w:r>
      <w:r>
        <w:rPr>
          <w:rFonts w:hint="eastAsia" w:ascii="宋体" w:hAnsi="宋体" w:cs="宋体"/>
          <w:sz w:val="24"/>
          <w:szCs w:val="24"/>
          <w:highlight w:val="none"/>
          <w:u w:val="single"/>
        </w:rPr>
        <w:t>执行国家、省或行业现行的工程建设质量验收标准及规范，须达到合格标准。</w:t>
      </w:r>
    </w:p>
    <w:p>
      <w:pPr>
        <w:wordWrap w:val="0"/>
        <w:spacing w:line="460" w:lineRule="exact"/>
        <w:outlineLvl w:val="1"/>
        <w:rPr>
          <w:rFonts w:ascii="宋体" w:hAnsi="宋体" w:cs="宋体"/>
          <w:b/>
          <w:bCs/>
          <w:sz w:val="24"/>
          <w:szCs w:val="24"/>
          <w:highlight w:val="none"/>
        </w:rPr>
      </w:pPr>
      <w:bookmarkStart w:id="429" w:name="_Toc3352"/>
      <w:r>
        <w:rPr>
          <w:rFonts w:hint="eastAsia" w:ascii="宋体" w:hAnsi="宋体" w:cs="宋体"/>
          <w:b/>
          <w:bCs/>
          <w:sz w:val="24"/>
          <w:szCs w:val="24"/>
          <w:highlight w:val="none"/>
        </w:rPr>
        <w:t>10.2 承包人的质量检查</w:t>
      </w:r>
      <w:bookmarkEnd w:id="429"/>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应严格按本合同《技术条款》的规定和监理人的指示，按照合同、设计要求及技术规范有关规定，对工程使用的材料和工程设备以及工程的所有部位及其施工工艺，进行全过程的质量检查，详细作好质量检查记录，编制工程质量报表，进行质量评定工作，定期提交监理人审查。</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承包人应为监理人进行质量检查和检验提供必要的检验资料和原始记录。监理人在质量检查和检验过程中，若需抽样试验，所需试件由承包人提供，由此发生的费用由承包人承担。</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承包人应派出具有水利质量监督部门颁发的工程质量评定员资格证的质量评定员专门负责质量评定相关工作，确保质量评定资料的真实准确，按相关规定要求填写质量评定表。</w:t>
      </w:r>
    </w:p>
    <w:p>
      <w:pPr>
        <w:wordWrap w:val="0"/>
        <w:spacing w:line="460" w:lineRule="exact"/>
        <w:outlineLvl w:val="1"/>
        <w:rPr>
          <w:rFonts w:ascii="宋体" w:hAnsi="宋体" w:cs="宋体"/>
          <w:b/>
          <w:bCs/>
          <w:sz w:val="24"/>
          <w:szCs w:val="24"/>
          <w:highlight w:val="none"/>
        </w:rPr>
      </w:pPr>
      <w:bookmarkStart w:id="430" w:name="_Toc17345"/>
      <w:r>
        <w:rPr>
          <w:rFonts w:hint="eastAsia" w:ascii="宋体" w:hAnsi="宋体" w:cs="宋体"/>
          <w:b/>
          <w:bCs/>
          <w:sz w:val="24"/>
          <w:szCs w:val="24"/>
          <w:highlight w:val="none"/>
        </w:rPr>
        <w:t>10.3 质量评定</w:t>
      </w:r>
      <w:bookmarkEnd w:id="430"/>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重要隐蔽单元工程和关键部位单元工程质量评定的约定：</w:t>
      </w:r>
      <w:r>
        <w:rPr>
          <w:rFonts w:hint="eastAsia" w:ascii="宋体" w:hAnsi="宋体" w:cs="宋体"/>
          <w:sz w:val="24"/>
          <w:szCs w:val="24"/>
          <w:highlight w:val="none"/>
          <w:u w:val="single"/>
        </w:rPr>
        <w:t>执行国家、省或行业现行的工程建设质量验收标准及规范，须达到合格标准。</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工程合格标准和优良标准：</w:t>
      </w:r>
      <w:r>
        <w:rPr>
          <w:rFonts w:hint="eastAsia" w:ascii="宋体" w:hAnsi="宋体" w:cs="宋体"/>
          <w:sz w:val="24"/>
          <w:szCs w:val="24"/>
          <w:highlight w:val="none"/>
          <w:u w:val="single"/>
        </w:rPr>
        <w:t>执行国家、省或行业现行的工程建设质量验收标准及规范，须达到合格标准。</w:t>
      </w:r>
    </w:p>
    <w:p>
      <w:pPr>
        <w:wordWrap w:val="0"/>
        <w:spacing w:line="460" w:lineRule="exact"/>
        <w:outlineLvl w:val="0"/>
        <w:rPr>
          <w:rFonts w:ascii="宋体" w:hAnsi="宋体" w:cs="宋体"/>
          <w:b/>
          <w:bCs/>
          <w:sz w:val="24"/>
          <w:szCs w:val="24"/>
          <w:highlight w:val="none"/>
        </w:rPr>
      </w:pPr>
      <w:bookmarkStart w:id="431" w:name="_Toc10901"/>
      <w:r>
        <w:rPr>
          <w:rFonts w:hint="eastAsia" w:ascii="宋体" w:hAnsi="宋体" w:cs="宋体"/>
          <w:b/>
          <w:bCs/>
          <w:sz w:val="24"/>
          <w:szCs w:val="24"/>
          <w:highlight w:val="none"/>
        </w:rPr>
        <w:t>11 试验和检验</w:t>
      </w:r>
      <w:bookmarkEnd w:id="431"/>
    </w:p>
    <w:p>
      <w:pPr>
        <w:wordWrap w:val="0"/>
        <w:spacing w:line="460" w:lineRule="exact"/>
        <w:outlineLvl w:val="1"/>
        <w:rPr>
          <w:rFonts w:ascii="宋体" w:hAnsi="宋体" w:cs="宋体"/>
          <w:b/>
          <w:bCs/>
          <w:sz w:val="24"/>
          <w:szCs w:val="24"/>
          <w:highlight w:val="none"/>
        </w:rPr>
      </w:pPr>
      <w:bookmarkStart w:id="432" w:name="_Toc8218"/>
      <w:r>
        <w:rPr>
          <w:rFonts w:hint="eastAsia" w:ascii="宋体" w:hAnsi="宋体" w:cs="宋体"/>
          <w:b/>
          <w:bCs/>
          <w:sz w:val="24"/>
          <w:szCs w:val="24"/>
          <w:highlight w:val="none"/>
        </w:rPr>
        <w:t>11.1 材料、工程设备和工程的试验和检验</w:t>
      </w:r>
      <w:bookmarkEnd w:id="432"/>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11.1.1 本工程实行见证取样的试块、试件及有关材料：按照现行相关标准规范。</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11.1.2 发包人按照规定可委托第三方检验试验单位负责本合同工程材料、桩基等检测和检验。</w:t>
      </w:r>
    </w:p>
    <w:p>
      <w:pPr>
        <w:wordWrap w:val="0"/>
        <w:spacing w:line="460" w:lineRule="exact"/>
        <w:outlineLvl w:val="1"/>
        <w:rPr>
          <w:rFonts w:ascii="宋体" w:hAnsi="宋体" w:cs="宋体"/>
          <w:b/>
          <w:bCs/>
          <w:sz w:val="24"/>
          <w:szCs w:val="24"/>
          <w:highlight w:val="none"/>
        </w:rPr>
      </w:pPr>
      <w:bookmarkStart w:id="433" w:name="_Toc8762"/>
      <w:r>
        <w:rPr>
          <w:rFonts w:hint="eastAsia" w:ascii="宋体" w:hAnsi="宋体" w:cs="宋体"/>
          <w:b/>
          <w:bCs/>
          <w:sz w:val="24"/>
          <w:szCs w:val="24"/>
          <w:highlight w:val="none"/>
        </w:rPr>
        <w:t>11.2适用于本项目设备要求</w:t>
      </w:r>
      <w:bookmarkEnd w:id="433"/>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11.2.1 交货要求：承包方应在交货时向发包方提供出厂合格证、产品质量证明文件、操作维修手册等（手册应包含设备情况、系统和主要部件常见故障、保养要求、紧急维修电话等内容）。</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（1）外观验收：设备运抵交货地点后，承包方、发包方双方根据合同约定对合同设备的包装、外观与件数进行清点检查，并共同签署合同设备外观检查记录。</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2）开箱验收：开箱检验在合同设备交付地点进行，包括但不限于对合同设备数量、规格、外观完好性进行检验。经验收合格后，发包方签发开箱检验合格证明。开箱验收合格前，设备的损坏风险由承包方承担。</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3）如双方对合同设备开箱检验有争议，应到发包方指定的第三方检测机构进行检测，第三方检测机构的检测结果对双方均具有约束力。检测费用先由承包方支付，如果检验结果为不合格，则该费用由承包方承担，如果检验结果为合格，则该费用由发包方承担。</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4）对设备外观检查与开箱检查发现的问题，如数量、规格、外表质量等与合同约定不符，设备或部件因包装、运输、装卸问题造成的任何损坏、丢失，装箱文件短缺等，承包方应在不影响发包方生产运营的前提下，在发包方规定期限内消除合同设备中存在的缺陷，用合格的新设备更换有缺陷的设备、退货或补发，并自行承担费用。</w:t>
      </w:r>
    </w:p>
    <w:p>
      <w:pPr>
        <w:wordWrap w:val="0"/>
        <w:spacing w:line="460" w:lineRule="exact"/>
        <w:outlineLvl w:val="1"/>
        <w:rPr>
          <w:rFonts w:ascii="宋体" w:hAnsi="宋体" w:cs="宋体"/>
          <w:b/>
          <w:bCs/>
          <w:sz w:val="24"/>
          <w:szCs w:val="24"/>
          <w:highlight w:val="none"/>
        </w:rPr>
      </w:pPr>
      <w:bookmarkStart w:id="434" w:name="_Toc4543"/>
      <w:r>
        <w:rPr>
          <w:rFonts w:hint="eastAsia" w:ascii="宋体" w:hAnsi="宋体" w:cs="宋体"/>
          <w:b/>
          <w:bCs/>
          <w:sz w:val="24"/>
          <w:szCs w:val="24"/>
          <w:highlight w:val="none"/>
        </w:rPr>
        <w:t>11.3 设备技术服务</w:t>
      </w:r>
      <w:bookmarkEnd w:id="434"/>
    </w:p>
    <w:p>
      <w:pPr>
        <w:wordWrap w:val="0"/>
        <w:adjustRightInd w:val="0"/>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承包方应按发包方需求，派遣技术熟练、称职的技术人员到现场为发包方提供设备调试运行等技术服务。</w:t>
      </w:r>
    </w:p>
    <w:p>
      <w:pPr>
        <w:wordWrap w:val="0"/>
        <w:adjustRightInd w:val="0"/>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11.3.1 发包方为承包方技术人员提供工作条件及便利，包括但不限于必要的办公场所、技术资料及出入许可等。除合同另有约定外，承包方技术人员的交通、食宿费用由承包方承担。</w:t>
      </w:r>
    </w:p>
    <w:p>
      <w:pPr>
        <w:wordWrap w:val="0"/>
        <w:adjustRightInd w:val="0"/>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11.3.2 承包方技术人员应遵守发包方施工现场的各项规章制度和安全操作规程，并服从发包方的现场管理。</w:t>
      </w:r>
    </w:p>
    <w:p>
      <w:pPr>
        <w:wordWrap w:val="0"/>
        <w:adjustRightInd w:val="0"/>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11.3.3 如果承包方技术人员提供的服务达不到合同和发包方要求的，发包方有权要求承包方撤换，因撤换而产生的费用应由承包方承担。在不影响技术服务并且征得发包方同意的条件下，承包方也可自负费用更换其技术人员。</w:t>
      </w:r>
    </w:p>
    <w:p>
      <w:pPr>
        <w:wordWrap w:val="0"/>
        <w:spacing w:line="460" w:lineRule="exact"/>
        <w:outlineLvl w:val="1"/>
        <w:rPr>
          <w:rFonts w:ascii="宋体" w:hAnsi="宋体" w:cs="宋体"/>
          <w:b/>
          <w:bCs/>
          <w:sz w:val="24"/>
          <w:szCs w:val="24"/>
          <w:highlight w:val="none"/>
        </w:rPr>
      </w:pPr>
      <w:bookmarkStart w:id="435" w:name="_Toc18357"/>
      <w:r>
        <w:rPr>
          <w:rFonts w:hint="eastAsia" w:ascii="宋体" w:hAnsi="宋体" w:cs="宋体"/>
          <w:b/>
          <w:bCs/>
          <w:sz w:val="24"/>
          <w:szCs w:val="24"/>
          <w:highlight w:val="none"/>
        </w:rPr>
        <w:t>11.4 设备质量保修</w:t>
      </w:r>
      <w:bookmarkEnd w:id="435"/>
    </w:p>
    <w:p>
      <w:pPr>
        <w:wordWrap w:val="0"/>
        <w:adjustRightInd w:val="0"/>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保修期：</w:t>
      </w:r>
      <w:r>
        <w:rPr>
          <w:rFonts w:hint="eastAsia" w:ascii="宋体" w:hAnsi="宋体" w:cs="宋体"/>
          <w:sz w:val="24"/>
          <w:szCs w:val="24"/>
          <w:highlight w:val="none"/>
          <w:u w:val="single"/>
        </w:rPr>
        <w:t>设备安装部分自竣工验收合格之日起2年，其他工程部分自竣工验收合格之日起1年</w:t>
      </w:r>
      <w:r>
        <w:rPr>
          <w:rFonts w:hint="eastAsia" w:ascii="宋体" w:hAnsi="宋体" w:cs="宋体"/>
          <w:sz w:val="24"/>
          <w:szCs w:val="24"/>
          <w:highlight w:val="none"/>
        </w:rPr>
        <w:t>。保修期内承包方应免费对设备进行日常维护保养及质量缺陷修复。</w:t>
      </w:r>
    </w:p>
    <w:p>
      <w:pPr>
        <w:wordWrap w:val="0"/>
        <w:adjustRightInd w:val="0"/>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保修</w:t>
      </w:r>
      <w:r>
        <w:rPr>
          <w:rFonts w:hint="eastAsia" w:ascii="宋体" w:hAnsi="宋体" w:cs="宋体"/>
          <w:sz w:val="24"/>
          <w:szCs w:val="24"/>
          <w:highlight w:val="none"/>
          <w:lang w:val="zh-CN"/>
        </w:rPr>
        <w:t>期内，</w:t>
      </w:r>
      <w:r>
        <w:rPr>
          <w:rFonts w:hint="eastAsia" w:ascii="宋体" w:hAnsi="宋体" w:cs="宋体"/>
          <w:sz w:val="24"/>
          <w:szCs w:val="24"/>
          <w:highlight w:val="none"/>
        </w:rPr>
        <w:t>承包方</w:t>
      </w:r>
      <w:r>
        <w:rPr>
          <w:rFonts w:hint="eastAsia" w:ascii="宋体" w:hAnsi="宋体" w:cs="宋体"/>
          <w:sz w:val="24"/>
          <w:szCs w:val="24"/>
          <w:highlight w:val="none"/>
          <w:lang w:val="zh-CN"/>
        </w:rPr>
        <w:t>应对本项目涉及的监测设备质量问题负责。如设备质量问题导致设备运行达不到合同要求的，</w:t>
      </w:r>
      <w:r>
        <w:rPr>
          <w:rFonts w:hint="eastAsia" w:ascii="宋体" w:hAnsi="宋体" w:cs="宋体"/>
          <w:sz w:val="24"/>
          <w:szCs w:val="24"/>
          <w:highlight w:val="none"/>
        </w:rPr>
        <w:t>承包方</w:t>
      </w:r>
      <w:r>
        <w:rPr>
          <w:rFonts w:hint="eastAsia" w:ascii="宋体" w:hAnsi="宋体" w:cs="宋体"/>
          <w:sz w:val="24"/>
          <w:szCs w:val="24"/>
          <w:highlight w:val="none"/>
          <w:lang w:val="zh-CN"/>
        </w:rPr>
        <w:t>需无条件免费更换设备，</w:t>
      </w:r>
      <w:r>
        <w:rPr>
          <w:rFonts w:hint="eastAsia" w:ascii="宋体" w:hAnsi="宋体" w:cs="宋体"/>
          <w:sz w:val="24"/>
          <w:szCs w:val="24"/>
          <w:highlight w:val="none"/>
        </w:rPr>
        <w:t>由此产生的</w:t>
      </w:r>
      <w:r>
        <w:rPr>
          <w:rFonts w:hint="eastAsia" w:ascii="宋体" w:hAnsi="宋体" w:cs="宋体"/>
          <w:sz w:val="24"/>
          <w:szCs w:val="24"/>
          <w:highlight w:val="none"/>
          <w:lang w:val="zh-CN"/>
        </w:rPr>
        <w:t>费用由承包方承担。</w:t>
      </w:r>
    </w:p>
    <w:p>
      <w:pPr>
        <w:wordWrap w:val="0"/>
        <w:spacing w:line="460" w:lineRule="exact"/>
        <w:outlineLvl w:val="0"/>
        <w:rPr>
          <w:rFonts w:ascii="宋体" w:hAnsi="宋体" w:cs="宋体"/>
          <w:b/>
          <w:bCs/>
          <w:sz w:val="24"/>
          <w:szCs w:val="24"/>
          <w:highlight w:val="none"/>
        </w:rPr>
      </w:pPr>
      <w:bookmarkStart w:id="436" w:name="_Toc9652"/>
      <w:r>
        <w:rPr>
          <w:rFonts w:hint="eastAsia" w:ascii="宋体" w:hAnsi="宋体" w:cs="宋体"/>
          <w:b/>
          <w:bCs/>
          <w:sz w:val="24"/>
          <w:szCs w:val="24"/>
          <w:highlight w:val="none"/>
        </w:rPr>
        <w:t>12 变更</w:t>
      </w:r>
      <w:bookmarkEnd w:id="436"/>
    </w:p>
    <w:p>
      <w:pPr>
        <w:wordWrap w:val="0"/>
        <w:spacing w:line="460" w:lineRule="exact"/>
        <w:outlineLvl w:val="1"/>
        <w:rPr>
          <w:rFonts w:ascii="宋体" w:hAnsi="宋体" w:cs="宋体"/>
          <w:b/>
          <w:bCs/>
          <w:sz w:val="24"/>
          <w:szCs w:val="24"/>
          <w:highlight w:val="none"/>
        </w:rPr>
      </w:pPr>
      <w:bookmarkStart w:id="437" w:name="_Toc9152"/>
      <w:r>
        <w:rPr>
          <w:rFonts w:hint="eastAsia" w:ascii="宋体" w:hAnsi="宋体" w:cs="宋体"/>
          <w:b/>
          <w:bCs/>
          <w:sz w:val="24"/>
          <w:szCs w:val="24"/>
          <w:highlight w:val="none"/>
        </w:rPr>
        <w:t>12.1 变更的范围和内容</w:t>
      </w:r>
      <w:bookmarkEnd w:id="437"/>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lang w:val="zh-CN"/>
        </w:rPr>
        <w:t>关于变更的范围的约定：</w:t>
      </w:r>
      <w:r>
        <w:rPr>
          <w:rFonts w:hint="eastAsia" w:ascii="宋体" w:hAnsi="宋体" w:cs="宋体"/>
          <w:sz w:val="24"/>
          <w:szCs w:val="24"/>
          <w:highlight w:val="none"/>
          <w:u w:val="single"/>
          <w:lang w:val="zh-CN"/>
        </w:rPr>
        <w:t>按照法律法规及相关规定执行</w:t>
      </w:r>
      <w:r>
        <w:rPr>
          <w:rFonts w:hint="eastAsia" w:ascii="宋体" w:hAnsi="宋体" w:cs="宋体"/>
          <w:sz w:val="24"/>
          <w:szCs w:val="24"/>
          <w:highlight w:val="none"/>
        </w:rPr>
        <w:t>。</w:t>
      </w:r>
    </w:p>
    <w:p>
      <w:pPr>
        <w:wordWrap w:val="0"/>
        <w:spacing w:line="460" w:lineRule="exact"/>
        <w:outlineLvl w:val="1"/>
        <w:rPr>
          <w:rFonts w:ascii="宋体" w:hAnsi="宋体" w:cs="宋体"/>
          <w:b/>
          <w:bCs/>
          <w:sz w:val="24"/>
          <w:szCs w:val="24"/>
          <w:highlight w:val="none"/>
        </w:rPr>
      </w:pPr>
      <w:bookmarkStart w:id="438" w:name="_Toc23151"/>
      <w:r>
        <w:rPr>
          <w:rFonts w:hint="eastAsia" w:ascii="宋体" w:hAnsi="宋体" w:cs="宋体"/>
          <w:b/>
          <w:bCs/>
          <w:sz w:val="24"/>
          <w:szCs w:val="24"/>
          <w:highlight w:val="none"/>
        </w:rPr>
        <w:t>12.2变更权</w:t>
      </w:r>
      <w:bookmarkEnd w:id="438"/>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12.2.1单项工程经批准增加合同规定以外的内容，工程估算投资400万人民币以上（含400万）或者单项工程合同变更追加工程款超过招标合同价10%以上（含10%）但各项合同总额不超预（概）算的，应当组织招标；但经论证不适宜招标的，按照穗财库[2009]21号和穗财库【2010】38号规定经批准后可不招标。</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12.2.2工程变更必须按照《广州市水务建设工程设计变更管理办法》（如有最新规定，以最新文件要求为准）和其他相关规定履行报批手续后方可变更。</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12.2.3工程变更还应遵循相关法律法规和政策规定以及发包人制定的设计变更管理办法。</w:t>
      </w:r>
    </w:p>
    <w:p>
      <w:pPr>
        <w:wordWrap w:val="0"/>
        <w:spacing w:line="460" w:lineRule="exact"/>
        <w:outlineLvl w:val="1"/>
        <w:rPr>
          <w:rFonts w:ascii="宋体" w:hAnsi="宋体" w:cs="宋体"/>
          <w:b/>
          <w:bCs/>
          <w:sz w:val="24"/>
          <w:szCs w:val="24"/>
          <w:highlight w:val="none"/>
        </w:rPr>
      </w:pPr>
      <w:bookmarkStart w:id="439" w:name="_Toc31000"/>
      <w:r>
        <w:rPr>
          <w:rFonts w:hint="eastAsia" w:ascii="宋体" w:hAnsi="宋体" w:cs="宋体"/>
          <w:b/>
          <w:bCs/>
          <w:sz w:val="24"/>
          <w:szCs w:val="24"/>
          <w:highlight w:val="none"/>
        </w:rPr>
        <w:t>12.3变更程序</w:t>
      </w:r>
      <w:bookmarkEnd w:id="439"/>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12.3.1变更估价</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收到变更指示后，如承包人未在规定的期限内提交变更报价书的，监理人可自行决定是否调整合同价款以及如果监理人决定调整合同价款时，相应调整的具体金额。</w:t>
      </w:r>
    </w:p>
    <w:p>
      <w:pPr>
        <w:wordWrap w:val="0"/>
        <w:spacing w:line="460" w:lineRule="exact"/>
        <w:outlineLvl w:val="1"/>
        <w:rPr>
          <w:rFonts w:ascii="宋体" w:hAnsi="宋体" w:cs="宋体"/>
          <w:b/>
          <w:bCs/>
          <w:sz w:val="24"/>
          <w:szCs w:val="24"/>
          <w:highlight w:val="none"/>
        </w:rPr>
      </w:pPr>
      <w:bookmarkStart w:id="440" w:name="_Toc5487"/>
      <w:r>
        <w:rPr>
          <w:rFonts w:hint="eastAsia" w:ascii="宋体" w:hAnsi="宋体" w:cs="宋体"/>
          <w:b/>
          <w:bCs/>
          <w:sz w:val="24"/>
          <w:szCs w:val="24"/>
          <w:highlight w:val="none"/>
        </w:rPr>
        <w:t>12.4 变更的估价原则</w:t>
      </w:r>
      <w:bookmarkEnd w:id="440"/>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合同中没有适用于变更工程项目的单价的，则根据变更工程资料、计量规范和计价办法、工程造价管理机构发布的信息（参考）价格（提交变更申请当季度），并按照中标合同总价的下浮率（即中标价相对于最高投标限价的下浮比率）核定变更项目的单价和总价，按发包人有关规定办理有关变更审价程序后调整。</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2）合同中没有适用的单价、且工程造价管理机构发布的信息(参考)价格缺价的，则根据变更工程资料、计量规则、计价办法和通过市场调查等有合法依据的市场价格，并按照中标合同总价的下浮率（即中标价相对于最高投标限价的下浮比率）核定变更项目的单价和总价，按发包人有关规定办理有关变更审价程序后调整。</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（3）合同中有适用单价的，变更项目按照中标价的下浮率核定单价和总价。</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（4）工程措施费用不作调整.</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因工程量清单漏项（仅适用于合同协议书约定采用单价合同形式时）或变更引起措施项目发生实质性变化（项目的位置与变更前项目的位置发生变化而引起的地质情况及地形地貌发生实质性改变）的，方可调整措施项目费。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wordWrap w:val="0"/>
        <w:spacing w:line="460" w:lineRule="exact"/>
        <w:outlineLvl w:val="1"/>
        <w:rPr>
          <w:rFonts w:ascii="宋体" w:hAnsi="宋体" w:cs="宋体"/>
          <w:b/>
          <w:bCs/>
          <w:sz w:val="24"/>
          <w:szCs w:val="24"/>
          <w:highlight w:val="none"/>
        </w:rPr>
      </w:pPr>
      <w:bookmarkStart w:id="441" w:name="_Toc22057"/>
      <w:r>
        <w:rPr>
          <w:rFonts w:hint="eastAsia" w:ascii="宋体" w:hAnsi="宋体" w:cs="宋体"/>
          <w:b/>
          <w:bCs/>
          <w:sz w:val="24"/>
          <w:szCs w:val="24"/>
          <w:highlight w:val="none"/>
        </w:rPr>
        <w:t>12.5 承包人的合理化建议</w:t>
      </w:r>
      <w:bookmarkEnd w:id="441"/>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15.5.2 承包人实现合理化建议的奖励金额为：</w:t>
      </w:r>
      <w:r>
        <w:rPr>
          <w:rFonts w:hint="eastAsia" w:ascii="宋体" w:hAnsi="宋体" w:cs="宋体"/>
          <w:sz w:val="24"/>
          <w:szCs w:val="24"/>
          <w:highlight w:val="none"/>
          <w:u w:val="single"/>
        </w:rPr>
        <w:t>不作奖励。</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15.6 暂列金额</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修改为”暂列金额只能按照监理人的指示且经发包人同意后使用，并对合同价格进行相应调整”。</w:t>
      </w:r>
    </w:p>
    <w:p>
      <w:pPr>
        <w:wordWrap w:val="0"/>
        <w:spacing w:line="460" w:lineRule="exact"/>
        <w:outlineLvl w:val="1"/>
        <w:rPr>
          <w:rFonts w:ascii="宋体" w:hAnsi="宋体" w:cs="宋体"/>
          <w:b/>
          <w:bCs/>
          <w:sz w:val="24"/>
          <w:szCs w:val="24"/>
          <w:highlight w:val="none"/>
        </w:rPr>
      </w:pPr>
      <w:bookmarkStart w:id="442" w:name="_Toc5804"/>
      <w:r>
        <w:rPr>
          <w:rFonts w:hint="eastAsia" w:ascii="宋体" w:hAnsi="宋体" w:cs="宋体"/>
          <w:b/>
          <w:bCs/>
          <w:sz w:val="24"/>
          <w:szCs w:val="24"/>
          <w:highlight w:val="none"/>
        </w:rPr>
        <w:t>12.6 计日工</w:t>
      </w:r>
      <w:bookmarkEnd w:id="442"/>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本款不采用</w:t>
      </w:r>
    </w:p>
    <w:p>
      <w:pPr>
        <w:wordWrap w:val="0"/>
        <w:spacing w:line="460" w:lineRule="exact"/>
        <w:outlineLvl w:val="1"/>
        <w:rPr>
          <w:rFonts w:ascii="宋体" w:hAnsi="宋体" w:cs="宋体"/>
          <w:b/>
          <w:bCs/>
          <w:sz w:val="24"/>
          <w:szCs w:val="24"/>
          <w:highlight w:val="none"/>
        </w:rPr>
      </w:pPr>
      <w:bookmarkStart w:id="443" w:name="_Toc16709"/>
      <w:r>
        <w:rPr>
          <w:rFonts w:hint="eastAsia" w:ascii="宋体" w:hAnsi="宋体" w:cs="宋体"/>
          <w:b/>
          <w:bCs/>
          <w:sz w:val="24"/>
          <w:szCs w:val="24"/>
          <w:highlight w:val="none"/>
        </w:rPr>
        <w:t>12.7暂估价</w:t>
      </w:r>
      <w:bookmarkEnd w:id="443"/>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本款不采用。</w:t>
      </w:r>
    </w:p>
    <w:p>
      <w:pPr>
        <w:wordWrap w:val="0"/>
        <w:spacing w:line="460" w:lineRule="exact"/>
        <w:outlineLvl w:val="0"/>
        <w:rPr>
          <w:rFonts w:ascii="宋体" w:hAnsi="宋体" w:cs="宋体"/>
          <w:b/>
          <w:bCs/>
          <w:sz w:val="24"/>
          <w:szCs w:val="24"/>
          <w:highlight w:val="none"/>
        </w:rPr>
      </w:pPr>
      <w:bookmarkStart w:id="444" w:name="_Toc24707"/>
      <w:r>
        <w:rPr>
          <w:rFonts w:hint="eastAsia" w:ascii="宋体" w:hAnsi="宋体" w:cs="宋体"/>
          <w:b/>
          <w:bCs/>
          <w:sz w:val="24"/>
          <w:szCs w:val="24"/>
          <w:highlight w:val="none"/>
        </w:rPr>
        <w:t>13 价格调整</w:t>
      </w:r>
      <w:bookmarkEnd w:id="444"/>
    </w:p>
    <w:p>
      <w:pPr>
        <w:wordWrap w:val="0"/>
        <w:spacing w:line="460" w:lineRule="exact"/>
        <w:outlineLvl w:val="1"/>
        <w:rPr>
          <w:rFonts w:ascii="宋体" w:hAnsi="宋体" w:cs="宋体"/>
          <w:b/>
          <w:bCs/>
          <w:sz w:val="24"/>
          <w:szCs w:val="24"/>
          <w:highlight w:val="none"/>
        </w:rPr>
      </w:pPr>
      <w:bookmarkStart w:id="445" w:name="_Toc15194"/>
      <w:r>
        <w:rPr>
          <w:rFonts w:hint="eastAsia" w:ascii="宋体" w:hAnsi="宋体" w:cs="宋体"/>
          <w:b/>
          <w:bCs/>
          <w:sz w:val="24"/>
          <w:szCs w:val="24"/>
          <w:highlight w:val="none"/>
        </w:rPr>
        <w:t>13.1 物价波动引起的价格调整</w:t>
      </w:r>
      <w:bookmarkEnd w:id="445"/>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本款不采用</w:t>
      </w:r>
    </w:p>
    <w:p>
      <w:pPr>
        <w:wordWrap w:val="0"/>
        <w:spacing w:line="460" w:lineRule="exact"/>
        <w:outlineLvl w:val="0"/>
        <w:rPr>
          <w:rFonts w:ascii="宋体" w:hAnsi="宋体" w:cs="宋体"/>
          <w:b/>
          <w:bCs/>
          <w:sz w:val="24"/>
          <w:szCs w:val="24"/>
          <w:highlight w:val="none"/>
        </w:rPr>
      </w:pPr>
      <w:bookmarkStart w:id="446" w:name="_Toc13"/>
      <w:r>
        <w:rPr>
          <w:rFonts w:hint="eastAsia" w:ascii="宋体" w:hAnsi="宋体" w:cs="宋体"/>
          <w:b/>
          <w:bCs/>
          <w:sz w:val="24"/>
          <w:szCs w:val="24"/>
          <w:highlight w:val="none"/>
        </w:rPr>
        <w:t>14 合同价格与支付</w:t>
      </w:r>
      <w:bookmarkEnd w:id="446"/>
    </w:p>
    <w:p>
      <w:pPr>
        <w:wordWrap w:val="0"/>
        <w:spacing w:line="460" w:lineRule="exact"/>
        <w:outlineLvl w:val="1"/>
        <w:rPr>
          <w:rFonts w:ascii="宋体" w:hAnsi="宋体" w:cs="宋体"/>
          <w:b/>
          <w:bCs/>
          <w:sz w:val="24"/>
          <w:szCs w:val="24"/>
          <w:highlight w:val="none"/>
        </w:rPr>
      </w:pPr>
      <w:bookmarkStart w:id="447" w:name="_Toc30080"/>
      <w:r>
        <w:rPr>
          <w:rFonts w:hint="eastAsia" w:ascii="宋体" w:hAnsi="宋体" w:cs="宋体"/>
          <w:b/>
          <w:bCs/>
          <w:sz w:val="24"/>
          <w:szCs w:val="24"/>
          <w:highlight w:val="none"/>
        </w:rPr>
        <w:t>14.1 预付款</w:t>
      </w:r>
      <w:bookmarkEnd w:id="447"/>
    </w:p>
    <w:p>
      <w:pPr>
        <w:wordWrap w:val="0"/>
        <w:autoSpaceDE w:val="0"/>
        <w:autoSpaceDN w:val="0"/>
        <w:adjustRightInd w:val="0"/>
        <w:spacing w:line="360" w:lineRule="auto"/>
        <w:ind w:firstLine="422" w:firstLineChars="176"/>
        <w:jc w:val="left"/>
        <w:rPr>
          <w:rFonts w:ascii="宋体" w:hAnsi="宋体" w:cs="宋体"/>
          <w:sz w:val="24"/>
          <w:szCs w:val="24"/>
          <w:highlight w:val="none"/>
        </w:rPr>
      </w:pPr>
      <w:r>
        <w:rPr>
          <w:rFonts w:hint="eastAsia" w:ascii="宋体" w:hAnsi="宋体" w:cs="宋体"/>
          <w:sz w:val="24"/>
          <w:szCs w:val="24"/>
          <w:highlight w:val="none"/>
        </w:rPr>
        <w:t>14.1.1 预付款：</w:t>
      </w:r>
    </w:p>
    <w:p>
      <w:pPr>
        <w:wordWrap w:val="0"/>
        <w:spacing w:line="360" w:lineRule="auto"/>
        <w:ind w:firstLine="480" w:firstLineChars="200"/>
        <w:rPr>
          <w:rFonts w:ascii="宋体" w:hAnsi="宋体" w:cs="宋体"/>
          <w:b w:val="0"/>
          <w:kern w:val="0"/>
          <w:sz w:val="24"/>
          <w:szCs w:val="24"/>
          <w:highlight w:val="none"/>
        </w:rPr>
      </w:pPr>
      <w:r>
        <w:rPr>
          <w:rFonts w:hint="eastAsia" w:ascii="宋体" w:hAnsi="宋体" w:cs="宋体"/>
          <w:sz w:val="24"/>
          <w:szCs w:val="24"/>
          <w:highlight w:val="none"/>
        </w:rPr>
        <w:t>（1）</w:t>
      </w:r>
      <w:r>
        <w:rPr>
          <w:rFonts w:hint="eastAsia" w:ascii="宋体" w:hAnsi="宋体" w:cs="宋体"/>
          <w:b w:val="0"/>
          <w:bCs w:val="0"/>
          <w:sz w:val="24"/>
          <w:szCs w:val="24"/>
          <w:highlight w:val="none"/>
        </w:rPr>
        <w:t>工程预付款的总金额为合同价的</w:t>
      </w:r>
      <w:r>
        <w:rPr>
          <w:rFonts w:hint="eastAsia" w:ascii="宋体" w:hAnsi="宋体" w:cs="宋体"/>
          <w:b w:val="0"/>
          <w:bCs w:val="0"/>
          <w:sz w:val="24"/>
          <w:szCs w:val="24"/>
          <w:highlight w:val="none"/>
          <w:u w:val="single"/>
          <w:lang w:val="en-US" w:eastAsia="zh-CN"/>
        </w:rPr>
        <w:t>30</w:t>
      </w:r>
      <w:r>
        <w:rPr>
          <w:rFonts w:hint="eastAsia" w:ascii="宋体" w:hAnsi="宋体" w:cs="宋体"/>
          <w:b w:val="0"/>
          <w:bCs w:val="0"/>
          <w:sz w:val="24"/>
          <w:szCs w:val="24"/>
          <w:highlight w:val="none"/>
        </w:rPr>
        <w:t>%</w:t>
      </w:r>
      <w:r>
        <w:rPr>
          <w:rFonts w:hint="eastAsia" w:ascii="宋体" w:hAnsi="宋体"/>
          <w:b w:val="0"/>
          <w:kern w:val="0"/>
          <w:sz w:val="24"/>
          <w:highlight w:val="none"/>
        </w:rPr>
        <w:t>，金额为￥</w:t>
      </w:r>
      <w:r>
        <w:rPr>
          <w:rFonts w:hint="eastAsia" w:ascii="宋体" w:hAnsi="宋体"/>
          <w:b w:val="0"/>
          <w:kern w:val="0"/>
          <w:sz w:val="24"/>
          <w:highlight w:val="none"/>
          <w:u w:val="single"/>
        </w:rPr>
        <w:t xml:space="preserve">       </w:t>
      </w:r>
      <w:r>
        <w:rPr>
          <w:rFonts w:hint="eastAsia" w:ascii="宋体" w:hAnsi="宋体"/>
          <w:b w:val="0"/>
          <w:kern w:val="0"/>
          <w:sz w:val="24"/>
          <w:highlight w:val="none"/>
        </w:rPr>
        <w:t>元。(</w:t>
      </w:r>
      <w:r>
        <w:rPr>
          <w:rFonts w:ascii="宋体" w:hAnsi="宋体" w:cs="宋体"/>
          <w:b w:val="0"/>
          <w:kern w:val="0"/>
          <w:sz w:val="24"/>
          <w:szCs w:val="24"/>
          <w:highlight w:val="none"/>
        </w:rPr>
        <w:t>具体视财政资金到账情况进行支付</w:t>
      </w:r>
      <w:r>
        <w:rPr>
          <w:rFonts w:hint="eastAsia" w:ascii="宋体" w:hAnsi="宋体" w:cs="宋体"/>
          <w:b w:val="0"/>
          <w:kern w:val="0"/>
          <w:sz w:val="24"/>
          <w:szCs w:val="24"/>
          <w:highlight w:val="none"/>
        </w:rPr>
        <w:t>)</w:t>
      </w:r>
    </w:p>
    <w:p>
      <w:pPr>
        <w:wordWrap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发包人</w:t>
      </w:r>
      <w:r>
        <w:rPr>
          <w:rFonts w:hint="eastAsia" w:ascii="宋体" w:hAnsi="宋体" w:cs="宋体"/>
          <w:sz w:val="24"/>
          <w:szCs w:val="24"/>
          <w:highlight w:val="none"/>
          <w:lang w:val="en-US" w:eastAsia="zh-CN"/>
        </w:rPr>
        <w:t>收到履约保函后</w:t>
      </w:r>
      <w:r>
        <w:rPr>
          <w:rFonts w:hint="eastAsia" w:ascii="宋体" w:hAnsi="宋体" w:cs="宋体"/>
          <w:sz w:val="24"/>
          <w:szCs w:val="24"/>
          <w:highlight w:val="none"/>
        </w:rPr>
        <w:t>，经监理人同意并报送发包人批准后予以支付</w:t>
      </w:r>
      <w:r>
        <w:rPr>
          <w:rFonts w:hint="eastAsia" w:ascii="宋体" w:hAnsi="宋体" w:cs="宋体"/>
          <w:sz w:val="24"/>
          <w:szCs w:val="24"/>
          <w:highlight w:val="none"/>
          <w:lang w:val="en-US" w:eastAsia="zh-CN"/>
        </w:rPr>
        <w:t>预付款</w:t>
      </w:r>
      <w:r>
        <w:rPr>
          <w:rFonts w:hint="eastAsia" w:ascii="宋体" w:hAnsi="宋体" w:cs="宋体"/>
          <w:sz w:val="24"/>
          <w:szCs w:val="24"/>
          <w:highlight w:val="none"/>
        </w:rPr>
        <w:t>。</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工程预付款全额抵扣后再支付进度款</w:t>
      </w:r>
      <w:r>
        <w:rPr>
          <w:rFonts w:hint="eastAsia" w:ascii="宋体" w:hAnsi="宋体" w:cs="宋体"/>
          <w:sz w:val="24"/>
          <w:szCs w:val="24"/>
          <w:highlight w:val="none"/>
        </w:rPr>
        <w:t>。</w:t>
      </w:r>
    </w:p>
    <w:p>
      <w:pPr>
        <w:wordWrap w:val="0"/>
        <w:spacing w:line="460" w:lineRule="exact"/>
        <w:outlineLvl w:val="1"/>
        <w:rPr>
          <w:rFonts w:ascii="宋体" w:hAnsi="宋体" w:cs="宋体"/>
          <w:b/>
          <w:bCs/>
          <w:color w:val="0000FF"/>
          <w:sz w:val="24"/>
          <w:szCs w:val="24"/>
          <w:highlight w:val="none"/>
        </w:rPr>
      </w:pPr>
      <w:bookmarkStart w:id="448" w:name="_Toc16628"/>
    </w:p>
    <w:p>
      <w:pPr>
        <w:wordWrap w:val="0"/>
        <w:spacing w:line="460" w:lineRule="exact"/>
        <w:outlineLvl w:val="1"/>
        <w:rPr>
          <w:rFonts w:ascii="宋体" w:hAnsi="宋体" w:cs="宋体"/>
          <w:b/>
          <w:bCs/>
          <w:sz w:val="24"/>
          <w:szCs w:val="24"/>
          <w:highlight w:val="none"/>
        </w:rPr>
      </w:pPr>
      <w:r>
        <w:rPr>
          <w:rFonts w:hint="eastAsia" w:ascii="宋体" w:hAnsi="宋体" w:cs="宋体"/>
          <w:b/>
          <w:bCs/>
          <w:sz w:val="24"/>
          <w:szCs w:val="24"/>
          <w:highlight w:val="none"/>
        </w:rPr>
        <w:t>14.2 工程进度付款</w:t>
      </w:r>
      <w:bookmarkEnd w:id="448"/>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14.2.1 进度付款申请单</w:t>
      </w:r>
    </w:p>
    <w:p>
      <w:pPr>
        <w:wordWrap w:val="0"/>
        <w:autoSpaceDE/>
        <w:autoSpaceDN/>
        <w:adjustRightInd/>
        <w:spacing w:line="480" w:lineRule="exact"/>
        <w:ind w:firstLine="480" w:firstLineChars="200"/>
        <w:jc w:val="left"/>
        <w:rPr>
          <w:rFonts w:hint="eastAsia" w:ascii="宋体" w:hAnsi="宋体" w:cs="宋体"/>
          <w:kern w:val="2"/>
          <w:sz w:val="24"/>
          <w:szCs w:val="24"/>
          <w:highlight w:val="none"/>
          <w:u w:val="single"/>
        </w:rPr>
      </w:pPr>
      <w:r>
        <w:rPr>
          <w:rFonts w:hint="eastAsia" w:ascii="宋体" w:hAnsi="宋体" w:cs="宋体"/>
          <w:kern w:val="2"/>
          <w:sz w:val="24"/>
          <w:szCs w:val="24"/>
          <w:highlight w:val="none"/>
          <w:u w:val="single"/>
        </w:rPr>
        <w:t>（1）进度款按照当月（当期）实际完成工程量折算的工程价款的80%（扣除违约金、赔偿金和工程预付款扣回金额）支付</w:t>
      </w:r>
      <w:r>
        <w:rPr>
          <w:rFonts w:hint="eastAsia" w:ascii="宋体" w:hAnsi="宋体" w:cs="宋体"/>
          <w:kern w:val="2"/>
          <w:sz w:val="24"/>
          <w:szCs w:val="24"/>
          <w:highlight w:val="none"/>
          <w:u w:val="single"/>
          <w:lang w:eastAsia="zh-CN"/>
        </w:rPr>
        <w:t>。</w:t>
      </w:r>
      <w:r>
        <w:rPr>
          <w:rFonts w:hint="eastAsia" w:ascii="宋体" w:hAnsi="宋体" w:cs="宋体"/>
          <w:kern w:val="2"/>
          <w:sz w:val="24"/>
          <w:szCs w:val="24"/>
          <w:highlight w:val="none"/>
          <w:u w:val="single"/>
        </w:rPr>
        <w:t>承包人按当月（当期）工程进度向监理工程师提交由承包人代表签署并盖章的已完工程款额的计量和支付申请。工程款进度款申请报告的格式按项目监理单位和建设单位的要求制作。监理工程师收到计量支付申请 3天内核实工程量。</w:t>
      </w:r>
    </w:p>
    <w:p>
      <w:pPr>
        <w:wordWrap w:val="0"/>
        <w:autoSpaceDE/>
        <w:autoSpaceDN/>
        <w:adjustRightInd/>
        <w:spacing w:line="480" w:lineRule="exact"/>
        <w:ind w:firstLine="480" w:firstLineChars="200"/>
        <w:rPr>
          <w:rFonts w:hint="eastAsia" w:ascii="宋体" w:hAnsi="宋体" w:cs="宋体"/>
          <w:i w:val="0"/>
          <w:kern w:val="2"/>
          <w:sz w:val="24"/>
          <w:szCs w:val="24"/>
          <w:highlight w:val="none"/>
          <w:u w:val="single"/>
        </w:rPr>
      </w:pPr>
      <w:r>
        <w:rPr>
          <w:rFonts w:hint="eastAsia" w:ascii="宋体" w:hAnsi="宋体" w:cs="宋体"/>
          <w:kern w:val="2"/>
          <w:sz w:val="24"/>
          <w:szCs w:val="24"/>
          <w:highlight w:val="none"/>
          <w:u w:val="single"/>
        </w:rPr>
        <w:t>（2）承包人的计量支付申请经监理单位和建设管理单位审核确认后，发包人按照《建设系统关于贯彻市政府〈广州市本级基本建设项目财政性资金集中支付实施办法〉的通知》（穗城[2001]183号文）（如有最新规定，以最新文件要求为准）中集中支付资金操作程序的有关规定办理支付</w:t>
      </w:r>
      <w:r>
        <w:rPr>
          <w:rFonts w:hint="eastAsia" w:ascii="宋体" w:hAnsi="宋体" w:cs="宋体"/>
          <w:kern w:val="0"/>
          <w:sz w:val="24"/>
          <w:szCs w:val="24"/>
          <w:highlight w:val="none"/>
          <w:u w:val="single"/>
        </w:rPr>
        <w:t>。</w:t>
      </w:r>
    </w:p>
    <w:p>
      <w:pPr>
        <w:wordWrap w:val="0"/>
        <w:autoSpaceDE/>
        <w:autoSpaceDN/>
        <w:adjustRightInd/>
        <w:spacing w:line="480" w:lineRule="exact"/>
        <w:ind w:firstLine="480" w:firstLineChars="200"/>
        <w:jc w:val="left"/>
        <w:rPr>
          <w:rFonts w:ascii="宋体" w:hAnsi="宋体" w:cs="宋体"/>
          <w:kern w:val="0"/>
          <w:sz w:val="24"/>
          <w:szCs w:val="24"/>
          <w:highlight w:val="none"/>
          <w:u w:val="single"/>
        </w:rPr>
      </w:pPr>
      <w:r>
        <w:rPr>
          <w:rFonts w:hint="eastAsia" w:ascii="宋体" w:hAnsi="宋体" w:cs="宋体"/>
          <w:kern w:val="2"/>
          <w:sz w:val="24"/>
          <w:szCs w:val="24"/>
          <w:highlight w:val="none"/>
          <w:u w:val="single"/>
        </w:rPr>
        <w:t>（3）措施项目费按实际发生计量支付，但总额不超过投标时的措施项目费</w:t>
      </w:r>
      <w:r>
        <w:rPr>
          <w:rFonts w:hint="eastAsia" w:ascii="宋体" w:hAnsi="宋体" w:cs="宋体"/>
          <w:kern w:val="0"/>
          <w:sz w:val="24"/>
          <w:szCs w:val="24"/>
          <w:highlight w:val="none"/>
          <w:u w:val="single"/>
        </w:rPr>
        <w:t>。</w:t>
      </w:r>
    </w:p>
    <w:p>
      <w:pPr>
        <w:wordWrap w:val="0"/>
        <w:autoSpaceDE/>
        <w:autoSpaceDN/>
        <w:adjustRightInd/>
        <w:spacing w:line="480" w:lineRule="exact"/>
        <w:ind w:firstLine="480" w:firstLineChars="200"/>
        <w:jc w:val="left"/>
        <w:rPr>
          <w:rFonts w:hint="eastAsia" w:ascii="宋体" w:hAnsi="宋体" w:cs="宋体"/>
          <w:kern w:val="2"/>
          <w:sz w:val="24"/>
          <w:szCs w:val="24"/>
          <w:highlight w:val="none"/>
          <w:u w:val="single"/>
        </w:rPr>
      </w:pPr>
      <w:r>
        <w:rPr>
          <w:rFonts w:hint="eastAsia" w:ascii="宋体" w:hAnsi="宋体" w:cs="宋体"/>
          <w:kern w:val="2"/>
          <w:sz w:val="24"/>
          <w:szCs w:val="24"/>
          <w:highlight w:val="none"/>
          <w:u w:val="single"/>
        </w:rPr>
        <w:t>（4）工程开工支付合同价的</w:t>
      </w:r>
      <w:r>
        <w:rPr>
          <w:rFonts w:hint="eastAsia" w:ascii="宋体" w:hAnsi="宋体" w:cs="宋体"/>
          <w:kern w:val="2"/>
          <w:sz w:val="24"/>
          <w:szCs w:val="24"/>
          <w:highlight w:val="none"/>
          <w:u w:val="single"/>
          <w:lang w:val="en-US" w:eastAsia="zh-CN"/>
        </w:rPr>
        <w:t>30</w:t>
      </w:r>
      <w:r>
        <w:rPr>
          <w:rFonts w:hint="eastAsia" w:ascii="宋体" w:hAnsi="宋体" w:cs="宋体"/>
          <w:kern w:val="2"/>
          <w:sz w:val="24"/>
          <w:szCs w:val="24"/>
          <w:highlight w:val="none"/>
          <w:u w:val="single"/>
        </w:rPr>
        <w:t>%为工程预付款，累计支付工程进度款不超过已完工作量的75％</w:t>
      </w:r>
      <w:r>
        <w:rPr>
          <w:rFonts w:hint="eastAsia" w:ascii="宋体" w:hAnsi="宋体" w:cs="宋体"/>
          <w:kern w:val="0"/>
          <w:sz w:val="24"/>
          <w:szCs w:val="24"/>
          <w:highlight w:val="none"/>
          <w:u w:val="single"/>
        </w:rPr>
        <w:t>。</w:t>
      </w:r>
    </w:p>
    <w:p>
      <w:pPr>
        <w:wordWrap w:val="0"/>
        <w:spacing w:line="480" w:lineRule="exact"/>
        <w:ind w:firstLine="480" w:firstLineChars="200"/>
        <w:rPr>
          <w:rFonts w:hint="eastAsia" w:ascii="宋体" w:hAnsi="宋体" w:cs="宋体"/>
          <w:sz w:val="24"/>
          <w:szCs w:val="24"/>
          <w:highlight w:val="none"/>
          <w:u w:val="single"/>
        </w:rPr>
      </w:pPr>
      <w:r>
        <w:rPr>
          <w:rFonts w:hint="eastAsia" w:ascii="宋体" w:hAnsi="宋体" w:cs="宋体"/>
          <w:kern w:val="2"/>
          <w:sz w:val="24"/>
          <w:szCs w:val="24"/>
          <w:highlight w:val="none"/>
          <w:u w:val="single"/>
        </w:rPr>
        <w:t>（5）</w:t>
      </w:r>
      <w:r>
        <w:rPr>
          <w:rFonts w:hint="eastAsia" w:ascii="宋体" w:hAnsi="宋体" w:cs="宋体"/>
          <w:sz w:val="24"/>
          <w:szCs w:val="24"/>
          <w:highlight w:val="none"/>
          <w:u w:val="single"/>
        </w:rPr>
        <w:t>工程完工后，进度款支付至合同总价款的75%；工程竣工验收合格后，支付至合同总价款的80%；工程结算经财政部门审定后，支付至结算总价款的97%；剩下3%的工程质量保证金在工程缺陷责任期期满后支付</w:t>
      </w:r>
      <w:r>
        <w:rPr>
          <w:rFonts w:hint="eastAsia" w:ascii="宋体" w:hAnsi="宋体" w:cs="宋体"/>
          <w:sz w:val="24"/>
          <w:szCs w:val="24"/>
          <w:highlight w:val="none"/>
        </w:rPr>
        <w:t>或承包人应按要求向发包人提交合同结算定审金额的3%的质保期银行履约保函（保函期限等同于工程质保期），发包人应在收到质保期银行履约保函原件以及承包人的款项申请手续，扣除应扣款项且缺陷责任期届满后14天内将工程质量保证金（本合同结算定审金额的3%）无息支付给承包人或向发包人申请退还质保期银行履约保函。结清工程尾款不豁免承包人继续按照本合同（含合同附件）约定应承担的保修责任</w:t>
      </w:r>
      <w:r>
        <w:rPr>
          <w:rFonts w:hint="eastAsia" w:ascii="宋体" w:hAnsi="宋体" w:cs="宋体"/>
          <w:sz w:val="24"/>
          <w:szCs w:val="24"/>
          <w:highlight w:val="none"/>
          <w:u w:val="single"/>
        </w:rPr>
        <w:t>。</w:t>
      </w:r>
    </w:p>
    <w:p>
      <w:pPr>
        <w:wordWrap w:val="0"/>
        <w:autoSpaceDE/>
        <w:autoSpaceDN/>
        <w:adjustRightInd/>
        <w:spacing w:line="480" w:lineRule="exact"/>
        <w:ind w:firstLine="480" w:firstLineChars="200"/>
        <w:jc w:val="left"/>
        <w:rPr>
          <w:rFonts w:hint="eastAsia" w:ascii="宋体" w:hAnsi="宋体" w:cs="宋体"/>
          <w:sz w:val="24"/>
          <w:szCs w:val="24"/>
          <w:highlight w:val="none"/>
          <w:u w:val="single"/>
        </w:rPr>
      </w:pPr>
      <w:r>
        <w:rPr>
          <w:rFonts w:hint="eastAsia" w:ascii="宋体" w:hAnsi="宋体" w:cs="宋体"/>
          <w:sz w:val="24"/>
          <w:szCs w:val="24"/>
          <w:highlight w:val="none"/>
          <w:u w:val="single"/>
        </w:rPr>
        <w:t>（6）</w:t>
      </w:r>
      <w:r>
        <w:rPr>
          <w:rFonts w:hint="eastAsia" w:ascii="宋体" w:hAnsi="宋体" w:cs="宋体"/>
          <w:kern w:val="2"/>
          <w:sz w:val="24"/>
          <w:szCs w:val="24"/>
          <w:highlight w:val="none"/>
          <w:u w:val="single"/>
        </w:rPr>
        <w:t>以上各项资金支付以当年财政资金下达数为准。</w:t>
      </w:r>
    </w:p>
    <w:p>
      <w:pPr>
        <w:wordWrap w:val="0"/>
        <w:spacing w:line="480" w:lineRule="exact"/>
        <w:outlineLvl w:val="1"/>
        <w:rPr>
          <w:rFonts w:ascii="宋体" w:hAnsi="宋体" w:cs="宋体"/>
          <w:b/>
          <w:bCs/>
          <w:sz w:val="24"/>
          <w:szCs w:val="24"/>
          <w:highlight w:val="none"/>
        </w:rPr>
      </w:pPr>
      <w:bookmarkStart w:id="449" w:name="_Toc14299"/>
      <w:r>
        <w:rPr>
          <w:rFonts w:hint="eastAsia" w:ascii="宋体" w:hAnsi="宋体" w:cs="宋体"/>
          <w:b/>
          <w:bCs/>
          <w:sz w:val="24"/>
          <w:szCs w:val="24"/>
          <w:highlight w:val="none"/>
        </w:rPr>
        <w:t>14.3 质量保证金</w:t>
      </w:r>
      <w:bookmarkEnd w:id="449"/>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14.3.1 在工程结算未通过财政部门审定前，扣留于发包人处的质量保证金总额应不少于合同价格的3%或承包人应按要求向发包人提交合同结算定审金额的3%的质保期银行履约保函（保函期限等同于工程质保期），否则发包人有权不予支付。</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14.3.2当承包人提供的履约保函不足以承担因承包人违约所造成的后果，发包人可对扣留于发包人处的质量保证金进行处置，以保证工程实施，对此承包人不得提出异议。</w:t>
      </w:r>
    </w:p>
    <w:p>
      <w:pPr>
        <w:wordWrap w:val="0"/>
        <w:spacing w:line="480" w:lineRule="exact"/>
        <w:outlineLvl w:val="1"/>
        <w:rPr>
          <w:rFonts w:ascii="宋体" w:hAnsi="宋体" w:cs="宋体"/>
          <w:b/>
          <w:bCs/>
          <w:sz w:val="24"/>
          <w:szCs w:val="24"/>
          <w:highlight w:val="none"/>
        </w:rPr>
      </w:pPr>
      <w:bookmarkStart w:id="450" w:name="_Toc29009"/>
      <w:r>
        <w:rPr>
          <w:rFonts w:hint="eastAsia" w:ascii="宋体" w:hAnsi="宋体" w:cs="宋体"/>
          <w:b/>
          <w:bCs/>
          <w:sz w:val="24"/>
          <w:szCs w:val="24"/>
          <w:highlight w:val="none"/>
        </w:rPr>
        <w:t>14.4竣工（完工）结算</w:t>
      </w:r>
      <w:bookmarkEnd w:id="450"/>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14.4.1 承包人提交完工结算书的份数：</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rPr>
        <w:t>份</w:t>
      </w:r>
      <w:r>
        <w:rPr>
          <w:rFonts w:hint="eastAsia" w:ascii="宋体" w:hAnsi="宋体" w:cs="宋体"/>
          <w:sz w:val="24"/>
          <w:szCs w:val="24"/>
          <w:highlight w:val="none"/>
        </w:rPr>
        <w:t>。</w:t>
      </w:r>
    </w:p>
    <w:p>
      <w:pPr>
        <w:wordWrap w:val="0"/>
        <w:spacing w:line="480" w:lineRule="exact"/>
        <w:ind w:firstLine="480" w:firstLineChars="200"/>
        <w:rPr>
          <w:rFonts w:ascii="宋体" w:hAnsi="宋体" w:cs="宋体"/>
          <w:color w:val="FF0000"/>
          <w:sz w:val="24"/>
          <w:szCs w:val="24"/>
          <w:highlight w:val="none"/>
        </w:rPr>
      </w:pPr>
      <w:r>
        <w:rPr>
          <w:rFonts w:hint="eastAsia" w:ascii="宋体" w:hAnsi="宋体" w:cs="宋体"/>
          <w:sz w:val="24"/>
          <w:szCs w:val="24"/>
          <w:highlight w:val="none"/>
        </w:rPr>
        <w:t>承包人提交完工结算书的期限：</w:t>
      </w:r>
      <w:r>
        <w:rPr>
          <w:rFonts w:hint="eastAsia" w:ascii="宋体" w:hAnsi="宋体" w:cs="宋体"/>
          <w:sz w:val="24"/>
          <w:szCs w:val="24"/>
          <w:highlight w:val="none"/>
          <w:u w:val="single"/>
        </w:rPr>
        <w:t>颁发（出具）工程完工证书后90天内</w:t>
      </w:r>
      <w:r>
        <w:rPr>
          <w:rFonts w:hint="eastAsia" w:ascii="宋体" w:hAnsi="宋体" w:cs="宋体"/>
          <w:sz w:val="24"/>
          <w:szCs w:val="24"/>
          <w:highlight w:val="none"/>
        </w:rPr>
        <w:t>。</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完工结算书的编制要求：</w:t>
      </w:r>
      <w:r>
        <w:rPr>
          <w:rFonts w:hint="eastAsia" w:ascii="宋体" w:hAnsi="宋体" w:cs="宋体"/>
          <w:sz w:val="24"/>
          <w:szCs w:val="24"/>
          <w:highlight w:val="none"/>
          <w:u w:val="single"/>
        </w:rPr>
        <w:t>符合广州市财政投资评审项目送审资料要求</w:t>
      </w:r>
      <w:r>
        <w:rPr>
          <w:rFonts w:hint="eastAsia" w:ascii="宋体" w:hAnsi="宋体" w:cs="宋体"/>
          <w:sz w:val="24"/>
          <w:szCs w:val="24"/>
          <w:highlight w:val="none"/>
        </w:rPr>
        <w:t>。</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未按本项约定的期限和内容提交完工结算书，经监理人催促后15天内仍未提交或者没有明确答复的，监理人和发包人有权根据已有资料进行审查，审查确定的竣工结算合同总价视同是经承包人认可的工程竣工结算合同总价,该结算总价作为送财政审定的结算合同总价。</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14.4.2 完工付款证书及支付时间</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完工付款涉及政府投资资金的，按照国库集中支付等国家相关规定以及部门预算资金计划安排进行办理。如果是因为国库安排或者财政资金安排的原因不能按时支付，发包方不承担违约责任。</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14.4.3本工程为总价承包合同，承包人所取得的全部报酬包括以下各项累计之和：</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1）投标人投标总报价；</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2）符合合同条款第12条有关变更规定所引起的各类费用增减；</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3）招标文件规定的各类违约金扣除。</w:t>
      </w:r>
    </w:p>
    <w:p>
      <w:pPr>
        <w:wordWrap w:val="0"/>
        <w:spacing w:line="480" w:lineRule="exact"/>
        <w:outlineLvl w:val="1"/>
        <w:rPr>
          <w:rFonts w:ascii="宋体" w:hAnsi="宋体" w:cs="宋体"/>
          <w:b/>
          <w:bCs/>
          <w:sz w:val="24"/>
          <w:szCs w:val="24"/>
          <w:highlight w:val="none"/>
        </w:rPr>
      </w:pPr>
      <w:bookmarkStart w:id="451" w:name="_Toc11424"/>
      <w:r>
        <w:rPr>
          <w:rFonts w:hint="eastAsia" w:ascii="宋体" w:hAnsi="宋体" w:cs="宋体"/>
          <w:b/>
          <w:bCs/>
          <w:sz w:val="24"/>
          <w:szCs w:val="24"/>
          <w:highlight w:val="none"/>
        </w:rPr>
        <w:t>14.5 最终结清</w:t>
      </w:r>
      <w:bookmarkEnd w:id="451"/>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对属于《广州市财政投资评审管理试行办法》(穗府办[2013]43号)（如有最新规定，以最新文件要求为准）评审范围的财政性资金投资项目，财政投资评审结果作为该项目价款结算的依据；对纳入年度审计项目计划的政府投资项目，审计机关出具的审计结果作为该政府投资项目价款结算的依据。</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14.5.1最终结清申请单</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（1）承包人在收到按第16款规定颁发的保修责任终止证书后的15天内，按监理人批准的格式向监理人提交一份最终付款申请单（一式4份），该申请单应包括以下内容，并附有关的证明文件。</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 按合同规定已经完成的全部工程价款金额；</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2) 按合同规定应付给承包人的追加金额；</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3) 承包人认为应付给他的其它金额。</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4) 完工报告</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5) 财政评审结算的批复</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6) 发包人要求的其他资料</w:t>
      </w:r>
    </w:p>
    <w:p>
      <w:pPr>
        <w:wordWrap w:val="0"/>
        <w:spacing w:line="480" w:lineRule="exact"/>
        <w:outlineLvl w:val="1"/>
        <w:rPr>
          <w:rFonts w:ascii="宋体" w:hAnsi="宋体" w:cs="宋体"/>
          <w:b/>
          <w:bCs/>
          <w:sz w:val="24"/>
          <w:szCs w:val="24"/>
          <w:highlight w:val="none"/>
        </w:rPr>
      </w:pPr>
      <w:bookmarkStart w:id="452" w:name="_Toc15636"/>
      <w:r>
        <w:rPr>
          <w:rFonts w:hint="eastAsia" w:ascii="宋体" w:hAnsi="宋体" w:cs="宋体"/>
          <w:b/>
          <w:bCs/>
          <w:sz w:val="24"/>
          <w:szCs w:val="24"/>
          <w:highlight w:val="none"/>
        </w:rPr>
        <w:t>14.6 竣工财务决算</w:t>
      </w:r>
      <w:bookmarkEnd w:id="452"/>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承包人应为竣工财务决算编制提供的资料：</w:t>
      </w:r>
      <w:r>
        <w:rPr>
          <w:rFonts w:hint="eastAsia" w:ascii="宋体" w:hAnsi="宋体" w:cs="宋体"/>
          <w:sz w:val="24"/>
          <w:szCs w:val="24"/>
          <w:highlight w:val="none"/>
          <w:u w:val="single"/>
        </w:rPr>
        <w:t>承包合同对账清单二份</w:t>
      </w:r>
      <w:r>
        <w:rPr>
          <w:rFonts w:hint="eastAsia" w:ascii="宋体" w:hAnsi="宋体" w:cs="宋体"/>
          <w:sz w:val="24"/>
          <w:szCs w:val="24"/>
          <w:highlight w:val="none"/>
        </w:rPr>
        <w:t>。</w:t>
      </w:r>
    </w:p>
    <w:p>
      <w:pPr>
        <w:wordWrap w:val="0"/>
        <w:spacing w:line="460" w:lineRule="exact"/>
        <w:outlineLvl w:val="0"/>
        <w:rPr>
          <w:rFonts w:ascii="宋体" w:hAnsi="宋体" w:cs="宋体"/>
          <w:b/>
          <w:bCs/>
          <w:sz w:val="24"/>
          <w:szCs w:val="24"/>
          <w:highlight w:val="none"/>
        </w:rPr>
      </w:pPr>
      <w:bookmarkStart w:id="453" w:name="_Toc6211"/>
      <w:r>
        <w:rPr>
          <w:rFonts w:hint="eastAsia" w:ascii="宋体" w:hAnsi="宋体" w:cs="宋体"/>
          <w:b/>
          <w:bCs/>
          <w:sz w:val="24"/>
          <w:szCs w:val="24"/>
          <w:highlight w:val="none"/>
        </w:rPr>
        <w:t>15 竣工验收（验收）</w:t>
      </w:r>
      <w:bookmarkEnd w:id="453"/>
    </w:p>
    <w:p>
      <w:pPr>
        <w:wordWrap w:val="0"/>
        <w:spacing w:line="480" w:lineRule="exact"/>
        <w:outlineLvl w:val="1"/>
        <w:rPr>
          <w:rFonts w:ascii="宋体" w:hAnsi="宋体" w:cs="宋体"/>
          <w:b/>
          <w:bCs/>
          <w:sz w:val="24"/>
          <w:szCs w:val="24"/>
          <w:highlight w:val="none"/>
        </w:rPr>
      </w:pPr>
      <w:bookmarkStart w:id="454" w:name="_Toc9728"/>
      <w:r>
        <w:rPr>
          <w:rFonts w:hint="eastAsia" w:ascii="宋体" w:hAnsi="宋体" w:cs="宋体"/>
          <w:b/>
          <w:bCs/>
          <w:sz w:val="24"/>
          <w:szCs w:val="24"/>
          <w:highlight w:val="none"/>
        </w:rPr>
        <w:t>15.1 验收工作分类</w:t>
      </w:r>
      <w:bookmarkEnd w:id="454"/>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本工程法人验收包括：分部工程验收、单位工程验收、合同工程完工验收；政府验收包括：阶段验收、专项验收、竣工验收。各阶段的验收条件、验收内容、验收程序严格按照《给水排水管道工程施工及验收规范》（GB50268-2008）、《给水排水构筑物工程施工及验收规范》（GB50141-2008）、《建筑工程施工质量验收统一标准》（GB 50300-2013）执行。</w:t>
      </w:r>
    </w:p>
    <w:p>
      <w:pPr>
        <w:wordWrap w:val="0"/>
        <w:spacing w:line="480" w:lineRule="exact"/>
        <w:outlineLvl w:val="1"/>
        <w:rPr>
          <w:rFonts w:ascii="宋体" w:hAnsi="宋体" w:cs="宋体"/>
          <w:b/>
          <w:bCs/>
          <w:sz w:val="24"/>
          <w:szCs w:val="24"/>
          <w:highlight w:val="none"/>
        </w:rPr>
      </w:pPr>
      <w:bookmarkStart w:id="455" w:name="_Toc4123"/>
      <w:r>
        <w:rPr>
          <w:rFonts w:hint="eastAsia" w:ascii="宋体" w:hAnsi="宋体" w:cs="宋体"/>
          <w:b/>
          <w:bCs/>
          <w:sz w:val="24"/>
          <w:szCs w:val="24"/>
          <w:highlight w:val="none"/>
        </w:rPr>
        <w:t>15.2 合同工程完工验收</w:t>
      </w:r>
      <w:bookmarkEnd w:id="455"/>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发包人主持合同工程完工验收，承包人应派符合条件的代表参加验收工作组。</w:t>
      </w:r>
    </w:p>
    <w:p>
      <w:pPr>
        <w:wordWrap w:val="0"/>
        <w:spacing w:line="460" w:lineRule="exact"/>
        <w:outlineLvl w:val="0"/>
        <w:rPr>
          <w:rFonts w:ascii="宋体" w:hAnsi="宋体" w:cs="宋体"/>
          <w:b/>
          <w:bCs/>
          <w:sz w:val="24"/>
          <w:szCs w:val="24"/>
          <w:highlight w:val="none"/>
        </w:rPr>
      </w:pPr>
      <w:bookmarkStart w:id="456" w:name="_Toc1097"/>
      <w:r>
        <w:rPr>
          <w:rFonts w:hint="eastAsia" w:ascii="宋体" w:hAnsi="宋体" w:cs="宋体"/>
          <w:b/>
          <w:bCs/>
          <w:sz w:val="24"/>
          <w:szCs w:val="24"/>
          <w:highlight w:val="none"/>
        </w:rPr>
        <w:t>16 缺陷责任与保修责任</w:t>
      </w:r>
      <w:bookmarkEnd w:id="456"/>
    </w:p>
    <w:p>
      <w:pPr>
        <w:wordWrap w:val="0"/>
        <w:spacing w:line="480" w:lineRule="exact"/>
        <w:outlineLvl w:val="1"/>
        <w:rPr>
          <w:rFonts w:ascii="宋体" w:hAnsi="宋体" w:cs="宋体"/>
          <w:b/>
          <w:bCs/>
          <w:sz w:val="24"/>
          <w:szCs w:val="24"/>
          <w:highlight w:val="none"/>
        </w:rPr>
      </w:pPr>
      <w:bookmarkStart w:id="457" w:name="_Toc2801"/>
      <w:r>
        <w:rPr>
          <w:rFonts w:hint="eastAsia" w:ascii="宋体" w:hAnsi="宋体" w:cs="宋体"/>
          <w:b/>
          <w:bCs/>
          <w:sz w:val="24"/>
          <w:szCs w:val="24"/>
          <w:highlight w:val="none"/>
        </w:rPr>
        <w:t>16.1 缺陷责任期、工程质量保修期的起算时间</w:t>
      </w:r>
      <w:bookmarkEnd w:id="457"/>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u w:val="single"/>
        </w:rPr>
        <w:t>缺陷责任期：自竣工验收合格之日起1年；工程质量保修期设备安装部分</w:t>
      </w:r>
      <w:r>
        <w:rPr>
          <w:rFonts w:hint="eastAsia" w:ascii="宋体" w:hAnsi="宋体" w:cs="宋体"/>
          <w:sz w:val="24"/>
          <w:szCs w:val="24"/>
          <w:highlight w:val="none"/>
          <w:u w:val="single"/>
          <w:lang w:val="en-US" w:eastAsia="zh-CN"/>
        </w:rPr>
        <w:t>和给排水管道工程</w:t>
      </w:r>
      <w:r>
        <w:rPr>
          <w:rFonts w:hint="eastAsia" w:ascii="宋体" w:hAnsi="宋体" w:cs="宋体"/>
          <w:sz w:val="24"/>
          <w:szCs w:val="24"/>
          <w:highlight w:val="none"/>
          <w:u w:val="single"/>
        </w:rPr>
        <w:t>自竣工验收合格之日起2年，其他工程部分自竣工验收合格之日起1年</w:t>
      </w:r>
      <w:r>
        <w:rPr>
          <w:rFonts w:hint="eastAsia" w:ascii="宋体" w:hAnsi="宋体" w:cs="宋体"/>
          <w:sz w:val="24"/>
          <w:szCs w:val="24"/>
          <w:highlight w:val="none"/>
        </w:rPr>
        <w:t>。</w:t>
      </w:r>
    </w:p>
    <w:p>
      <w:pPr>
        <w:wordWrap w:val="0"/>
        <w:spacing w:line="460" w:lineRule="exact"/>
        <w:outlineLvl w:val="0"/>
        <w:rPr>
          <w:rFonts w:ascii="宋体" w:hAnsi="宋体" w:cs="宋体"/>
          <w:b/>
          <w:bCs/>
          <w:sz w:val="24"/>
          <w:szCs w:val="24"/>
          <w:highlight w:val="none"/>
        </w:rPr>
      </w:pPr>
      <w:bookmarkStart w:id="458" w:name="_Toc7503"/>
      <w:r>
        <w:rPr>
          <w:rFonts w:hint="eastAsia" w:ascii="宋体" w:hAnsi="宋体" w:cs="宋体"/>
          <w:b/>
          <w:bCs/>
          <w:sz w:val="24"/>
          <w:szCs w:val="24"/>
          <w:highlight w:val="none"/>
        </w:rPr>
        <w:t>17 保险</w:t>
      </w:r>
      <w:bookmarkEnd w:id="458"/>
    </w:p>
    <w:p>
      <w:pPr>
        <w:wordWrap w:val="0"/>
        <w:spacing w:line="480" w:lineRule="exact"/>
        <w:outlineLvl w:val="1"/>
        <w:rPr>
          <w:rFonts w:ascii="宋体" w:hAnsi="宋体" w:cs="宋体"/>
          <w:b/>
          <w:bCs/>
          <w:sz w:val="24"/>
          <w:szCs w:val="24"/>
          <w:highlight w:val="none"/>
        </w:rPr>
      </w:pPr>
      <w:bookmarkStart w:id="459" w:name="_Toc17251"/>
      <w:r>
        <w:rPr>
          <w:rFonts w:hint="eastAsia" w:ascii="宋体" w:hAnsi="宋体" w:cs="宋体"/>
          <w:b/>
          <w:bCs/>
          <w:sz w:val="24"/>
          <w:szCs w:val="24"/>
          <w:highlight w:val="none"/>
        </w:rPr>
        <w:t>17.1 工程保险</w:t>
      </w:r>
      <w:bookmarkEnd w:id="459"/>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本款不采用。</w:t>
      </w:r>
    </w:p>
    <w:p>
      <w:pPr>
        <w:wordWrap w:val="0"/>
        <w:spacing w:line="480" w:lineRule="exact"/>
        <w:outlineLvl w:val="1"/>
        <w:rPr>
          <w:rFonts w:ascii="宋体" w:hAnsi="宋体" w:cs="宋体"/>
          <w:b/>
          <w:bCs/>
          <w:sz w:val="24"/>
          <w:szCs w:val="24"/>
          <w:highlight w:val="none"/>
        </w:rPr>
      </w:pPr>
      <w:bookmarkStart w:id="460" w:name="_Toc2320"/>
      <w:r>
        <w:rPr>
          <w:rFonts w:hint="eastAsia" w:ascii="宋体" w:hAnsi="宋体" w:cs="宋体"/>
          <w:b/>
          <w:bCs/>
          <w:sz w:val="24"/>
          <w:szCs w:val="24"/>
          <w:highlight w:val="none"/>
        </w:rPr>
        <w:t>17.2 第三者责任险</w:t>
      </w:r>
      <w:bookmarkEnd w:id="460"/>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在缺陷责任期终止证书颁发前，承包人应以承包人单方面名义，投保第三者责任险，其保险费率、保险金额等有关内容按有关规定办理，具体责任由承包人负责。</w:t>
      </w:r>
    </w:p>
    <w:p>
      <w:pPr>
        <w:wordWrap w:val="0"/>
        <w:spacing w:line="480" w:lineRule="exact"/>
        <w:rPr>
          <w:rFonts w:ascii="宋体" w:hAnsi="宋体" w:cs="宋体"/>
          <w:sz w:val="24"/>
          <w:szCs w:val="24"/>
          <w:highlight w:val="none"/>
        </w:rPr>
      </w:pPr>
      <w:r>
        <w:rPr>
          <w:rFonts w:hint="eastAsia" w:ascii="宋体" w:hAnsi="宋体" w:cs="宋体"/>
          <w:b/>
          <w:bCs/>
          <w:sz w:val="24"/>
          <w:szCs w:val="24"/>
          <w:highlight w:val="none"/>
        </w:rPr>
        <w:t>17.3 对各项保险的一般要求 </w:t>
      </w:r>
      <w:r>
        <w:rPr>
          <w:rFonts w:hint="eastAsia" w:ascii="宋体" w:hAnsi="宋体" w:cs="宋体"/>
          <w:sz w:val="24"/>
          <w:szCs w:val="24"/>
          <w:highlight w:val="none"/>
        </w:rPr>
        <w:t> </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本款不采用。</w:t>
      </w:r>
    </w:p>
    <w:p>
      <w:pPr>
        <w:wordWrap w:val="0"/>
        <w:spacing w:line="460" w:lineRule="exact"/>
        <w:outlineLvl w:val="0"/>
        <w:rPr>
          <w:rFonts w:ascii="宋体" w:hAnsi="宋体" w:cs="宋体"/>
          <w:b/>
          <w:bCs/>
          <w:sz w:val="24"/>
          <w:szCs w:val="24"/>
          <w:highlight w:val="none"/>
        </w:rPr>
      </w:pPr>
      <w:bookmarkStart w:id="461" w:name="_Toc25085"/>
      <w:r>
        <w:rPr>
          <w:rFonts w:hint="eastAsia" w:ascii="宋体" w:hAnsi="宋体" w:cs="宋体"/>
          <w:b/>
          <w:bCs/>
          <w:sz w:val="24"/>
          <w:szCs w:val="24"/>
          <w:highlight w:val="none"/>
        </w:rPr>
        <w:t>18 争议的解决</w:t>
      </w:r>
      <w:bookmarkEnd w:id="461"/>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发包人和承包人在履行合同中发生争议的，可以友好协商解决或者提请争议评审组评审。合同当事人友好协商解决不成、不愿提请争议评审或者不接受争议评审组意见的，选择以下第（2）种方式解决。</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（1）向中国广州市仲裁委员会申请仲裁；</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（2）向工程所在地人民法院起诉。</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当事人任一方就本合同相关纠纷提起诉讼的，若最终以双方和解或法院调解形式解决的，因该纠纷产生的一切费用（包括但不限于双方因该纠纷支出的律师费、诉讼费、鉴定费、评估费、差旅费等合理费用），由承包人承担。</w:t>
      </w:r>
    </w:p>
    <w:p>
      <w:pPr>
        <w:wordWrap w:val="0"/>
        <w:spacing w:line="460" w:lineRule="exact"/>
        <w:outlineLvl w:val="0"/>
        <w:rPr>
          <w:rFonts w:ascii="宋体" w:hAnsi="宋体" w:cs="宋体"/>
          <w:b/>
          <w:bCs/>
          <w:sz w:val="24"/>
          <w:szCs w:val="24"/>
          <w:highlight w:val="none"/>
        </w:rPr>
      </w:pPr>
      <w:bookmarkStart w:id="462" w:name="_Toc9284"/>
      <w:r>
        <w:rPr>
          <w:rFonts w:hint="eastAsia" w:ascii="宋体" w:hAnsi="宋体" w:cs="宋体"/>
          <w:b/>
          <w:bCs/>
          <w:sz w:val="24"/>
          <w:szCs w:val="24"/>
          <w:highlight w:val="none"/>
        </w:rPr>
        <w:t>19 保密</w:t>
      </w:r>
      <w:bookmarkEnd w:id="462"/>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除</w:t>
      </w:r>
      <w:r>
        <w:rPr>
          <w:rFonts w:hint="eastAsia" w:ascii="宋体" w:hAnsi="宋体" w:cs="宋体"/>
          <w:kern w:val="0"/>
          <w:sz w:val="24"/>
          <w:szCs w:val="24"/>
          <w:highlight w:val="none"/>
          <w:lang w:val="zh-CN"/>
        </w:rPr>
        <w:t>本合同第二部分《通用条款》</w:t>
      </w:r>
      <w:r>
        <w:rPr>
          <w:rFonts w:hint="eastAsia" w:ascii="宋体" w:hAnsi="宋体" w:cs="宋体"/>
          <w:sz w:val="24"/>
          <w:szCs w:val="24"/>
          <w:highlight w:val="none"/>
        </w:rPr>
        <w:t>第1.11.3款和1.12项规定外，双方还应对本合同内容及双方相互提供标有密级的文件保密，未经许可不得泄漏给与本合同无关的第三者，违者应对泄漏造成的后果承担责任。</w:t>
      </w:r>
    </w:p>
    <w:p>
      <w:pPr>
        <w:wordWrap w:val="0"/>
        <w:spacing w:line="460" w:lineRule="exact"/>
        <w:outlineLvl w:val="0"/>
        <w:rPr>
          <w:rFonts w:ascii="宋体" w:hAnsi="宋体" w:cs="宋体"/>
          <w:b/>
          <w:bCs/>
          <w:sz w:val="24"/>
          <w:szCs w:val="24"/>
          <w:highlight w:val="none"/>
        </w:rPr>
      </w:pPr>
      <w:bookmarkStart w:id="463" w:name="_Toc21877"/>
      <w:r>
        <w:rPr>
          <w:rFonts w:hint="eastAsia" w:ascii="宋体" w:hAnsi="宋体" w:cs="宋体"/>
          <w:b/>
          <w:bCs/>
          <w:sz w:val="24"/>
          <w:szCs w:val="24"/>
          <w:highlight w:val="none"/>
        </w:rPr>
        <w:t>20.付款程序及时间</w:t>
      </w:r>
      <w:bookmarkEnd w:id="463"/>
    </w:p>
    <w:p>
      <w:pPr>
        <w:wordWrap w:val="0"/>
        <w:spacing w:line="480" w:lineRule="exact"/>
        <w:rPr>
          <w:rFonts w:ascii="宋体" w:hAnsi="宋体" w:cs="宋体"/>
          <w:b/>
          <w:bCs/>
          <w:sz w:val="24"/>
          <w:szCs w:val="24"/>
          <w:highlight w:val="none"/>
        </w:rPr>
      </w:pPr>
      <w:r>
        <w:rPr>
          <w:rFonts w:hint="eastAsia" w:ascii="宋体" w:hAnsi="宋体" w:cs="宋体"/>
          <w:b/>
          <w:bCs/>
          <w:sz w:val="24"/>
          <w:szCs w:val="24"/>
          <w:highlight w:val="none"/>
        </w:rPr>
        <w:t>20.1 适用范围</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本条款适用于按合同规定应由发包人支付给承包人的所有付款，包括工程预付款、工程进度付款、保留金付款、完工付款、最终付款及合同规定的其他付款。</w:t>
      </w:r>
    </w:p>
    <w:p>
      <w:pPr>
        <w:wordWrap w:val="0"/>
        <w:spacing w:line="480" w:lineRule="exact"/>
        <w:rPr>
          <w:rFonts w:ascii="宋体" w:hAnsi="宋体" w:cs="宋体"/>
          <w:b/>
          <w:bCs/>
          <w:sz w:val="24"/>
          <w:szCs w:val="24"/>
          <w:highlight w:val="none"/>
        </w:rPr>
      </w:pPr>
      <w:r>
        <w:rPr>
          <w:rFonts w:hint="eastAsia" w:ascii="宋体" w:hAnsi="宋体" w:cs="宋体"/>
          <w:b/>
          <w:bCs/>
          <w:sz w:val="24"/>
          <w:szCs w:val="24"/>
          <w:highlight w:val="none"/>
        </w:rPr>
        <w:t>20.2 付款程序</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首先由承包人提出申请，在申请报告（或划拨单）中附有充分的支持性材料，而且在工程预付款和工程进度付款申请报告（或划拨单）中，尚应附有该笔款项的在工程中的支配及使用计划。发包人收到监理人出具的完成工程量计量审核单，并审批后付款，程序如下：</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 承包人填写付款申请书；</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(2) 监理人在付款申请书上签署意见；</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(3) 发包人在付款申请书上签署意见；</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(4) 根据《广州市本级财政国库集中支付方式划分标准的意见》支付。</w:t>
      </w:r>
    </w:p>
    <w:p>
      <w:pPr>
        <w:wordWrap w:val="0"/>
        <w:spacing w:line="480" w:lineRule="exact"/>
        <w:rPr>
          <w:rFonts w:ascii="宋体" w:hAnsi="宋体" w:cs="宋体"/>
          <w:b/>
          <w:bCs/>
          <w:sz w:val="24"/>
          <w:szCs w:val="24"/>
          <w:highlight w:val="none"/>
        </w:rPr>
      </w:pPr>
      <w:r>
        <w:rPr>
          <w:rFonts w:hint="eastAsia" w:ascii="宋体" w:hAnsi="宋体" w:cs="宋体"/>
          <w:b/>
          <w:bCs/>
          <w:sz w:val="24"/>
          <w:szCs w:val="24"/>
          <w:highlight w:val="none"/>
        </w:rPr>
        <w:t>20.3 付款时间</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监理人应在承包人完成付款证书申请后 7 天内完成上款(2) 项工作，发包人应在监理人签署意见后 7 天内完成上款(3)项工作，付款涉及政府投资资金的，按照国库集中支付等国家相关规定以及部门预算资金计划安排进行办理。如果是因为国库安排或者财政资金安排的原因不能按时支付，发包方不承担违约责任。</w:t>
      </w:r>
    </w:p>
    <w:p>
      <w:pPr>
        <w:wordWrap w:val="0"/>
        <w:spacing w:line="460" w:lineRule="exact"/>
        <w:ind w:firstLine="0" w:firstLineChars="0"/>
        <w:rPr>
          <w:rFonts w:ascii="宋体" w:hAnsi="宋体" w:cs="宋体"/>
          <w:b/>
          <w:bCs/>
          <w:sz w:val="24"/>
          <w:szCs w:val="24"/>
          <w:highlight w:val="none"/>
        </w:rPr>
      </w:pPr>
      <w:r>
        <w:rPr>
          <w:rFonts w:hint="eastAsia" w:ascii="宋体" w:hAnsi="宋体" w:cs="宋体"/>
          <w:b/>
          <w:bCs/>
          <w:sz w:val="24"/>
          <w:szCs w:val="24"/>
          <w:highlight w:val="none"/>
        </w:rPr>
        <w:t>其他约定：</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（一）合同价款的约定与调整</w:t>
      </w:r>
    </w:p>
    <w:p>
      <w:pPr>
        <w:wordWrap w:val="0"/>
        <w:spacing w:line="460" w:lineRule="exact"/>
        <w:ind w:firstLine="480"/>
        <w:rPr>
          <w:rFonts w:ascii="宋体" w:hAnsi="宋体" w:cs="宋体"/>
          <w:sz w:val="24"/>
          <w:szCs w:val="24"/>
          <w:highlight w:val="none"/>
        </w:rPr>
      </w:pPr>
      <w:bookmarkStart w:id="464" w:name="_Toc13434"/>
      <w:r>
        <w:rPr>
          <w:rFonts w:hint="eastAsia" w:ascii="宋体" w:hAnsi="宋体" w:cs="宋体"/>
          <w:sz w:val="24"/>
          <w:szCs w:val="24"/>
          <w:highlight w:val="none"/>
        </w:rPr>
        <w:t>本合同项目的工程承包价是由承包人以招标文件以及招标文件的图纸为依据，采用工程量清单计价方法，实行固定综合单价，根据国家标准《建设工程工程量清单计价规范》GB50500-2013以及 《广东省建设工程计价依据（2018）》及配套定额《广东省市政工程综合定额（2018）》、《广东省通用安装工程综合定额（2018）》、《广东省房屋建筑与装饰工程综合定额（2018）》、《广东园林绿化工程综合定额(2018)》（上述标准及计价办法以下简称“本合同适用的标准及计价办法”）计价办法，按照招标文件中工程量清单所开列的工作内容和估计工程量填报相应的综合单价后并累计合价，再加上措施项目费、其他项目费、规费和税金以及 / 等计算的合同价。结算时发包人依据中华人民共和国国家标准 本合同适用的标准及计价办法 ，以及图纸、 清单、设计变更、签证  等规定计量确认的实际工程量乘以中标的综合单价，再加上措施项目费、其他项目费、规费、税金以及 / 等计算的结算造价。</w:t>
      </w:r>
    </w:p>
    <w:p>
      <w:pPr>
        <w:wordWrap w:val="0"/>
        <w:spacing w:line="460" w:lineRule="exact"/>
        <w:ind w:firstLine="480"/>
        <w:rPr>
          <w:rFonts w:ascii="宋体" w:hAnsi="宋体" w:cs="宋体"/>
          <w:sz w:val="24"/>
          <w:szCs w:val="24"/>
          <w:highlight w:val="none"/>
        </w:rPr>
      </w:pPr>
      <w:r>
        <w:rPr>
          <w:rFonts w:hint="eastAsia" w:ascii="宋体" w:hAnsi="宋体" w:cs="宋体"/>
          <w:sz w:val="24"/>
          <w:szCs w:val="24"/>
          <w:highlight w:val="none"/>
        </w:rPr>
        <w:t>综合单价包含的风险范围： 包工、包料、包质量、包工期、包安全文明施工、包原材料送检费（第三方实体检测除外）、包市场价格波动、包施工水电费、包验收合格 。除经发包方确认的政策性调整情况外，其余情况应视为承包方的风险范围内 。除非合同中另有规定，本合同价款应包括施工设备、临时用水、用电、进场道路、临时设施费、赶工措施费、交通安全维护设施费、技术措施费、劳务、管理、材料、安装、维护、保险、利润、税金和政策性文件规定及合同包含内的所有风险、责任等各项应有费用。并包括执行和完成本合同工程时所有附带工作及费用，不论它们是否在合同文件中有所说明。风险包括但不限于：①承包人的投标报价包含施工过程风险的报价，承包人在施工过程所需的施工风险处理费用及不可预见费用已包含在合同价款中。承包人在施工过程造成附近建筑物、构筑物及现场已完成的构件破坏，需要恢复的费用由承包人承担；②凡施工图纸中未有详细注明的做法，则按国家及广东省有关设计规范及施工验收规范进行施工，承包人在投标报价时须将此因素考虑在内；③施工用的临时运输道路及临时征地的使用；④承包人对完成本工程内容（包括变更工程）的所有施工措施必须满足施工需要和有关规定和监理单位的要求，承包人不得以施工方案变更为借口提出增加相应的措施费用的要求；⑤负责因施工造成的市政设施、绿化、用地等破损后的原状恢复费用，并满足当地各业主的验收要求；⑥发包人不提供地下管线资料，承包人必须自行详细查勘，采取合理有效的措施确保工程施工质量安全以及原地下管线设施的安全和正常运作，承包人有关费用已包含在本合同总价款内。由于承包人不查勘或查勘有误导致的开挖事故造成的一切经济损失和法律责任风险全部由承包人承担；⑦在合同期内，除政府颁布强制性调价文件外，合同范围内工程材料、人工、机械价格不再调整；⑧在施工过程中因承包人原因对周围环境造成破坏、对第三者造成的伤害而引起的赔偿或为减少环境破坏而增加的措施费、与地方有关单位的工程配合（管理费）由承包人承担。风险费用的计算方法：风险费用已包括在合同中，发包方不再承担有关风险费用。</w:t>
      </w:r>
    </w:p>
    <w:p>
      <w:pPr>
        <w:wordWrap w:val="0"/>
        <w:spacing w:line="460" w:lineRule="exact"/>
        <w:ind w:firstLine="480"/>
        <w:rPr>
          <w:rFonts w:ascii="宋体" w:hAnsi="宋体" w:cs="宋体"/>
          <w:sz w:val="24"/>
          <w:szCs w:val="24"/>
          <w:highlight w:val="none"/>
        </w:rPr>
      </w:pPr>
      <w:r>
        <w:rPr>
          <w:rFonts w:hint="eastAsia" w:ascii="宋体" w:hAnsi="宋体" w:cs="宋体"/>
          <w:sz w:val="24"/>
          <w:szCs w:val="24"/>
          <w:highlight w:val="none"/>
        </w:rPr>
        <w:t>风险费用的计算方法：经发包方确认的政策性调整情况，按相应政策调整。</w:t>
      </w:r>
    </w:p>
    <w:p>
      <w:pPr>
        <w:wordWrap w:val="0"/>
        <w:spacing w:line="460" w:lineRule="exact"/>
        <w:ind w:firstLine="480"/>
        <w:rPr>
          <w:rFonts w:ascii="宋体" w:hAnsi="宋体" w:cs="宋体"/>
          <w:sz w:val="24"/>
          <w:szCs w:val="24"/>
          <w:highlight w:val="none"/>
        </w:rPr>
      </w:pPr>
      <w:r>
        <w:rPr>
          <w:rFonts w:hint="eastAsia" w:ascii="宋体" w:hAnsi="宋体" w:cs="宋体"/>
          <w:sz w:val="24"/>
          <w:szCs w:val="24"/>
          <w:highlight w:val="none"/>
        </w:rPr>
        <w:t>风险范围以外合同价格的调整方法：经发包方确认的政策性调整情况，按相应政策调整。</w:t>
      </w:r>
    </w:p>
    <w:p>
      <w:pPr>
        <w:wordWrap w:val="0"/>
        <w:spacing w:line="460" w:lineRule="exact"/>
        <w:ind w:firstLine="480"/>
        <w:rPr>
          <w:rFonts w:ascii="宋体" w:hAnsi="宋体" w:cs="宋体"/>
          <w:sz w:val="24"/>
          <w:szCs w:val="24"/>
          <w:highlight w:val="none"/>
        </w:rPr>
      </w:pPr>
      <w:r>
        <w:rPr>
          <w:rFonts w:hint="eastAsia" w:ascii="宋体" w:hAnsi="宋体" w:cs="宋体"/>
          <w:sz w:val="24"/>
          <w:szCs w:val="24"/>
          <w:highlight w:val="none"/>
        </w:rPr>
        <w:t>在项目实施期间，设计变更的项目，经发包人审批确认后，按下列办法进行工程量及综合单价的计算：工程量依据国家标准本合同适用的标准及计价办法，以及图纸、变更清单、设计变更、签证等规定计量确认的实际工程量为准；综合单价计算方法为：</w:t>
      </w:r>
    </w:p>
    <w:p>
      <w:pPr>
        <w:wordWrap w:val="0"/>
        <w:spacing w:line="460" w:lineRule="exact"/>
        <w:ind w:firstLine="480"/>
        <w:rPr>
          <w:rFonts w:ascii="宋体" w:hAnsi="宋体" w:cs="宋体"/>
          <w:sz w:val="24"/>
          <w:szCs w:val="24"/>
          <w:highlight w:val="none"/>
        </w:rPr>
      </w:pPr>
      <w:r>
        <w:rPr>
          <w:rFonts w:hint="eastAsia" w:ascii="宋体" w:hAnsi="宋体" w:cs="宋体"/>
          <w:sz w:val="24"/>
          <w:szCs w:val="24"/>
          <w:highlight w:val="none"/>
        </w:rPr>
        <w:t>1、中标的工程量清单中已有相同项目的综合单价，则沿用该综合单价。合同工程量清单中相同适用项目有多个的，取最有利于发包人的相同适用项目综合单价（但综合单价明显不合理的除外）。</w:t>
      </w:r>
    </w:p>
    <w:p>
      <w:pPr>
        <w:wordWrap w:val="0"/>
        <w:spacing w:line="460" w:lineRule="exact"/>
        <w:ind w:firstLine="480"/>
        <w:rPr>
          <w:rFonts w:ascii="宋体" w:hAnsi="宋体" w:cs="宋体"/>
          <w:sz w:val="24"/>
          <w:szCs w:val="24"/>
          <w:highlight w:val="none"/>
        </w:rPr>
      </w:pPr>
      <w:r>
        <w:rPr>
          <w:rFonts w:hint="eastAsia" w:ascii="宋体" w:hAnsi="宋体" w:cs="宋体"/>
          <w:sz w:val="24"/>
          <w:szCs w:val="24"/>
          <w:highlight w:val="none"/>
        </w:rPr>
        <w:t>2、合同工程量清单中无相同适用项目、只有类似适用项目的，则按类似项目的综合单价对相应子目、消耗量、材料设备价格等进行调整换算，原管理费、利润水平及预算包干费率不变，仅调整主材和主要设备价格。如合同工程量清单中类似项目的综合单价有两个以上，则由发包人按消耗量最少、管理费、利润和预算包干费率取费最低的优先顺序选择类似项目综合单价进行换算。所换算主材及设备价格执行工程造价管理机构发布的投标当月的《广州地区建设工程常用材料综合价格》；《广州地区建设工程常用材料综合价格》没有的材料、设备单价，参考投标当月的 《广州地区建设工程材料（设备）厂商价格信息》；《广州地区建设工程常用材料综合价格》及《广州地区建设工程材料（设备）厂商价格信息》均没有的材料、设备价格，由发包人、监理单位、承包人结合市场价共同协商确定。按上述原则调整后的换算综合单价最终均应执行中标下浮率。</w:t>
      </w:r>
    </w:p>
    <w:p>
      <w:pPr>
        <w:wordWrap w:val="0"/>
        <w:spacing w:line="460" w:lineRule="exact"/>
        <w:ind w:firstLine="480"/>
        <w:rPr>
          <w:rFonts w:ascii="宋体" w:hAnsi="宋体" w:cs="宋体"/>
          <w:sz w:val="24"/>
          <w:szCs w:val="24"/>
          <w:highlight w:val="none"/>
        </w:rPr>
      </w:pPr>
      <w:r>
        <w:rPr>
          <w:rFonts w:hint="eastAsia" w:ascii="宋体" w:hAnsi="宋体" w:cs="宋体"/>
          <w:sz w:val="24"/>
          <w:szCs w:val="24"/>
          <w:highlight w:val="none"/>
        </w:rPr>
        <w:t>3、合同工程量清单报价中没有相同或类似适用项目的，按以下原则计价：</w:t>
      </w:r>
    </w:p>
    <w:p>
      <w:pPr>
        <w:wordWrap w:val="0"/>
        <w:spacing w:line="460" w:lineRule="exact"/>
        <w:ind w:firstLine="480"/>
        <w:rPr>
          <w:rFonts w:ascii="宋体" w:hAnsi="宋体" w:cs="宋体"/>
          <w:sz w:val="24"/>
          <w:szCs w:val="24"/>
          <w:highlight w:val="none"/>
        </w:rPr>
      </w:pPr>
      <w:r>
        <w:rPr>
          <w:rFonts w:hint="eastAsia" w:ascii="宋体" w:hAnsi="宋体" w:cs="宋体"/>
          <w:sz w:val="24"/>
          <w:szCs w:val="24"/>
          <w:highlight w:val="none"/>
        </w:rPr>
        <w:t>由承包人依据变更工程资料，计量原则，按《广东省通用安装工程综合定额（2018）》、《广东省房屋建筑与装饰工程综合定额（2018）》、《广东省市政工程综合定额（2018）》、《广东省园林绿化工程综合定额（2018）》等相关定额标准及工程实施期工程造价管理机构发布的材料设备参考价格编制综合单价执行中标下浮率。其中材料、设备价格执行工程造价管理机构发布的投标当月的《广州地区建设工程常用材料综合价格》；《广州地区建设工程常用材料综合价格》没有的材料、设备单价，参考投标当月的《广州地区建设工程材料（设备）厂商价格信息》；《广州地区建设工程常用材料综合价格》及《广州地区建设工程材料（设备）厂商价格信息》均没有的材料、设备价格，由发包人、监理单位、承包人结合市场价共同协商确定。</w:t>
      </w:r>
    </w:p>
    <w:p>
      <w:pPr>
        <w:wordWrap w:val="0"/>
        <w:spacing w:line="460" w:lineRule="exact"/>
        <w:ind w:firstLine="480"/>
        <w:rPr>
          <w:rFonts w:ascii="宋体" w:hAnsi="宋体" w:cs="宋体"/>
          <w:sz w:val="24"/>
          <w:szCs w:val="24"/>
          <w:highlight w:val="none"/>
        </w:rPr>
      </w:pPr>
      <w:r>
        <w:rPr>
          <w:rFonts w:hint="eastAsia" w:ascii="宋体" w:hAnsi="宋体" w:cs="宋体"/>
          <w:sz w:val="24"/>
          <w:szCs w:val="24"/>
          <w:highlight w:val="none"/>
        </w:rPr>
        <w:t>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wordWrap w:val="0"/>
        <w:spacing w:line="460" w:lineRule="exact"/>
        <w:ind w:firstLine="480"/>
        <w:rPr>
          <w:rFonts w:ascii="宋体" w:hAnsi="宋体" w:cs="宋体"/>
          <w:sz w:val="24"/>
          <w:szCs w:val="24"/>
          <w:highlight w:val="none"/>
        </w:rPr>
      </w:pPr>
      <w:r>
        <w:rPr>
          <w:rFonts w:hint="eastAsia" w:ascii="宋体" w:hAnsi="宋体" w:cs="宋体"/>
          <w:sz w:val="24"/>
          <w:szCs w:val="24"/>
          <w:highlight w:val="none"/>
        </w:rPr>
        <w:t>（二）承包人的责任条款</w:t>
      </w:r>
    </w:p>
    <w:p>
      <w:pPr>
        <w:wordWrap w:val="0"/>
        <w:spacing w:line="460" w:lineRule="exact"/>
        <w:ind w:firstLine="480"/>
        <w:rPr>
          <w:rFonts w:ascii="宋体" w:hAnsi="宋体" w:cs="宋体"/>
          <w:sz w:val="24"/>
          <w:szCs w:val="24"/>
          <w:highlight w:val="none"/>
        </w:rPr>
      </w:pPr>
      <w:r>
        <w:rPr>
          <w:rFonts w:hint="eastAsia" w:ascii="宋体" w:hAnsi="宋体" w:cs="宋体"/>
          <w:sz w:val="24"/>
          <w:szCs w:val="24"/>
          <w:highlight w:val="none"/>
        </w:rPr>
        <w:t>1．承包人应充分预计到雨天对工期造成的影响，如造成工期延误，由承包人自行采取有效措施解决。如因非承包人原因导致停工，经双方及时确认后，工期可顺延。</w:t>
      </w:r>
    </w:p>
    <w:p>
      <w:pPr>
        <w:wordWrap w:val="0"/>
        <w:spacing w:line="460" w:lineRule="exact"/>
        <w:ind w:firstLine="480"/>
        <w:rPr>
          <w:rFonts w:ascii="宋体" w:hAnsi="宋体" w:cs="宋体"/>
          <w:sz w:val="24"/>
          <w:szCs w:val="24"/>
          <w:highlight w:val="none"/>
        </w:rPr>
      </w:pPr>
      <w:r>
        <w:rPr>
          <w:rFonts w:hint="eastAsia" w:ascii="宋体" w:hAnsi="宋体" w:cs="宋体"/>
          <w:sz w:val="24"/>
          <w:szCs w:val="24"/>
          <w:highlight w:val="none"/>
        </w:rPr>
        <w:t>2.在整个合同执行期间，未经发包人书面同意，承包人不得变更投标项目负责人，否则，作违约处理，须按本合同总金额的10%向发包人支付违约金。</w:t>
      </w:r>
    </w:p>
    <w:p>
      <w:pPr>
        <w:wordWrap w:val="0"/>
        <w:spacing w:line="460" w:lineRule="exact"/>
        <w:ind w:firstLine="480"/>
        <w:rPr>
          <w:rFonts w:ascii="宋体" w:hAnsi="宋体" w:cs="宋体"/>
          <w:sz w:val="24"/>
          <w:szCs w:val="24"/>
          <w:highlight w:val="none"/>
        </w:rPr>
      </w:pPr>
      <w:r>
        <w:rPr>
          <w:rFonts w:hint="eastAsia" w:ascii="宋体" w:hAnsi="宋体" w:cs="宋体"/>
          <w:sz w:val="24"/>
          <w:szCs w:val="24"/>
          <w:highlight w:val="none"/>
        </w:rPr>
        <w:t>3.承包人应对整个现场的施工组织和施工方案的适用性、稳定性和安全性负全面责任。</w:t>
      </w:r>
    </w:p>
    <w:p>
      <w:pPr>
        <w:wordWrap w:val="0"/>
        <w:spacing w:line="460" w:lineRule="exact"/>
        <w:ind w:firstLine="480"/>
        <w:rPr>
          <w:rFonts w:ascii="宋体" w:hAnsi="宋体" w:cs="宋体"/>
          <w:sz w:val="24"/>
          <w:szCs w:val="24"/>
          <w:highlight w:val="none"/>
        </w:rPr>
      </w:pPr>
      <w:r>
        <w:rPr>
          <w:rFonts w:hint="eastAsia" w:ascii="宋体" w:hAnsi="宋体" w:cs="宋体"/>
          <w:sz w:val="24"/>
          <w:szCs w:val="24"/>
          <w:highlight w:val="none"/>
        </w:rPr>
        <w:t>4.承包人不按工程质量保修书约定履行保修义务或拖延保修义务或拖延保修时间，发包人可扣除全部保修金，另行委托相应资质的施工队进行维修，但质量由承包人全部负责。若保修金不足以支付维修费用的，其差额部分仍由承包人承担且本工程质量仍由承包人全部负责。</w:t>
      </w:r>
    </w:p>
    <w:p>
      <w:pPr>
        <w:wordWrap w:val="0"/>
        <w:spacing w:line="460" w:lineRule="exact"/>
        <w:ind w:firstLine="480"/>
        <w:rPr>
          <w:rFonts w:ascii="宋体" w:hAnsi="宋体" w:cs="宋体"/>
          <w:sz w:val="24"/>
          <w:szCs w:val="24"/>
          <w:highlight w:val="none"/>
        </w:rPr>
      </w:pPr>
      <w:r>
        <w:rPr>
          <w:rFonts w:hint="eastAsia" w:ascii="宋体" w:hAnsi="宋体" w:cs="宋体"/>
          <w:sz w:val="24"/>
          <w:szCs w:val="24"/>
          <w:highlight w:val="none"/>
        </w:rPr>
        <w:t>5.由于承包人原因超出设计图纸范围或因自身原因造成的返工工程量，发包人将不计量。</w:t>
      </w:r>
    </w:p>
    <w:p>
      <w:pPr>
        <w:wordWrap w:val="0"/>
        <w:spacing w:line="460" w:lineRule="exact"/>
        <w:ind w:firstLine="480"/>
        <w:rPr>
          <w:rFonts w:ascii="宋体" w:hAnsi="宋体" w:cs="宋体"/>
          <w:sz w:val="24"/>
          <w:szCs w:val="24"/>
          <w:highlight w:val="none"/>
        </w:rPr>
      </w:pPr>
      <w:r>
        <w:rPr>
          <w:rFonts w:hint="eastAsia" w:ascii="宋体" w:hAnsi="宋体" w:cs="宋体"/>
          <w:sz w:val="24"/>
          <w:szCs w:val="24"/>
          <w:highlight w:val="none"/>
        </w:rPr>
        <w:t>6.本工程严禁挂靠、转包及违法分包。否则，发包人除了有权解除合同外，还有权要求承包人支付其违法转包部分工程款的20%的违约金。</w:t>
      </w:r>
    </w:p>
    <w:p>
      <w:pPr>
        <w:wordWrap w:val="0"/>
        <w:spacing w:line="460" w:lineRule="exact"/>
        <w:ind w:firstLine="480"/>
        <w:rPr>
          <w:rFonts w:ascii="宋体" w:hAnsi="宋体" w:cs="宋体"/>
          <w:sz w:val="24"/>
          <w:szCs w:val="24"/>
          <w:highlight w:val="none"/>
        </w:rPr>
      </w:pPr>
      <w:r>
        <w:rPr>
          <w:rFonts w:hint="eastAsia" w:ascii="宋体" w:hAnsi="宋体" w:cs="宋体"/>
          <w:sz w:val="24"/>
          <w:szCs w:val="24"/>
          <w:highlight w:val="none"/>
        </w:rPr>
        <w:t>7.因承包人违约致解除合同的条件成就时，发包人有权向承包人发出书面解除合同通知，该通知送达承包人时解除合同即生效。</w:t>
      </w:r>
    </w:p>
    <w:p>
      <w:pPr>
        <w:wordWrap w:val="0"/>
        <w:spacing w:line="460" w:lineRule="exact"/>
        <w:ind w:firstLine="480"/>
        <w:rPr>
          <w:rFonts w:ascii="宋体" w:hAnsi="宋体" w:cs="宋体"/>
          <w:sz w:val="24"/>
          <w:szCs w:val="24"/>
          <w:highlight w:val="none"/>
        </w:rPr>
      </w:pPr>
      <w:r>
        <w:rPr>
          <w:rFonts w:hint="eastAsia" w:ascii="宋体" w:hAnsi="宋体" w:cs="宋体"/>
          <w:sz w:val="24"/>
          <w:szCs w:val="24"/>
          <w:highlight w:val="none"/>
        </w:rPr>
        <w:t>承包人接到通知后，必须在2天内停止工程施工，并在10天内将机械、材料、物件、人员从施工现场撤离。停工3天内，监理工程师将会同承包人对已完成工程量进行清点，只承认已发生并投入且符合质量验收标准的部分工程，对于已订货而未到现场或在现场未使用的材料、设备等均不予承认，由承包人自行处理；对于承包人已开工但经检验不合格的工程，承包人必须在限期内拆除，并清运出工地，由此带来的损失由承包人自行承担。承包人未在规定期限内离场的，发包人有权将其留在现场的材料、设备和其他物件临时转运到其它堆放处，由此产生的搬运、保管费用应由承包人负责，在此过程中出现的任何非发包人主观故意引起的损坏、遗失由承包人自行负责，处理费用由承包人在损害赔偿保证金中承担。由于合同解除引致发包人工期延误及其它方面的损失，由承包人负责赔偿。</w:t>
      </w:r>
    </w:p>
    <w:p>
      <w:pPr>
        <w:wordWrap w:val="0"/>
        <w:spacing w:line="460" w:lineRule="exact"/>
        <w:ind w:firstLine="480"/>
        <w:rPr>
          <w:rFonts w:ascii="宋体" w:hAnsi="宋体" w:cs="宋体"/>
          <w:sz w:val="24"/>
          <w:szCs w:val="24"/>
          <w:highlight w:val="none"/>
        </w:rPr>
      </w:pPr>
      <w:r>
        <w:rPr>
          <w:rFonts w:hint="eastAsia" w:ascii="宋体" w:hAnsi="宋体" w:cs="宋体"/>
          <w:sz w:val="24"/>
          <w:szCs w:val="24"/>
          <w:highlight w:val="none"/>
        </w:rPr>
        <w:t>8.承包人在发包人解除合同后，还必须在规定期限内作好已施工技术资料和实物的交底、移交工作，并配合发包人重新确定施工单位。承包人因未履行上述义务而给发包人带来工期延误和其它损失的，应赔偿发包人的实际损失。</w:t>
      </w:r>
    </w:p>
    <w:p>
      <w:pPr>
        <w:wordWrap w:val="0"/>
        <w:spacing w:line="460" w:lineRule="exact"/>
        <w:ind w:firstLine="480"/>
        <w:rPr>
          <w:rFonts w:ascii="宋体" w:hAnsi="宋体" w:cs="宋体"/>
          <w:sz w:val="24"/>
          <w:szCs w:val="24"/>
          <w:highlight w:val="none"/>
        </w:rPr>
      </w:pPr>
      <w:r>
        <w:rPr>
          <w:rFonts w:hint="eastAsia" w:ascii="宋体" w:hAnsi="宋体" w:cs="宋体"/>
          <w:sz w:val="24"/>
          <w:szCs w:val="24"/>
          <w:highlight w:val="none"/>
        </w:rPr>
        <w:t>9.合同解除后，不影响双方在合同中约定的结算和清理尾款的效力，亦不能免除承包人对已完工项目的保修责任。</w:t>
      </w:r>
    </w:p>
    <w:p>
      <w:pPr>
        <w:wordWrap w:val="0"/>
        <w:spacing w:line="460" w:lineRule="exact"/>
        <w:ind w:firstLine="480"/>
        <w:rPr>
          <w:rFonts w:ascii="宋体" w:hAnsi="宋体" w:cs="宋体"/>
          <w:sz w:val="24"/>
          <w:szCs w:val="24"/>
          <w:highlight w:val="none"/>
        </w:rPr>
      </w:pPr>
      <w:r>
        <w:rPr>
          <w:rFonts w:hint="eastAsia" w:ascii="宋体" w:hAnsi="宋体" w:cs="宋体"/>
          <w:sz w:val="24"/>
          <w:szCs w:val="24"/>
          <w:highlight w:val="none"/>
        </w:rPr>
        <w:t>10.若施工工人以发包人为被告以拖欠工资款为理由主张权利的，人民法院可以追加承包人或者违法分包人为本案当事人。发包人只在欠付工程价款范围内对实际施工人承担责任。如发包人代为支付了工程款（工资款）的，则可以直接向承包人追偿。</w:t>
      </w:r>
    </w:p>
    <w:p>
      <w:pPr>
        <w:wordWrap w:val="0"/>
        <w:spacing w:line="460" w:lineRule="exact"/>
        <w:ind w:firstLine="480"/>
        <w:rPr>
          <w:rFonts w:ascii="宋体" w:hAnsi="宋体" w:cs="宋体"/>
          <w:sz w:val="24"/>
          <w:szCs w:val="24"/>
          <w:highlight w:val="none"/>
        </w:rPr>
      </w:pPr>
      <w:r>
        <w:rPr>
          <w:rFonts w:hint="eastAsia" w:ascii="宋体" w:hAnsi="宋体" w:cs="宋体"/>
          <w:sz w:val="24"/>
          <w:szCs w:val="24"/>
          <w:highlight w:val="none"/>
        </w:rPr>
        <w:t>11.若工程所在地的政府、或其他相关部门对本工程提出工程进度、质量方面的要求，且此要求符合本合同的约定时，以工程所在地的政府、或其他相关部门对本工程提出工程进度、质量方面的要求为准。承包人不得以此提出任何工程价款增加的要求。</w:t>
      </w:r>
    </w:p>
    <w:p>
      <w:pPr>
        <w:wordWrap w:val="0"/>
        <w:spacing w:line="460" w:lineRule="exact"/>
        <w:ind w:firstLine="480"/>
        <w:rPr>
          <w:rFonts w:ascii="宋体" w:hAnsi="宋体" w:cs="宋体"/>
          <w:sz w:val="24"/>
          <w:szCs w:val="24"/>
          <w:highlight w:val="none"/>
        </w:rPr>
      </w:pPr>
      <w:r>
        <w:rPr>
          <w:rFonts w:hint="eastAsia" w:ascii="宋体" w:hAnsi="宋体" w:cs="宋体"/>
          <w:sz w:val="24"/>
          <w:szCs w:val="24"/>
          <w:highlight w:val="none"/>
        </w:rPr>
        <w:t>12.在任何索赔和争议期间，不论索赔是否有据，均不能免除承包人按合同规定履行合同义务。承包人不得以此为借口，拒不履行或拖延合同的履行。否则发包人有权单方面终止合同，并要求承包人赔偿由此导致的发包人的损失。</w:t>
      </w:r>
    </w:p>
    <w:p>
      <w:pPr>
        <w:wordWrap w:val="0"/>
        <w:spacing w:line="460" w:lineRule="exact"/>
        <w:ind w:firstLine="480"/>
        <w:rPr>
          <w:rFonts w:ascii="宋体" w:hAnsi="宋体" w:cs="宋体"/>
          <w:sz w:val="24"/>
          <w:szCs w:val="24"/>
          <w:highlight w:val="none"/>
        </w:rPr>
      </w:pPr>
      <w:r>
        <w:rPr>
          <w:rFonts w:hint="eastAsia" w:ascii="宋体" w:hAnsi="宋体" w:cs="宋体"/>
          <w:sz w:val="24"/>
          <w:szCs w:val="24"/>
          <w:highlight w:val="none"/>
        </w:rPr>
        <w:t>附件：</w:t>
      </w:r>
      <w:r>
        <w:rPr>
          <w:rFonts w:ascii="宋体" w:hAnsi="宋体" w:cs="宋体"/>
          <w:sz w:val="24"/>
          <w:szCs w:val="24"/>
          <w:highlight w:val="none"/>
        </w:rPr>
        <w:t>1</w:t>
      </w:r>
      <w:r>
        <w:rPr>
          <w:rFonts w:hint="eastAsia" w:ascii="宋体" w:hAnsi="宋体" w:cs="宋体"/>
          <w:sz w:val="24"/>
          <w:szCs w:val="24"/>
          <w:highlight w:val="none"/>
        </w:rPr>
        <w:t>.中标通知书</w:t>
      </w:r>
      <w:r>
        <w:rPr>
          <w:rFonts w:ascii="宋体" w:hAnsi="宋体" w:cs="宋体"/>
          <w:sz w:val="24"/>
          <w:szCs w:val="24"/>
          <w:highlight w:val="none"/>
        </w:rPr>
        <w:t>/</w:t>
      </w:r>
      <w:r>
        <w:rPr>
          <w:rFonts w:hint="eastAsia" w:ascii="宋体" w:hAnsi="宋体" w:cs="宋体"/>
          <w:sz w:val="24"/>
          <w:szCs w:val="24"/>
          <w:highlight w:val="none"/>
        </w:rPr>
        <w:t>发包通知书（如有）</w:t>
      </w:r>
      <w:bookmarkEnd w:id="464"/>
    </w:p>
    <w:p>
      <w:pPr>
        <w:wordWrap w:val="0"/>
        <w:spacing w:line="460" w:lineRule="exact"/>
        <w:ind w:firstLine="480" w:firstLineChars="200"/>
        <w:rPr>
          <w:rFonts w:ascii="宋体" w:hAnsi="宋体" w:cs="宋体"/>
          <w:sz w:val="24"/>
          <w:szCs w:val="24"/>
          <w:highlight w:val="none"/>
        </w:rPr>
      </w:pPr>
      <w:r>
        <w:rPr>
          <w:rFonts w:ascii="宋体" w:hAnsi="宋体" w:cs="宋体"/>
          <w:sz w:val="24"/>
          <w:szCs w:val="24"/>
          <w:highlight w:val="none"/>
        </w:rPr>
        <w:t xml:space="preserve">      2</w:t>
      </w:r>
      <w:r>
        <w:rPr>
          <w:rFonts w:hint="eastAsia" w:ascii="宋体" w:hAnsi="宋体" w:cs="宋体"/>
          <w:sz w:val="24"/>
          <w:szCs w:val="24"/>
          <w:highlight w:val="none"/>
        </w:rPr>
        <w:t>.补充条款</w:t>
      </w:r>
    </w:p>
    <w:p>
      <w:pPr>
        <w:wordWrap w:val="0"/>
        <w:spacing w:line="460" w:lineRule="exact"/>
        <w:ind w:firstLine="1200" w:firstLineChars="500"/>
        <w:rPr>
          <w:rFonts w:ascii="宋体" w:hAnsi="宋体" w:cs="宋体"/>
          <w:sz w:val="24"/>
          <w:szCs w:val="24"/>
          <w:highlight w:val="none"/>
        </w:rPr>
      </w:pPr>
      <w:r>
        <w:rPr>
          <w:rFonts w:hint="eastAsia" w:ascii="宋体" w:hAnsi="宋体" w:cs="宋体"/>
          <w:sz w:val="24"/>
          <w:szCs w:val="24"/>
          <w:highlight w:val="none"/>
        </w:rPr>
        <w:t>3.廉洁协议</w:t>
      </w:r>
    </w:p>
    <w:p>
      <w:pPr>
        <w:wordWrap w:val="0"/>
        <w:spacing w:line="460" w:lineRule="exact"/>
        <w:ind w:firstLine="1200" w:firstLineChars="500"/>
        <w:rPr>
          <w:rFonts w:ascii="宋体" w:hAnsi="宋体" w:cs="宋体"/>
          <w:sz w:val="24"/>
          <w:szCs w:val="24"/>
          <w:highlight w:val="none"/>
        </w:rPr>
      </w:pPr>
      <w:r>
        <w:rPr>
          <w:rFonts w:hint="eastAsia" w:ascii="宋体" w:hAnsi="宋体" w:cs="宋体"/>
          <w:sz w:val="24"/>
          <w:szCs w:val="24"/>
          <w:highlight w:val="none"/>
        </w:rPr>
        <w:t>4.安全生产、文明施工协议书</w:t>
      </w:r>
    </w:p>
    <w:p>
      <w:pPr>
        <w:wordWrap w:val="0"/>
        <w:spacing w:line="460" w:lineRule="exact"/>
        <w:ind w:firstLine="1200" w:firstLineChars="500"/>
        <w:rPr>
          <w:rFonts w:ascii="宋体" w:hAnsi="宋体" w:cs="宋体"/>
          <w:sz w:val="24"/>
          <w:szCs w:val="24"/>
          <w:highlight w:val="none"/>
        </w:rPr>
      </w:pPr>
      <w:r>
        <w:rPr>
          <w:rFonts w:hint="eastAsia" w:ascii="宋体" w:hAnsi="宋体" w:cs="宋体"/>
          <w:sz w:val="24"/>
          <w:szCs w:val="24"/>
          <w:highlight w:val="none"/>
        </w:rPr>
        <w:t>5.工程质量保修书</w:t>
      </w:r>
    </w:p>
    <w:p>
      <w:pPr>
        <w:wordWrap w:val="0"/>
        <w:spacing w:line="460" w:lineRule="exact"/>
        <w:ind w:firstLine="1200" w:firstLineChars="500"/>
        <w:rPr>
          <w:rFonts w:ascii="宋体" w:hAnsi="宋体" w:cs="宋体"/>
          <w:sz w:val="24"/>
          <w:szCs w:val="24"/>
          <w:highlight w:val="none"/>
        </w:rPr>
      </w:pPr>
      <w:r>
        <w:rPr>
          <w:rFonts w:hint="eastAsia" w:ascii="宋体" w:hAnsi="宋体" w:cs="宋体"/>
          <w:sz w:val="24"/>
          <w:szCs w:val="24"/>
          <w:highlight w:val="none"/>
        </w:rPr>
        <w:t>6.环境保护和水土保持责任书</w:t>
      </w:r>
    </w:p>
    <w:p>
      <w:pPr>
        <w:wordWrap w:val="0"/>
        <w:spacing w:line="460" w:lineRule="exact"/>
        <w:ind w:firstLine="1200" w:firstLineChars="500"/>
        <w:rPr>
          <w:rFonts w:ascii="宋体" w:hAnsi="宋体" w:cs="宋体"/>
          <w:sz w:val="24"/>
          <w:szCs w:val="24"/>
          <w:highlight w:val="none"/>
        </w:rPr>
      </w:pP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发包人(公章)：</w:t>
      </w:r>
      <w:r>
        <w:rPr>
          <w:rFonts w:hint="eastAsia" w:ascii="宋体" w:hAnsi="宋体"/>
          <w:b/>
          <w:bCs/>
          <w:sz w:val="24"/>
          <w:szCs w:val="24"/>
          <w:highlight w:val="none"/>
        </w:rPr>
        <w:t xml:space="preserve"> </w:t>
      </w:r>
      <w:r>
        <w:rPr>
          <w:rFonts w:ascii="宋体" w:hAnsi="宋体"/>
          <w:b/>
          <w:bCs/>
          <w:sz w:val="24"/>
          <w:szCs w:val="24"/>
          <w:highlight w:val="none"/>
        </w:rPr>
        <w:t xml:space="preserve">                  </w:t>
      </w:r>
      <w:r>
        <w:rPr>
          <w:rFonts w:hint="eastAsia" w:ascii="宋体" w:hAnsi="宋体" w:cs="宋体"/>
          <w:sz w:val="24"/>
          <w:szCs w:val="24"/>
          <w:highlight w:val="none"/>
        </w:rPr>
        <w:t xml:space="preserve"> </w:t>
      </w:r>
      <w:r>
        <w:rPr>
          <w:rFonts w:hint="eastAsia" w:ascii="宋体" w:hAnsi="宋体" w:cs="宋体"/>
          <w:sz w:val="24"/>
          <w:szCs w:val="24"/>
          <w:highlight w:val="none"/>
        </w:rPr>
        <w:tab/>
      </w:r>
      <w:r>
        <w:rPr>
          <w:rFonts w:hint="eastAsia" w:ascii="宋体" w:hAnsi="宋体" w:cs="宋体"/>
          <w:sz w:val="24"/>
          <w:szCs w:val="24"/>
          <w:highlight w:val="none"/>
        </w:rPr>
        <w:t xml:space="preserve">  承包人(公章)： </w:t>
      </w:r>
      <w:r>
        <w:rPr>
          <w:rFonts w:hint="eastAsia" w:ascii="宋体" w:hAnsi="宋体" w:cs="宋体"/>
          <w:sz w:val="24"/>
          <w:szCs w:val="24"/>
          <w:highlight w:val="none"/>
        </w:rPr>
        <w:tab/>
      </w:r>
      <w:r>
        <w:rPr>
          <w:rFonts w:hint="eastAsia" w:ascii="宋体" w:hAnsi="宋体" w:cs="宋体"/>
          <w:sz w:val="24"/>
          <w:szCs w:val="24"/>
          <w:highlight w:val="none"/>
        </w:rPr>
        <w:t xml:space="preserve"> </w:t>
      </w:r>
    </w:p>
    <w:p>
      <w:pPr>
        <w:wordWrap w:val="0"/>
        <w:spacing w:line="480" w:lineRule="exact"/>
        <w:ind w:firstLine="480" w:firstLineChars="200"/>
        <w:rPr>
          <w:rFonts w:ascii="宋体" w:hAnsi="宋体" w:cs="宋体"/>
          <w:sz w:val="24"/>
          <w:szCs w:val="24"/>
          <w:highlight w:val="none"/>
        </w:rPr>
      </w:pP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地 址： </w:t>
      </w:r>
      <w:r>
        <w:rPr>
          <w:rFonts w:hint="eastAsia" w:ascii="宋体" w:hAnsi="宋体" w:cs="宋体"/>
          <w:sz w:val="24"/>
          <w:szCs w:val="24"/>
          <w:highlight w:val="none"/>
        </w:rPr>
        <w:tab/>
      </w:r>
      <w:r>
        <w:rPr>
          <w:rFonts w:hint="eastAsia" w:ascii="宋体" w:hAnsi="宋体" w:cs="宋体"/>
          <w:sz w:val="24"/>
          <w:szCs w:val="24"/>
          <w:highlight w:val="none"/>
        </w:rPr>
        <w:tab/>
      </w:r>
      <w:r>
        <w:rPr>
          <w:rFonts w:hint="eastAsia" w:ascii="宋体" w:hAnsi="宋体" w:cs="宋体"/>
          <w:sz w:val="24"/>
          <w:szCs w:val="24"/>
          <w:highlight w:val="none"/>
        </w:rPr>
        <w:t xml:space="preserve">                          地 址： </w:t>
      </w:r>
      <w:r>
        <w:rPr>
          <w:rFonts w:hint="eastAsia" w:ascii="宋体" w:hAnsi="宋体" w:cs="宋体"/>
          <w:sz w:val="24"/>
          <w:szCs w:val="24"/>
          <w:highlight w:val="none"/>
        </w:rPr>
        <w:tab/>
      </w:r>
      <w:r>
        <w:rPr>
          <w:rFonts w:hint="eastAsia" w:ascii="宋体" w:hAnsi="宋体" w:cs="宋体"/>
          <w:sz w:val="24"/>
          <w:szCs w:val="24"/>
          <w:highlight w:val="none"/>
        </w:rPr>
        <w:t xml:space="preserve"> </w:t>
      </w:r>
    </w:p>
    <w:p>
      <w:pPr>
        <w:wordWrap w:val="0"/>
        <w:spacing w:line="480" w:lineRule="exact"/>
        <w:ind w:firstLine="480" w:firstLineChars="200"/>
        <w:rPr>
          <w:rFonts w:ascii="宋体" w:hAnsi="宋体" w:cs="宋体"/>
          <w:sz w:val="24"/>
          <w:szCs w:val="24"/>
          <w:highlight w:val="none"/>
        </w:rPr>
      </w:pP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法定代表人</w:t>
      </w:r>
      <w:r>
        <w:rPr>
          <w:rFonts w:hint="eastAsia" w:ascii="宋体" w:hAnsi="宋体" w:cs="宋体"/>
          <w:sz w:val="24"/>
          <w:szCs w:val="24"/>
          <w:highlight w:val="none"/>
        </w:rPr>
        <w:tab/>
      </w:r>
      <w:r>
        <w:rPr>
          <w:rFonts w:hint="eastAsia" w:ascii="宋体" w:hAnsi="宋体" w:cs="宋体"/>
          <w:sz w:val="24"/>
          <w:szCs w:val="24"/>
          <w:highlight w:val="none"/>
        </w:rPr>
        <w:tab/>
      </w:r>
      <w:r>
        <w:rPr>
          <w:rFonts w:hint="eastAsia" w:ascii="宋体" w:hAnsi="宋体" w:cs="宋体"/>
          <w:sz w:val="24"/>
          <w:szCs w:val="24"/>
          <w:highlight w:val="none"/>
        </w:rPr>
        <w:tab/>
      </w:r>
      <w:r>
        <w:rPr>
          <w:rFonts w:hint="eastAsia" w:ascii="宋体" w:hAnsi="宋体" w:cs="宋体"/>
          <w:sz w:val="24"/>
          <w:szCs w:val="24"/>
          <w:highlight w:val="none"/>
        </w:rPr>
        <w:t xml:space="preserve">                   法定代表人</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或委托代理人：（签字） </w:t>
      </w:r>
      <w:r>
        <w:rPr>
          <w:rFonts w:hint="eastAsia" w:ascii="宋体" w:hAnsi="宋体" w:cs="宋体"/>
          <w:sz w:val="24"/>
          <w:szCs w:val="24"/>
          <w:highlight w:val="none"/>
        </w:rPr>
        <w:tab/>
      </w:r>
      <w:r>
        <w:rPr>
          <w:rFonts w:hint="eastAsia" w:ascii="宋体" w:hAnsi="宋体" w:cs="宋体"/>
          <w:sz w:val="24"/>
          <w:szCs w:val="24"/>
          <w:highlight w:val="none"/>
        </w:rPr>
        <w:tab/>
      </w:r>
      <w:r>
        <w:rPr>
          <w:rFonts w:hint="eastAsia" w:ascii="宋体" w:hAnsi="宋体" w:cs="宋体"/>
          <w:sz w:val="24"/>
          <w:szCs w:val="24"/>
          <w:highlight w:val="none"/>
        </w:rPr>
        <w:t xml:space="preserve">            或委托代理人：（签字）</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日  期：                               日  期：</w:t>
      </w:r>
    </w:p>
    <w:p>
      <w:pPr>
        <w:wordWrap w:val="0"/>
        <w:spacing w:line="480" w:lineRule="exact"/>
        <w:ind w:firstLine="480" w:firstLineChars="200"/>
        <w:rPr>
          <w:rFonts w:ascii="宋体" w:hAnsi="宋体" w:cs="宋体"/>
          <w:sz w:val="24"/>
          <w:szCs w:val="24"/>
          <w:highlight w:val="none"/>
        </w:rPr>
      </w:pPr>
    </w:p>
    <w:p>
      <w:pPr>
        <w:wordWrap w:val="0"/>
        <w:spacing w:line="480" w:lineRule="exact"/>
        <w:ind w:firstLine="480" w:firstLineChars="200"/>
        <w:rPr>
          <w:rFonts w:ascii="宋体" w:hAnsi="宋体" w:cs="宋体"/>
          <w:sz w:val="24"/>
          <w:szCs w:val="24"/>
          <w:highlight w:val="none"/>
        </w:rPr>
      </w:pPr>
    </w:p>
    <w:p>
      <w:pPr>
        <w:wordWrap w:val="0"/>
        <w:spacing w:line="480" w:lineRule="exact"/>
        <w:ind w:firstLine="480" w:firstLineChars="200"/>
        <w:rPr>
          <w:rFonts w:ascii="宋体" w:hAnsi="宋体" w:cs="宋体"/>
          <w:sz w:val="24"/>
          <w:szCs w:val="24"/>
          <w:highlight w:val="none"/>
        </w:rPr>
        <w:sectPr>
          <w:pgSz w:w="11906" w:h="16838"/>
          <w:pgMar w:top="1440" w:right="1286" w:bottom="1440" w:left="1600" w:header="851" w:footer="992" w:gutter="0"/>
          <w:cols w:space="0" w:num="1"/>
          <w:rtlGutter w:val="0"/>
          <w:docGrid w:type="lines" w:linePitch="312" w:charSpace="0"/>
        </w:sectPr>
      </w:pPr>
    </w:p>
    <w:p>
      <w:pPr>
        <w:wordWrap w:val="0"/>
        <w:spacing w:after="100" w:afterAutospacing="1"/>
        <w:ind w:firstLine="0" w:firstLineChars="0"/>
        <w:jc w:val="center"/>
        <w:rPr>
          <w:sz w:val="32"/>
          <w:szCs w:val="32"/>
          <w:highlight w:val="none"/>
        </w:rPr>
      </w:pPr>
      <w:bookmarkStart w:id="465" w:name="_Toc486238259"/>
      <w:bookmarkStart w:id="466" w:name="_Toc486428085"/>
      <w:bookmarkStart w:id="467" w:name="_Toc486238467"/>
      <w:bookmarkStart w:id="468" w:name="_Toc13710"/>
      <w:bookmarkStart w:id="469" w:name="_Toc14108"/>
      <w:bookmarkStart w:id="470" w:name="_Toc484011669"/>
      <w:bookmarkStart w:id="471" w:name="_Toc486238310"/>
      <w:bookmarkStart w:id="472" w:name="_Toc486238415"/>
      <w:r>
        <w:rPr>
          <w:rFonts w:hint="eastAsia" w:ascii="华文中宋" w:hAnsi="华文中宋" w:eastAsia="华文中宋" w:cs="华文中宋"/>
          <w:sz w:val="32"/>
          <w:szCs w:val="32"/>
          <w:highlight w:val="none"/>
        </w:rPr>
        <w:t>补充条款</w:t>
      </w:r>
      <w:bookmarkEnd w:id="465"/>
      <w:bookmarkEnd w:id="466"/>
      <w:bookmarkEnd w:id="467"/>
      <w:bookmarkEnd w:id="468"/>
      <w:bookmarkEnd w:id="469"/>
      <w:bookmarkEnd w:id="470"/>
      <w:bookmarkEnd w:id="471"/>
      <w:bookmarkEnd w:id="472"/>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根据《广州市住房和城乡建设局 广州市人力资源和社会保障局 广州市交通运输局 广州市水务局 广州市林业和园林局 中国人民银行广州分行营业管理部关于印发广州市建设领域工人工资支付分账管理实施细则的通知》（穗建规字〔2020〕37号)要求，与施工单位签订合同时需约定施工单位在商业银行建立工人工资支付专用账户，因原有合同没有涉及关于工人工资支付分账管理的内容，鉴于上述原因，发包方、承包方双方经过友好协商，达成如下协议：</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承包方设立工人工资支付专用账户用于支付本施工项目的工人工资，账户名称：</w:t>
      </w:r>
      <w:r>
        <w:rPr>
          <w:rFonts w:hint="eastAsia" w:ascii="宋体" w:hAnsi="宋体" w:cs="宋体"/>
          <w:sz w:val="24"/>
          <w:szCs w:val="24"/>
          <w:highlight w:val="none"/>
          <w:u w:val="single"/>
        </w:rPr>
        <w:t xml:space="preserve">               </w:t>
      </w: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，开户银行：</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，并在用工15日内为每个工人办理工资个人账户；</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方在申请工程进度款时，须明确进度款中的工人工资款项，发包方将工程进度款中的工资款项拨入工人工资支付专用账户。合同符合财政直接支付要求的，由发包方报市财政局直接支付。承包方通过工人工资支付专用账户，依法按时足额将工人工资直接支付到工人的工资个人账户，并每月将工人工资支付明细表报发包方备案；</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承包方应当建立用工管理台账，真实、准确记录工人名册、劳动合同、劳务合同、工程进度、工时、劳务承包款和工人工资支付情况等信息，并保存两年以上备查；</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方连续拖欠工人工资2个月以上或者累计拖欠达3个月以上，发包方将上报行政主管部门予以公布，并按规定对其市场准入、招投标资格和新开工项目施工许可等进行限制，且纳入广州市水务工程诚信评价系统，人力资源社会保障部门将对其重点监察，依法作出行政处罚后记入劳动保障守法诚信档案，并将处罚结果通报当地征信系统管理部门和各行政主管部门；</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有关工人工资分账管理具体情况参照《广州市住房和城乡建设局 广州市人力资源和社会保障局 广州市交通运输局 广州市水务局 广州市林业和园林局 中国人民银行广州分行营业管理部关于印发广州市建设领域工人工资支付分账管理实施细则的通知》</w:t>
      </w:r>
      <w:r>
        <w:rPr>
          <w:rFonts w:hint="eastAsia" w:ascii="宋体" w:hAnsi="宋体" w:cs="宋体"/>
          <w:sz w:val="24"/>
          <w:szCs w:val="24"/>
          <w:highlight w:val="none"/>
          <w:lang w:eastAsia="zh-CN"/>
        </w:rPr>
        <w:t>（</w:t>
      </w:r>
      <w:r>
        <w:rPr>
          <w:rFonts w:hint="eastAsia" w:ascii="宋体" w:hAnsi="宋体" w:cs="宋体"/>
          <w:sz w:val="24"/>
          <w:szCs w:val="24"/>
          <w:highlight w:val="none"/>
        </w:rPr>
        <w:t>穗建规字〔2020〕37号）执行。</w:t>
      </w:r>
    </w:p>
    <w:p>
      <w:pPr>
        <w:wordWrap w:val="0"/>
        <w:spacing w:line="460" w:lineRule="exact"/>
        <w:rPr>
          <w:sz w:val="24"/>
          <w:szCs w:val="24"/>
          <w:highlight w:val="none"/>
        </w:rPr>
      </w:pP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发包人(公章)： </w:t>
      </w:r>
      <w:r>
        <w:rPr>
          <w:rFonts w:ascii="宋体" w:hAnsi="宋体" w:cs="宋体"/>
          <w:sz w:val="24"/>
          <w:szCs w:val="24"/>
          <w:highlight w:val="none"/>
        </w:rPr>
        <w:t xml:space="preserve">                   </w:t>
      </w:r>
      <w:r>
        <w:rPr>
          <w:rFonts w:hint="eastAsia" w:ascii="宋体" w:hAnsi="宋体" w:cs="宋体"/>
          <w:sz w:val="24"/>
          <w:szCs w:val="24"/>
          <w:highlight w:val="none"/>
        </w:rPr>
        <w:t xml:space="preserve">     承包人(公章)： </w:t>
      </w:r>
      <w:r>
        <w:rPr>
          <w:rFonts w:hint="eastAsia" w:ascii="宋体" w:hAnsi="宋体" w:cs="宋体"/>
          <w:sz w:val="24"/>
          <w:szCs w:val="24"/>
          <w:highlight w:val="none"/>
        </w:rPr>
        <w:tab/>
      </w:r>
      <w:r>
        <w:rPr>
          <w:rFonts w:hint="eastAsia" w:ascii="宋体" w:hAnsi="宋体" w:cs="宋体"/>
          <w:sz w:val="24"/>
          <w:szCs w:val="24"/>
          <w:highlight w:val="none"/>
        </w:rPr>
        <w:t xml:space="preserve"> </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地 址： </w:t>
      </w:r>
      <w:r>
        <w:rPr>
          <w:rFonts w:hint="eastAsia" w:ascii="宋体" w:hAnsi="宋体" w:cs="宋体"/>
          <w:sz w:val="24"/>
          <w:szCs w:val="24"/>
          <w:highlight w:val="none"/>
        </w:rPr>
        <w:tab/>
      </w:r>
      <w:r>
        <w:rPr>
          <w:rFonts w:hint="eastAsia" w:ascii="宋体" w:hAnsi="宋体" w:cs="宋体"/>
          <w:sz w:val="24"/>
          <w:szCs w:val="24"/>
          <w:highlight w:val="none"/>
        </w:rPr>
        <w:tab/>
      </w:r>
      <w:r>
        <w:rPr>
          <w:rFonts w:hint="eastAsia" w:ascii="宋体" w:hAnsi="宋体" w:cs="宋体"/>
          <w:sz w:val="24"/>
          <w:szCs w:val="24"/>
          <w:highlight w:val="none"/>
        </w:rPr>
        <w:t xml:space="preserve">                          地 址： </w:t>
      </w:r>
      <w:r>
        <w:rPr>
          <w:rFonts w:hint="eastAsia" w:ascii="宋体" w:hAnsi="宋体" w:cs="宋体"/>
          <w:sz w:val="24"/>
          <w:szCs w:val="24"/>
          <w:highlight w:val="none"/>
        </w:rPr>
        <w:tab/>
      </w:r>
      <w:r>
        <w:rPr>
          <w:rFonts w:hint="eastAsia" w:ascii="宋体" w:hAnsi="宋体" w:cs="宋体"/>
          <w:sz w:val="24"/>
          <w:szCs w:val="24"/>
          <w:highlight w:val="none"/>
        </w:rPr>
        <w:t xml:space="preserve"> </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法定代表人</w:t>
      </w:r>
      <w:r>
        <w:rPr>
          <w:rFonts w:hint="eastAsia" w:ascii="宋体" w:hAnsi="宋体" w:cs="宋体"/>
          <w:sz w:val="24"/>
          <w:szCs w:val="24"/>
          <w:highlight w:val="none"/>
        </w:rPr>
        <w:tab/>
      </w:r>
      <w:r>
        <w:rPr>
          <w:rFonts w:hint="eastAsia" w:ascii="宋体" w:hAnsi="宋体" w:cs="宋体"/>
          <w:sz w:val="24"/>
          <w:szCs w:val="24"/>
          <w:highlight w:val="none"/>
        </w:rPr>
        <w:tab/>
      </w:r>
      <w:r>
        <w:rPr>
          <w:rFonts w:hint="eastAsia" w:ascii="宋体" w:hAnsi="宋体" w:cs="宋体"/>
          <w:sz w:val="24"/>
          <w:szCs w:val="24"/>
          <w:highlight w:val="none"/>
        </w:rPr>
        <w:tab/>
      </w:r>
      <w:r>
        <w:rPr>
          <w:rFonts w:hint="eastAsia" w:ascii="宋体" w:hAnsi="宋体" w:cs="宋体"/>
          <w:sz w:val="24"/>
          <w:szCs w:val="24"/>
          <w:highlight w:val="none"/>
        </w:rPr>
        <w:t xml:space="preserve">                   法定代表人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或委托代理人：（签字） </w:t>
      </w:r>
      <w:r>
        <w:rPr>
          <w:rFonts w:hint="eastAsia" w:ascii="宋体" w:hAnsi="宋体" w:cs="宋体"/>
          <w:sz w:val="24"/>
          <w:szCs w:val="24"/>
          <w:highlight w:val="none"/>
        </w:rPr>
        <w:tab/>
      </w:r>
      <w:r>
        <w:rPr>
          <w:rFonts w:hint="eastAsia" w:ascii="宋体" w:hAnsi="宋体" w:cs="宋体"/>
          <w:sz w:val="24"/>
          <w:szCs w:val="24"/>
          <w:highlight w:val="none"/>
        </w:rPr>
        <w:tab/>
      </w:r>
      <w:r>
        <w:rPr>
          <w:rFonts w:hint="eastAsia" w:ascii="宋体" w:hAnsi="宋体" w:cs="宋体"/>
          <w:sz w:val="24"/>
          <w:szCs w:val="24"/>
          <w:highlight w:val="none"/>
        </w:rPr>
        <w:t xml:space="preserve">            或委托代理人：（签字）</w:t>
      </w:r>
    </w:p>
    <w:p>
      <w:pPr>
        <w:wordWrap w:val="0"/>
        <w:ind w:firstLine="480" w:firstLineChars="200"/>
        <w:rPr>
          <w:rFonts w:ascii="宋体" w:hAnsi="宋体" w:cs="宋体"/>
          <w:sz w:val="24"/>
          <w:szCs w:val="24"/>
          <w:highlight w:val="none"/>
        </w:rPr>
      </w:pPr>
      <w:r>
        <w:rPr>
          <w:rFonts w:hint="eastAsia" w:ascii="宋体" w:hAnsi="宋体" w:cs="宋体"/>
          <w:sz w:val="24"/>
          <w:szCs w:val="24"/>
          <w:highlight w:val="none"/>
        </w:rPr>
        <w:t xml:space="preserve">日  期：                                日  期：   </w:t>
      </w:r>
    </w:p>
    <w:p>
      <w:pPr>
        <w:wordWrap w:val="0"/>
        <w:ind w:firstLine="480" w:firstLineChars="200"/>
        <w:outlineLvl w:val="0"/>
        <w:rPr>
          <w:rFonts w:ascii="Cambria"/>
          <w:highlight w:val="none"/>
        </w:rPr>
      </w:pPr>
      <w:r>
        <w:rPr>
          <w:rFonts w:hint="eastAsia" w:ascii="宋体" w:hAnsi="宋体" w:cs="宋体"/>
          <w:sz w:val="24"/>
          <w:szCs w:val="24"/>
          <w:highlight w:val="none"/>
        </w:rPr>
        <w:br w:type="page"/>
      </w:r>
      <w:bookmarkStart w:id="473" w:name="_Toc11926"/>
      <w:bookmarkStart w:id="474" w:name="_Toc31810"/>
      <w:r>
        <w:rPr>
          <w:rFonts w:hint="eastAsia" w:ascii="宋体"/>
          <w:sz w:val="24"/>
          <w:szCs w:val="28"/>
          <w:highlight w:val="none"/>
        </w:rPr>
        <w:t xml:space="preserve">附件 </w:t>
      </w:r>
      <w:bookmarkEnd w:id="473"/>
      <w:bookmarkEnd w:id="474"/>
      <w:r>
        <w:rPr>
          <w:rFonts w:hint="eastAsia" w:ascii="宋体"/>
          <w:sz w:val="24"/>
          <w:szCs w:val="28"/>
          <w:highlight w:val="none"/>
        </w:rPr>
        <w:t>1</w:t>
      </w:r>
    </w:p>
    <w:p>
      <w:pPr>
        <w:pStyle w:val="18"/>
        <w:wordWrap w:val="0"/>
        <w:spacing w:before="5"/>
        <w:rPr>
          <w:rFonts w:ascii="Cambria"/>
          <w:sz w:val="17"/>
          <w:highlight w:val="none"/>
        </w:rPr>
      </w:pPr>
    </w:p>
    <w:p>
      <w:pPr>
        <w:wordWrap w:val="0"/>
        <w:jc w:val="center"/>
        <w:outlineLvl w:val="0"/>
        <w:rPr>
          <w:b/>
          <w:bCs/>
          <w:sz w:val="36"/>
          <w:szCs w:val="40"/>
          <w:highlight w:val="none"/>
        </w:rPr>
      </w:pPr>
      <w:bookmarkStart w:id="475" w:name="_Toc21543"/>
      <w:bookmarkStart w:id="476" w:name="_Toc12654"/>
      <w:r>
        <w:rPr>
          <w:rFonts w:hint="eastAsia"/>
          <w:b/>
          <w:bCs/>
          <w:sz w:val="36"/>
          <w:szCs w:val="40"/>
          <w:highlight w:val="none"/>
        </w:rPr>
        <w:t>廉政</w:t>
      </w:r>
      <w:bookmarkEnd w:id="475"/>
      <w:bookmarkEnd w:id="476"/>
      <w:r>
        <w:rPr>
          <w:rFonts w:hint="eastAsia"/>
          <w:b/>
          <w:bCs/>
          <w:sz w:val="36"/>
          <w:szCs w:val="40"/>
          <w:highlight w:val="none"/>
        </w:rPr>
        <w:t>协议</w:t>
      </w:r>
    </w:p>
    <w:p>
      <w:pPr>
        <w:wordWrap w:val="0"/>
        <w:spacing w:line="360" w:lineRule="auto"/>
        <w:ind w:right="69" w:rightChars="33" w:firstLine="482" w:firstLineChars="200"/>
        <w:rPr>
          <w:rFonts w:ascii="宋体" w:hAnsi="宋体"/>
          <w:b/>
          <w:bCs/>
          <w:sz w:val="24"/>
          <w:szCs w:val="24"/>
          <w:highlight w:val="none"/>
        </w:rPr>
      </w:pPr>
    </w:p>
    <w:p>
      <w:pPr>
        <w:wordWrap w:val="0"/>
        <w:spacing w:line="360" w:lineRule="auto"/>
        <w:ind w:right="69" w:rightChars="33" w:firstLine="482" w:firstLineChars="200"/>
        <w:rPr>
          <w:rFonts w:ascii="宋体" w:hAnsi="宋体"/>
          <w:b/>
          <w:bCs/>
          <w:sz w:val="24"/>
          <w:szCs w:val="24"/>
          <w:highlight w:val="none"/>
          <w:u w:val="single"/>
        </w:rPr>
      </w:pPr>
      <w:bookmarkStart w:id="477" w:name="_Toc24876"/>
      <w:r>
        <w:rPr>
          <w:rFonts w:hint="eastAsia" w:ascii="宋体" w:hAnsi="宋体"/>
          <w:b/>
          <w:bCs/>
          <w:sz w:val="24"/>
          <w:szCs w:val="24"/>
          <w:highlight w:val="none"/>
        </w:rPr>
        <w:t>发包人（全称）：</w:t>
      </w:r>
      <w:r>
        <w:rPr>
          <w:rFonts w:hint="eastAsia" w:ascii="宋体" w:hAnsi="宋体"/>
          <w:b/>
          <w:bCs/>
          <w:sz w:val="24"/>
          <w:szCs w:val="24"/>
          <w:highlight w:val="none"/>
          <w:u w:val="single"/>
        </w:rPr>
        <w:t xml:space="preserve"> </w:t>
      </w:r>
      <w:bookmarkEnd w:id="477"/>
      <w:r>
        <w:rPr>
          <w:rFonts w:hint="eastAsia" w:ascii="宋体" w:hAnsi="宋体"/>
          <w:b/>
          <w:bCs/>
          <w:sz w:val="24"/>
          <w:szCs w:val="24"/>
          <w:highlight w:val="none"/>
          <w:u w:val="single"/>
        </w:rPr>
        <w:t xml:space="preserve"> </w:t>
      </w:r>
      <w:r>
        <w:rPr>
          <w:rFonts w:ascii="宋体" w:hAnsi="宋体"/>
          <w:b/>
          <w:bCs/>
          <w:sz w:val="24"/>
          <w:szCs w:val="24"/>
          <w:highlight w:val="none"/>
          <w:u w:val="single"/>
        </w:rPr>
        <w:t xml:space="preserve">                   </w:t>
      </w:r>
      <w:r>
        <w:rPr>
          <w:rFonts w:hint="eastAsia" w:ascii="宋体" w:hAnsi="宋体"/>
          <w:b/>
          <w:bCs/>
          <w:sz w:val="24"/>
          <w:szCs w:val="24"/>
          <w:highlight w:val="none"/>
          <w:u w:val="single"/>
        </w:rPr>
        <w:t xml:space="preserve"> </w:t>
      </w:r>
    </w:p>
    <w:p>
      <w:pPr>
        <w:wordWrap w:val="0"/>
        <w:spacing w:line="240" w:lineRule="atLeast"/>
        <w:ind w:firstLine="480" w:firstLineChars="200"/>
        <w:rPr>
          <w:rFonts w:ascii="宋体" w:hAnsi="宋体"/>
          <w:sz w:val="24"/>
          <w:szCs w:val="24"/>
          <w:highlight w:val="none"/>
        </w:rPr>
      </w:pPr>
    </w:p>
    <w:p>
      <w:pPr>
        <w:wordWrap w:val="0"/>
        <w:spacing w:line="360" w:lineRule="auto"/>
        <w:ind w:right="69" w:rightChars="33" w:firstLine="482" w:firstLineChars="200"/>
        <w:rPr>
          <w:rFonts w:ascii="宋体" w:hAnsi="宋体"/>
          <w:b/>
          <w:bCs/>
          <w:sz w:val="24"/>
          <w:szCs w:val="24"/>
          <w:highlight w:val="none"/>
          <w:u w:val="single"/>
        </w:rPr>
      </w:pPr>
      <w:bookmarkStart w:id="478" w:name="_Toc29157"/>
      <w:r>
        <w:rPr>
          <w:rFonts w:hint="eastAsia" w:ascii="宋体" w:hAnsi="宋体"/>
          <w:b/>
          <w:bCs/>
          <w:sz w:val="24"/>
          <w:szCs w:val="24"/>
          <w:highlight w:val="none"/>
        </w:rPr>
        <w:t>承包人（全称）：</w:t>
      </w:r>
      <w:bookmarkEnd w:id="478"/>
      <w:r>
        <w:rPr>
          <w:rFonts w:hint="eastAsia" w:ascii="宋体" w:hAnsi="宋体"/>
          <w:b/>
          <w:bCs/>
          <w:sz w:val="24"/>
          <w:szCs w:val="24"/>
          <w:highlight w:val="none"/>
        </w:rPr>
        <w:t xml:space="preserve"> </w:t>
      </w:r>
      <w:r>
        <w:rPr>
          <w:rFonts w:hint="eastAsia" w:ascii="宋体" w:hAnsi="宋体"/>
          <w:b/>
          <w:bCs/>
          <w:sz w:val="24"/>
          <w:szCs w:val="24"/>
          <w:highlight w:val="none"/>
          <w:u w:val="single"/>
        </w:rPr>
        <w:t xml:space="preserve">                     </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根据国家、省有关廉政建设的规定，为做好合同工程的廉政建设，保证工程质量与施工安全，提高建设资金的有效使用和投资效益，合同双方当事人就加强合同工程的廉政建设，订立本合同。</w:t>
      </w:r>
    </w:p>
    <w:p>
      <w:pPr>
        <w:wordWrap w:val="0"/>
        <w:spacing w:line="460" w:lineRule="exact"/>
        <w:ind w:firstLine="482" w:firstLineChars="200"/>
        <w:outlineLvl w:val="0"/>
        <w:rPr>
          <w:rFonts w:ascii="宋体" w:hAnsi="宋体" w:cs="宋体"/>
          <w:b/>
          <w:bCs/>
          <w:sz w:val="24"/>
          <w:szCs w:val="24"/>
          <w:highlight w:val="none"/>
        </w:rPr>
      </w:pPr>
      <w:bookmarkStart w:id="479" w:name="_Toc17805"/>
      <w:bookmarkStart w:id="480" w:name="_Toc19228"/>
      <w:r>
        <w:rPr>
          <w:rFonts w:hint="eastAsia" w:ascii="宋体" w:hAnsi="宋体" w:cs="宋体"/>
          <w:b/>
          <w:bCs/>
          <w:sz w:val="24"/>
          <w:szCs w:val="24"/>
          <w:highlight w:val="none"/>
        </w:rPr>
        <w:t>一、双方权利和义务</w:t>
      </w:r>
      <w:bookmarkEnd w:id="479"/>
      <w:bookmarkEnd w:id="480"/>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1.严格遵守国家、省有关法律法规的规定。</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2.严格执行合同工程一切合同文件，自觉按合同办事。</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3合同双方当事人的业务活动应坚持公平、公开、公正和诚信的原则（法律认定的商业秘密和合同文件另有规定除外），不得损害国家和集体利益，不得违反工程建设管理规章制度。</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4建立健全廉政制度，开展廉政教育，设立廉政告示牌，公布举报电话，监督并认真查处违法违纪行为。</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5发现对方在业务活动中有违反廉政建设规定的行为，应及时给予提醒和纠正。</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6发现对方严重违反合同的行为，有向其上级部门举报、建议给予处理并要求告知处理结果的权利。没有上级部门的，可按本合同第二部分《通用条款》相关规定处理。</w:t>
      </w:r>
    </w:p>
    <w:p>
      <w:pPr>
        <w:wordWrap w:val="0"/>
        <w:spacing w:line="460" w:lineRule="exact"/>
        <w:ind w:firstLine="482" w:firstLineChars="200"/>
        <w:outlineLvl w:val="0"/>
        <w:rPr>
          <w:rFonts w:ascii="宋体" w:hAnsi="宋体" w:cs="宋体"/>
          <w:b/>
          <w:bCs/>
          <w:sz w:val="24"/>
          <w:szCs w:val="24"/>
          <w:highlight w:val="none"/>
        </w:rPr>
      </w:pPr>
      <w:bookmarkStart w:id="481" w:name="_Toc28846"/>
      <w:bookmarkStart w:id="482" w:name="_Toc29068"/>
      <w:r>
        <w:rPr>
          <w:rFonts w:hint="eastAsia" w:ascii="宋体" w:hAnsi="宋体" w:cs="宋体"/>
          <w:b/>
          <w:bCs/>
          <w:sz w:val="24"/>
          <w:szCs w:val="24"/>
          <w:highlight w:val="none"/>
        </w:rPr>
        <w:t>二、发包人义务</w:t>
      </w:r>
      <w:bookmarkEnd w:id="481"/>
      <w:bookmarkEnd w:id="482"/>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1.发包人及其工作人员不得索取或接受承包人的礼金、有价证券和贵重物品，不得在承包人报销任何应由发包人或其工作人员个人支付的费用。</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2.发包人及其工作人员不得参加承包人安排的宴请（工作餐除外）和娱乐活动，不得接受承包人提供的通讯、交通工具和高档办公用品等物品。</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3.发包人及其工作人员不得要求或者接受承包人为其住房装修、婚丧嫁娶活动、配偶子女工作安排以及出国出境、旅游等提供方便。</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4.发包人及其工作人员不得以任何理由向承包人推荐分包人、推销材料和工程设备，不得要求承包人购买合同以外的材料和工程设备。</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5.发包人及其工作人员要秉公办事，不准营私舞弊，不准利用职权私自为合同工程安排施工队伍，也不得从事与合同工程有关的各种有偿中介活动。</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6.发包人及其工作人员（含其配偶、子女）不得从事与合同工程有关的材料和工程设备供应、工程分包、劳务等经济活动。</w:t>
      </w:r>
    </w:p>
    <w:p>
      <w:pPr>
        <w:wordWrap w:val="0"/>
        <w:spacing w:line="460" w:lineRule="exact"/>
        <w:ind w:firstLine="482" w:firstLineChars="200"/>
        <w:outlineLvl w:val="0"/>
        <w:rPr>
          <w:rFonts w:ascii="宋体" w:hAnsi="宋体" w:cs="宋体"/>
          <w:b/>
          <w:bCs/>
          <w:sz w:val="24"/>
          <w:szCs w:val="24"/>
          <w:highlight w:val="none"/>
        </w:rPr>
      </w:pPr>
      <w:bookmarkStart w:id="483" w:name="_Toc3932"/>
      <w:bookmarkStart w:id="484" w:name="_Toc3479"/>
      <w:r>
        <w:rPr>
          <w:rFonts w:hint="eastAsia" w:ascii="宋体" w:hAnsi="宋体" w:cs="宋体"/>
          <w:b/>
          <w:bCs/>
          <w:sz w:val="24"/>
          <w:szCs w:val="24"/>
          <w:highlight w:val="none"/>
        </w:rPr>
        <w:t>三、承包人义务</w:t>
      </w:r>
      <w:bookmarkEnd w:id="483"/>
      <w:bookmarkEnd w:id="484"/>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1.承包人不得以任何理由向发包人及其工作人员行贿或馈赠礼金、有价证券、贵重礼品。</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2.承包人不得以任何名义为发包人及其工作人员报销应由发包人或其工作人员个人支付的任何费用。</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3.承包人不得以任何理由安排发包人及其工作人员参加宴请（工作餐除外）及娱乐活动。</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4.承包人不得为发包人和个人购置或提供通讯、交通工具和高档办公用品等物品。</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5.承包人不得为发包人及其工作人员的住房装修、婚丧嫁娶活动、配偶子女工作安排以及出国出境、旅游等提供方便。</w:t>
      </w:r>
    </w:p>
    <w:p>
      <w:pPr>
        <w:wordWrap w:val="0"/>
        <w:spacing w:line="460" w:lineRule="exact"/>
        <w:ind w:firstLine="482" w:firstLineChars="200"/>
        <w:outlineLvl w:val="0"/>
        <w:rPr>
          <w:rFonts w:ascii="宋体" w:hAnsi="宋体" w:cs="宋体"/>
          <w:b/>
          <w:bCs/>
          <w:sz w:val="24"/>
          <w:szCs w:val="24"/>
          <w:highlight w:val="none"/>
        </w:rPr>
      </w:pPr>
      <w:bookmarkStart w:id="485" w:name="_Toc7598"/>
      <w:bookmarkStart w:id="486" w:name="_Toc19568"/>
      <w:r>
        <w:rPr>
          <w:rFonts w:hint="eastAsia" w:ascii="宋体" w:hAnsi="宋体" w:cs="宋体"/>
          <w:b/>
          <w:bCs/>
          <w:sz w:val="24"/>
          <w:szCs w:val="24"/>
          <w:highlight w:val="none"/>
        </w:rPr>
        <w:t>四、违约责任</w:t>
      </w:r>
      <w:bookmarkEnd w:id="485"/>
      <w:bookmarkEnd w:id="486"/>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1.发包人及其工作人员违反本合同第 1 条和第 2 条规定，应按照廉政建设的有关规定给予处分；涉嫌犯罪的，移交司法机关追究刑事责任；给承包人造成损失的，应予赔偿。</w:t>
      </w:r>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2.承包人及其工作人员违反本合同第 1 条和第 3 条规定，应按照廉政建设的有关规定给予处分；情节严重的，给予承包人 1～3 年内不得进入工程建设市场的处罚；涉嫌犯罪的，移交司法机关追究刑事责任；给发包人造成损失的，应予赔偿。</w:t>
      </w:r>
    </w:p>
    <w:p>
      <w:pPr>
        <w:wordWrap w:val="0"/>
        <w:spacing w:line="460" w:lineRule="exact"/>
        <w:ind w:firstLine="482" w:firstLineChars="200"/>
        <w:outlineLvl w:val="0"/>
        <w:rPr>
          <w:rFonts w:ascii="宋体" w:hAnsi="宋体" w:cs="宋体"/>
          <w:b/>
          <w:bCs/>
          <w:sz w:val="24"/>
          <w:szCs w:val="24"/>
          <w:highlight w:val="none"/>
        </w:rPr>
      </w:pPr>
      <w:bookmarkStart w:id="487" w:name="_Toc18922"/>
      <w:bookmarkStart w:id="488" w:name="_Toc7636"/>
      <w:r>
        <w:rPr>
          <w:rFonts w:hint="eastAsia" w:ascii="宋体" w:hAnsi="宋体" w:cs="宋体"/>
          <w:b/>
          <w:bCs/>
          <w:sz w:val="24"/>
          <w:szCs w:val="24"/>
          <w:highlight w:val="none"/>
        </w:rPr>
        <w:t>五、双方约定</w:t>
      </w:r>
      <w:bookmarkEnd w:id="487"/>
      <w:bookmarkEnd w:id="488"/>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本合同由合同双方当事人或其上级部门负责监督执行，并由合同双方当事人或其上级部门相互约请对本合同执行情况进行检查。</w:t>
      </w:r>
    </w:p>
    <w:p>
      <w:pPr>
        <w:wordWrap w:val="0"/>
        <w:spacing w:line="460" w:lineRule="exact"/>
        <w:ind w:firstLine="482" w:firstLineChars="200"/>
        <w:outlineLvl w:val="0"/>
        <w:rPr>
          <w:rFonts w:ascii="宋体" w:hAnsi="宋体" w:cs="宋体"/>
          <w:b/>
          <w:bCs/>
          <w:sz w:val="24"/>
          <w:szCs w:val="24"/>
          <w:highlight w:val="none"/>
        </w:rPr>
      </w:pPr>
      <w:bookmarkStart w:id="489" w:name="_Toc15585"/>
      <w:bookmarkStart w:id="490" w:name="_Toc27448"/>
      <w:r>
        <w:rPr>
          <w:rFonts w:hint="eastAsia" w:ascii="宋体" w:hAnsi="宋体" w:cs="宋体"/>
          <w:b/>
          <w:bCs/>
          <w:sz w:val="24"/>
          <w:szCs w:val="24"/>
          <w:highlight w:val="none"/>
        </w:rPr>
        <w:t>六、合同法律效力</w:t>
      </w:r>
      <w:bookmarkEnd w:id="489"/>
      <w:bookmarkEnd w:id="490"/>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本合同作为</w:t>
      </w:r>
      <w:r>
        <w:rPr>
          <w:rFonts w:hint="eastAsia" w:ascii="宋体" w:hAnsi="宋体" w:cs="宋体"/>
          <w:sz w:val="24"/>
          <w:szCs w:val="24"/>
          <w:highlight w:val="none"/>
          <w:u w:val="single"/>
        </w:rPr>
        <w:t>施工合同</w:t>
      </w:r>
      <w:r>
        <w:rPr>
          <w:rFonts w:hint="eastAsia" w:ascii="宋体" w:hAnsi="宋体" w:cs="宋体"/>
          <w:sz w:val="24"/>
          <w:szCs w:val="24"/>
          <w:highlight w:val="none"/>
        </w:rPr>
        <w:t>的附件，与施工合同具有同等的法律效力。</w:t>
      </w:r>
    </w:p>
    <w:p>
      <w:pPr>
        <w:wordWrap w:val="0"/>
        <w:spacing w:line="460" w:lineRule="exact"/>
        <w:ind w:firstLine="482" w:firstLineChars="200"/>
        <w:outlineLvl w:val="0"/>
        <w:rPr>
          <w:rFonts w:ascii="宋体" w:hAnsi="宋体" w:cs="宋体"/>
          <w:b/>
          <w:bCs/>
          <w:sz w:val="24"/>
          <w:szCs w:val="24"/>
          <w:highlight w:val="none"/>
        </w:rPr>
      </w:pPr>
      <w:bookmarkStart w:id="491" w:name="_Toc5480"/>
      <w:bookmarkStart w:id="492" w:name="_Toc27661"/>
      <w:r>
        <w:rPr>
          <w:rFonts w:hint="eastAsia" w:ascii="宋体" w:hAnsi="宋体" w:cs="宋体"/>
          <w:b/>
          <w:bCs/>
          <w:sz w:val="24"/>
          <w:szCs w:val="24"/>
          <w:highlight w:val="none"/>
        </w:rPr>
        <w:t>七、合同生效</w:t>
      </w:r>
      <w:bookmarkEnd w:id="491"/>
      <w:bookmarkEnd w:id="492"/>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本合同自合同双方当事人签署之日起生效，至合同工程竣工验收合格之日后失效。</w:t>
      </w:r>
    </w:p>
    <w:p>
      <w:pPr>
        <w:wordWrap w:val="0"/>
        <w:spacing w:line="460" w:lineRule="exact"/>
        <w:ind w:firstLine="482" w:firstLineChars="200"/>
        <w:outlineLvl w:val="0"/>
        <w:rPr>
          <w:rFonts w:ascii="宋体" w:hAnsi="宋体" w:cs="宋体"/>
          <w:b/>
          <w:bCs/>
          <w:sz w:val="24"/>
          <w:szCs w:val="24"/>
          <w:highlight w:val="none"/>
        </w:rPr>
      </w:pPr>
      <w:bookmarkStart w:id="493" w:name="_Toc25979"/>
      <w:bookmarkStart w:id="494" w:name="_Toc28219"/>
      <w:r>
        <w:rPr>
          <w:rFonts w:hint="eastAsia" w:ascii="宋体" w:hAnsi="宋体" w:cs="宋体"/>
          <w:b/>
          <w:bCs/>
          <w:sz w:val="24"/>
          <w:szCs w:val="24"/>
          <w:highlight w:val="none"/>
        </w:rPr>
        <w:t>八、合同份数</w:t>
      </w:r>
      <w:bookmarkEnd w:id="493"/>
      <w:bookmarkEnd w:id="494"/>
    </w:p>
    <w:p>
      <w:pPr>
        <w:wordWrap w:val="0"/>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本合同一式</w:t>
      </w:r>
      <w:r>
        <w:rPr>
          <w:rFonts w:hint="eastAsia" w:ascii="宋体" w:hAnsi="宋体" w:cs="宋体"/>
          <w:sz w:val="24"/>
          <w:szCs w:val="24"/>
          <w:highlight w:val="none"/>
          <w:u w:val="single"/>
        </w:rPr>
        <w:t>捌</w:t>
      </w:r>
      <w:r>
        <w:rPr>
          <w:rFonts w:hint="eastAsia" w:ascii="宋体" w:hAnsi="宋体" w:cs="宋体"/>
          <w:sz w:val="24"/>
          <w:szCs w:val="24"/>
          <w:highlight w:val="none"/>
        </w:rPr>
        <w:t>份，其中发包人</w:t>
      </w:r>
      <w:r>
        <w:rPr>
          <w:rFonts w:hint="eastAsia" w:ascii="宋体" w:hAnsi="宋体" w:cs="宋体"/>
          <w:sz w:val="24"/>
          <w:szCs w:val="24"/>
          <w:highlight w:val="none"/>
          <w:u w:val="single"/>
        </w:rPr>
        <w:t>肆</w:t>
      </w:r>
      <w:r>
        <w:rPr>
          <w:rFonts w:hint="eastAsia" w:ascii="宋体" w:hAnsi="宋体" w:cs="宋体"/>
          <w:sz w:val="24"/>
          <w:szCs w:val="24"/>
          <w:highlight w:val="none"/>
        </w:rPr>
        <w:t>份，承包人</w:t>
      </w:r>
      <w:r>
        <w:rPr>
          <w:rFonts w:hint="eastAsia" w:ascii="宋体" w:hAnsi="宋体" w:cs="宋体"/>
          <w:sz w:val="24"/>
          <w:szCs w:val="24"/>
          <w:highlight w:val="none"/>
          <w:u w:val="single"/>
        </w:rPr>
        <w:t>肆</w:t>
      </w:r>
      <w:r>
        <w:rPr>
          <w:rFonts w:hint="eastAsia" w:ascii="宋体" w:hAnsi="宋体" w:cs="宋体"/>
          <w:sz w:val="24"/>
          <w:szCs w:val="24"/>
          <w:highlight w:val="none"/>
        </w:rPr>
        <w:t>份，均具同等效力。</w:t>
      </w:r>
    </w:p>
    <w:p>
      <w:pPr>
        <w:wordWrap w:val="0"/>
        <w:spacing w:line="460" w:lineRule="exact"/>
        <w:ind w:firstLine="480" w:firstLineChars="200"/>
        <w:rPr>
          <w:rFonts w:ascii="宋体" w:hAnsi="宋体" w:cs="宋体"/>
          <w:sz w:val="24"/>
          <w:szCs w:val="24"/>
          <w:highlight w:val="none"/>
        </w:rPr>
      </w:pP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发包人(公章)：</w:t>
      </w:r>
      <w:r>
        <w:rPr>
          <w:rFonts w:hint="eastAsia" w:ascii="宋体" w:hAnsi="宋体"/>
          <w:b/>
          <w:bCs/>
          <w:sz w:val="24"/>
          <w:szCs w:val="24"/>
          <w:highlight w:val="none"/>
        </w:rPr>
        <w:t xml:space="preserve"> </w:t>
      </w:r>
      <w:r>
        <w:rPr>
          <w:rFonts w:ascii="宋体" w:hAnsi="宋体"/>
          <w:b/>
          <w:bCs/>
          <w:sz w:val="24"/>
          <w:szCs w:val="24"/>
          <w:highlight w:val="none"/>
        </w:rPr>
        <w:t xml:space="preserve">                   </w:t>
      </w:r>
      <w:r>
        <w:rPr>
          <w:rFonts w:hint="eastAsia" w:ascii="宋体" w:hAnsi="宋体" w:cs="宋体"/>
          <w:sz w:val="24"/>
          <w:szCs w:val="24"/>
          <w:highlight w:val="none"/>
        </w:rPr>
        <w:t xml:space="preserve"> </w:t>
      </w:r>
      <w:r>
        <w:rPr>
          <w:rFonts w:hint="eastAsia" w:ascii="宋体" w:hAnsi="宋体" w:cs="宋体"/>
          <w:sz w:val="24"/>
          <w:szCs w:val="24"/>
          <w:highlight w:val="none"/>
        </w:rPr>
        <w:tab/>
      </w:r>
      <w:r>
        <w:rPr>
          <w:rFonts w:hint="eastAsia" w:ascii="宋体" w:hAnsi="宋体" w:cs="宋体"/>
          <w:sz w:val="24"/>
          <w:szCs w:val="24"/>
          <w:highlight w:val="none"/>
        </w:rPr>
        <w:t xml:space="preserve">  承包人(公章)： </w:t>
      </w:r>
      <w:r>
        <w:rPr>
          <w:rFonts w:hint="eastAsia" w:ascii="宋体" w:hAnsi="宋体" w:cs="宋体"/>
          <w:sz w:val="24"/>
          <w:szCs w:val="24"/>
          <w:highlight w:val="none"/>
        </w:rPr>
        <w:tab/>
      </w:r>
      <w:r>
        <w:rPr>
          <w:rFonts w:hint="eastAsia" w:ascii="宋体" w:hAnsi="宋体" w:cs="宋体"/>
          <w:sz w:val="24"/>
          <w:szCs w:val="24"/>
          <w:highlight w:val="none"/>
        </w:rPr>
        <w:t xml:space="preserve"> </w:t>
      </w:r>
    </w:p>
    <w:p>
      <w:pPr>
        <w:wordWrap w:val="0"/>
        <w:spacing w:line="480" w:lineRule="exact"/>
        <w:ind w:firstLine="480" w:firstLineChars="200"/>
        <w:rPr>
          <w:rFonts w:ascii="宋体" w:hAnsi="宋体" w:cs="宋体"/>
          <w:sz w:val="24"/>
          <w:szCs w:val="24"/>
          <w:highlight w:val="none"/>
        </w:rPr>
      </w:pP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地 址： </w:t>
      </w:r>
      <w:r>
        <w:rPr>
          <w:rFonts w:hint="eastAsia" w:ascii="宋体" w:hAnsi="宋体" w:cs="宋体"/>
          <w:sz w:val="24"/>
          <w:szCs w:val="24"/>
          <w:highlight w:val="none"/>
        </w:rPr>
        <w:tab/>
      </w:r>
      <w:r>
        <w:rPr>
          <w:rFonts w:hint="eastAsia" w:ascii="宋体" w:hAnsi="宋体" w:cs="宋体"/>
          <w:sz w:val="24"/>
          <w:szCs w:val="24"/>
          <w:highlight w:val="none"/>
        </w:rPr>
        <w:tab/>
      </w:r>
      <w:r>
        <w:rPr>
          <w:rFonts w:hint="eastAsia" w:ascii="宋体" w:hAnsi="宋体" w:cs="宋体"/>
          <w:sz w:val="24"/>
          <w:szCs w:val="24"/>
          <w:highlight w:val="none"/>
        </w:rPr>
        <w:t xml:space="preserve">                          地 址： </w:t>
      </w:r>
      <w:r>
        <w:rPr>
          <w:rFonts w:hint="eastAsia" w:ascii="宋体" w:hAnsi="宋体" w:cs="宋体"/>
          <w:sz w:val="24"/>
          <w:szCs w:val="24"/>
          <w:highlight w:val="none"/>
        </w:rPr>
        <w:tab/>
      </w:r>
      <w:r>
        <w:rPr>
          <w:rFonts w:hint="eastAsia" w:ascii="宋体" w:hAnsi="宋体" w:cs="宋体"/>
          <w:sz w:val="24"/>
          <w:szCs w:val="24"/>
          <w:highlight w:val="none"/>
        </w:rPr>
        <w:t xml:space="preserve"> </w:t>
      </w:r>
    </w:p>
    <w:p>
      <w:pPr>
        <w:wordWrap w:val="0"/>
        <w:spacing w:line="480" w:lineRule="exact"/>
        <w:ind w:firstLine="480" w:firstLineChars="200"/>
        <w:rPr>
          <w:rFonts w:ascii="宋体" w:hAnsi="宋体" w:cs="宋体"/>
          <w:sz w:val="24"/>
          <w:szCs w:val="24"/>
          <w:highlight w:val="none"/>
        </w:rPr>
      </w:pP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法定代表人</w:t>
      </w:r>
      <w:r>
        <w:rPr>
          <w:rFonts w:hint="eastAsia" w:ascii="宋体" w:hAnsi="宋体" w:cs="宋体"/>
          <w:sz w:val="24"/>
          <w:szCs w:val="24"/>
          <w:highlight w:val="none"/>
        </w:rPr>
        <w:tab/>
      </w:r>
      <w:r>
        <w:rPr>
          <w:rFonts w:hint="eastAsia" w:ascii="宋体" w:hAnsi="宋体" w:cs="宋体"/>
          <w:sz w:val="24"/>
          <w:szCs w:val="24"/>
          <w:highlight w:val="none"/>
        </w:rPr>
        <w:tab/>
      </w:r>
      <w:r>
        <w:rPr>
          <w:rFonts w:hint="eastAsia" w:ascii="宋体" w:hAnsi="宋体" w:cs="宋体"/>
          <w:sz w:val="24"/>
          <w:szCs w:val="24"/>
          <w:highlight w:val="none"/>
        </w:rPr>
        <w:tab/>
      </w:r>
      <w:r>
        <w:rPr>
          <w:rFonts w:hint="eastAsia" w:ascii="宋体" w:hAnsi="宋体" w:cs="宋体"/>
          <w:sz w:val="24"/>
          <w:szCs w:val="24"/>
          <w:highlight w:val="none"/>
        </w:rPr>
        <w:t xml:space="preserve">                   法定代表人</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或委托代理人：（签字） </w:t>
      </w:r>
      <w:r>
        <w:rPr>
          <w:rFonts w:hint="eastAsia" w:ascii="宋体" w:hAnsi="宋体" w:cs="宋体"/>
          <w:sz w:val="24"/>
          <w:szCs w:val="24"/>
          <w:highlight w:val="none"/>
        </w:rPr>
        <w:tab/>
      </w:r>
      <w:r>
        <w:rPr>
          <w:rFonts w:hint="eastAsia" w:ascii="宋体" w:hAnsi="宋体" w:cs="宋体"/>
          <w:sz w:val="24"/>
          <w:szCs w:val="24"/>
          <w:highlight w:val="none"/>
        </w:rPr>
        <w:tab/>
      </w:r>
      <w:r>
        <w:rPr>
          <w:rFonts w:hint="eastAsia" w:ascii="宋体" w:hAnsi="宋体" w:cs="宋体"/>
          <w:sz w:val="24"/>
          <w:szCs w:val="24"/>
          <w:highlight w:val="none"/>
        </w:rPr>
        <w:t xml:space="preserve">            或委托代理人：（签字）</w:t>
      </w:r>
    </w:p>
    <w:p>
      <w:pPr>
        <w:wordWrap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日  期：                               日  期：</w:t>
      </w:r>
    </w:p>
    <w:p>
      <w:pPr>
        <w:wordWrap w:val="0"/>
        <w:spacing w:line="360" w:lineRule="auto"/>
        <w:outlineLvl w:val="1"/>
        <w:rPr>
          <w:rFonts w:ascii="宋体" w:hAnsi="宋体"/>
          <w:b/>
          <w:sz w:val="24"/>
          <w:highlight w:val="none"/>
        </w:rPr>
      </w:pPr>
      <w:r>
        <w:rPr>
          <w:highlight w:val="none"/>
        </w:rPr>
        <w:br w:type="page"/>
      </w:r>
      <w:r>
        <w:rPr>
          <w:rFonts w:hint="eastAsia" w:ascii="宋体"/>
          <w:sz w:val="24"/>
          <w:szCs w:val="28"/>
          <w:highlight w:val="none"/>
        </w:rPr>
        <w:t>附件 2</w:t>
      </w:r>
    </w:p>
    <w:p>
      <w:pPr>
        <w:wordWrap w:val="0"/>
        <w:spacing w:line="360" w:lineRule="auto"/>
        <w:jc w:val="center"/>
        <w:rPr>
          <w:rFonts w:ascii="宋体" w:hAnsi="宋体"/>
          <w:b/>
          <w:sz w:val="36"/>
          <w:szCs w:val="36"/>
          <w:highlight w:val="none"/>
        </w:rPr>
      </w:pPr>
      <w:r>
        <w:rPr>
          <w:rFonts w:hint="eastAsia" w:ascii="宋体" w:hAnsi="宋体"/>
          <w:b/>
          <w:sz w:val="36"/>
          <w:szCs w:val="36"/>
          <w:highlight w:val="none"/>
        </w:rPr>
        <w:t>安全生产、文明施工协议书</w:t>
      </w:r>
    </w:p>
    <w:p>
      <w:pPr>
        <w:wordWrap w:val="0"/>
        <w:spacing w:line="360" w:lineRule="auto"/>
        <w:ind w:firstLine="0" w:firstLineChars="0"/>
        <w:rPr>
          <w:sz w:val="24"/>
          <w:szCs w:val="24"/>
          <w:highlight w:val="none"/>
        </w:rPr>
      </w:pPr>
      <w:r>
        <w:rPr>
          <w:rFonts w:hint="eastAsia"/>
          <w:sz w:val="24"/>
          <w:szCs w:val="24"/>
          <w:highlight w:val="none"/>
        </w:rPr>
        <w:t>发包人（以下称甲方）：</w:t>
      </w:r>
      <w:r>
        <w:rPr>
          <w:rFonts w:hint="eastAsia"/>
          <w:sz w:val="24"/>
          <w:szCs w:val="24"/>
          <w:highlight w:val="none"/>
          <w:u w:val="single"/>
        </w:rPr>
        <w:t xml:space="preserve">  </w:t>
      </w:r>
      <w:r>
        <w:rPr>
          <w:sz w:val="24"/>
          <w:szCs w:val="24"/>
          <w:highlight w:val="none"/>
          <w:u w:val="single"/>
        </w:rPr>
        <w:t xml:space="preserve">                     </w:t>
      </w:r>
      <w:r>
        <w:rPr>
          <w:rFonts w:hint="eastAsia"/>
          <w:sz w:val="24"/>
          <w:szCs w:val="24"/>
          <w:highlight w:val="none"/>
          <w:u w:val="single"/>
        </w:rPr>
        <w:t xml:space="preserve">  </w:t>
      </w:r>
    </w:p>
    <w:p>
      <w:pPr>
        <w:wordWrap w:val="0"/>
        <w:spacing w:line="360" w:lineRule="auto"/>
        <w:ind w:firstLine="0" w:firstLineChars="0"/>
        <w:rPr>
          <w:sz w:val="24"/>
          <w:szCs w:val="24"/>
          <w:highlight w:val="none"/>
        </w:rPr>
      </w:pPr>
      <w:r>
        <w:rPr>
          <w:rFonts w:hint="eastAsia"/>
          <w:sz w:val="24"/>
          <w:szCs w:val="24"/>
          <w:highlight w:val="none"/>
        </w:rPr>
        <w:t>承包人（以下称乙方）：</w:t>
      </w:r>
      <w:r>
        <w:rPr>
          <w:rFonts w:hint="eastAsia"/>
          <w:sz w:val="24"/>
          <w:szCs w:val="24"/>
          <w:highlight w:val="none"/>
          <w:u w:val="single"/>
        </w:rPr>
        <w:t xml:space="preserve">                          </w:t>
      </w:r>
    </w:p>
    <w:p>
      <w:pPr>
        <w:wordWrap w:val="0"/>
        <w:spacing w:line="360" w:lineRule="auto"/>
        <w:rPr>
          <w:sz w:val="24"/>
          <w:szCs w:val="24"/>
          <w:highlight w:val="none"/>
        </w:rPr>
      </w:pPr>
    </w:p>
    <w:p>
      <w:pPr>
        <w:wordWrap w:val="0"/>
        <w:spacing w:line="360" w:lineRule="auto"/>
        <w:ind w:firstLine="480" w:firstLineChars="200"/>
        <w:rPr>
          <w:sz w:val="24"/>
          <w:szCs w:val="24"/>
          <w:highlight w:val="none"/>
        </w:rPr>
      </w:pPr>
      <w:r>
        <w:rPr>
          <w:rFonts w:hint="eastAsia"/>
          <w:sz w:val="24"/>
          <w:szCs w:val="24"/>
          <w:highlight w:val="none"/>
        </w:rPr>
        <w:t>为明确甲乙双方的权利和义务，保障工程实施及相关作业人员的安全，依据国家和广东省相关法律法规的规定，结合工程项目建设的实际情况，经甲乙双方协商一致，达成如下协议：</w:t>
      </w:r>
    </w:p>
    <w:p>
      <w:pPr>
        <w:wordWrap w:val="0"/>
        <w:spacing w:line="360" w:lineRule="auto"/>
        <w:rPr>
          <w:sz w:val="24"/>
          <w:szCs w:val="24"/>
          <w:highlight w:val="none"/>
        </w:rPr>
      </w:pPr>
    </w:p>
    <w:p>
      <w:pPr>
        <w:wordWrap w:val="0"/>
        <w:spacing w:line="360" w:lineRule="auto"/>
        <w:rPr>
          <w:sz w:val="24"/>
          <w:szCs w:val="24"/>
          <w:highlight w:val="none"/>
        </w:rPr>
      </w:pPr>
      <w:r>
        <w:rPr>
          <w:rFonts w:hint="eastAsia"/>
          <w:sz w:val="24"/>
          <w:szCs w:val="24"/>
          <w:highlight w:val="none"/>
        </w:rPr>
        <w:t>一、乙方的权利和义务：</w:t>
      </w:r>
    </w:p>
    <w:p>
      <w:pPr>
        <w:wordWrap w:val="0"/>
        <w:spacing w:line="360" w:lineRule="auto"/>
        <w:rPr>
          <w:sz w:val="24"/>
          <w:szCs w:val="24"/>
          <w:highlight w:val="none"/>
        </w:rPr>
      </w:pPr>
      <w:r>
        <w:rPr>
          <w:rFonts w:hint="eastAsia"/>
          <w:sz w:val="24"/>
          <w:szCs w:val="24"/>
          <w:highlight w:val="none"/>
        </w:rPr>
        <w:t xml:space="preserve">    1、乙方进入施工现场作业时，必须按照市建设行政主管部门的有关施工管理规定，办理相关手续。</w:t>
      </w:r>
    </w:p>
    <w:p>
      <w:pPr>
        <w:wordWrap w:val="0"/>
        <w:spacing w:line="360" w:lineRule="auto"/>
        <w:rPr>
          <w:sz w:val="24"/>
          <w:szCs w:val="24"/>
          <w:highlight w:val="none"/>
        </w:rPr>
      </w:pPr>
      <w:r>
        <w:rPr>
          <w:rFonts w:hint="eastAsia"/>
          <w:sz w:val="24"/>
          <w:szCs w:val="24"/>
          <w:highlight w:val="none"/>
        </w:rPr>
        <w:t xml:space="preserve">    1) 乙方参加本工程施工人员必须持有合法的务工手续，二证齐全（身份证、劳务工上岗证），人证必须相符，人员更换必须及时通报甲方并补办手续，不得私招乱雇社会闲散人员和未成年人进入工地，对违反上述规定造成的任何后果，应由乙方承担全部责任。</w:t>
      </w:r>
    </w:p>
    <w:p>
      <w:pPr>
        <w:wordWrap w:val="0"/>
        <w:spacing w:line="360" w:lineRule="auto"/>
        <w:rPr>
          <w:sz w:val="24"/>
          <w:szCs w:val="24"/>
          <w:highlight w:val="none"/>
        </w:rPr>
      </w:pPr>
      <w:r>
        <w:rPr>
          <w:rFonts w:hint="eastAsia"/>
          <w:sz w:val="24"/>
          <w:szCs w:val="24"/>
          <w:highlight w:val="none"/>
        </w:rPr>
        <w:t xml:space="preserve">    2) 乙方参加本工程施工的特种作业人员（如挖掘机、电工、运输机械司机等）必须持有劳动部门颁发的特种作业人员操作证，并经身体健康检查合格后方能上岗作业，否则发生的任何后果，应由乙方承担全部责任。</w:t>
      </w:r>
    </w:p>
    <w:p>
      <w:pPr>
        <w:wordWrap w:val="0"/>
        <w:spacing w:line="360" w:lineRule="auto"/>
        <w:rPr>
          <w:sz w:val="24"/>
          <w:szCs w:val="24"/>
          <w:highlight w:val="none"/>
        </w:rPr>
      </w:pPr>
      <w:r>
        <w:rPr>
          <w:rFonts w:hint="eastAsia"/>
          <w:sz w:val="24"/>
          <w:szCs w:val="24"/>
          <w:highlight w:val="none"/>
        </w:rPr>
        <w:t xml:space="preserve">    3) 乙方施工管理人员，必须按国家、行业及市有关部门的规定持证上岗。</w:t>
      </w:r>
    </w:p>
    <w:p>
      <w:pPr>
        <w:wordWrap w:val="0"/>
        <w:spacing w:line="360" w:lineRule="auto"/>
        <w:rPr>
          <w:sz w:val="24"/>
          <w:szCs w:val="24"/>
          <w:highlight w:val="none"/>
        </w:rPr>
      </w:pPr>
      <w:r>
        <w:rPr>
          <w:rFonts w:hint="eastAsia"/>
          <w:sz w:val="24"/>
          <w:szCs w:val="24"/>
          <w:highlight w:val="none"/>
        </w:rPr>
        <w:t xml:space="preserve">    4) 乙方应将参加本工程施工的人员花名册（造册内容：姓名、年龄、住址、三证号码及特殊工种岗位证书等）报甲方备案。</w:t>
      </w:r>
    </w:p>
    <w:p>
      <w:pPr>
        <w:wordWrap w:val="0"/>
        <w:spacing w:line="360" w:lineRule="auto"/>
        <w:rPr>
          <w:sz w:val="24"/>
          <w:szCs w:val="24"/>
          <w:highlight w:val="none"/>
        </w:rPr>
      </w:pPr>
      <w:r>
        <w:rPr>
          <w:rFonts w:hint="eastAsia"/>
          <w:sz w:val="24"/>
          <w:szCs w:val="24"/>
          <w:highlight w:val="none"/>
        </w:rPr>
        <w:t xml:space="preserve">    2、乙方人员进入施工作业前，乙方必须进行入场职业安全、卫生教育和特种作业人员的体检，不接受入场教育和体检不合格人员一律不得上岗作业，乙方违反条款规定而造成的后果，应由乙方承担全部责任。在进行入场职业安全卫生教育后，乙方应在甲方的安全教育记录上予以签认。</w:t>
      </w:r>
    </w:p>
    <w:p>
      <w:pPr>
        <w:wordWrap w:val="0"/>
        <w:spacing w:line="360" w:lineRule="auto"/>
        <w:rPr>
          <w:sz w:val="24"/>
          <w:szCs w:val="24"/>
          <w:highlight w:val="none"/>
        </w:rPr>
      </w:pPr>
      <w:r>
        <w:rPr>
          <w:rFonts w:hint="eastAsia"/>
          <w:sz w:val="24"/>
          <w:szCs w:val="24"/>
          <w:highlight w:val="none"/>
        </w:rPr>
        <w:t xml:space="preserve">    3、在乙方施工过程中，甲方工作人员有违章指挥、强令冒险作业的行为，乙方有权制止违章行为，并提出批评、拒绝执行以及检举、控告的权利；乙方明知甲方人员违章指挥而不制止并造成损失，乙方承担责任。</w:t>
      </w:r>
    </w:p>
    <w:p>
      <w:pPr>
        <w:wordWrap w:val="0"/>
        <w:spacing w:line="360" w:lineRule="auto"/>
        <w:rPr>
          <w:sz w:val="24"/>
          <w:szCs w:val="24"/>
          <w:highlight w:val="none"/>
        </w:rPr>
      </w:pPr>
      <w:r>
        <w:rPr>
          <w:rFonts w:hint="eastAsia"/>
          <w:sz w:val="24"/>
          <w:szCs w:val="24"/>
          <w:highlight w:val="none"/>
        </w:rPr>
        <w:t xml:space="preserve">    4、在施工过程中，乙方必须自觉遵守法纪，遵守甲方安全管理规章制度、措施、规定。严格遵守安全操作规程。对违反本条款所造成的损失和后果，由乙方承担。情节严重的甲方有权终止合同。</w:t>
      </w:r>
    </w:p>
    <w:p>
      <w:pPr>
        <w:wordWrap w:val="0"/>
        <w:spacing w:line="360" w:lineRule="auto"/>
        <w:rPr>
          <w:sz w:val="24"/>
          <w:szCs w:val="24"/>
          <w:highlight w:val="none"/>
        </w:rPr>
      </w:pPr>
      <w:r>
        <w:rPr>
          <w:rFonts w:hint="eastAsia"/>
          <w:sz w:val="24"/>
          <w:szCs w:val="24"/>
          <w:highlight w:val="none"/>
        </w:rPr>
        <w:t xml:space="preserve">    5、在为甲方工作期间，乙方自带或外租的设备、设施，必须符合规范要求，经甲方安全管理人员验收合格后方可进场。凡未经验收批准，擅自投入使用，由此造成的损失，由乙方承担。</w:t>
      </w:r>
    </w:p>
    <w:p>
      <w:pPr>
        <w:wordWrap w:val="0"/>
        <w:spacing w:line="360" w:lineRule="auto"/>
        <w:rPr>
          <w:sz w:val="24"/>
          <w:szCs w:val="24"/>
          <w:highlight w:val="none"/>
        </w:rPr>
      </w:pPr>
      <w:r>
        <w:rPr>
          <w:rFonts w:hint="eastAsia"/>
          <w:sz w:val="24"/>
          <w:szCs w:val="24"/>
          <w:highlight w:val="none"/>
        </w:rPr>
        <w:t xml:space="preserve">    6、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wordWrap w:val="0"/>
        <w:spacing w:line="360" w:lineRule="auto"/>
        <w:rPr>
          <w:sz w:val="24"/>
          <w:szCs w:val="24"/>
          <w:highlight w:val="none"/>
        </w:rPr>
      </w:pPr>
      <w:r>
        <w:rPr>
          <w:rFonts w:hint="eastAsia"/>
          <w:sz w:val="24"/>
          <w:szCs w:val="24"/>
          <w:highlight w:val="none"/>
        </w:rPr>
        <w:t xml:space="preserve">    7、在施工期内，乙方的生活区要符合甲方文明工地的要求，搞好并保持宿舍、食堂等处的环境卫生。</w:t>
      </w:r>
    </w:p>
    <w:p>
      <w:pPr>
        <w:wordWrap w:val="0"/>
        <w:spacing w:line="360" w:lineRule="auto"/>
        <w:rPr>
          <w:sz w:val="24"/>
          <w:szCs w:val="24"/>
          <w:highlight w:val="none"/>
        </w:rPr>
      </w:pPr>
      <w:r>
        <w:rPr>
          <w:rFonts w:hint="eastAsia"/>
          <w:sz w:val="24"/>
          <w:szCs w:val="24"/>
          <w:highlight w:val="none"/>
        </w:rPr>
        <w:t xml:space="preserve">    8、乙方人员必须遵守劳动纪律，在工作中按规定正确佩带和使用个人防护用品，严禁袒胸露背，穿拖鞋上岗，严禁在宿舍内私拉电线；冬季，严禁在宿舍内使用电炉子等电器设备；夏季，严禁到河塘中游泳、洗澡。凡乙方人员违反本条款规定，所造成的损失由乙方承担。</w:t>
      </w:r>
    </w:p>
    <w:p>
      <w:pPr>
        <w:wordWrap w:val="0"/>
        <w:spacing w:line="360" w:lineRule="auto"/>
        <w:rPr>
          <w:sz w:val="24"/>
          <w:szCs w:val="24"/>
          <w:highlight w:val="none"/>
        </w:rPr>
      </w:pPr>
      <w:r>
        <w:rPr>
          <w:rFonts w:hint="eastAsia"/>
          <w:sz w:val="24"/>
          <w:szCs w:val="24"/>
          <w:highlight w:val="none"/>
        </w:rPr>
        <w:t xml:space="preserve">    9、夜间施工服从甲方统一管理，做到不扰民。如因此造成的民事纠纷由乙方自行负责。</w:t>
      </w:r>
    </w:p>
    <w:p>
      <w:pPr>
        <w:wordWrap w:val="0"/>
        <w:spacing w:line="360" w:lineRule="auto"/>
        <w:rPr>
          <w:sz w:val="24"/>
          <w:szCs w:val="24"/>
          <w:highlight w:val="none"/>
        </w:rPr>
      </w:pPr>
      <w:r>
        <w:rPr>
          <w:rFonts w:hint="eastAsia"/>
          <w:sz w:val="24"/>
          <w:szCs w:val="24"/>
          <w:highlight w:val="none"/>
        </w:rPr>
        <w:t xml:space="preserve">    10、在施工过程中，发现文物古迹时，要立即保护现场，并及时报告。严禁破坏、私自收藏、倒卖或隐瞒不报。</w:t>
      </w:r>
    </w:p>
    <w:p>
      <w:pPr>
        <w:wordWrap w:val="0"/>
        <w:spacing w:line="360" w:lineRule="auto"/>
        <w:rPr>
          <w:sz w:val="24"/>
          <w:szCs w:val="24"/>
          <w:highlight w:val="none"/>
        </w:rPr>
      </w:pPr>
      <w:r>
        <w:rPr>
          <w:rFonts w:hint="eastAsia"/>
          <w:sz w:val="24"/>
          <w:szCs w:val="24"/>
          <w:highlight w:val="none"/>
        </w:rPr>
        <w:t xml:space="preserve">    11、在施工过程中，应特别注意扬尘的防护措施。在各车辆进出口及平交道口设置车辆冲洗场，在不能设置车辆冲洗场的平交道口处，设置专人对路面进行清扫、保洁并在路口处铺设麻袋，派专用洒水车对施工全线进行洒水消尘。若违反本条，视情节轻重，处以罚款500元至10000元。</w:t>
      </w:r>
    </w:p>
    <w:p>
      <w:pPr>
        <w:wordWrap w:val="0"/>
        <w:spacing w:line="360" w:lineRule="auto"/>
        <w:rPr>
          <w:sz w:val="24"/>
          <w:szCs w:val="24"/>
          <w:highlight w:val="none"/>
        </w:rPr>
      </w:pPr>
      <w:r>
        <w:rPr>
          <w:rFonts w:hint="eastAsia"/>
          <w:sz w:val="24"/>
          <w:szCs w:val="24"/>
          <w:highlight w:val="none"/>
        </w:rPr>
        <w:t xml:space="preserve">    12、乙方应在施工过程中，特别注意设置安全警示标志等。如因安全防护措施不到位，由此引发的安全事故由乙方负全责。</w:t>
      </w:r>
    </w:p>
    <w:p>
      <w:pPr>
        <w:wordWrap w:val="0"/>
        <w:spacing w:line="360" w:lineRule="auto"/>
        <w:rPr>
          <w:sz w:val="24"/>
          <w:szCs w:val="24"/>
          <w:highlight w:val="none"/>
        </w:rPr>
      </w:pPr>
      <w:r>
        <w:rPr>
          <w:rFonts w:hint="eastAsia"/>
          <w:sz w:val="24"/>
          <w:szCs w:val="24"/>
          <w:highlight w:val="none"/>
        </w:rPr>
        <w:t xml:space="preserve">    13、因乙方的过错，造成甲方或他人财产或人身损害或甲方被处罚，乙方应负赔偿责任。</w:t>
      </w:r>
    </w:p>
    <w:p>
      <w:pPr>
        <w:wordWrap w:val="0"/>
        <w:spacing w:line="360" w:lineRule="auto"/>
        <w:rPr>
          <w:sz w:val="24"/>
          <w:szCs w:val="24"/>
          <w:highlight w:val="none"/>
        </w:rPr>
      </w:pPr>
      <w:r>
        <w:rPr>
          <w:rFonts w:hint="eastAsia"/>
          <w:sz w:val="24"/>
          <w:szCs w:val="24"/>
          <w:highlight w:val="none"/>
        </w:rPr>
        <w:t xml:space="preserve">    14、对包工包料的作业项目，乙方在组织作业前必须向甲方报出项目的方案和安全技术措施，并提出该项目的技术标准、操作规程、工艺流程和有关技术资料，安全技术措施应详尽，切实可行，责任落实。措施未经甲方认可，不得实施作业，对组织施工所造成的一切损失，均由乙方承担。措施报送甲方7日内予以书面答复，责任视甲方认可。</w:t>
      </w:r>
    </w:p>
    <w:p>
      <w:pPr>
        <w:wordWrap w:val="0"/>
        <w:spacing w:line="360" w:lineRule="auto"/>
        <w:rPr>
          <w:sz w:val="24"/>
          <w:szCs w:val="24"/>
          <w:highlight w:val="none"/>
        </w:rPr>
      </w:pPr>
      <w:r>
        <w:rPr>
          <w:rFonts w:hint="eastAsia"/>
          <w:sz w:val="24"/>
          <w:szCs w:val="24"/>
          <w:highlight w:val="none"/>
        </w:rPr>
        <w:t xml:space="preserve">    15、乙方应按照市政府对于建筑企业专（兼）职安全员配备比例，并结合甲方要求，根据进场人数、施工长度，配备专（兼）职安全员。乙方安全管理人员必须认真履行职责，严格管理，积极配合甲方作好乙方人员对施工项目的日常安全教育和检查工作，乙方安全员应接受甲方安全部门和工地安全员监督、检查、指导和统一管理。乙方还应将指定安全员名单交甲方备案。</w:t>
      </w:r>
    </w:p>
    <w:p>
      <w:pPr>
        <w:wordWrap w:val="0"/>
        <w:spacing w:line="360" w:lineRule="auto"/>
        <w:rPr>
          <w:sz w:val="24"/>
          <w:szCs w:val="24"/>
          <w:highlight w:val="none"/>
        </w:rPr>
      </w:pPr>
      <w:r>
        <w:rPr>
          <w:rFonts w:hint="eastAsia"/>
          <w:sz w:val="24"/>
          <w:szCs w:val="24"/>
          <w:highlight w:val="none"/>
        </w:rPr>
        <w:t xml:space="preserve">    16、乙方应严格按照施工现场安全、卫生检查要点，不定期的组织施工现场检查和整改，检查应有记录，整改要有措施，同时应以书面形式及时通报甲方。</w:t>
      </w:r>
    </w:p>
    <w:p>
      <w:pPr>
        <w:wordWrap w:val="0"/>
        <w:spacing w:line="360" w:lineRule="auto"/>
        <w:rPr>
          <w:sz w:val="24"/>
          <w:szCs w:val="24"/>
          <w:highlight w:val="none"/>
        </w:rPr>
      </w:pPr>
      <w:r>
        <w:rPr>
          <w:rFonts w:hint="eastAsia"/>
          <w:sz w:val="24"/>
          <w:szCs w:val="24"/>
          <w:highlight w:val="none"/>
        </w:rPr>
        <w:t xml:space="preserve">    17、乙方施工人员有权拒绝来自各方的违章指挥，严格按照安全操作规程施工。严禁违章作业、违反劳动纪律、野蛮施工。因违章作业、违反劳动纪律、野蛮施工而造成的事故和损失由乙方承担主要责任。</w:t>
      </w:r>
    </w:p>
    <w:p>
      <w:pPr>
        <w:wordWrap w:val="0"/>
        <w:spacing w:line="360" w:lineRule="auto"/>
        <w:rPr>
          <w:sz w:val="24"/>
          <w:szCs w:val="24"/>
          <w:highlight w:val="none"/>
        </w:rPr>
      </w:pPr>
      <w:r>
        <w:rPr>
          <w:rFonts w:hint="eastAsia"/>
          <w:sz w:val="24"/>
          <w:szCs w:val="24"/>
          <w:highlight w:val="none"/>
        </w:rPr>
        <w:t xml:space="preserve">    18、乙方应严格执行甲方制定的或提供的有关易燃、易爆、易损、有毒、危险品和防火、防盗、成品保护及环卫等方面的有关规定，对违反上述规定而造成的一切严重后果应由乙方承担全部责任。</w:t>
      </w:r>
    </w:p>
    <w:p>
      <w:pPr>
        <w:wordWrap w:val="0"/>
        <w:spacing w:line="360" w:lineRule="auto"/>
        <w:rPr>
          <w:sz w:val="24"/>
          <w:szCs w:val="24"/>
          <w:highlight w:val="none"/>
        </w:rPr>
      </w:pPr>
      <w:r>
        <w:rPr>
          <w:rFonts w:hint="eastAsia"/>
          <w:sz w:val="24"/>
          <w:szCs w:val="24"/>
          <w:highlight w:val="none"/>
        </w:rPr>
        <w:t xml:space="preserve">    19、乙方在施工期间必备的劳保用品如安全帽、安全带、手套、绝缘鞋，必须是符合国家标准的合格产品。</w:t>
      </w:r>
    </w:p>
    <w:p>
      <w:pPr>
        <w:wordWrap w:val="0"/>
        <w:spacing w:line="360" w:lineRule="auto"/>
        <w:rPr>
          <w:sz w:val="24"/>
          <w:szCs w:val="24"/>
          <w:highlight w:val="none"/>
        </w:rPr>
      </w:pPr>
      <w:r>
        <w:rPr>
          <w:rFonts w:hint="eastAsia"/>
          <w:sz w:val="24"/>
          <w:szCs w:val="24"/>
          <w:highlight w:val="none"/>
        </w:rPr>
        <w:t xml:space="preserve">    20、乙方在施工期中发生的任何工伤事故，必须迅速通报甲方，重伤以上事故还应作好事故调查配合工作，同时应按市主管部门有关规定作好伤者的医治、生活安置、工伤补偿等各项工作，由于打架斗殴或其他原因造成的伤害，由乙方按内部有关规定处理。</w:t>
      </w:r>
    </w:p>
    <w:p>
      <w:pPr>
        <w:wordWrap w:val="0"/>
        <w:spacing w:line="360" w:lineRule="auto"/>
        <w:rPr>
          <w:sz w:val="24"/>
          <w:szCs w:val="24"/>
          <w:highlight w:val="none"/>
        </w:rPr>
      </w:pPr>
      <w:r>
        <w:rPr>
          <w:rFonts w:hint="eastAsia"/>
          <w:sz w:val="24"/>
          <w:szCs w:val="24"/>
          <w:highlight w:val="none"/>
        </w:rPr>
        <w:t xml:space="preserve">    21、对于乙方因疏于管理，违反上述规定而被地方政府部门处以罚款或责令停工整顿，所造成的一切损失，应由乙方承担。</w:t>
      </w:r>
    </w:p>
    <w:p>
      <w:pPr>
        <w:wordWrap w:val="0"/>
        <w:spacing w:line="360" w:lineRule="auto"/>
        <w:ind w:firstLine="480" w:firstLineChars="200"/>
        <w:rPr>
          <w:sz w:val="24"/>
          <w:szCs w:val="24"/>
          <w:highlight w:val="none"/>
        </w:rPr>
      </w:pPr>
      <w:r>
        <w:rPr>
          <w:rFonts w:hint="eastAsia"/>
          <w:sz w:val="24"/>
          <w:szCs w:val="24"/>
          <w:highlight w:val="none"/>
        </w:rPr>
        <w:t>22、乙方必须在经过甲方书面同意，并检查工程配套消防安防等安全设施到位的前提下，方可将加电试运行。如违反本条规定，造成的人员伤亡、财产损失、设备损失等损失由施工方承担全部责任。</w:t>
      </w:r>
    </w:p>
    <w:p>
      <w:pPr>
        <w:wordWrap w:val="0"/>
        <w:spacing w:line="360" w:lineRule="auto"/>
        <w:rPr>
          <w:sz w:val="24"/>
          <w:szCs w:val="24"/>
          <w:highlight w:val="none"/>
        </w:rPr>
      </w:pPr>
    </w:p>
    <w:p>
      <w:pPr>
        <w:wordWrap w:val="0"/>
        <w:spacing w:line="360" w:lineRule="auto"/>
        <w:rPr>
          <w:sz w:val="24"/>
          <w:szCs w:val="24"/>
          <w:highlight w:val="none"/>
        </w:rPr>
      </w:pPr>
      <w:r>
        <w:rPr>
          <w:rFonts w:hint="eastAsia"/>
          <w:sz w:val="24"/>
          <w:szCs w:val="24"/>
          <w:highlight w:val="none"/>
        </w:rPr>
        <w:t>二、甲方的权利和义务：</w:t>
      </w:r>
    </w:p>
    <w:p>
      <w:pPr>
        <w:wordWrap w:val="0"/>
        <w:spacing w:line="360" w:lineRule="auto"/>
        <w:rPr>
          <w:sz w:val="24"/>
          <w:szCs w:val="24"/>
          <w:highlight w:val="none"/>
        </w:rPr>
      </w:pPr>
      <w:r>
        <w:rPr>
          <w:rFonts w:hint="eastAsia"/>
          <w:sz w:val="24"/>
          <w:szCs w:val="24"/>
          <w:highlight w:val="none"/>
        </w:rPr>
        <w:t xml:space="preserve">    1、甲方在乙方进入施工现场作业前应向乙方全面介绍本工程概况、场地环境、场地范围，作业条件及工期进度、职业卫生安全管理体系等，以及安全、质量、生活、卫生、和交通安全、劳动纪律等有关注意事项。</w:t>
      </w:r>
    </w:p>
    <w:p>
      <w:pPr>
        <w:wordWrap w:val="0"/>
        <w:spacing w:line="360" w:lineRule="auto"/>
        <w:rPr>
          <w:sz w:val="24"/>
          <w:szCs w:val="24"/>
          <w:highlight w:val="none"/>
        </w:rPr>
      </w:pPr>
      <w:r>
        <w:rPr>
          <w:rFonts w:hint="eastAsia"/>
          <w:sz w:val="24"/>
          <w:szCs w:val="24"/>
          <w:highlight w:val="none"/>
        </w:rPr>
        <w:t xml:space="preserve">    2、甲方定期组织安全生产、卫生、文明施工联合大检查，甲方在检查中发现乙方的安全、卫生、防火、文明等方面存在的隐患和问题，乙方必须在限期内认真整改，对限期未整改或整改不彻底的，甲方有权停工整顿，对在此期间所造成的事故和因停工造成的一切经济损失应由乙方负责。</w:t>
      </w:r>
    </w:p>
    <w:p>
      <w:pPr>
        <w:wordWrap w:val="0"/>
        <w:spacing w:line="360" w:lineRule="auto"/>
        <w:rPr>
          <w:sz w:val="24"/>
          <w:szCs w:val="24"/>
          <w:highlight w:val="none"/>
        </w:rPr>
      </w:pPr>
      <w:r>
        <w:rPr>
          <w:rFonts w:hint="eastAsia"/>
          <w:sz w:val="24"/>
          <w:szCs w:val="24"/>
          <w:highlight w:val="none"/>
        </w:rPr>
        <w:t xml:space="preserve">    3、甲乙双方安全员均应坚持日常巡视安全检查制度，甲方安全员在检查乙方有重大安全隐患时有权发出安全通知单或整改指令书以及停工令，对屡教不改者，甲方有权予以清退出场。</w:t>
      </w:r>
    </w:p>
    <w:p>
      <w:pPr>
        <w:wordWrap w:val="0"/>
        <w:spacing w:line="360" w:lineRule="auto"/>
        <w:rPr>
          <w:sz w:val="24"/>
          <w:szCs w:val="24"/>
          <w:highlight w:val="none"/>
        </w:rPr>
      </w:pPr>
      <w:r>
        <w:rPr>
          <w:rFonts w:hint="eastAsia"/>
          <w:sz w:val="24"/>
          <w:szCs w:val="24"/>
          <w:highlight w:val="none"/>
        </w:rPr>
        <w:t xml:space="preserve">    4、甲方有对乙方在安全生产、文明施工中取得的突出成绩给予奖励的权利。</w:t>
      </w:r>
    </w:p>
    <w:p>
      <w:pPr>
        <w:wordWrap w:val="0"/>
        <w:spacing w:line="360" w:lineRule="auto"/>
        <w:rPr>
          <w:sz w:val="24"/>
          <w:szCs w:val="24"/>
          <w:highlight w:val="none"/>
        </w:rPr>
      </w:pPr>
      <w:r>
        <w:rPr>
          <w:rFonts w:hint="eastAsia"/>
          <w:sz w:val="24"/>
          <w:szCs w:val="24"/>
          <w:highlight w:val="none"/>
        </w:rPr>
        <w:t xml:space="preserve">    5、甲方有对乙方在施工过程中，违反国家安全生产、消防、交通、治安管理政策、法规，违反甲方安全管理规章，不服从甲方管理等行为进行处罚直至单方解除合同的权利。</w:t>
      </w:r>
    </w:p>
    <w:p>
      <w:pPr>
        <w:wordWrap w:val="0"/>
        <w:spacing w:line="360" w:lineRule="auto"/>
        <w:rPr>
          <w:sz w:val="24"/>
          <w:szCs w:val="24"/>
          <w:highlight w:val="none"/>
        </w:rPr>
      </w:pPr>
      <w:r>
        <w:rPr>
          <w:rFonts w:hint="eastAsia"/>
          <w:sz w:val="24"/>
          <w:szCs w:val="24"/>
          <w:highlight w:val="none"/>
        </w:rPr>
        <w:t xml:space="preserve">    6、工程开工前，甲方应向乙方提供经有关部门批准的施工用地及合格的施工设施。</w:t>
      </w:r>
    </w:p>
    <w:p>
      <w:pPr>
        <w:wordWrap w:val="0"/>
        <w:spacing w:line="360" w:lineRule="auto"/>
        <w:ind w:firstLine="480" w:firstLineChars="200"/>
        <w:rPr>
          <w:sz w:val="24"/>
          <w:szCs w:val="24"/>
          <w:highlight w:val="none"/>
        </w:rPr>
      </w:pPr>
      <w:r>
        <w:rPr>
          <w:rFonts w:hint="eastAsia"/>
          <w:sz w:val="24"/>
          <w:szCs w:val="24"/>
          <w:highlight w:val="none"/>
        </w:rPr>
        <w:t>7、甲方安全责任人员应检查乙方自带或外租机械设备、小型电动工具、临时用电设施以及个人防护用品(如安全帽、安全带)等，并进行验收。</w:t>
      </w:r>
    </w:p>
    <w:p>
      <w:pPr>
        <w:wordWrap w:val="0"/>
        <w:spacing w:line="360" w:lineRule="auto"/>
        <w:rPr>
          <w:sz w:val="24"/>
          <w:szCs w:val="24"/>
          <w:highlight w:val="none"/>
        </w:rPr>
      </w:pPr>
    </w:p>
    <w:p>
      <w:pPr>
        <w:numPr>
          <w:ilvl w:val="0"/>
          <w:numId w:val="5"/>
        </w:numPr>
        <w:wordWrap w:val="0"/>
        <w:spacing w:line="360" w:lineRule="auto"/>
        <w:rPr>
          <w:sz w:val="24"/>
          <w:szCs w:val="24"/>
          <w:highlight w:val="none"/>
        </w:rPr>
      </w:pPr>
      <w:r>
        <w:rPr>
          <w:rFonts w:hint="eastAsia"/>
          <w:sz w:val="24"/>
          <w:szCs w:val="24"/>
          <w:highlight w:val="none"/>
        </w:rPr>
        <w:t>安全文明施工处罚</w:t>
      </w:r>
    </w:p>
    <w:p>
      <w:pPr>
        <w:wordWrap w:val="0"/>
        <w:spacing w:line="360" w:lineRule="auto"/>
        <w:rPr>
          <w:sz w:val="24"/>
          <w:szCs w:val="24"/>
          <w:highlight w:val="none"/>
        </w:rPr>
      </w:pPr>
      <w:r>
        <w:rPr>
          <w:rFonts w:hint="eastAsia" w:ascii="Times New Roman" w:hAnsi="Times New Roman"/>
          <w:sz w:val="24"/>
          <w:szCs w:val="24"/>
          <w:highlight w:val="none"/>
        </w:rPr>
        <w:t xml:space="preserve">  </w:t>
      </w:r>
      <w:r>
        <w:rPr>
          <w:rFonts w:hint="eastAsia"/>
          <w:sz w:val="24"/>
          <w:szCs w:val="24"/>
          <w:highlight w:val="none"/>
        </w:rPr>
        <w:t xml:space="preserve">  甲方有权对乙方的违章行为、安全生产事故进行事故责任处罚，处罚原则为：</w:t>
      </w:r>
    </w:p>
    <w:p>
      <w:pPr>
        <w:wordWrap w:val="0"/>
        <w:spacing w:line="360" w:lineRule="auto"/>
        <w:ind w:firstLine="480" w:firstLineChars="200"/>
        <w:rPr>
          <w:sz w:val="24"/>
          <w:szCs w:val="24"/>
          <w:highlight w:val="none"/>
        </w:rPr>
      </w:pPr>
      <w:r>
        <w:rPr>
          <w:rFonts w:hint="eastAsia"/>
          <w:sz w:val="24"/>
          <w:szCs w:val="24"/>
          <w:highlight w:val="none"/>
        </w:rPr>
        <w:t xml:space="preserve">1、一般性违章视情节可处以100到1000元罚款；   </w:t>
      </w:r>
    </w:p>
    <w:p>
      <w:pPr>
        <w:wordWrap w:val="0"/>
        <w:spacing w:line="360" w:lineRule="auto"/>
        <w:ind w:firstLine="480" w:firstLineChars="200"/>
        <w:rPr>
          <w:sz w:val="24"/>
          <w:szCs w:val="24"/>
          <w:highlight w:val="none"/>
        </w:rPr>
      </w:pPr>
      <w:r>
        <w:rPr>
          <w:rFonts w:hint="eastAsia"/>
          <w:sz w:val="24"/>
          <w:szCs w:val="24"/>
          <w:highlight w:val="none"/>
        </w:rPr>
        <w:t>2、对严重性违章、反复性违章视情节可处以3000到10000元罚款；</w:t>
      </w:r>
    </w:p>
    <w:p>
      <w:pPr>
        <w:wordWrap w:val="0"/>
        <w:spacing w:line="360" w:lineRule="auto"/>
        <w:ind w:firstLine="480"/>
        <w:rPr>
          <w:sz w:val="24"/>
          <w:szCs w:val="24"/>
          <w:highlight w:val="none"/>
        </w:rPr>
      </w:pPr>
      <w:r>
        <w:rPr>
          <w:rFonts w:hint="eastAsia"/>
          <w:sz w:val="24"/>
          <w:szCs w:val="24"/>
          <w:highlight w:val="none"/>
        </w:rPr>
        <w:t>3、对安全生产事故视情节严重处以1到5万元罚款；</w:t>
      </w:r>
    </w:p>
    <w:p>
      <w:pPr>
        <w:wordWrap w:val="0"/>
        <w:spacing w:line="360" w:lineRule="auto"/>
        <w:ind w:firstLine="480"/>
        <w:rPr>
          <w:sz w:val="24"/>
          <w:szCs w:val="24"/>
          <w:highlight w:val="none"/>
        </w:rPr>
      </w:pPr>
      <w:r>
        <w:rPr>
          <w:rFonts w:hint="eastAsia"/>
          <w:sz w:val="24"/>
          <w:szCs w:val="24"/>
          <w:highlight w:val="none"/>
        </w:rPr>
        <w:t>4、罚款金额将在工程款中直接扣除。</w:t>
      </w:r>
    </w:p>
    <w:p>
      <w:pPr>
        <w:wordWrap w:val="0"/>
        <w:spacing w:line="360" w:lineRule="auto"/>
        <w:rPr>
          <w:sz w:val="24"/>
          <w:szCs w:val="24"/>
          <w:highlight w:val="none"/>
        </w:rPr>
      </w:pPr>
    </w:p>
    <w:p>
      <w:pPr>
        <w:wordWrap w:val="0"/>
        <w:spacing w:line="360" w:lineRule="auto"/>
        <w:rPr>
          <w:sz w:val="24"/>
          <w:szCs w:val="24"/>
          <w:highlight w:val="none"/>
        </w:rPr>
      </w:pPr>
      <w:r>
        <w:rPr>
          <w:rFonts w:hint="eastAsia"/>
          <w:sz w:val="24"/>
          <w:szCs w:val="24"/>
          <w:highlight w:val="none"/>
        </w:rPr>
        <w:t>四、工程竣工验收完毕前，工程施工、试运行和验收中的安全风险由施工方承担。</w:t>
      </w:r>
    </w:p>
    <w:p>
      <w:pPr>
        <w:wordWrap w:val="0"/>
        <w:spacing w:line="360" w:lineRule="auto"/>
        <w:rPr>
          <w:sz w:val="24"/>
          <w:szCs w:val="24"/>
          <w:highlight w:val="none"/>
        </w:rPr>
      </w:pPr>
    </w:p>
    <w:p>
      <w:pPr>
        <w:wordWrap w:val="0"/>
        <w:spacing w:line="360" w:lineRule="auto"/>
        <w:rPr>
          <w:sz w:val="24"/>
          <w:szCs w:val="24"/>
          <w:highlight w:val="none"/>
        </w:rPr>
      </w:pPr>
      <w:r>
        <w:rPr>
          <w:rFonts w:hint="eastAsia"/>
          <w:sz w:val="24"/>
          <w:szCs w:val="24"/>
          <w:highlight w:val="none"/>
        </w:rPr>
        <w:t>五、本协议为施工合同的从合同，随施工合同生效而生效，施工合同解除之日起，本协议自然失效，但因乙方违背协议，造成主合同终止，不影响本协议责任条款的效力。</w:t>
      </w:r>
    </w:p>
    <w:p>
      <w:pPr>
        <w:wordWrap w:val="0"/>
        <w:spacing w:line="360" w:lineRule="auto"/>
        <w:rPr>
          <w:sz w:val="24"/>
          <w:szCs w:val="24"/>
          <w:highlight w:val="none"/>
        </w:rPr>
      </w:pPr>
    </w:p>
    <w:p>
      <w:pPr>
        <w:wordWrap w:val="0"/>
        <w:spacing w:line="360" w:lineRule="auto"/>
        <w:rPr>
          <w:sz w:val="24"/>
          <w:szCs w:val="24"/>
          <w:highlight w:val="none"/>
        </w:rPr>
      </w:pPr>
      <w:r>
        <w:rPr>
          <w:rFonts w:hint="eastAsia"/>
          <w:sz w:val="24"/>
          <w:szCs w:val="24"/>
          <w:highlight w:val="none"/>
        </w:rPr>
        <w:t>六、本协议以定协议双方签字并盖章有效，作为承发包合同书正本的附件一式六份, 甲、乙双方各持三份。</w:t>
      </w:r>
    </w:p>
    <w:p>
      <w:pPr>
        <w:wordWrap w:val="0"/>
        <w:rPr>
          <w:sz w:val="24"/>
          <w:szCs w:val="24"/>
          <w:highlight w:val="none"/>
        </w:rPr>
      </w:pPr>
    </w:p>
    <w:p>
      <w:pPr>
        <w:wordWrap w:val="0"/>
        <w:rPr>
          <w:sz w:val="24"/>
          <w:szCs w:val="24"/>
          <w:highlight w:val="none"/>
        </w:rPr>
      </w:pPr>
    </w:p>
    <w:p>
      <w:pPr>
        <w:wordWrap w:val="0"/>
        <w:rPr>
          <w:sz w:val="24"/>
          <w:szCs w:val="24"/>
          <w:highlight w:val="none"/>
        </w:rPr>
      </w:pPr>
      <w:r>
        <w:rPr>
          <w:rFonts w:hint="eastAsia"/>
          <w:sz w:val="24"/>
          <w:szCs w:val="24"/>
          <w:highlight w:val="none"/>
        </w:rPr>
        <w:t xml:space="preserve">甲方： </w:t>
      </w:r>
      <w:r>
        <w:rPr>
          <w:sz w:val="24"/>
          <w:szCs w:val="24"/>
          <w:highlight w:val="none"/>
        </w:rPr>
        <w:t xml:space="preserve">                   </w:t>
      </w:r>
      <w:r>
        <w:rPr>
          <w:rFonts w:hint="eastAsia"/>
          <w:sz w:val="24"/>
          <w:szCs w:val="24"/>
          <w:highlight w:val="none"/>
        </w:rPr>
        <w:t xml:space="preserve">                 乙方： （盖章）</w:t>
      </w:r>
    </w:p>
    <w:p>
      <w:pPr>
        <w:wordWrap w:val="0"/>
        <w:ind w:firstLine="1680" w:firstLineChars="700"/>
        <w:rPr>
          <w:sz w:val="24"/>
          <w:szCs w:val="24"/>
          <w:highlight w:val="none"/>
        </w:rPr>
      </w:pPr>
      <w:r>
        <w:rPr>
          <w:rFonts w:hint="eastAsia"/>
          <w:sz w:val="24"/>
          <w:szCs w:val="24"/>
          <w:highlight w:val="none"/>
        </w:rPr>
        <w:t xml:space="preserve">（盖章）  </w:t>
      </w:r>
    </w:p>
    <w:p>
      <w:pPr>
        <w:wordWrap w:val="0"/>
        <w:spacing w:line="432" w:lineRule="auto"/>
        <w:rPr>
          <w:sz w:val="24"/>
          <w:szCs w:val="24"/>
          <w:highlight w:val="none"/>
        </w:rPr>
      </w:pPr>
      <w:r>
        <w:rPr>
          <w:rFonts w:hint="eastAsia"/>
          <w:sz w:val="24"/>
          <w:szCs w:val="24"/>
          <w:highlight w:val="none"/>
        </w:rPr>
        <w:t>法定代表人                                 法定代表人</w:t>
      </w:r>
    </w:p>
    <w:p>
      <w:pPr>
        <w:wordWrap w:val="0"/>
        <w:spacing w:line="432" w:lineRule="auto"/>
        <w:rPr>
          <w:sz w:val="24"/>
          <w:szCs w:val="24"/>
          <w:highlight w:val="none"/>
        </w:rPr>
      </w:pPr>
      <w:r>
        <w:rPr>
          <w:rFonts w:hint="eastAsia"/>
          <w:sz w:val="24"/>
          <w:szCs w:val="24"/>
          <w:highlight w:val="none"/>
        </w:rPr>
        <w:t>或委托代理人：（签字）                     或委托代理人：（签字）</w:t>
      </w:r>
    </w:p>
    <w:p>
      <w:pPr>
        <w:wordWrap w:val="0"/>
        <w:rPr>
          <w:sz w:val="24"/>
          <w:szCs w:val="24"/>
          <w:highlight w:val="none"/>
        </w:rPr>
      </w:pPr>
    </w:p>
    <w:p>
      <w:pPr>
        <w:wordWrap w:val="0"/>
        <w:adjustRightInd w:val="0"/>
        <w:snapToGrid w:val="0"/>
        <w:spacing w:line="360" w:lineRule="auto"/>
        <w:rPr>
          <w:rFonts w:ascii="宋体" w:hAnsi="宋体"/>
          <w:b/>
          <w:spacing w:val="32"/>
          <w:sz w:val="40"/>
          <w:szCs w:val="40"/>
          <w:highlight w:val="none"/>
        </w:rPr>
      </w:pPr>
      <w:r>
        <w:rPr>
          <w:rFonts w:hint="eastAsia"/>
          <w:highlight w:val="none"/>
        </w:rPr>
        <w:br w:type="page"/>
      </w:r>
      <w:r>
        <w:rPr>
          <w:rFonts w:hint="eastAsia" w:ascii="宋体"/>
          <w:sz w:val="24"/>
          <w:szCs w:val="28"/>
          <w:highlight w:val="none"/>
        </w:rPr>
        <w:t xml:space="preserve">附件 3                </w:t>
      </w:r>
      <w:r>
        <w:rPr>
          <w:rFonts w:hint="eastAsia" w:ascii="宋体" w:hAnsi="宋体"/>
          <w:b/>
          <w:spacing w:val="32"/>
          <w:sz w:val="40"/>
          <w:szCs w:val="40"/>
          <w:highlight w:val="none"/>
        </w:rPr>
        <w:t>工程质量保修书</w:t>
      </w:r>
    </w:p>
    <w:p>
      <w:pPr>
        <w:wordWrap w:val="0"/>
        <w:adjustRightInd w:val="0"/>
        <w:snapToGrid w:val="0"/>
        <w:spacing w:line="360" w:lineRule="auto"/>
        <w:rPr>
          <w:rFonts w:ascii="宋体" w:hAnsi="宋体"/>
          <w:sz w:val="28"/>
          <w:szCs w:val="28"/>
          <w:highlight w:val="none"/>
        </w:rPr>
      </w:pPr>
    </w:p>
    <w:p>
      <w:pPr>
        <w:widowControl/>
        <w:wordWrap w:val="0"/>
        <w:spacing w:line="360" w:lineRule="auto"/>
        <w:ind w:firstLine="0" w:firstLineChars="0"/>
        <w:rPr>
          <w:rFonts w:ascii="宋体" w:hAnsi="宋体" w:eastAsia="楷体_GB2312"/>
          <w:sz w:val="24"/>
          <w:szCs w:val="24"/>
          <w:highlight w:val="none"/>
          <w:u w:val="single"/>
        </w:rPr>
      </w:pPr>
      <w:r>
        <w:rPr>
          <w:rFonts w:hint="eastAsia" w:ascii="宋体" w:hAnsi="宋体"/>
          <w:sz w:val="24"/>
          <w:szCs w:val="24"/>
          <w:highlight w:val="none"/>
        </w:rPr>
        <w:t>发包人：（全称）</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p>
    <w:p>
      <w:pPr>
        <w:wordWrap w:val="0"/>
        <w:adjustRightInd w:val="0"/>
        <w:snapToGrid w:val="0"/>
        <w:spacing w:line="360" w:lineRule="auto"/>
        <w:ind w:firstLine="0" w:firstLineChars="0"/>
        <w:rPr>
          <w:rFonts w:ascii="宋体" w:hAnsi="宋体" w:eastAsia="楷体_GB2312"/>
          <w:sz w:val="24"/>
          <w:szCs w:val="24"/>
          <w:highlight w:val="none"/>
        </w:rPr>
      </w:pPr>
      <w:r>
        <w:rPr>
          <w:rFonts w:hint="eastAsia" w:ascii="宋体" w:hAnsi="宋体"/>
          <w:sz w:val="24"/>
          <w:szCs w:val="24"/>
          <w:highlight w:val="none"/>
        </w:rPr>
        <w:t>承包人：（全称）</w:t>
      </w:r>
      <w:r>
        <w:rPr>
          <w:rFonts w:hint="eastAsia" w:ascii="宋体" w:hAnsi="宋体"/>
          <w:sz w:val="24"/>
          <w:szCs w:val="24"/>
          <w:highlight w:val="none"/>
          <w:u w:val="single"/>
        </w:rPr>
        <w:t xml:space="preserve">                       </w:t>
      </w:r>
    </w:p>
    <w:p>
      <w:pPr>
        <w:widowControl/>
        <w:wordWrap w:val="0"/>
        <w:spacing w:line="360" w:lineRule="auto"/>
        <w:ind w:firstLine="480" w:firstLineChars="200"/>
        <w:rPr>
          <w:rFonts w:ascii="宋体" w:hAnsi="宋体"/>
          <w:sz w:val="24"/>
          <w:szCs w:val="24"/>
          <w:highlight w:val="none"/>
        </w:rPr>
      </w:pPr>
      <w:r>
        <w:rPr>
          <w:rFonts w:hint="eastAsia" w:ascii="宋体" w:hAnsi="宋体"/>
          <w:sz w:val="24"/>
          <w:szCs w:val="24"/>
          <w:highlight w:val="none"/>
        </w:rPr>
        <w:t>为保证</w:t>
      </w:r>
      <w:r>
        <w:rPr>
          <w:rFonts w:hint="eastAsia" w:ascii="宋体" w:hAnsi="宋体"/>
          <w:sz w:val="24"/>
          <w:szCs w:val="24"/>
          <w:highlight w:val="none"/>
          <w:u w:val="single"/>
        </w:rPr>
        <w:t xml:space="preserve"> </w:t>
      </w:r>
      <w:r>
        <w:rPr>
          <w:rFonts w:hint="eastAsia" w:ascii="宋体" w:hAnsi="宋体"/>
          <w:sz w:val="24"/>
          <w:szCs w:val="24"/>
          <w:highlight w:val="none"/>
          <w:u w:val="single"/>
          <w:lang w:eastAsia="zh-CN"/>
        </w:rPr>
        <w:t>越秀公园雨污分流项目</w:t>
      </w:r>
      <w:r>
        <w:rPr>
          <w:rFonts w:hint="eastAsia" w:ascii="宋体" w:hAnsi="宋体"/>
          <w:sz w:val="24"/>
          <w:szCs w:val="24"/>
          <w:highlight w:val="none"/>
          <w:u w:val="single"/>
        </w:rPr>
        <w:t xml:space="preserve"> </w:t>
      </w:r>
      <w:r>
        <w:rPr>
          <w:rFonts w:hint="eastAsia" w:ascii="宋体" w:hAnsi="宋体"/>
          <w:sz w:val="24"/>
          <w:szCs w:val="24"/>
          <w:highlight w:val="none"/>
        </w:rPr>
        <w:t>在合理使用期限正常使用，合同双方当事人根据《中华人民共和国建筑法》《建设工程质量管理条例》等规定，经协商一致，订立本质量保修书。</w:t>
      </w:r>
    </w:p>
    <w:p>
      <w:pPr>
        <w:numPr>
          <w:ilvl w:val="0"/>
          <w:numId w:val="6"/>
        </w:numPr>
        <w:wordWrap w:val="0"/>
        <w:adjustRightInd w:val="0"/>
        <w:snapToGrid w:val="0"/>
        <w:spacing w:line="360" w:lineRule="auto"/>
        <w:ind w:left="902" w:leftChars="200" w:hanging="482" w:hangingChars="200"/>
        <w:rPr>
          <w:rFonts w:ascii="宋体" w:hAnsi="宋体"/>
          <w:sz w:val="24"/>
          <w:szCs w:val="24"/>
          <w:highlight w:val="none"/>
        </w:rPr>
      </w:pPr>
      <w:r>
        <w:rPr>
          <w:rFonts w:hint="eastAsia" w:ascii="宋体" w:hAnsi="宋体"/>
          <w:b/>
          <w:sz w:val="24"/>
          <w:szCs w:val="24"/>
          <w:highlight w:val="none"/>
        </w:rPr>
        <w:t>质量保修范围</w:t>
      </w:r>
    </w:p>
    <w:p>
      <w:pPr>
        <w:wordWrap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质量保修范围包括土建工程、绿化工程、主体结构工程、电气管线工程、给排水管道工程、设备安装工程、以及双方约定其他项目。具体质量保修范围，合同双方当事人约定如下：</w:t>
      </w:r>
    </w:p>
    <w:p>
      <w:pPr>
        <w:widowControl/>
        <w:wordWrap w:val="0"/>
        <w:spacing w:line="480" w:lineRule="auto"/>
        <w:ind w:firstLine="480" w:firstLineChars="200"/>
        <w:jc w:val="left"/>
        <w:rPr>
          <w:rFonts w:ascii="宋体" w:hAnsi="宋体"/>
          <w:sz w:val="24"/>
          <w:szCs w:val="24"/>
          <w:highlight w:val="none"/>
        </w:rPr>
      </w:pPr>
      <w:r>
        <w:rPr>
          <w:rFonts w:hint="eastAsia" w:ascii="宋体" w:hAnsi="宋体"/>
          <w:sz w:val="24"/>
          <w:szCs w:val="24"/>
          <w:highlight w:val="none"/>
        </w:rPr>
        <w:t>承包人负责保修</w:t>
      </w:r>
      <w:r>
        <w:rPr>
          <w:rFonts w:hint="eastAsia" w:ascii="宋体" w:hAnsi="宋体"/>
          <w:sz w:val="24"/>
          <w:szCs w:val="24"/>
          <w:highlight w:val="none"/>
          <w:u w:val="single"/>
        </w:rPr>
        <w:t xml:space="preserve"> </w:t>
      </w:r>
      <w:r>
        <w:rPr>
          <w:rFonts w:hint="eastAsia" w:ascii="宋体" w:hAnsi="宋体"/>
          <w:sz w:val="24"/>
          <w:szCs w:val="24"/>
          <w:highlight w:val="none"/>
          <w:u w:val="single"/>
          <w:lang w:eastAsia="zh-CN"/>
        </w:rPr>
        <w:t>越秀公园雨污分流项目</w:t>
      </w:r>
      <w:r>
        <w:rPr>
          <w:rFonts w:hint="eastAsia" w:ascii="宋体" w:hAnsi="宋体"/>
          <w:sz w:val="24"/>
          <w:szCs w:val="24"/>
          <w:highlight w:val="none"/>
          <w:u w:val="single"/>
        </w:rPr>
        <w:t xml:space="preserve"> </w:t>
      </w:r>
      <w:r>
        <w:rPr>
          <w:rFonts w:hint="eastAsia" w:ascii="宋体" w:hAnsi="宋体"/>
          <w:sz w:val="24"/>
          <w:szCs w:val="24"/>
          <w:highlight w:val="none"/>
        </w:rPr>
        <w:t>施工图纸包含的由承包人承包施工的全部工程内容。</w:t>
      </w:r>
    </w:p>
    <w:p>
      <w:pPr>
        <w:numPr>
          <w:ilvl w:val="0"/>
          <w:numId w:val="6"/>
        </w:numPr>
        <w:wordWrap w:val="0"/>
        <w:adjustRightInd w:val="0"/>
        <w:snapToGrid w:val="0"/>
        <w:spacing w:line="360" w:lineRule="auto"/>
        <w:ind w:left="902" w:leftChars="200" w:hanging="482" w:hangingChars="200"/>
        <w:rPr>
          <w:rFonts w:ascii="宋体" w:hAnsi="宋体"/>
          <w:b/>
          <w:sz w:val="24"/>
          <w:szCs w:val="24"/>
          <w:highlight w:val="none"/>
        </w:rPr>
      </w:pPr>
      <w:r>
        <w:rPr>
          <w:rFonts w:hint="eastAsia" w:ascii="宋体" w:hAnsi="宋体"/>
          <w:b/>
          <w:sz w:val="24"/>
          <w:szCs w:val="24"/>
          <w:highlight w:val="none"/>
        </w:rPr>
        <w:t>质量保修期</w:t>
      </w:r>
    </w:p>
    <w:p>
      <w:pPr>
        <w:wordWrap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2.1 质量保修期从工程实际竣工之日算起。单项竣工验收的工程，按单项工程分别计算质量保修期。</w:t>
      </w:r>
    </w:p>
    <w:p>
      <w:pPr>
        <w:wordWrap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2.2 </w:t>
      </w:r>
      <w:r>
        <w:rPr>
          <w:rFonts w:hint="eastAsia" w:ascii="宋体" w:hAnsi="宋体" w:cs="宋体"/>
          <w:kern w:val="0"/>
          <w:sz w:val="24"/>
          <w:szCs w:val="24"/>
          <w:highlight w:val="none"/>
          <w:lang w:val="zh-CN"/>
        </w:rPr>
        <w:t>合同工程质量保修期，合同双方当事人约定如下</w:t>
      </w:r>
      <w:r>
        <w:rPr>
          <w:rFonts w:hint="eastAsia" w:ascii="宋体" w:hAnsi="宋体"/>
          <w:sz w:val="24"/>
          <w:szCs w:val="24"/>
          <w:highlight w:val="none"/>
        </w:rPr>
        <w:t>：</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u w:val="single"/>
        </w:rPr>
        <w:t>设备安装部分</w:t>
      </w:r>
      <w:r>
        <w:rPr>
          <w:rFonts w:hint="eastAsia" w:ascii="宋体" w:hAnsi="宋体" w:cs="宋体"/>
          <w:sz w:val="24"/>
          <w:szCs w:val="24"/>
          <w:highlight w:val="none"/>
          <w:u w:val="single"/>
          <w:lang w:val="en-US" w:eastAsia="zh-CN"/>
        </w:rPr>
        <w:t>和给排水管道工程</w:t>
      </w:r>
      <w:r>
        <w:rPr>
          <w:rFonts w:hint="eastAsia" w:ascii="宋体" w:hAnsi="宋体" w:cs="宋体"/>
          <w:sz w:val="24"/>
          <w:szCs w:val="24"/>
          <w:highlight w:val="none"/>
          <w:u w:val="single"/>
        </w:rPr>
        <w:t>自竣工验收合格之日起2年，其他工程部分自竣工验收合格之日起1年</w:t>
      </w:r>
      <w:r>
        <w:rPr>
          <w:rFonts w:hint="eastAsia" w:ascii="宋体" w:hAnsi="宋体" w:cs="宋体"/>
          <w:sz w:val="24"/>
          <w:szCs w:val="24"/>
          <w:highlight w:val="none"/>
        </w:rPr>
        <w:t>。</w:t>
      </w:r>
    </w:p>
    <w:p>
      <w:pPr>
        <w:wordWrap w:val="0"/>
        <w:adjustRightInd w:val="0"/>
        <w:snapToGrid w:val="0"/>
        <w:spacing w:line="360" w:lineRule="auto"/>
        <w:ind w:left="480"/>
        <w:rPr>
          <w:rFonts w:ascii="宋体" w:hAnsi="宋体"/>
          <w:sz w:val="24"/>
          <w:szCs w:val="24"/>
          <w:highlight w:val="none"/>
        </w:rPr>
      </w:pPr>
      <w:r>
        <w:rPr>
          <w:rFonts w:hint="eastAsia" w:ascii="宋体" w:hAnsi="宋体"/>
          <w:sz w:val="24"/>
          <w:szCs w:val="24"/>
          <w:highlight w:val="none"/>
        </w:rPr>
        <w:t xml:space="preserve">3． </w:t>
      </w:r>
      <w:r>
        <w:rPr>
          <w:rFonts w:hint="eastAsia" w:ascii="宋体" w:hAnsi="宋体"/>
          <w:b/>
          <w:sz w:val="24"/>
          <w:szCs w:val="24"/>
          <w:highlight w:val="none"/>
        </w:rPr>
        <w:t>质量保修责任</w:t>
      </w:r>
    </w:p>
    <w:p>
      <w:pPr>
        <w:wordWrap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3.1  </w:t>
      </w:r>
      <w:r>
        <w:rPr>
          <w:rFonts w:hint="eastAsia" w:ascii="宋体" w:hAnsi="宋体" w:cs="宋体"/>
          <w:kern w:val="0"/>
          <w:sz w:val="24"/>
          <w:szCs w:val="24"/>
          <w:highlight w:val="none"/>
          <w:lang w:val="zh-CN"/>
        </w:rPr>
        <w:t>属于保修范围的项目，承包人应在接到发包人通知后的</w:t>
      </w:r>
      <w:r>
        <w:rPr>
          <w:rFonts w:hint="eastAsia" w:ascii="宋体" w:hAnsi="宋体"/>
          <w:kern w:val="0"/>
          <w:sz w:val="24"/>
          <w:szCs w:val="24"/>
          <w:highlight w:val="none"/>
        </w:rPr>
        <w:t xml:space="preserve"> 7</w:t>
      </w:r>
      <w:r>
        <w:rPr>
          <w:rFonts w:hint="eastAsia" w:ascii="宋体" w:hAnsi="宋体" w:cs="Arial"/>
          <w:kern w:val="0"/>
          <w:sz w:val="24"/>
          <w:szCs w:val="24"/>
          <w:highlight w:val="none"/>
        </w:rPr>
        <w:t xml:space="preserve"> </w:t>
      </w:r>
      <w:r>
        <w:rPr>
          <w:rFonts w:hint="eastAsia" w:ascii="宋体" w:hAnsi="宋体" w:cs="宋体"/>
          <w:kern w:val="0"/>
          <w:sz w:val="24"/>
          <w:szCs w:val="24"/>
          <w:highlight w:val="none"/>
          <w:lang w:val="zh-CN"/>
        </w:rPr>
        <w:t>天内派人保修。承包人未能在规定时间内派人保修的，发包人可自行或委托第三方保修</w:t>
      </w:r>
      <w:r>
        <w:rPr>
          <w:rFonts w:hint="eastAsia" w:ascii="宋体" w:hAnsi="宋体"/>
          <w:sz w:val="24"/>
          <w:szCs w:val="24"/>
          <w:highlight w:val="none"/>
        </w:rPr>
        <w:t>。</w:t>
      </w:r>
    </w:p>
    <w:p>
      <w:pPr>
        <w:wordWrap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3.2  发生紧急抢修事故的，承包人在接到通知后，应立即到达事故现场抢修。</w:t>
      </w:r>
    </w:p>
    <w:p>
      <w:pPr>
        <w:wordWrap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3.3  在国家规定的工程合理使用期限内，承包人应确保地基基础工程和主体结构的质量和安全。凡出现其质量问题，应立即报告当地建设行政主管部门，经设计人提出保修方案后，承包人应立即实施保修。</w:t>
      </w:r>
    </w:p>
    <w:p>
      <w:pPr>
        <w:wordWrap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3.4  质量保修完成后，由发包人组织验收。</w:t>
      </w:r>
    </w:p>
    <w:p>
      <w:pPr>
        <w:wordWrap w:val="0"/>
        <w:adjustRightInd w:val="0"/>
        <w:snapToGrid w:val="0"/>
        <w:spacing w:line="360" w:lineRule="auto"/>
        <w:ind w:left="480"/>
        <w:rPr>
          <w:rFonts w:ascii="宋体" w:hAnsi="宋体"/>
          <w:sz w:val="24"/>
          <w:szCs w:val="24"/>
          <w:highlight w:val="none"/>
        </w:rPr>
      </w:pPr>
      <w:r>
        <w:rPr>
          <w:rFonts w:hint="eastAsia" w:ascii="宋体" w:hAnsi="宋体"/>
          <w:sz w:val="24"/>
          <w:szCs w:val="24"/>
          <w:highlight w:val="none"/>
        </w:rPr>
        <w:t>4．</w:t>
      </w:r>
      <w:r>
        <w:rPr>
          <w:rFonts w:hint="eastAsia" w:ascii="宋体" w:hAnsi="宋体"/>
          <w:b/>
          <w:sz w:val="24"/>
          <w:szCs w:val="24"/>
          <w:highlight w:val="none"/>
        </w:rPr>
        <w:t>质量保修费用</w:t>
      </w:r>
    </w:p>
    <w:p>
      <w:pPr>
        <w:wordWrap w:val="0"/>
        <w:adjustRightInd w:val="0"/>
        <w:snapToGrid w:val="0"/>
        <w:spacing w:line="360" w:lineRule="auto"/>
        <w:ind w:firstLine="480" w:firstLineChars="200"/>
        <w:rPr>
          <w:rFonts w:ascii="宋体" w:hAnsi="宋体"/>
          <w:sz w:val="24"/>
          <w:szCs w:val="24"/>
          <w:highlight w:val="none"/>
        </w:rPr>
      </w:pPr>
      <w:r>
        <w:rPr>
          <w:rFonts w:hint="eastAsia" w:ascii="宋体" w:hAnsi="宋体" w:cs="宋体"/>
          <w:kern w:val="0"/>
          <w:sz w:val="24"/>
          <w:szCs w:val="24"/>
          <w:highlight w:val="none"/>
          <w:lang w:val="zh-CN"/>
        </w:rPr>
        <w:t>质量保修等费用，由责任方承担</w:t>
      </w:r>
      <w:r>
        <w:rPr>
          <w:rFonts w:hint="eastAsia" w:ascii="宋体" w:hAnsi="宋体"/>
          <w:sz w:val="24"/>
          <w:szCs w:val="24"/>
          <w:highlight w:val="none"/>
        </w:rPr>
        <w:t>。</w:t>
      </w:r>
    </w:p>
    <w:p>
      <w:pPr>
        <w:wordWrap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5．</w:t>
      </w:r>
      <w:r>
        <w:rPr>
          <w:rFonts w:hint="eastAsia" w:ascii="宋体" w:hAnsi="宋体"/>
          <w:b/>
          <w:sz w:val="24"/>
          <w:szCs w:val="24"/>
          <w:highlight w:val="none"/>
        </w:rPr>
        <w:t>质量保证金</w:t>
      </w:r>
    </w:p>
    <w:p>
      <w:pPr>
        <w:wordWrap w:val="0"/>
        <w:adjustRightInd w:val="0"/>
        <w:snapToGrid w:val="0"/>
        <w:spacing w:line="390" w:lineRule="exact"/>
        <w:ind w:firstLine="480" w:firstLineChars="200"/>
        <w:rPr>
          <w:rFonts w:ascii="宋体" w:hAnsi="宋体"/>
          <w:sz w:val="24"/>
          <w:szCs w:val="24"/>
          <w:highlight w:val="none"/>
        </w:rPr>
      </w:pPr>
      <w:r>
        <w:rPr>
          <w:rFonts w:hint="eastAsia" w:ascii="宋体" w:hAnsi="宋体" w:cs="宋体"/>
          <w:kern w:val="0"/>
          <w:sz w:val="24"/>
          <w:szCs w:val="24"/>
          <w:highlight w:val="none"/>
          <w:lang w:val="zh-CN"/>
        </w:rPr>
        <w:t>质量保证金的约定、支付和使用与本合同第二部分《通用条款》第</w:t>
      </w:r>
      <w:r>
        <w:rPr>
          <w:rFonts w:hint="eastAsia" w:ascii="宋体" w:hAnsi="宋体"/>
          <w:kern w:val="0"/>
          <w:sz w:val="24"/>
          <w:szCs w:val="24"/>
          <w:highlight w:val="none"/>
        </w:rPr>
        <w:t>17.4</w:t>
      </w:r>
      <w:r>
        <w:rPr>
          <w:rFonts w:hint="eastAsia" w:ascii="宋体" w:hAnsi="宋体" w:cs="Arial"/>
          <w:kern w:val="0"/>
          <w:sz w:val="24"/>
          <w:szCs w:val="24"/>
          <w:highlight w:val="none"/>
        </w:rPr>
        <w:t xml:space="preserve"> </w:t>
      </w:r>
      <w:r>
        <w:rPr>
          <w:rFonts w:hint="eastAsia" w:ascii="宋体" w:hAnsi="宋体" w:cs="宋体"/>
          <w:kern w:val="0"/>
          <w:sz w:val="24"/>
          <w:szCs w:val="24"/>
          <w:highlight w:val="none"/>
          <w:lang w:val="zh-CN"/>
        </w:rPr>
        <w:t>条赋予的规</w:t>
      </w:r>
      <w:r>
        <w:rPr>
          <w:rFonts w:hint="eastAsia" w:ascii="宋体" w:hAnsi="宋体"/>
          <w:sz w:val="24"/>
          <w:szCs w:val="24"/>
          <w:highlight w:val="none"/>
        </w:rPr>
        <w:t>定一致。</w:t>
      </w:r>
    </w:p>
    <w:p>
      <w:pPr>
        <w:wordWrap w:val="0"/>
        <w:adjustRightInd w:val="0"/>
        <w:snapToGrid w:val="0"/>
        <w:spacing w:line="390" w:lineRule="exact"/>
        <w:ind w:left="480"/>
        <w:rPr>
          <w:rFonts w:ascii="宋体" w:hAnsi="宋体"/>
          <w:sz w:val="24"/>
          <w:szCs w:val="24"/>
          <w:highlight w:val="none"/>
        </w:rPr>
      </w:pPr>
      <w:r>
        <w:rPr>
          <w:rFonts w:hint="eastAsia" w:ascii="宋体" w:hAnsi="宋体"/>
          <w:sz w:val="24"/>
          <w:szCs w:val="24"/>
          <w:highlight w:val="none"/>
        </w:rPr>
        <w:t>6．</w:t>
      </w:r>
      <w:r>
        <w:rPr>
          <w:rFonts w:hint="eastAsia" w:ascii="宋体" w:hAnsi="宋体"/>
          <w:b/>
          <w:sz w:val="24"/>
          <w:szCs w:val="24"/>
          <w:highlight w:val="none"/>
        </w:rPr>
        <w:t>其他</w:t>
      </w:r>
    </w:p>
    <w:p>
      <w:pPr>
        <w:wordWrap w:val="0"/>
        <w:adjustRightInd w:val="0"/>
        <w:snapToGrid w:val="0"/>
        <w:spacing w:line="390" w:lineRule="exact"/>
        <w:ind w:firstLine="480" w:firstLineChars="200"/>
        <w:rPr>
          <w:rFonts w:ascii="宋体" w:hAnsi="宋体"/>
          <w:sz w:val="24"/>
          <w:szCs w:val="24"/>
          <w:highlight w:val="none"/>
        </w:rPr>
      </w:pPr>
      <w:r>
        <w:rPr>
          <w:rFonts w:hint="eastAsia" w:ascii="宋体" w:hAnsi="宋体"/>
          <w:sz w:val="24"/>
          <w:szCs w:val="24"/>
          <w:highlight w:val="none"/>
        </w:rPr>
        <w:t xml:space="preserve">6.1  </w:t>
      </w:r>
      <w:r>
        <w:rPr>
          <w:rFonts w:hint="eastAsia" w:ascii="宋体" w:hAnsi="宋体" w:cs="宋体"/>
          <w:kern w:val="0"/>
          <w:sz w:val="24"/>
          <w:szCs w:val="24"/>
          <w:highlight w:val="none"/>
          <w:lang w:val="zh-CN"/>
        </w:rPr>
        <w:t>合同双方当事人约定的其他质量保修事</w:t>
      </w:r>
      <w:r>
        <w:rPr>
          <w:rFonts w:hint="eastAsia" w:ascii="宋体" w:hAnsi="宋体"/>
          <w:sz w:val="24"/>
          <w:szCs w:val="24"/>
          <w:highlight w:val="none"/>
        </w:rPr>
        <w:t>项：</w:t>
      </w:r>
      <w:r>
        <w:rPr>
          <w:rFonts w:hint="eastAsia" w:ascii="宋体" w:hAnsi="宋体"/>
          <w:sz w:val="24"/>
          <w:szCs w:val="24"/>
          <w:highlight w:val="none"/>
          <w:u w:val="single"/>
        </w:rPr>
        <w:t>工程竣工验收合格之日起计质量保修期。</w:t>
      </w:r>
    </w:p>
    <w:p>
      <w:pPr>
        <w:wordWrap w:val="0"/>
        <w:adjustRightInd w:val="0"/>
        <w:snapToGrid w:val="0"/>
        <w:spacing w:line="390" w:lineRule="exact"/>
        <w:ind w:firstLine="480" w:firstLineChars="200"/>
        <w:rPr>
          <w:rFonts w:ascii="宋体" w:hAnsi="宋体"/>
          <w:sz w:val="24"/>
          <w:szCs w:val="24"/>
          <w:highlight w:val="none"/>
        </w:rPr>
      </w:pPr>
      <w:r>
        <w:rPr>
          <w:rFonts w:hint="eastAsia" w:ascii="宋体" w:hAnsi="宋体"/>
          <w:sz w:val="24"/>
          <w:szCs w:val="24"/>
          <w:highlight w:val="none"/>
        </w:rPr>
        <w:t xml:space="preserve">6.2  </w:t>
      </w:r>
      <w:r>
        <w:rPr>
          <w:rFonts w:hint="eastAsia" w:ascii="宋体" w:hAnsi="宋体" w:cs="宋体"/>
          <w:kern w:val="0"/>
          <w:sz w:val="24"/>
          <w:szCs w:val="24"/>
          <w:highlight w:val="none"/>
          <w:lang w:val="zh-CN"/>
        </w:rPr>
        <w:t>本质量保修书，由合同双方当事人在承包人向发包人提交竣工验收申请报告时签署，</w:t>
      </w:r>
      <w:r>
        <w:rPr>
          <w:rFonts w:hint="eastAsia" w:ascii="宋体" w:hAnsi="宋体" w:cs="Arial"/>
          <w:kern w:val="0"/>
          <w:sz w:val="24"/>
          <w:szCs w:val="24"/>
          <w:highlight w:val="none"/>
        </w:rPr>
        <w:t xml:space="preserve"> </w:t>
      </w:r>
      <w:r>
        <w:rPr>
          <w:rFonts w:hint="eastAsia" w:ascii="宋体" w:hAnsi="宋体" w:cs="宋体"/>
          <w:kern w:val="0"/>
          <w:sz w:val="24"/>
          <w:szCs w:val="24"/>
          <w:highlight w:val="none"/>
          <w:lang w:val="zh-CN"/>
        </w:rPr>
        <w:t>作为本合同的附件</w:t>
      </w:r>
      <w:r>
        <w:rPr>
          <w:rFonts w:hint="eastAsia" w:ascii="宋体" w:hAnsi="宋体"/>
          <w:sz w:val="24"/>
          <w:szCs w:val="24"/>
          <w:highlight w:val="none"/>
        </w:rPr>
        <w:t>。</w:t>
      </w:r>
    </w:p>
    <w:p>
      <w:pPr>
        <w:wordWrap w:val="0"/>
        <w:adjustRightInd w:val="0"/>
        <w:snapToGrid w:val="0"/>
        <w:spacing w:line="390" w:lineRule="exact"/>
        <w:ind w:firstLine="480" w:firstLineChars="200"/>
        <w:rPr>
          <w:rFonts w:ascii="宋体" w:hAnsi="宋体" w:cs="宋体"/>
          <w:kern w:val="0"/>
          <w:sz w:val="24"/>
          <w:szCs w:val="24"/>
          <w:highlight w:val="none"/>
          <w:lang w:val="zh-CN"/>
        </w:rPr>
      </w:pPr>
      <w:r>
        <w:rPr>
          <w:rFonts w:hint="eastAsia" w:ascii="宋体" w:hAnsi="宋体"/>
          <w:sz w:val="24"/>
          <w:szCs w:val="24"/>
          <w:highlight w:val="none"/>
        </w:rPr>
        <w:t xml:space="preserve">6.3  </w:t>
      </w:r>
      <w:r>
        <w:rPr>
          <w:rFonts w:hint="eastAsia" w:ascii="宋体" w:hAnsi="宋体" w:cs="宋体"/>
          <w:kern w:val="0"/>
          <w:sz w:val="24"/>
          <w:szCs w:val="24"/>
          <w:highlight w:val="none"/>
          <w:lang w:val="zh-CN"/>
        </w:rPr>
        <w:t>本质量保修书，自合同双方当事人签署之日起生效，至质量保修期满后失效。</w:t>
      </w:r>
    </w:p>
    <w:p>
      <w:pPr>
        <w:wordWrap w:val="0"/>
        <w:adjustRightInd w:val="0"/>
        <w:snapToGrid w:val="0"/>
        <w:spacing w:line="390" w:lineRule="exact"/>
        <w:ind w:firstLine="480" w:firstLineChars="200"/>
        <w:rPr>
          <w:rFonts w:ascii="宋体" w:hAnsi="宋体" w:cs="宋体"/>
          <w:kern w:val="0"/>
          <w:sz w:val="24"/>
          <w:szCs w:val="24"/>
          <w:highlight w:val="none"/>
          <w:lang w:val="zh-CN"/>
        </w:rPr>
      </w:pPr>
    </w:p>
    <w:p>
      <w:pPr>
        <w:wordWrap w:val="0"/>
        <w:adjustRightInd w:val="0"/>
        <w:snapToGrid w:val="0"/>
        <w:spacing w:line="390" w:lineRule="exact"/>
        <w:ind w:firstLine="480" w:firstLineChars="200"/>
        <w:rPr>
          <w:rFonts w:ascii="宋体" w:hAnsi="宋体" w:cs="宋体"/>
          <w:kern w:val="0"/>
          <w:sz w:val="24"/>
          <w:szCs w:val="24"/>
          <w:highlight w:val="none"/>
          <w:lang w:val="zh-CN"/>
        </w:rPr>
      </w:pPr>
    </w:p>
    <w:p>
      <w:pPr>
        <w:wordWrap w:val="0"/>
        <w:spacing w:line="480" w:lineRule="auto"/>
        <w:ind w:left="7200" w:hanging="7200" w:hangingChars="3000"/>
        <w:rPr>
          <w:sz w:val="24"/>
          <w:szCs w:val="24"/>
          <w:highlight w:val="none"/>
        </w:rPr>
      </w:pPr>
    </w:p>
    <w:p>
      <w:pPr>
        <w:wordWrap w:val="0"/>
        <w:spacing w:line="480" w:lineRule="auto"/>
        <w:rPr>
          <w:sz w:val="24"/>
          <w:szCs w:val="24"/>
          <w:highlight w:val="none"/>
        </w:rPr>
      </w:pPr>
      <w:r>
        <w:rPr>
          <w:rFonts w:hint="eastAsia"/>
          <w:sz w:val="24"/>
          <w:szCs w:val="24"/>
          <w:highlight w:val="none"/>
        </w:rPr>
        <w:t xml:space="preserve">发包人： </w:t>
      </w:r>
      <w:r>
        <w:rPr>
          <w:sz w:val="24"/>
          <w:szCs w:val="24"/>
          <w:highlight w:val="none"/>
        </w:rPr>
        <w:t xml:space="preserve">                   </w:t>
      </w:r>
      <w:r>
        <w:rPr>
          <w:rFonts w:hint="eastAsia"/>
          <w:sz w:val="24"/>
          <w:szCs w:val="24"/>
          <w:highlight w:val="none"/>
        </w:rPr>
        <w:t xml:space="preserve">       承包人：</w:t>
      </w:r>
    </w:p>
    <w:p>
      <w:pPr>
        <w:wordWrap w:val="0"/>
        <w:spacing w:line="480" w:lineRule="auto"/>
        <w:ind w:firstLine="1680" w:firstLineChars="700"/>
        <w:rPr>
          <w:sz w:val="24"/>
          <w:szCs w:val="24"/>
          <w:highlight w:val="none"/>
        </w:rPr>
      </w:pPr>
      <w:r>
        <w:rPr>
          <w:rFonts w:hint="eastAsia"/>
          <w:sz w:val="24"/>
          <w:szCs w:val="24"/>
          <w:highlight w:val="none"/>
        </w:rPr>
        <w:t>（盖章）                    （盖章）</w:t>
      </w:r>
    </w:p>
    <w:p>
      <w:pPr>
        <w:wordWrap w:val="0"/>
        <w:spacing w:line="480" w:lineRule="auto"/>
        <w:rPr>
          <w:sz w:val="24"/>
          <w:szCs w:val="24"/>
          <w:highlight w:val="none"/>
        </w:rPr>
      </w:pPr>
      <w:r>
        <w:rPr>
          <w:rFonts w:hint="eastAsia"/>
          <w:sz w:val="24"/>
          <w:szCs w:val="24"/>
          <w:highlight w:val="none"/>
        </w:rPr>
        <w:t>法定代表人                         法定代表人</w:t>
      </w:r>
    </w:p>
    <w:p>
      <w:pPr>
        <w:wordWrap w:val="0"/>
        <w:spacing w:line="480" w:lineRule="auto"/>
        <w:rPr>
          <w:sz w:val="24"/>
          <w:szCs w:val="24"/>
          <w:highlight w:val="none"/>
        </w:rPr>
      </w:pPr>
      <w:r>
        <w:rPr>
          <w:rFonts w:hint="eastAsia"/>
          <w:sz w:val="24"/>
          <w:szCs w:val="24"/>
          <w:highlight w:val="none"/>
        </w:rPr>
        <w:t>或委托代理人：（签字）             或委托代理人：（签字）</w:t>
      </w:r>
    </w:p>
    <w:p>
      <w:pPr>
        <w:pStyle w:val="187"/>
        <w:wordWrap w:val="0"/>
        <w:autoSpaceDE/>
        <w:autoSpaceDN/>
        <w:adjustRightInd/>
        <w:spacing w:after="0" w:line="490" w:lineRule="exact"/>
        <w:jc w:val="both"/>
        <w:rPr>
          <w:rFonts w:ascii="Times New Roman" w:eastAsia="方正小标宋_GBK" w:cs="Times New Roman"/>
          <w:b/>
          <w:sz w:val="40"/>
          <w:szCs w:val="32"/>
          <w:highlight w:val="none"/>
        </w:rPr>
      </w:pPr>
      <w:r>
        <w:rPr>
          <w:rFonts w:hint="eastAsia"/>
          <w:highlight w:val="none"/>
        </w:rPr>
        <w:br w:type="page"/>
      </w:r>
      <w:r>
        <w:rPr>
          <w:rFonts w:hint="eastAsia"/>
          <w:szCs w:val="28"/>
          <w:highlight w:val="none"/>
        </w:rPr>
        <w:t xml:space="preserve">附件 4           </w:t>
      </w:r>
      <w:r>
        <w:rPr>
          <w:rFonts w:ascii="Times New Roman" w:eastAsia="方正小标宋_GBK" w:cs="Times New Roman"/>
          <w:b/>
          <w:sz w:val="40"/>
          <w:szCs w:val="32"/>
          <w:highlight w:val="none"/>
        </w:rPr>
        <w:t>环境保护和水土保持责任书</w:t>
      </w:r>
    </w:p>
    <w:p>
      <w:pPr>
        <w:pStyle w:val="187"/>
        <w:wordWrap w:val="0"/>
        <w:autoSpaceDE/>
        <w:autoSpaceDN/>
        <w:adjustRightInd/>
        <w:spacing w:after="0" w:line="490" w:lineRule="exact"/>
        <w:jc w:val="center"/>
        <w:rPr>
          <w:rFonts w:ascii="Times New Roman" w:eastAsia="方正小标宋_GBK" w:cs="Times New Roman"/>
          <w:b/>
          <w:sz w:val="40"/>
          <w:szCs w:val="32"/>
          <w:highlight w:val="none"/>
        </w:rPr>
      </w:pPr>
    </w:p>
    <w:p>
      <w:pPr>
        <w:wordWrap w:val="0"/>
        <w:spacing w:line="480" w:lineRule="auto"/>
        <w:ind w:firstLine="480" w:firstLineChars="200"/>
        <w:rPr>
          <w:sz w:val="24"/>
          <w:szCs w:val="24"/>
          <w:highlight w:val="none"/>
        </w:rPr>
      </w:pPr>
      <w:r>
        <w:rPr>
          <w:rFonts w:hint="eastAsia"/>
          <w:sz w:val="24"/>
          <w:szCs w:val="24"/>
          <w:highlight w:val="none"/>
        </w:rPr>
        <w:t>为减少工程施工对环境的影响，尽可能地恢复环境自然植被面，本项目发包人（以下简称“甲方”）与承包人（以下简称“乙方”）特签订环境保护和水土保持责任书。</w:t>
      </w:r>
    </w:p>
    <w:p>
      <w:pPr>
        <w:wordWrap w:val="0"/>
        <w:spacing w:line="480" w:lineRule="auto"/>
        <w:ind w:firstLine="480" w:firstLineChars="200"/>
        <w:rPr>
          <w:sz w:val="24"/>
          <w:szCs w:val="24"/>
          <w:highlight w:val="none"/>
        </w:rPr>
      </w:pPr>
      <w:r>
        <w:rPr>
          <w:rFonts w:hint="eastAsia"/>
          <w:sz w:val="24"/>
          <w:szCs w:val="24"/>
          <w:highlight w:val="none"/>
        </w:rPr>
        <w:t>一、甲方职责</w:t>
      </w:r>
    </w:p>
    <w:p>
      <w:pPr>
        <w:wordWrap w:val="0"/>
        <w:spacing w:line="480" w:lineRule="auto"/>
        <w:ind w:firstLine="480" w:firstLineChars="200"/>
        <w:rPr>
          <w:sz w:val="24"/>
          <w:szCs w:val="24"/>
          <w:highlight w:val="none"/>
        </w:rPr>
      </w:pPr>
      <w:r>
        <w:rPr>
          <w:rFonts w:hint="eastAsia"/>
          <w:sz w:val="24"/>
          <w:szCs w:val="24"/>
          <w:highlight w:val="none"/>
        </w:rPr>
        <w:t>1、严格遵守国家和地方的有关环境保护和水土保持的法律法规。</w:t>
      </w:r>
    </w:p>
    <w:p>
      <w:pPr>
        <w:wordWrap w:val="0"/>
        <w:spacing w:line="480" w:lineRule="auto"/>
        <w:ind w:firstLine="480" w:firstLineChars="200"/>
        <w:rPr>
          <w:sz w:val="24"/>
          <w:szCs w:val="24"/>
          <w:highlight w:val="none"/>
        </w:rPr>
      </w:pPr>
      <w:r>
        <w:rPr>
          <w:rFonts w:hint="eastAsia"/>
          <w:sz w:val="24"/>
          <w:szCs w:val="24"/>
          <w:highlight w:val="none"/>
        </w:rPr>
        <w:t>2、按照“预防为主，保护优先”和“管生产必须管环保”的原则开展环境保护和水土保持管理工作，做到生产与环境保护和水土保持工作同时计划、实施、检查、总结和评比。</w:t>
      </w:r>
    </w:p>
    <w:p>
      <w:pPr>
        <w:wordWrap w:val="0"/>
        <w:spacing w:line="480" w:lineRule="auto"/>
        <w:ind w:firstLine="480" w:firstLineChars="200"/>
        <w:rPr>
          <w:sz w:val="24"/>
          <w:szCs w:val="24"/>
          <w:highlight w:val="none"/>
        </w:rPr>
      </w:pPr>
      <w:r>
        <w:rPr>
          <w:rFonts w:hint="eastAsia"/>
          <w:sz w:val="24"/>
          <w:szCs w:val="24"/>
          <w:highlight w:val="none"/>
        </w:rPr>
        <w:t>3、重要的环境保护和水土保持设施必须坚持与主体工程“三同时”的原则，即：同时设计、审批，同时施工，同时验收、投入使用。</w:t>
      </w:r>
    </w:p>
    <w:p>
      <w:pPr>
        <w:wordWrap w:val="0"/>
        <w:spacing w:line="480" w:lineRule="auto"/>
        <w:ind w:firstLine="480" w:firstLineChars="200"/>
        <w:rPr>
          <w:sz w:val="24"/>
          <w:szCs w:val="24"/>
          <w:highlight w:val="none"/>
        </w:rPr>
      </w:pPr>
      <w:r>
        <w:rPr>
          <w:rFonts w:hint="eastAsia"/>
          <w:sz w:val="24"/>
          <w:szCs w:val="24"/>
          <w:highlight w:val="none"/>
        </w:rPr>
        <w:t>4、组织对乙方的施工现场和施工驻地进行环境保护和水土保持工作的检查，监督乙方及时处理各种环境污染、环境破坏的问题。</w:t>
      </w:r>
    </w:p>
    <w:p>
      <w:pPr>
        <w:wordWrap w:val="0"/>
        <w:spacing w:line="480" w:lineRule="auto"/>
        <w:ind w:firstLine="480" w:firstLineChars="200"/>
        <w:rPr>
          <w:sz w:val="24"/>
          <w:szCs w:val="24"/>
          <w:highlight w:val="none"/>
        </w:rPr>
      </w:pPr>
      <w:r>
        <w:rPr>
          <w:rFonts w:hint="eastAsia"/>
          <w:sz w:val="24"/>
          <w:szCs w:val="24"/>
          <w:highlight w:val="none"/>
        </w:rPr>
        <w:t>5、凡发现乙方在施工现场和施工驻地有环境污染和环境破坏的行为，甲方应责令乙方及时整改，若情节严重，甲方应及时上报国家有关环境保护和水土保持机构。</w:t>
      </w:r>
    </w:p>
    <w:p>
      <w:pPr>
        <w:wordWrap w:val="0"/>
        <w:spacing w:line="480" w:lineRule="auto"/>
        <w:ind w:firstLine="480" w:firstLineChars="200"/>
        <w:rPr>
          <w:sz w:val="24"/>
          <w:szCs w:val="24"/>
          <w:highlight w:val="none"/>
        </w:rPr>
      </w:pPr>
      <w:r>
        <w:rPr>
          <w:rFonts w:hint="eastAsia"/>
          <w:sz w:val="24"/>
          <w:szCs w:val="24"/>
          <w:highlight w:val="none"/>
        </w:rPr>
        <w:t>二、乙方职责</w:t>
      </w:r>
    </w:p>
    <w:p>
      <w:pPr>
        <w:wordWrap w:val="0"/>
        <w:spacing w:line="480" w:lineRule="auto"/>
        <w:ind w:firstLine="480" w:firstLineChars="200"/>
        <w:rPr>
          <w:sz w:val="24"/>
          <w:szCs w:val="24"/>
          <w:highlight w:val="none"/>
        </w:rPr>
      </w:pPr>
      <w:r>
        <w:rPr>
          <w:rFonts w:hint="eastAsia"/>
          <w:sz w:val="24"/>
          <w:szCs w:val="24"/>
          <w:highlight w:val="none"/>
        </w:rPr>
        <w:t>1、严格遵守国家和地方的有关环境保护和水土保持的法律法规并认真执行。</w:t>
      </w:r>
    </w:p>
    <w:p>
      <w:pPr>
        <w:wordWrap w:val="0"/>
        <w:spacing w:line="480" w:lineRule="auto"/>
        <w:ind w:firstLine="480" w:firstLineChars="200"/>
        <w:rPr>
          <w:sz w:val="24"/>
          <w:szCs w:val="24"/>
          <w:highlight w:val="none"/>
        </w:rPr>
      </w:pPr>
      <w:r>
        <w:rPr>
          <w:rFonts w:hint="eastAsia"/>
          <w:sz w:val="24"/>
          <w:szCs w:val="24"/>
          <w:highlight w:val="none"/>
        </w:rPr>
        <w:t>2、坚持“预防为主，保护优先”、“管生产必须管环保”及“谁破坏谁恢复”的原则，加强环境保护和水土保持的宣传教育，增强全员环保意识，建立健全环境保护和水土保持的管理机构和管理制度，配备专职及兼职的环保检查人员，有组织有领导地开展环境保护和水土保持工作。各级领导、工程技术人员、生产管理人员和具体操作人员（包括临时雇请的雇佣人员），必须熟悉和遵守本合同有关环境保护和水土保持的各项规定，做到生产与环境保护和水土保持工作同时计划、实施、检查、总结和评比。</w:t>
      </w:r>
    </w:p>
    <w:p>
      <w:pPr>
        <w:wordWrap w:val="0"/>
        <w:spacing w:line="480" w:lineRule="auto"/>
        <w:ind w:firstLine="480" w:firstLineChars="200"/>
        <w:rPr>
          <w:sz w:val="24"/>
          <w:szCs w:val="24"/>
          <w:highlight w:val="none"/>
        </w:rPr>
      </w:pPr>
      <w:r>
        <w:rPr>
          <w:rFonts w:hint="eastAsia"/>
          <w:sz w:val="24"/>
          <w:szCs w:val="24"/>
          <w:highlight w:val="none"/>
        </w:rPr>
        <w:t>3、建立健全环境保护和水土保持责任制。从项目经理到生产工人（包括临时雇请的雇佣人员），的环境保护和水土保持管理系统必须做到纵向到底，一环不漏；各职能部门、人员的环境保护和水土保持责任制做到横向到边，人入有责。项目经理是环境保护和水土保持的第一责任人。现场设置的环境保护和水土保持机构，应配备专职环保监督员，专职负责本合同工程环境保护和水土保持的宣传、检查工作，有权发布指令，防止污染环境和破坏环境的事件发生。</w:t>
      </w:r>
    </w:p>
    <w:p>
      <w:pPr>
        <w:wordWrap w:val="0"/>
        <w:spacing w:line="480" w:lineRule="auto"/>
        <w:rPr>
          <w:sz w:val="24"/>
          <w:szCs w:val="24"/>
          <w:highlight w:val="none"/>
        </w:rPr>
      </w:pPr>
      <w:r>
        <w:rPr>
          <w:rFonts w:hint="eastAsia"/>
          <w:sz w:val="24"/>
          <w:szCs w:val="24"/>
          <w:highlight w:val="none"/>
        </w:rPr>
        <w:t>三、违约责任</w:t>
      </w:r>
    </w:p>
    <w:p>
      <w:pPr>
        <w:wordWrap w:val="0"/>
        <w:spacing w:line="480" w:lineRule="auto"/>
        <w:rPr>
          <w:sz w:val="24"/>
          <w:szCs w:val="24"/>
          <w:highlight w:val="none"/>
        </w:rPr>
      </w:pPr>
      <w:r>
        <w:rPr>
          <w:rFonts w:hint="eastAsia"/>
          <w:sz w:val="24"/>
          <w:szCs w:val="24"/>
          <w:highlight w:val="none"/>
        </w:rPr>
        <w:t>如因乙方不遵守国家和地方的有关环境保护和水土保持的法律法规，造成环境污染或破坏，甲方有权责令乙方限期进行整改，并视其情节对乙方批评、罚款：</w:t>
      </w:r>
    </w:p>
    <w:p>
      <w:pPr>
        <w:wordWrap w:val="0"/>
        <w:spacing w:line="480" w:lineRule="auto"/>
        <w:rPr>
          <w:sz w:val="24"/>
          <w:szCs w:val="24"/>
          <w:highlight w:val="none"/>
        </w:rPr>
      </w:pPr>
      <w:r>
        <w:rPr>
          <w:rFonts w:hint="eastAsia"/>
          <w:sz w:val="24"/>
          <w:szCs w:val="24"/>
          <w:highlight w:val="none"/>
        </w:rPr>
        <w:t>1、情节轻微者，甲方可对乙方予以通报批评；</w:t>
      </w:r>
    </w:p>
    <w:p>
      <w:pPr>
        <w:wordWrap w:val="0"/>
        <w:spacing w:line="480" w:lineRule="auto"/>
        <w:rPr>
          <w:sz w:val="24"/>
          <w:szCs w:val="24"/>
          <w:highlight w:val="none"/>
        </w:rPr>
      </w:pPr>
      <w:r>
        <w:rPr>
          <w:rFonts w:hint="eastAsia"/>
          <w:sz w:val="24"/>
          <w:szCs w:val="24"/>
          <w:highlight w:val="none"/>
        </w:rPr>
        <w:t>2、累计三次因环境问题被有关方面通报批评，或情节严重，甲方可向乙方处以罚款。</w:t>
      </w:r>
    </w:p>
    <w:p>
      <w:pPr>
        <w:wordWrap w:val="0"/>
        <w:spacing w:line="480" w:lineRule="auto"/>
        <w:ind w:firstLine="480" w:firstLineChars="200"/>
        <w:rPr>
          <w:sz w:val="24"/>
          <w:szCs w:val="24"/>
          <w:highlight w:val="none"/>
        </w:rPr>
      </w:pPr>
      <w:r>
        <w:rPr>
          <w:rFonts w:hint="eastAsia"/>
          <w:sz w:val="24"/>
          <w:szCs w:val="24"/>
          <w:highlight w:val="none"/>
        </w:rPr>
        <w:t>本责任书和施工合同同时使用，由双方法定代表人或其授权的代理人签署与加盖公章后生效，全部工程竣工验收后失效。</w:t>
      </w:r>
    </w:p>
    <w:p>
      <w:pPr>
        <w:wordWrap w:val="0"/>
        <w:spacing w:line="490" w:lineRule="exact"/>
        <w:ind w:firstLine="480" w:firstLineChars="200"/>
        <w:rPr>
          <w:rFonts w:eastAsia="仿宋_GB2312"/>
          <w:sz w:val="24"/>
          <w:szCs w:val="24"/>
          <w:highlight w:val="none"/>
        </w:rPr>
      </w:pPr>
    </w:p>
    <w:p>
      <w:pPr>
        <w:wordWrap w:val="0"/>
        <w:spacing w:line="490" w:lineRule="exact"/>
        <w:ind w:firstLine="480" w:firstLineChars="200"/>
        <w:rPr>
          <w:rFonts w:eastAsia="仿宋_GB2312"/>
          <w:sz w:val="24"/>
          <w:szCs w:val="24"/>
          <w:highlight w:val="none"/>
        </w:rPr>
      </w:pPr>
    </w:p>
    <w:p>
      <w:pPr>
        <w:wordWrap w:val="0"/>
        <w:spacing w:line="480" w:lineRule="auto"/>
        <w:rPr>
          <w:sz w:val="24"/>
          <w:szCs w:val="24"/>
          <w:highlight w:val="none"/>
        </w:rPr>
      </w:pPr>
      <w:r>
        <w:rPr>
          <w:rFonts w:hint="eastAsia"/>
          <w:sz w:val="24"/>
          <w:szCs w:val="24"/>
          <w:highlight w:val="none"/>
        </w:rPr>
        <w:t xml:space="preserve">发包人： </w:t>
      </w:r>
      <w:r>
        <w:rPr>
          <w:sz w:val="24"/>
          <w:szCs w:val="24"/>
          <w:highlight w:val="none"/>
        </w:rPr>
        <w:t xml:space="preserve">                   </w:t>
      </w:r>
      <w:r>
        <w:rPr>
          <w:rFonts w:hint="eastAsia"/>
          <w:sz w:val="24"/>
          <w:szCs w:val="24"/>
          <w:highlight w:val="none"/>
        </w:rPr>
        <w:t xml:space="preserve">       承包人：</w:t>
      </w:r>
    </w:p>
    <w:p>
      <w:pPr>
        <w:wordWrap w:val="0"/>
        <w:spacing w:line="480" w:lineRule="auto"/>
        <w:ind w:firstLine="1680" w:firstLineChars="700"/>
        <w:rPr>
          <w:sz w:val="24"/>
          <w:szCs w:val="24"/>
          <w:highlight w:val="none"/>
        </w:rPr>
      </w:pPr>
      <w:r>
        <w:rPr>
          <w:rFonts w:hint="eastAsia"/>
          <w:sz w:val="24"/>
          <w:szCs w:val="24"/>
          <w:highlight w:val="none"/>
        </w:rPr>
        <w:t>（盖章）                    （盖章）</w:t>
      </w:r>
    </w:p>
    <w:p>
      <w:pPr>
        <w:wordWrap w:val="0"/>
        <w:spacing w:line="480" w:lineRule="auto"/>
        <w:rPr>
          <w:sz w:val="24"/>
          <w:szCs w:val="24"/>
          <w:highlight w:val="none"/>
        </w:rPr>
      </w:pPr>
      <w:r>
        <w:rPr>
          <w:rFonts w:hint="eastAsia"/>
          <w:sz w:val="24"/>
          <w:szCs w:val="24"/>
          <w:highlight w:val="none"/>
        </w:rPr>
        <w:t>法定代表人                         法定代表人</w:t>
      </w:r>
    </w:p>
    <w:p>
      <w:pPr>
        <w:wordWrap w:val="0"/>
        <w:spacing w:line="480" w:lineRule="auto"/>
        <w:rPr>
          <w:sz w:val="24"/>
          <w:szCs w:val="24"/>
          <w:highlight w:val="none"/>
        </w:rPr>
      </w:pPr>
      <w:r>
        <w:rPr>
          <w:rFonts w:hint="eastAsia"/>
          <w:sz w:val="24"/>
          <w:szCs w:val="24"/>
          <w:highlight w:val="none"/>
        </w:rPr>
        <w:t>或委托代理人：（签字）             或委托代理人：（签字）</w:t>
      </w:r>
    </w:p>
    <w:p>
      <w:pPr>
        <w:wordWrap w:val="0"/>
        <w:rPr>
          <w:highlight w:val="none"/>
        </w:rPr>
      </w:pPr>
    </w:p>
    <w:p>
      <w:pPr>
        <w:wordWrap w:val="0"/>
        <w:rPr>
          <w:highlight w:val="none"/>
        </w:rPr>
      </w:pPr>
    </w:p>
    <w:sectPr>
      <w:footerReference r:id="rId5" w:type="default"/>
      <w:pgSz w:w="11906" w:h="16838"/>
      <w:pgMar w:top="1418" w:right="1588" w:bottom="1418" w:left="1588"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C2B20DE-064F-45DE-B4CB-2F1667746E3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B7F06BA-9C3B-45BB-9701-EF93067FACF6}"/>
  </w:font>
  <w:font w:name="楷体_GB2312">
    <w:altName w:val="楷体"/>
    <w:panose1 w:val="00000000000000000000"/>
    <w:charset w:val="86"/>
    <w:family w:val="modern"/>
    <w:pitch w:val="default"/>
    <w:sig w:usb0="00000000" w:usb1="00000000" w:usb2="00000000" w:usb3="00000000" w:csb0="00040000" w:csb1="00000000"/>
    <w:embedRegular r:id="rId3" w:fontKey="{CE106A3C-3D8F-4F53-B3EC-AB8CCE5AEDC7}"/>
  </w:font>
  <w:font w:name="Cambria">
    <w:panose1 w:val="02040503050406030204"/>
    <w:charset w:val="00"/>
    <w:family w:val="roman"/>
    <w:pitch w:val="default"/>
    <w:sig w:usb0="E00006FF" w:usb1="420024FF" w:usb2="02000000" w:usb3="00000000" w:csb0="2000019F" w:csb1="00000000"/>
    <w:embedRegular r:id="rId4" w:fontKey="{36E47FE5-80F4-4041-A50E-4C7B0FADB5C1}"/>
  </w:font>
  <w:font w:name="仿宋_GB2312">
    <w:panose1 w:val="02010609030101010101"/>
    <w:charset w:val="86"/>
    <w:family w:val="modern"/>
    <w:pitch w:val="default"/>
    <w:sig w:usb0="00000001" w:usb1="080E0000" w:usb2="00000000" w:usb3="00000000" w:csb0="00040000" w:csb1="00000000"/>
    <w:embedRegular r:id="rId5" w:fontKey="{54F32842-8E45-4A9A-8524-BB3B06EADF22}"/>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listo MT">
    <w:altName w:val="Segoe Print"/>
    <w:panose1 w:val="02040603050505030304"/>
    <w:charset w:val="00"/>
    <w:family w:val="roman"/>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6" w:fontKey="{6A6316C9-3813-47C6-A982-5F727C59495C}"/>
  </w:font>
  <w:font w:name="方正小标宋_GBK">
    <w:altName w:val="微软雅黑"/>
    <w:panose1 w:val="00000000000000000000"/>
    <w:charset w:val="86"/>
    <w:family w:val="script"/>
    <w:pitch w:val="default"/>
    <w:sig w:usb0="00000000" w:usb1="00000000" w:usb2="00000000" w:usb3="00000000" w:csb0="00040000" w:csb1="00000000"/>
    <w:embedRegular r:id="rId7" w:fontKey="{9E798A92-3A89-4FD2-8AB4-5249D0BE2C2F}"/>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1320" cy="14795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01320" cy="147955"/>
                      </a:xfrm>
                      <a:prstGeom prst="rect">
                        <a:avLst/>
                      </a:prstGeom>
                      <a:noFill/>
                      <a:ln>
                        <a:noFill/>
                      </a:ln>
                    </wps:spPr>
                    <wps:txbx>
                      <w:txbxContent>
                        <w:p>
                          <w:pPr>
                            <w:snapToGrid w:val="0"/>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4</w:t>
                          </w:r>
                          <w:r>
                            <w:rPr>
                              <w:rFonts w:hint="eastAsia"/>
                              <w:sz w:val="18"/>
                            </w:rPr>
                            <w:fldChar w:fldCharType="end"/>
                          </w:r>
                          <w:r>
                            <w:rPr>
                              <w:rFonts w:hint="eastAsia"/>
                              <w:sz w:val="18"/>
                            </w:rPr>
                            <w:t xml:space="preserve"> —</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31.6pt;mso-position-horizontal:center;mso-position-horizontal-relative:margin;mso-wrap-style:none;z-index:251660288;mso-width-relative:page;mso-height-relative:page;" filled="f" stroked="f" coordsize="21600,21600" o:gfxdata="UEsDBAoAAAAAAIdO4kAAAAAAAAAAAAAAAAAEAAAAZHJzL1BLAwQUAAAACACHTuJA2m48QdEAAAAD&#10;AQAADwAAAGRycy9kb3ducmV2LnhtbE2PwWrDMBBE74X8g9hAb40cG9LgWs4h0EtvTUuht421sUyl&#10;lZEUx/77qr20l4Vhhpm3zWF2VkwU4uBZwXZTgCDuvB64V/D+9vywBxETskbrmRQsFOHQru4arLW/&#10;8StNp9SLXMKxRgUmpbGWMnaGHMaNH4mzd/HBYcoy9FIHvOVyZ2VZFDvpcOC8YHCko6Hu63R1Ch7n&#10;D09jpCN9XqYumGHZ25dFqfv1tngCkWhOf2H4wc/o0Gams7+yjsIqyI+k35u9XVWCOCsoqwpk28j/&#10;7O03UEsDBBQAAAAIAIdO4kAZeoEJCQIAAAIEAAAOAAAAZHJzL2Uyb0RvYy54bWytU82O0zAQviPx&#10;DpbvNE3ZhSVqulq2KkJafqSFB3Adp7GIPdbYbVIeAN6AExfuPFefY8dOU5blsgcu1tgef/N934zn&#10;l71p2U6h12BLnk+mnCkrodJ2U/LPn1bPLjjzQdhKtGBVyffK88vF0yfzzhVqBg20lUJGINYXnSt5&#10;E4IrsszLRhnhJ+CUpcsa0IhAW9xkFYqO0E2bzabTF1kHWDkEqbyn0+VwyY+I+BhAqGst1RLk1igb&#10;BlRUrQgkyTfaeb5IbOtayfChrr0KrC05KQ1ppSIUr+OaLeai2KBwjZZHCuIxFB5oMkJbKnqCWoog&#10;2Bb1P1BGSwQPdZhIMNkgJDlCKvLpA29uG+FU0kJWe3cy3f8/WPl+9xGZrko+48wKQw0//Ph++Pn7&#10;8Osby6M9nfMFZd06ygv9a+hpaJJU725AfvHMwnUj7EZdIULXKFERvfQyu/d0wPERZN29g4rqiG2A&#10;BNTXaKJ35AYjdGrN/tQa1Qcm6fBsmj+f0Y2kq/zs5avz88gtE8X42KEPbxQYFoOSI3U+gYvdjQ9D&#10;6pgSa1lY6bZN3W/tXweEGU8S+ch3YB76dX80Yw3VnmQgDMNEX4mCBvArZx0NUskt/RvO2reWjIgz&#10;NwY4BusxEFbSw5IHzobwOgyzuXWoNw3hjlZfkVkrnYREVwcOR5Y0GsmK4xjH2bu/T1l/vu7i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puPEHRAAAAAwEAAA8AAAAAAAAAAQAgAAAAIgAAAGRycy9k&#10;b3ducmV2LnhtbFBLAQIUABQAAAAIAIdO4kAZeoEJCQIAAAIEAAAOAAAAAAAAAAEAIAAAACABAABk&#10;cnMvZTJvRG9jLnhtbFBLBQYAAAAABgAGAFkBAACbBQAAAAA=&#10;">
              <v:fill on="f" focussize="0,0"/>
              <v:stroke on="f"/>
              <v:imagedata o:title=""/>
              <o:lock v:ext="edit" aspectratio="f"/>
              <v:textbox inset="0mm,0mm,0mm,0mm" style="mso-fit-shape-to-text:t;">
                <w:txbxContent>
                  <w:p>
                    <w:pPr>
                      <w:snapToGrid w:val="0"/>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4</w:t>
                    </w:r>
                    <w:r>
                      <w:rPr>
                        <w:rFonts w:hint="eastAsia"/>
                        <w:sz w:val="18"/>
                      </w:rPr>
                      <w:fldChar w:fldCharType="end"/>
                    </w:r>
                    <w:r>
                      <w:rPr>
                        <w:rFonts w:hint="eastAsia"/>
                        <w:sz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4969"/>
      <w:rPr>
        <w:rFonts w:ascii="仿宋_GB2312" w:eastAsia="仿宋_GB2312"/>
        <w:w w:val="120"/>
      </w:rPr>
    </w:pPr>
    <w:r>
      <mc:AlternateContent>
        <mc:Choice Requires="wps">
          <w:drawing>
            <wp:anchor distT="0" distB="0" distL="114300" distR="114300" simplePos="0" relativeHeight="251659264" behindDoc="0" locked="0" layoutInCell="1" allowOverlap="1">
              <wp:simplePos x="0" y="0"/>
              <wp:positionH relativeFrom="page">
                <wp:posOffset>3607435</wp:posOffset>
              </wp:positionH>
              <wp:positionV relativeFrom="page">
                <wp:posOffset>9989820</wp:posOffset>
              </wp:positionV>
              <wp:extent cx="437515" cy="139700"/>
              <wp:effectExtent l="0" t="0" r="2540" b="1905"/>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37515" cy="139700"/>
                      </a:xfrm>
                      <a:prstGeom prst="rect">
                        <a:avLst/>
                      </a:prstGeom>
                      <a:noFill/>
                      <a:ln>
                        <a:noFill/>
                      </a:ln>
                    </wps:spPr>
                    <wps:txbx>
                      <w:txbxContent>
                        <w:p>
                          <w:pPr>
                            <w:pStyle w:val="30"/>
                          </w:pPr>
                          <w:r>
                            <w:t xml:space="preserve">— </w:t>
                          </w:r>
                          <w:r>
                            <w:fldChar w:fldCharType="begin"/>
                          </w:r>
                          <w:r>
                            <w:instrText xml:space="preserve"> PAGE  \* MERGEFORMAT </w:instrText>
                          </w:r>
                          <w:r>
                            <w:fldChar w:fldCharType="separate"/>
                          </w:r>
                          <w:r>
                            <w:t>76</w:t>
                          </w:r>
                          <w:r>
                            <w:fldChar w:fldCharType="end"/>
                          </w:r>
                          <w:r>
                            <w:t xml:space="preserve"> —</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left:284.05pt;margin-top:786.6pt;height:11pt;width:34.45pt;mso-position-horizontal-relative:page;mso-position-vertical-relative:page;mso-wrap-style:none;z-index:251659264;mso-width-relative:page;mso-height-relative:page;" filled="f" stroked="f" coordsize="21600,21600" o:gfxdata="UEsDBAoAAAAAAIdO4kAAAAAAAAAAAAAAAAAEAAAAZHJzL1BLAwQUAAAACACHTuJAU70nwdgAAAAN&#10;AQAADwAAAGRycy9kb3ducmV2LnhtbE2PzU7DMBCE70i8g7WVuFEnqfJDiNNDJS7cKAiJmxtv46ix&#10;Hdlumrw92xMcd+bT7EyzX8zIZvRhcFZAuk2Aoe2cGmwv4Ovz7bkCFqK0So7OooAVA+zbx4dG1srd&#10;7AfOx9gzCrGhlgJ0jFPNeeg0Ghm2bkJL3tl5IyOdvufKyxuFm5FnSVJwIwdLH7Sc8KCxuxyvRkC5&#10;fDucAh7w5zx3Xg9rNb6vQjxt0uQVWMQl/sFwr0/VoaVOJ3e1KrBRQF5UKaFk5OUuA0ZIsStp3uku&#10;veQZ8Lbh/1e0v1BLAwQUAAAACACHTuJADVL2FwsCAAACBAAADgAAAGRycy9lMm9Eb2MueG1srVNL&#10;btswEN0X6B0I7mvZ+TSpYDlIY7gokH6AtAegKcoiKnKIIW3JPUB7g6666b7n8jkypCQ3TTdZdEMM&#10;yeGb994M51edadhOoddgCz6bTDlTVkKp7abgnz+tXlxy5oOwpWjAqoLvledXi+fP5q3L1QnU0JQK&#10;GYFYn7eu4HUILs8yL2tlhJ+AU5YuK0AjAm1xk5UoWkI3TXYynb7MWsDSIUjlPZ0u+0s+IOJTAKGq&#10;tFRLkFujbOhRUTUikCRfa+f5IrGtKiXDh6ryKrCm4KQ0pJWKULyOa7aYi3yDwtVaDhTEUyg80mSE&#10;tlT0CLUUQbAt6n+gjJYIHqowkWCyXkhyhFTMpo+8uauFU0kLWe3d0XT//2Dl+91HZLqkSeDMCkMN&#10;P/z4fvj5+/DrGzuL9rTO55R15ygvdK+hi6lRqne3IL94ZuGmFnajrhGhrZUoid4svswePO1xfARZ&#10;t++gpDpiGyABdRWaCEhuMEKn1uyPrVFdYJIOz04vzmfnnEm6mp2+upim1mUiHx879OGNAsNiUHCk&#10;zidwsbv1IZIR+ZgSa1lY6aZJ3W/sXweUGE8S+ci3Zx66dTeYsYZyTzIQ+mGir0RBDfiVs5YGqeCW&#10;/g1nzVtLRsSZGwMcg/UYCCvpYcEDZ314E/rZ3DrUm5pwR6uvyayVTkKiqz2HgSWNRtI3jHGcvYf7&#10;lPXn6y7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O9J8HYAAAADQEAAA8AAAAAAAAAAQAgAAAA&#10;IgAAAGRycy9kb3ducmV2LnhtbFBLAQIUABQAAAAIAIdO4kANUvYXCwIAAAIEAAAOAAAAAAAAAAEA&#10;IAAAACcBAABkcnMvZTJvRG9jLnhtbFBLBQYAAAAABgAGAFkBAACkBQAAAAA=&#10;">
              <v:fill on="f" focussize="0,0"/>
              <v:stroke on="f"/>
              <v:imagedata o:title=""/>
              <o:lock v:ext="edit" aspectratio="f"/>
              <v:textbox inset="0mm,0mm,0mm,0mm" style="mso-fit-shape-to-text:t;">
                <w:txbxContent>
                  <w:p>
                    <w:pPr>
                      <w:pStyle w:val="30"/>
                    </w:pPr>
                    <w:r>
                      <w:t xml:space="preserve">— </w:t>
                    </w:r>
                    <w:r>
                      <w:fldChar w:fldCharType="begin"/>
                    </w:r>
                    <w:r>
                      <w:instrText xml:space="preserve"> PAGE  \* MERGEFORMAT </w:instrText>
                    </w:r>
                    <w:r>
                      <w:fldChar w:fldCharType="separate"/>
                    </w:r>
                    <w:r>
                      <w:t>76</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6B2CF"/>
    <w:multiLevelType w:val="singleLevel"/>
    <w:tmpl w:val="A416B2CF"/>
    <w:lvl w:ilvl="0" w:tentative="0">
      <w:start w:val="3"/>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60B0A23"/>
    <w:multiLevelType w:val="multilevel"/>
    <w:tmpl w:val="060B0A23"/>
    <w:lvl w:ilvl="0" w:tentative="0">
      <w:start w:val="1"/>
      <w:numFmt w:val="decimal"/>
      <w:pStyle w:val="3"/>
      <w:lvlText w:val="%1."/>
      <w:lvlJc w:val="left"/>
      <w:pPr>
        <w:tabs>
          <w:tab w:val="left" w:pos="420"/>
        </w:tabs>
        <w:ind w:left="420" w:hanging="420"/>
      </w:pPr>
    </w:lvl>
    <w:lvl w:ilvl="1" w:tentative="0">
      <w:start w:val="1"/>
      <w:numFmt w:val="lowerLetter"/>
      <w:pStyle w:val="251"/>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59905B5"/>
    <w:multiLevelType w:val="multilevel"/>
    <w:tmpl w:val="259905B5"/>
    <w:lvl w:ilvl="0" w:tentative="0">
      <w:start w:val="1"/>
      <w:numFmt w:val="chineseCountingThousand"/>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pStyle w:val="5"/>
      <w:suff w:val="space"/>
      <w:lvlText w:val="%2.%3.%4"/>
      <w:lvlJc w:val="left"/>
      <w:pPr>
        <w:ind w:left="284" w:hanging="284"/>
      </w:pPr>
      <w:rPr>
        <w:rFonts w:hint="eastAsia" w:ascii="宋体" w:eastAsia="宋体"/>
        <w:b/>
        <w:i w:val="0"/>
        <w:sz w:val="28"/>
      </w:rPr>
    </w:lvl>
    <w:lvl w:ilvl="4" w:tentative="0">
      <w:start w:val="1"/>
      <w:numFmt w:val="decimal"/>
      <w:pStyle w:val="7"/>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suff w:val="space"/>
      <w:lvlText w:val="1.1.1.1.1.%6%5"/>
      <w:lvlJc w:val="left"/>
      <w:pPr>
        <w:ind w:left="0" w:firstLine="0"/>
      </w:pPr>
      <w:rPr>
        <w:rFonts w:hint="eastAsia" w:ascii="宋体" w:eastAsia="宋体"/>
        <w:b/>
        <w:i w:val="0"/>
        <w:sz w:val="28"/>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37934594"/>
    <w:multiLevelType w:val="multilevel"/>
    <w:tmpl w:val="37934594"/>
    <w:lvl w:ilvl="0" w:tentative="0">
      <w:start w:val="1"/>
      <w:numFmt w:val="bullet"/>
      <w:pStyle w:val="398"/>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5">
    <w:nsid w:val="437F585F"/>
    <w:multiLevelType w:val="singleLevel"/>
    <w:tmpl w:val="437F585F"/>
    <w:lvl w:ilvl="0" w:tentative="0">
      <w:start w:val="1"/>
      <w:numFmt w:val="decimal"/>
      <w:suff w:val="space"/>
      <w:lvlText w:val="%1."/>
      <w:lvlJc w:val="left"/>
    </w:lvl>
  </w:abstractNum>
  <w:num w:numId="1">
    <w:abstractNumId w:val="2"/>
  </w:num>
  <w:num w:numId="2">
    <w:abstractNumId w:val="3"/>
  </w:num>
  <w:num w:numId="3">
    <w:abstractNumId w:val="4"/>
  </w:num>
  <w:num w:numId="4">
    <w:abstractNumId w:val="5"/>
  </w:num>
  <w:num w:numId="5">
    <w:abstractNumId w:val="0"/>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mMzdhODMwZjQxZjJjNDA2MmQwNDBkYWZiOTFlZGUifQ=="/>
  </w:docVars>
  <w:rsids>
    <w:rsidRoot w:val="00661C1F"/>
    <w:rsid w:val="00002752"/>
    <w:rsid w:val="00002914"/>
    <w:rsid w:val="00006D02"/>
    <w:rsid w:val="00010AD1"/>
    <w:rsid w:val="00012016"/>
    <w:rsid w:val="00013E36"/>
    <w:rsid w:val="0001662D"/>
    <w:rsid w:val="000205DC"/>
    <w:rsid w:val="00030730"/>
    <w:rsid w:val="000326D2"/>
    <w:rsid w:val="000345ED"/>
    <w:rsid w:val="00043082"/>
    <w:rsid w:val="000440BD"/>
    <w:rsid w:val="000501FC"/>
    <w:rsid w:val="00052B07"/>
    <w:rsid w:val="000563B4"/>
    <w:rsid w:val="00056B87"/>
    <w:rsid w:val="00060A6D"/>
    <w:rsid w:val="0006140D"/>
    <w:rsid w:val="00062C62"/>
    <w:rsid w:val="000652C8"/>
    <w:rsid w:val="0006536E"/>
    <w:rsid w:val="000656B2"/>
    <w:rsid w:val="000722F5"/>
    <w:rsid w:val="00074BD7"/>
    <w:rsid w:val="00075923"/>
    <w:rsid w:val="00082FD1"/>
    <w:rsid w:val="00085D29"/>
    <w:rsid w:val="00086F7B"/>
    <w:rsid w:val="00091CCF"/>
    <w:rsid w:val="000979BF"/>
    <w:rsid w:val="000A33FD"/>
    <w:rsid w:val="000C04EE"/>
    <w:rsid w:val="000C42AF"/>
    <w:rsid w:val="000C7929"/>
    <w:rsid w:val="000D13FC"/>
    <w:rsid w:val="000D1EC0"/>
    <w:rsid w:val="000D5538"/>
    <w:rsid w:val="000D5ABF"/>
    <w:rsid w:val="000E0DB1"/>
    <w:rsid w:val="000E4B28"/>
    <w:rsid w:val="000E4D5E"/>
    <w:rsid w:val="000F3F3A"/>
    <w:rsid w:val="000F594D"/>
    <w:rsid w:val="000F633D"/>
    <w:rsid w:val="0010355C"/>
    <w:rsid w:val="00107602"/>
    <w:rsid w:val="001167B9"/>
    <w:rsid w:val="00121DFA"/>
    <w:rsid w:val="00123527"/>
    <w:rsid w:val="00125743"/>
    <w:rsid w:val="00126BC3"/>
    <w:rsid w:val="00135C6E"/>
    <w:rsid w:val="00140870"/>
    <w:rsid w:val="0014206A"/>
    <w:rsid w:val="001425FA"/>
    <w:rsid w:val="0014370E"/>
    <w:rsid w:val="00145117"/>
    <w:rsid w:val="00146653"/>
    <w:rsid w:val="00150771"/>
    <w:rsid w:val="00154CB5"/>
    <w:rsid w:val="00156712"/>
    <w:rsid w:val="00163981"/>
    <w:rsid w:val="0016683C"/>
    <w:rsid w:val="0016756E"/>
    <w:rsid w:val="0017108D"/>
    <w:rsid w:val="0017240F"/>
    <w:rsid w:val="00172B38"/>
    <w:rsid w:val="001745CC"/>
    <w:rsid w:val="001752CB"/>
    <w:rsid w:val="001904DB"/>
    <w:rsid w:val="001A293A"/>
    <w:rsid w:val="001A34D3"/>
    <w:rsid w:val="001B074D"/>
    <w:rsid w:val="001B0AE0"/>
    <w:rsid w:val="001B1E1F"/>
    <w:rsid w:val="001B56BD"/>
    <w:rsid w:val="001C05B3"/>
    <w:rsid w:val="001C30A4"/>
    <w:rsid w:val="001C4E08"/>
    <w:rsid w:val="001C62B9"/>
    <w:rsid w:val="001C63D1"/>
    <w:rsid w:val="001D0FE9"/>
    <w:rsid w:val="001D2445"/>
    <w:rsid w:val="001E0B6F"/>
    <w:rsid w:val="001E1DAB"/>
    <w:rsid w:val="001E4536"/>
    <w:rsid w:val="001F0CA1"/>
    <w:rsid w:val="001F3569"/>
    <w:rsid w:val="001F495B"/>
    <w:rsid w:val="001F4FA6"/>
    <w:rsid w:val="001F538A"/>
    <w:rsid w:val="001F5A3B"/>
    <w:rsid w:val="001F63DD"/>
    <w:rsid w:val="00200AD0"/>
    <w:rsid w:val="0020369B"/>
    <w:rsid w:val="00204874"/>
    <w:rsid w:val="00204FDD"/>
    <w:rsid w:val="00210ACA"/>
    <w:rsid w:val="002144A8"/>
    <w:rsid w:val="00214976"/>
    <w:rsid w:val="00215EE9"/>
    <w:rsid w:val="002227F0"/>
    <w:rsid w:val="00222F99"/>
    <w:rsid w:val="002245E5"/>
    <w:rsid w:val="0022661F"/>
    <w:rsid w:val="0022763D"/>
    <w:rsid w:val="002411CE"/>
    <w:rsid w:val="00244499"/>
    <w:rsid w:val="00251947"/>
    <w:rsid w:val="00251BE6"/>
    <w:rsid w:val="00254748"/>
    <w:rsid w:val="002550ED"/>
    <w:rsid w:val="002566D5"/>
    <w:rsid w:val="0025798C"/>
    <w:rsid w:val="00260690"/>
    <w:rsid w:val="0026345D"/>
    <w:rsid w:val="00263627"/>
    <w:rsid w:val="00266D87"/>
    <w:rsid w:val="00280762"/>
    <w:rsid w:val="00280A56"/>
    <w:rsid w:val="00282978"/>
    <w:rsid w:val="002831CB"/>
    <w:rsid w:val="0028446A"/>
    <w:rsid w:val="00284D74"/>
    <w:rsid w:val="002919DD"/>
    <w:rsid w:val="00291B71"/>
    <w:rsid w:val="002A7DC9"/>
    <w:rsid w:val="002B0E17"/>
    <w:rsid w:val="002B0E6F"/>
    <w:rsid w:val="002B0F43"/>
    <w:rsid w:val="002B24DA"/>
    <w:rsid w:val="002C3AC4"/>
    <w:rsid w:val="002C43A2"/>
    <w:rsid w:val="002C7D5D"/>
    <w:rsid w:val="002D46F8"/>
    <w:rsid w:val="002D62A7"/>
    <w:rsid w:val="002D77C4"/>
    <w:rsid w:val="002D7B54"/>
    <w:rsid w:val="002E169D"/>
    <w:rsid w:val="002E5941"/>
    <w:rsid w:val="002F2E21"/>
    <w:rsid w:val="002F35C9"/>
    <w:rsid w:val="002F4C73"/>
    <w:rsid w:val="002F668F"/>
    <w:rsid w:val="00300487"/>
    <w:rsid w:val="003022EE"/>
    <w:rsid w:val="0030384D"/>
    <w:rsid w:val="0030394D"/>
    <w:rsid w:val="00304AA9"/>
    <w:rsid w:val="003066DE"/>
    <w:rsid w:val="00306AE5"/>
    <w:rsid w:val="003070F3"/>
    <w:rsid w:val="00307E84"/>
    <w:rsid w:val="003105F4"/>
    <w:rsid w:val="00315510"/>
    <w:rsid w:val="00317267"/>
    <w:rsid w:val="00317BEF"/>
    <w:rsid w:val="00322B6F"/>
    <w:rsid w:val="003266B0"/>
    <w:rsid w:val="003272E3"/>
    <w:rsid w:val="00331787"/>
    <w:rsid w:val="00334A7B"/>
    <w:rsid w:val="00334AD7"/>
    <w:rsid w:val="00337446"/>
    <w:rsid w:val="003401A8"/>
    <w:rsid w:val="003415C0"/>
    <w:rsid w:val="00344EA6"/>
    <w:rsid w:val="003456FD"/>
    <w:rsid w:val="003539F3"/>
    <w:rsid w:val="003607AB"/>
    <w:rsid w:val="00363C09"/>
    <w:rsid w:val="00364AEC"/>
    <w:rsid w:val="0036514D"/>
    <w:rsid w:val="00366750"/>
    <w:rsid w:val="003676DE"/>
    <w:rsid w:val="0037111C"/>
    <w:rsid w:val="0037154E"/>
    <w:rsid w:val="00374AD6"/>
    <w:rsid w:val="00380500"/>
    <w:rsid w:val="00380AC5"/>
    <w:rsid w:val="00382940"/>
    <w:rsid w:val="00383E6E"/>
    <w:rsid w:val="00384F3F"/>
    <w:rsid w:val="00391CD8"/>
    <w:rsid w:val="00396712"/>
    <w:rsid w:val="003968B7"/>
    <w:rsid w:val="003A22D7"/>
    <w:rsid w:val="003A614F"/>
    <w:rsid w:val="003A6BD8"/>
    <w:rsid w:val="003B2270"/>
    <w:rsid w:val="003C2106"/>
    <w:rsid w:val="003C7446"/>
    <w:rsid w:val="003D1F88"/>
    <w:rsid w:val="003D52DC"/>
    <w:rsid w:val="003E3802"/>
    <w:rsid w:val="003E44D2"/>
    <w:rsid w:val="003E4863"/>
    <w:rsid w:val="003E6181"/>
    <w:rsid w:val="003E7D90"/>
    <w:rsid w:val="003F3DCC"/>
    <w:rsid w:val="003F64C0"/>
    <w:rsid w:val="00400AA9"/>
    <w:rsid w:val="00404353"/>
    <w:rsid w:val="0040595A"/>
    <w:rsid w:val="004074C0"/>
    <w:rsid w:val="00410E35"/>
    <w:rsid w:val="004111C2"/>
    <w:rsid w:val="00411B68"/>
    <w:rsid w:val="00412953"/>
    <w:rsid w:val="004271B7"/>
    <w:rsid w:val="00427439"/>
    <w:rsid w:val="00434B30"/>
    <w:rsid w:val="00435D34"/>
    <w:rsid w:val="004373B1"/>
    <w:rsid w:val="00437B68"/>
    <w:rsid w:val="00451346"/>
    <w:rsid w:val="004513AF"/>
    <w:rsid w:val="00452D01"/>
    <w:rsid w:val="0045620F"/>
    <w:rsid w:val="0046079C"/>
    <w:rsid w:val="00462B62"/>
    <w:rsid w:val="00463273"/>
    <w:rsid w:val="004668A2"/>
    <w:rsid w:val="00471E66"/>
    <w:rsid w:val="00474A59"/>
    <w:rsid w:val="004764EF"/>
    <w:rsid w:val="004770E7"/>
    <w:rsid w:val="00480323"/>
    <w:rsid w:val="00491001"/>
    <w:rsid w:val="00492472"/>
    <w:rsid w:val="0049298F"/>
    <w:rsid w:val="00496FD0"/>
    <w:rsid w:val="004A13E0"/>
    <w:rsid w:val="004A4249"/>
    <w:rsid w:val="004A45E9"/>
    <w:rsid w:val="004A7F9B"/>
    <w:rsid w:val="004B6547"/>
    <w:rsid w:val="004B6818"/>
    <w:rsid w:val="004C52DB"/>
    <w:rsid w:val="004D5A57"/>
    <w:rsid w:val="004E22F1"/>
    <w:rsid w:val="004E3C6D"/>
    <w:rsid w:val="004E6543"/>
    <w:rsid w:val="004E6878"/>
    <w:rsid w:val="004E7EE1"/>
    <w:rsid w:val="004F52E7"/>
    <w:rsid w:val="004F739B"/>
    <w:rsid w:val="00505CCE"/>
    <w:rsid w:val="005063E7"/>
    <w:rsid w:val="00506AFA"/>
    <w:rsid w:val="00510AC3"/>
    <w:rsid w:val="00510D50"/>
    <w:rsid w:val="00513809"/>
    <w:rsid w:val="005151FF"/>
    <w:rsid w:val="00515C04"/>
    <w:rsid w:val="005169B1"/>
    <w:rsid w:val="00524F9B"/>
    <w:rsid w:val="00525FE8"/>
    <w:rsid w:val="0052618B"/>
    <w:rsid w:val="0054003C"/>
    <w:rsid w:val="0054755D"/>
    <w:rsid w:val="00552A0A"/>
    <w:rsid w:val="0056032E"/>
    <w:rsid w:val="0056589D"/>
    <w:rsid w:val="00567269"/>
    <w:rsid w:val="00572D03"/>
    <w:rsid w:val="00573350"/>
    <w:rsid w:val="00581501"/>
    <w:rsid w:val="005830B9"/>
    <w:rsid w:val="00584707"/>
    <w:rsid w:val="005853BC"/>
    <w:rsid w:val="005927EC"/>
    <w:rsid w:val="00592D50"/>
    <w:rsid w:val="00596292"/>
    <w:rsid w:val="00596D4E"/>
    <w:rsid w:val="005A1AA9"/>
    <w:rsid w:val="005A1B98"/>
    <w:rsid w:val="005A7B1A"/>
    <w:rsid w:val="005B24EE"/>
    <w:rsid w:val="005B5BE1"/>
    <w:rsid w:val="005C120C"/>
    <w:rsid w:val="005C20C3"/>
    <w:rsid w:val="005C43EB"/>
    <w:rsid w:val="005C6005"/>
    <w:rsid w:val="005D3C70"/>
    <w:rsid w:val="005D73B9"/>
    <w:rsid w:val="005E30CA"/>
    <w:rsid w:val="005E33D5"/>
    <w:rsid w:val="005E3CCE"/>
    <w:rsid w:val="005E435B"/>
    <w:rsid w:val="005E5A0C"/>
    <w:rsid w:val="005E62BF"/>
    <w:rsid w:val="005F2CEE"/>
    <w:rsid w:val="005F52F1"/>
    <w:rsid w:val="00604EEB"/>
    <w:rsid w:val="006073F3"/>
    <w:rsid w:val="00610598"/>
    <w:rsid w:val="0061425D"/>
    <w:rsid w:val="00615D65"/>
    <w:rsid w:val="00617729"/>
    <w:rsid w:val="0061773E"/>
    <w:rsid w:val="0062186F"/>
    <w:rsid w:val="00622AD1"/>
    <w:rsid w:val="00622B2C"/>
    <w:rsid w:val="00624634"/>
    <w:rsid w:val="00626035"/>
    <w:rsid w:val="00627C33"/>
    <w:rsid w:val="006464D3"/>
    <w:rsid w:val="00655392"/>
    <w:rsid w:val="00657C97"/>
    <w:rsid w:val="00660A28"/>
    <w:rsid w:val="00661C1F"/>
    <w:rsid w:val="00672C23"/>
    <w:rsid w:val="00673738"/>
    <w:rsid w:val="00673A57"/>
    <w:rsid w:val="00674A5C"/>
    <w:rsid w:val="00674B68"/>
    <w:rsid w:val="006765C4"/>
    <w:rsid w:val="00682FE5"/>
    <w:rsid w:val="0068366D"/>
    <w:rsid w:val="00683729"/>
    <w:rsid w:val="00684C95"/>
    <w:rsid w:val="00691A7A"/>
    <w:rsid w:val="00695C2D"/>
    <w:rsid w:val="006A077B"/>
    <w:rsid w:val="006A1BE5"/>
    <w:rsid w:val="006B203A"/>
    <w:rsid w:val="006B21A0"/>
    <w:rsid w:val="006B2D9A"/>
    <w:rsid w:val="006C138A"/>
    <w:rsid w:val="006C44BD"/>
    <w:rsid w:val="006C5989"/>
    <w:rsid w:val="006E1B51"/>
    <w:rsid w:val="006F07B8"/>
    <w:rsid w:val="006F3A88"/>
    <w:rsid w:val="006F3E55"/>
    <w:rsid w:val="006F7116"/>
    <w:rsid w:val="007042BD"/>
    <w:rsid w:val="00704C4D"/>
    <w:rsid w:val="007052C3"/>
    <w:rsid w:val="007057D7"/>
    <w:rsid w:val="00705F99"/>
    <w:rsid w:val="00706A8C"/>
    <w:rsid w:val="00730FA2"/>
    <w:rsid w:val="007310AA"/>
    <w:rsid w:val="00732BCB"/>
    <w:rsid w:val="00745714"/>
    <w:rsid w:val="00751E9F"/>
    <w:rsid w:val="00753BAD"/>
    <w:rsid w:val="00761489"/>
    <w:rsid w:val="007626EF"/>
    <w:rsid w:val="0076310D"/>
    <w:rsid w:val="00763170"/>
    <w:rsid w:val="007631B8"/>
    <w:rsid w:val="00764A7D"/>
    <w:rsid w:val="00764D87"/>
    <w:rsid w:val="00773550"/>
    <w:rsid w:val="0077727E"/>
    <w:rsid w:val="00777471"/>
    <w:rsid w:val="007816E1"/>
    <w:rsid w:val="00782BB5"/>
    <w:rsid w:val="007852CA"/>
    <w:rsid w:val="007853F4"/>
    <w:rsid w:val="007857BA"/>
    <w:rsid w:val="007864CC"/>
    <w:rsid w:val="00790330"/>
    <w:rsid w:val="00791E7A"/>
    <w:rsid w:val="00793743"/>
    <w:rsid w:val="00794F13"/>
    <w:rsid w:val="007A4793"/>
    <w:rsid w:val="007B72E7"/>
    <w:rsid w:val="007C16B3"/>
    <w:rsid w:val="007C4327"/>
    <w:rsid w:val="007C4A74"/>
    <w:rsid w:val="007C4F45"/>
    <w:rsid w:val="007C56AA"/>
    <w:rsid w:val="007C772E"/>
    <w:rsid w:val="007E095D"/>
    <w:rsid w:val="007E3D6E"/>
    <w:rsid w:val="007E3E5A"/>
    <w:rsid w:val="007E48A9"/>
    <w:rsid w:val="007E67FF"/>
    <w:rsid w:val="007F1122"/>
    <w:rsid w:val="007F1758"/>
    <w:rsid w:val="007F2800"/>
    <w:rsid w:val="007F2B8B"/>
    <w:rsid w:val="00800DA5"/>
    <w:rsid w:val="008014E9"/>
    <w:rsid w:val="00804A35"/>
    <w:rsid w:val="00810519"/>
    <w:rsid w:val="00811A5B"/>
    <w:rsid w:val="00814322"/>
    <w:rsid w:val="0081473B"/>
    <w:rsid w:val="00815336"/>
    <w:rsid w:val="00834CA6"/>
    <w:rsid w:val="0084187D"/>
    <w:rsid w:val="00844092"/>
    <w:rsid w:val="00845A75"/>
    <w:rsid w:val="0085286B"/>
    <w:rsid w:val="00853272"/>
    <w:rsid w:val="0085560D"/>
    <w:rsid w:val="0086335E"/>
    <w:rsid w:val="00873937"/>
    <w:rsid w:val="008745F2"/>
    <w:rsid w:val="00874DEA"/>
    <w:rsid w:val="008764E9"/>
    <w:rsid w:val="00877BBA"/>
    <w:rsid w:val="00881F42"/>
    <w:rsid w:val="00881FCD"/>
    <w:rsid w:val="00886AB6"/>
    <w:rsid w:val="00891583"/>
    <w:rsid w:val="00895F74"/>
    <w:rsid w:val="0089614C"/>
    <w:rsid w:val="008A0D0C"/>
    <w:rsid w:val="008A56C1"/>
    <w:rsid w:val="008B285B"/>
    <w:rsid w:val="008B2B3D"/>
    <w:rsid w:val="008B535F"/>
    <w:rsid w:val="008B56E2"/>
    <w:rsid w:val="008C1D01"/>
    <w:rsid w:val="008C3BAE"/>
    <w:rsid w:val="008C4D17"/>
    <w:rsid w:val="008D2F93"/>
    <w:rsid w:val="008D5943"/>
    <w:rsid w:val="008D5FE5"/>
    <w:rsid w:val="008E0449"/>
    <w:rsid w:val="008E2E20"/>
    <w:rsid w:val="008E4F27"/>
    <w:rsid w:val="008E7340"/>
    <w:rsid w:val="008E7FFC"/>
    <w:rsid w:val="008F13BF"/>
    <w:rsid w:val="0090611A"/>
    <w:rsid w:val="00911D29"/>
    <w:rsid w:val="00913950"/>
    <w:rsid w:val="00914661"/>
    <w:rsid w:val="009155FA"/>
    <w:rsid w:val="00915E3F"/>
    <w:rsid w:val="00916689"/>
    <w:rsid w:val="00923E3F"/>
    <w:rsid w:val="00923FF1"/>
    <w:rsid w:val="0092627A"/>
    <w:rsid w:val="00933DF1"/>
    <w:rsid w:val="00934ACD"/>
    <w:rsid w:val="00941695"/>
    <w:rsid w:val="00944C5D"/>
    <w:rsid w:val="009553B9"/>
    <w:rsid w:val="009602F8"/>
    <w:rsid w:val="00960512"/>
    <w:rsid w:val="009618C3"/>
    <w:rsid w:val="00965B2F"/>
    <w:rsid w:val="00966884"/>
    <w:rsid w:val="00980DB4"/>
    <w:rsid w:val="00984AD9"/>
    <w:rsid w:val="00991055"/>
    <w:rsid w:val="00991640"/>
    <w:rsid w:val="009917B1"/>
    <w:rsid w:val="00992153"/>
    <w:rsid w:val="009922B7"/>
    <w:rsid w:val="0099391D"/>
    <w:rsid w:val="009968FD"/>
    <w:rsid w:val="00997BE9"/>
    <w:rsid w:val="009A41EF"/>
    <w:rsid w:val="009A51FB"/>
    <w:rsid w:val="009B0C0D"/>
    <w:rsid w:val="009B65BF"/>
    <w:rsid w:val="009C15AE"/>
    <w:rsid w:val="009C1F75"/>
    <w:rsid w:val="009D0296"/>
    <w:rsid w:val="009D1BB4"/>
    <w:rsid w:val="009D3923"/>
    <w:rsid w:val="009D4428"/>
    <w:rsid w:val="009D724C"/>
    <w:rsid w:val="009E000A"/>
    <w:rsid w:val="009E1421"/>
    <w:rsid w:val="009E3EDF"/>
    <w:rsid w:val="009E4482"/>
    <w:rsid w:val="009F4A6E"/>
    <w:rsid w:val="00A033ED"/>
    <w:rsid w:val="00A1103E"/>
    <w:rsid w:val="00A115E7"/>
    <w:rsid w:val="00A1617C"/>
    <w:rsid w:val="00A20864"/>
    <w:rsid w:val="00A26AF7"/>
    <w:rsid w:val="00A34BCB"/>
    <w:rsid w:val="00A37BBA"/>
    <w:rsid w:val="00A43168"/>
    <w:rsid w:val="00A43453"/>
    <w:rsid w:val="00A4547D"/>
    <w:rsid w:val="00A50A82"/>
    <w:rsid w:val="00A51FDF"/>
    <w:rsid w:val="00A549B5"/>
    <w:rsid w:val="00A54CFA"/>
    <w:rsid w:val="00A555C5"/>
    <w:rsid w:val="00A563F1"/>
    <w:rsid w:val="00A5734C"/>
    <w:rsid w:val="00A62D6D"/>
    <w:rsid w:val="00A63819"/>
    <w:rsid w:val="00A63854"/>
    <w:rsid w:val="00A65BC5"/>
    <w:rsid w:val="00A65D4A"/>
    <w:rsid w:val="00A74B69"/>
    <w:rsid w:val="00A80CD1"/>
    <w:rsid w:val="00A830B5"/>
    <w:rsid w:val="00A834D6"/>
    <w:rsid w:val="00A92DD8"/>
    <w:rsid w:val="00A94B72"/>
    <w:rsid w:val="00A972D3"/>
    <w:rsid w:val="00A973BE"/>
    <w:rsid w:val="00AA6435"/>
    <w:rsid w:val="00AA7A34"/>
    <w:rsid w:val="00AB1AAD"/>
    <w:rsid w:val="00AB31F2"/>
    <w:rsid w:val="00AB6686"/>
    <w:rsid w:val="00AB6BBA"/>
    <w:rsid w:val="00AB7018"/>
    <w:rsid w:val="00AC01AD"/>
    <w:rsid w:val="00AC35C2"/>
    <w:rsid w:val="00AC38FD"/>
    <w:rsid w:val="00AC4D52"/>
    <w:rsid w:val="00AD2BB0"/>
    <w:rsid w:val="00AD41BC"/>
    <w:rsid w:val="00AD4E3D"/>
    <w:rsid w:val="00AD7346"/>
    <w:rsid w:val="00AD7BF2"/>
    <w:rsid w:val="00AE288E"/>
    <w:rsid w:val="00AE357E"/>
    <w:rsid w:val="00AE622A"/>
    <w:rsid w:val="00AE74FF"/>
    <w:rsid w:val="00AE7B2C"/>
    <w:rsid w:val="00AF0D9C"/>
    <w:rsid w:val="00AF3D2D"/>
    <w:rsid w:val="00AF7882"/>
    <w:rsid w:val="00B01407"/>
    <w:rsid w:val="00B13F89"/>
    <w:rsid w:val="00B15005"/>
    <w:rsid w:val="00B16FAE"/>
    <w:rsid w:val="00B20CAB"/>
    <w:rsid w:val="00B21C3E"/>
    <w:rsid w:val="00B23842"/>
    <w:rsid w:val="00B2648E"/>
    <w:rsid w:val="00B36364"/>
    <w:rsid w:val="00B363E5"/>
    <w:rsid w:val="00B36C45"/>
    <w:rsid w:val="00B43302"/>
    <w:rsid w:val="00B44F03"/>
    <w:rsid w:val="00B4697B"/>
    <w:rsid w:val="00B51777"/>
    <w:rsid w:val="00B55475"/>
    <w:rsid w:val="00B570F9"/>
    <w:rsid w:val="00B602B7"/>
    <w:rsid w:val="00B60BA0"/>
    <w:rsid w:val="00B6165A"/>
    <w:rsid w:val="00B63539"/>
    <w:rsid w:val="00B67F74"/>
    <w:rsid w:val="00B702D7"/>
    <w:rsid w:val="00B7153A"/>
    <w:rsid w:val="00B75C53"/>
    <w:rsid w:val="00B76382"/>
    <w:rsid w:val="00B81396"/>
    <w:rsid w:val="00B8142C"/>
    <w:rsid w:val="00B839BC"/>
    <w:rsid w:val="00B8459B"/>
    <w:rsid w:val="00B95AC4"/>
    <w:rsid w:val="00B960C6"/>
    <w:rsid w:val="00B96BAB"/>
    <w:rsid w:val="00BA2082"/>
    <w:rsid w:val="00BA2640"/>
    <w:rsid w:val="00BA58C2"/>
    <w:rsid w:val="00BA7F00"/>
    <w:rsid w:val="00BB20AB"/>
    <w:rsid w:val="00BB2280"/>
    <w:rsid w:val="00BB578F"/>
    <w:rsid w:val="00BB5A58"/>
    <w:rsid w:val="00BB7AD3"/>
    <w:rsid w:val="00BC0E13"/>
    <w:rsid w:val="00BC12C6"/>
    <w:rsid w:val="00BC3D5A"/>
    <w:rsid w:val="00BC69E4"/>
    <w:rsid w:val="00BD166C"/>
    <w:rsid w:val="00BD2D81"/>
    <w:rsid w:val="00BD2DF1"/>
    <w:rsid w:val="00BD4739"/>
    <w:rsid w:val="00BD4DEB"/>
    <w:rsid w:val="00BD52D2"/>
    <w:rsid w:val="00BD79CB"/>
    <w:rsid w:val="00BE043A"/>
    <w:rsid w:val="00BE3AD0"/>
    <w:rsid w:val="00BE6C6A"/>
    <w:rsid w:val="00BF4F33"/>
    <w:rsid w:val="00BF5096"/>
    <w:rsid w:val="00C0259D"/>
    <w:rsid w:val="00C03BED"/>
    <w:rsid w:val="00C06EBC"/>
    <w:rsid w:val="00C07AFE"/>
    <w:rsid w:val="00C1173A"/>
    <w:rsid w:val="00C11B2D"/>
    <w:rsid w:val="00C24A17"/>
    <w:rsid w:val="00C27129"/>
    <w:rsid w:val="00C27F7C"/>
    <w:rsid w:val="00C3185A"/>
    <w:rsid w:val="00C358EA"/>
    <w:rsid w:val="00C43BC9"/>
    <w:rsid w:val="00C43F93"/>
    <w:rsid w:val="00C44A46"/>
    <w:rsid w:val="00C465C7"/>
    <w:rsid w:val="00C47A3C"/>
    <w:rsid w:val="00C5062F"/>
    <w:rsid w:val="00C506C5"/>
    <w:rsid w:val="00C52ED2"/>
    <w:rsid w:val="00C53CA5"/>
    <w:rsid w:val="00C63BE8"/>
    <w:rsid w:val="00C64BAB"/>
    <w:rsid w:val="00C67162"/>
    <w:rsid w:val="00C701E2"/>
    <w:rsid w:val="00C720C0"/>
    <w:rsid w:val="00C766B7"/>
    <w:rsid w:val="00C80C58"/>
    <w:rsid w:val="00C84B8E"/>
    <w:rsid w:val="00C85C23"/>
    <w:rsid w:val="00C86BF9"/>
    <w:rsid w:val="00C92B65"/>
    <w:rsid w:val="00C94D05"/>
    <w:rsid w:val="00CA0C8E"/>
    <w:rsid w:val="00CA25CE"/>
    <w:rsid w:val="00CA2C03"/>
    <w:rsid w:val="00CA36A2"/>
    <w:rsid w:val="00CA4391"/>
    <w:rsid w:val="00CA478F"/>
    <w:rsid w:val="00CA5906"/>
    <w:rsid w:val="00CA7E2B"/>
    <w:rsid w:val="00CB6FF5"/>
    <w:rsid w:val="00CB732D"/>
    <w:rsid w:val="00CC3D0F"/>
    <w:rsid w:val="00CC5561"/>
    <w:rsid w:val="00CC706F"/>
    <w:rsid w:val="00CD045D"/>
    <w:rsid w:val="00CD2504"/>
    <w:rsid w:val="00CD5C6C"/>
    <w:rsid w:val="00CE09BD"/>
    <w:rsid w:val="00CE0A0D"/>
    <w:rsid w:val="00CE7A76"/>
    <w:rsid w:val="00CF36D5"/>
    <w:rsid w:val="00CF4DA6"/>
    <w:rsid w:val="00CF6CC7"/>
    <w:rsid w:val="00CF7432"/>
    <w:rsid w:val="00D01B6E"/>
    <w:rsid w:val="00D03523"/>
    <w:rsid w:val="00D0626A"/>
    <w:rsid w:val="00D07240"/>
    <w:rsid w:val="00D12332"/>
    <w:rsid w:val="00D12D4B"/>
    <w:rsid w:val="00D132DB"/>
    <w:rsid w:val="00D159EF"/>
    <w:rsid w:val="00D16187"/>
    <w:rsid w:val="00D20B2B"/>
    <w:rsid w:val="00D24063"/>
    <w:rsid w:val="00D26F06"/>
    <w:rsid w:val="00D32752"/>
    <w:rsid w:val="00D33457"/>
    <w:rsid w:val="00D35616"/>
    <w:rsid w:val="00D36367"/>
    <w:rsid w:val="00D37D5D"/>
    <w:rsid w:val="00D432D5"/>
    <w:rsid w:val="00D46A67"/>
    <w:rsid w:val="00D47120"/>
    <w:rsid w:val="00D511B9"/>
    <w:rsid w:val="00D5383E"/>
    <w:rsid w:val="00D54F66"/>
    <w:rsid w:val="00D60269"/>
    <w:rsid w:val="00D66A1F"/>
    <w:rsid w:val="00D675FF"/>
    <w:rsid w:val="00D71738"/>
    <w:rsid w:val="00D7276F"/>
    <w:rsid w:val="00D75E8F"/>
    <w:rsid w:val="00D80638"/>
    <w:rsid w:val="00D81A28"/>
    <w:rsid w:val="00D82F4A"/>
    <w:rsid w:val="00D90955"/>
    <w:rsid w:val="00D90B17"/>
    <w:rsid w:val="00D92222"/>
    <w:rsid w:val="00D93A8E"/>
    <w:rsid w:val="00D95EA1"/>
    <w:rsid w:val="00D96CBD"/>
    <w:rsid w:val="00D9710D"/>
    <w:rsid w:val="00DA2C8E"/>
    <w:rsid w:val="00DA5C8B"/>
    <w:rsid w:val="00DA6FFB"/>
    <w:rsid w:val="00DA76F9"/>
    <w:rsid w:val="00DB2B50"/>
    <w:rsid w:val="00DB5247"/>
    <w:rsid w:val="00DB6CAA"/>
    <w:rsid w:val="00DB6FED"/>
    <w:rsid w:val="00DB74CD"/>
    <w:rsid w:val="00DB7CB1"/>
    <w:rsid w:val="00DC0D18"/>
    <w:rsid w:val="00DC1254"/>
    <w:rsid w:val="00DD074C"/>
    <w:rsid w:val="00DD080E"/>
    <w:rsid w:val="00DE07D8"/>
    <w:rsid w:val="00DE3A49"/>
    <w:rsid w:val="00DE3DDD"/>
    <w:rsid w:val="00DE486B"/>
    <w:rsid w:val="00DE49EC"/>
    <w:rsid w:val="00DE5161"/>
    <w:rsid w:val="00DF0379"/>
    <w:rsid w:val="00DF066A"/>
    <w:rsid w:val="00DF0C75"/>
    <w:rsid w:val="00DF1A10"/>
    <w:rsid w:val="00E00499"/>
    <w:rsid w:val="00E043ED"/>
    <w:rsid w:val="00E06B50"/>
    <w:rsid w:val="00E11E3C"/>
    <w:rsid w:val="00E12D6B"/>
    <w:rsid w:val="00E13360"/>
    <w:rsid w:val="00E14592"/>
    <w:rsid w:val="00E20B6D"/>
    <w:rsid w:val="00E25D29"/>
    <w:rsid w:val="00E34B7E"/>
    <w:rsid w:val="00E34C7F"/>
    <w:rsid w:val="00E36A6F"/>
    <w:rsid w:val="00E3763A"/>
    <w:rsid w:val="00E42058"/>
    <w:rsid w:val="00E43231"/>
    <w:rsid w:val="00E43E65"/>
    <w:rsid w:val="00E51548"/>
    <w:rsid w:val="00E56BBE"/>
    <w:rsid w:val="00E574E6"/>
    <w:rsid w:val="00E61D17"/>
    <w:rsid w:val="00E673F1"/>
    <w:rsid w:val="00E7544C"/>
    <w:rsid w:val="00E80E1A"/>
    <w:rsid w:val="00E84F83"/>
    <w:rsid w:val="00E921D6"/>
    <w:rsid w:val="00E95666"/>
    <w:rsid w:val="00E9639A"/>
    <w:rsid w:val="00E971C2"/>
    <w:rsid w:val="00EA5450"/>
    <w:rsid w:val="00EC00A2"/>
    <w:rsid w:val="00EC68D0"/>
    <w:rsid w:val="00ED0D01"/>
    <w:rsid w:val="00ED1B74"/>
    <w:rsid w:val="00EE0A4B"/>
    <w:rsid w:val="00EE2924"/>
    <w:rsid w:val="00EE520B"/>
    <w:rsid w:val="00EE674A"/>
    <w:rsid w:val="00EE6BBE"/>
    <w:rsid w:val="00EF4AFB"/>
    <w:rsid w:val="00EF694A"/>
    <w:rsid w:val="00EF6D42"/>
    <w:rsid w:val="00F0001A"/>
    <w:rsid w:val="00F04E36"/>
    <w:rsid w:val="00F12CA5"/>
    <w:rsid w:val="00F139AB"/>
    <w:rsid w:val="00F16075"/>
    <w:rsid w:val="00F20206"/>
    <w:rsid w:val="00F24F95"/>
    <w:rsid w:val="00F32EFB"/>
    <w:rsid w:val="00F4032D"/>
    <w:rsid w:val="00F41410"/>
    <w:rsid w:val="00F45187"/>
    <w:rsid w:val="00F46F3E"/>
    <w:rsid w:val="00F4702F"/>
    <w:rsid w:val="00F47E08"/>
    <w:rsid w:val="00F52F12"/>
    <w:rsid w:val="00F54975"/>
    <w:rsid w:val="00F56CD4"/>
    <w:rsid w:val="00F75994"/>
    <w:rsid w:val="00F76006"/>
    <w:rsid w:val="00F7793D"/>
    <w:rsid w:val="00F84301"/>
    <w:rsid w:val="00F8738C"/>
    <w:rsid w:val="00F87F5A"/>
    <w:rsid w:val="00F948F9"/>
    <w:rsid w:val="00F94D6D"/>
    <w:rsid w:val="00F95C2B"/>
    <w:rsid w:val="00F964BF"/>
    <w:rsid w:val="00F96563"/>
    <w:rsid w:val="00F96BB0"/>
    <w:rsid w:val="00F9749B"/>
    <w:rsid w:val="00FA1234"/>
    <w:rsid w:val="00FA75A2"/>
    <w:rsid w:val="00FB4BAF"/>
    <w:rsid w:val="00FB5502"/>
    <w:rsid w:val="00FC40CB"/>
    <w:rsid w:val="00FC436E"/>
    <w:rsid w:val="00FD6974"/>
    <w:rsid w:val="00FE017B"/>
    <w:rsid w:val="00FE0C13"/>
    <w:rsid w:val="00FE1B5A"/>
    <w:rsid w:val="00FE37C0"/>
    <w:rsid w:val="00FE3A09"/>
    <w:rsid w:val="00FF2CD4"/>
    <w:rsid w:val="00FF2E54"/>
    <w:rsid w:val="00FF331D"/>
    <w:rsid w:val="00FF4529"/>
    <w:rsid w:val="015054E4"/>
    <w:rsid w:val="01BD6EE9"/>
    <w:rsid w:val="024206C9"/>
    <w:rsid w:val="0510745B"/>
    <w:rsid w:val="05C20B0D"/>
    <w:rsid w:val="05CF1F7E"/>
    <w:rsid w:val="061F2B66"/>
    <w:rsid w:val="074C3E43"/>
    <w:rsid w:val="093778C0"/>
    <w:rsid w:val="09470F87"/>
    <w:rsid w:val="09665466"/>
    <w:rsid w:val="097B5FE7"/>
    <w:rsid w:val="0B6A5431"/>
    <w:rsid w:val="0C1D3F4C"/>
    <w:rsid w:val="0C910E92"/>
    <w:rsid w:val="0D417BB1"/>
    <w:rsid w:val="0DF67277"/>
    <w:rsid w:val="0E0850BC"/>
    <w:rsid w:val="0EAB01E2"/>
    <w:rsid w:val="0EE042F9"/>
    <w:rsid w:val="0FE16826"/>
    <w:rsid w:val="109B214F"/>
    <w:rsid w:val="10F347F3"/>
    <w:rsid w:val="11094700"/>
    <w:rsid w:val="12890D27"/>
    <w:rsid w:val="13E85FC3"/>
    <w:rsid w:val="14803CE6"/>
    <w:rsid w:val="15D93691"/>
    <w:rsid w:val="183C0DD2"/>
    <w:rsid w:val="19BA377F"/>
    <w:rsid w:val="1BDB0800"/>
    <w:rsid w:val="1C934C16"/>
    <w:rsid w:val="1E65124A"/>
    <w:rsid w:val="1E7E290B"/>
    <w:rsid w:val="217C032C"/>
    <w:rsid w:val="218F4107"/>
    <w:rsid w:val="237F5C0E"/>
    <w:rsid w:val="238C4EC9"/>
    <w:rsid w:val="24757615"/>
    <w:rsid w:val="260F4EE0"/>
    <w:rsid w:val="27742AB3"/>
    <w:rsid w:val="2F0B7584"/>
    <w:rsid w:val="2F8006D5"/>
    <w:rsid w:val="2F9915F1"/>
    <w:rsid w:val="32556615"/>
    <w:rsid w:val="33AE7CAB"/>
    <w:rsid w:val="352E1B9A"/>
    <w:rsid w:val="35550A90"/>
    <w:rsid w:val="36195D9A"/>
    <w:rsid w:val="36F72D7D"/>
    <w:rsid w:val="37133720"/>
    <w:rsid w:val="37B90DFD"/>
    <w:rsid w:val="389E0BB9"/>
    <w:rsid w:val="3AD435C9"/>
    <w:rsid w:val="3ADB6EC3"/>
    <w:rsid w:val="3D6F2F6D"/>
    <w:rsid w:val="40735257"/>
    <w:rsid w:val="4106644B"/>
    <w:rsid w:val="42884A3A"/>
    <w:rsid w:val="428E7731"/>
    <w:rsid w:val="439947C8"/>
    <w:rsid w:val="454B4083"/>
    <w:rsid w:val="477D4BF6"/>
    <w:rsid w:val="47B41F7A"/>
    <w:rsid w:val="48523F07"/>
    <w:rsid w:val="4C6713F4"/>
    <w:rsid w:val="4C7C519C"/>
    <w:rsid w:val="4DA21F78"/>
    <w:rsid w:val="4EE22D6C"/>
    <w:rsid w:val="4EEE609E"/>
    <w:rsid w:val="4F1D1932"/>
    <w:rsid w:val="5185584B"/>
    <w:rsid w:val="51A97393"/>
    <w:rsid w:val="51C55243"/>
    <w:rsid w:val="51F06A35"/>
    <w:rsid w:val="52B32E0A"/>
    <w:rsid w:val="54A864AC"/>
    <w:rsid w:val="56B73043"/>
    <w:rsid w:val="573B02E4"/>
    <w:rsid w:val="57AA15FA"/>
    <w:rsid w:val="57F11DA0"/>
    <w:rsid w:val="582422E8"/>
    <w:rsid w:val="598D2C95"/>
    <w:rsid w:val="5C2A35B2"/>
    <w:rsid w:val="5D9650CD"/>
    <w:rsid w:val="5F4F142E"/>
    <w:rsid w:val="62D02A4C"/>
    <w:rsid w:val="63622E59"/>
    <w:rsid w:val="65EA09BD"/>
    <w:rsid w:val="6A6C1C1A"/>
    <w:rsid w:val="6AA94329"/>
    <w:rsid w:val="6D795FE6"/>
    <w:rsid w:val="6DFB5C49"/>
    <w:rsid w:val="6F614ECB"/>
    <w:rsid w:val="702D6545"/>
    <w:rsid w:val="707606F7"/>
    <w:rsid w:val="71EF1B1F"/>
    <w:rsid w:val="7283540C"/>
    <w:rsid w:val="73D76E28"/>
    <w:rsid w:val="750C01A5"/>
    <w:rsid w:val="758C1187"/>
    <w:rsid w:val="76F13F59"/>
    <w:rsid w:val="77B9371D"/>
    <w:rsid w:val="77EA615B"/>
    <w:rsid w:val="787858E5"/>
    <w:rsid w:val="788D0B94"/>
    <w:rsid w:val="7B2A1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1"/>
    <w:qFormat/>
    <w:uiPriority w:val="0"/>
    <w:pPr>
      <w:keepNext/>
      <w:keepLines/>
      <w:numPr>
        <w:ilvl w:val="0"/>
        <w:numId w:val="1"/>
      </w:numPr>
      <w:spacing w:before="260" w:after="260" w:line="415" w:lineRule="auto"/>
      <w:jc w:val="center"/>
      <w:outlineLvl w:val="1"/>
    </w:pPr>
    <w:rPr>
      <w:rFonts w:ascii="黑体" w:hAnsi="黑体" w:eastAsia="黑体"/>
      <w:sz w:val="30"/>
      <w:szCs w:val="30"/>
    </w:rPr>
  </w:style>
  <w:style w:type="paragraph" w:styleId="4">
    <w:name w:val="heading 3"/>
    <w:basedOn w:val="1"/>
    <w:next w:val="1"/>
    <w:link w:val="118"/>
    <w:qFormat/>
    <w:uiPriority w:val="0"/>
    <w:pPr>
      <w:keepNext/>
      <w:keepLines/>
      <w:spacing w:before="260" w:after="260" w:line="416" w:lineRule="auto"/>
      <w:outlineLvl w:val="2"/>
    </w:pPr>
    <w:rPr>
      <w:b/>
      <w:bCs/>
      <w:kern w:val="0"/>
      <w:sz w:val="32"/>
      <w:szCs w:val="32"/>
    </w:rPr>
  </w:style>
  <w:style w:type="paragraph" w:styleId="5">
    <w:name w:val="heading 4"/>
    <w:basedOn w:val="4"/>
    <w:next w:val="6"/>
    <w:link w:val="80"/>
    <w:qFormat/>
    <w:uiPriority w:val="0"/>
    <w:pPr>
      <w:numPr>
        <w:ilvl w:val="3"/>
        <w:numId w:val="2"/>
      </w:numPr>
      <w:spacing w:before="156" w:beforeLines="50" w:after="156" w:afterLines="50" w:line="360" w:lineRule="auto"/>
      <w:jc w:val="center"/>
      <w:outlineLvl w:val="3"/>
    </w:pPr>
    <w:rPr>
      <w:rFonts w:ascii="Arial" w:hAnsi="Arial"/>
      <w:b w:val="0"/>
      <w:bCs w:val="0"/>
      <w:color w:val="000000"/>
      <w:sz w:val="24"/>
      <w:szCs w:val="24"/>
    </w:rPr>
  </w:style>
  <w:style w:type="paragraph" w:styleId="7">
    <w:name w:val="heading 5"/>
    <w:basedOn w:val="5"/>
    <w:next w:val="6"/>
    <w:link w:val="83"/>
    <w:qFormat/>
    <w:uiPriority w:val="0"/>
    <w:pPr>
      <w:numPr>
        <w:ilvl w:val="4"/>
      </w:numPr>
      <w:spacing w:line="240" w:lineRule="exact"/>
      <w:outlineLvl w:val="4"/>
    </w:pPr>
  </w:style>
  <w:style w:type="paragraph" w:styleId="8">
    <w:name w:val="heading 6"/>
    <w:basedOn w:val="1"/>
    <w:next w:val="1"/>
    <w:link w:val="103"/>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9">
    <w:name w:val="heading 7"/>
    <w:basedOn w:val="1"/>
    <w:next w:val="1"/>
    <w:link w:val="87"/>
    <w:qFormat/>
    <w:uiPriority w:val="0"/>
    <w:pPr>
      <w:keepNext/>
      <w:keepLines/>
      <w:numPr>
        <w:ilvl w:val="6"/>
        <w:numId w:val="2"/>
      </w:numPr>
      <w:spacing w:before="240" w:after="64" w:line="320" w:lineRule="auto"/>
      <w:outlineLvl w:val="6"/>
    </w:pPr>
    <w:rPr>
      <w:rFonts w:ascii="Times New Roman" w:hAnsi="Times New Roman"/>
      <w:b/>
      <w:kern w:val="0"/>
      <w:sz w:val="24"/>
      <w:szCs w:val="20"/>
    </w:rPr>
  </w:style>
  <w:style w:type="paragraph" w:styleId="10">
    <w:name w:val="heading 8"/>
    <w:basedOn w:val="1"/>
    <w:next w:val="1"/>
    <w:link w:val="117"/>
    <w:qFormat/>
    <w:uiPriority w:val="0"/>
    <w:pPr>
      <w:keepNext/>
      <w:keepLines/>
      <w:numPr>
        <w:ilvl w:val="7"/>
        <w:numId w:val="2"/>
      </w:numPr>
      <w:spacing w:before="240" w:after="64" w:line="320" w:lineRule="auto"/>
      <w:outlineLvl w:val="7"/>
    </w:pPr>
    <w:rPr>
      <w:rFonts w:ascii="Arial" w:hAnsi="Arial" w:eastAsia="黑体"/>
      <w:kern w:val="0"/>
      <w:sz w:val="24"/>
      <w:szCs w:val="20"/>
    </w:rPr>
  </w:style>
  <w:style w:type="paragraph" w:styleId="11">
    <w:name w:val="heading 9"/>
    <w:basedOn w:val="1"/>
    <w:next w:val="6"/>
    <w:link w:val="85"/>
    <w:qFormat/>
    <w:uiPriority w:val="0"/>
    <w:pPr>
      <w:keepNext/>
      <w:keepLines/>
      <w:numPr>
        <w:ilvl w:val="8"/>
        <w:numId w:val="2"/>
      </w:numPr>
      <w:spacing w:before="240" w:after="64" w:line="320" w:lineRule="auto"/>
      <w:outlineLvl w:val="8"/>
    </w:pPr>
    <w:rPr>
      <w:rFonts w:ascii="Arial" w:hAnsi="Arial" w:eastAsia="黑体"/>
      <w:kern w:val="0"/>
      <w:sz w:val="20"/>
      <w:szCs w:val="20"/>
    </w:rPr>
  </w:style>
  <w:style w:type="character" w:default="1" w:styleId="58">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92"/>
    <w:unhideWhenUsed/>
    <w:qFormat/>
    <w:uiPriority w:val="0"/>
    <w:pPr>
      <w:ind w:firstLine="420" w:firstLineChars="200"/>
    </w:pPr>
    <w:rPr>
      <w:kern w:val="0"/>
      <w:sz w:val="20"/>
      <w:szCs w:val="20"/>
    </w:rPr>
  </w:style>
  <w:style w:type="paragraph" w:styleId="12">
    <w:name w:val="List 3"/>
    <w:basedOn w:val="1"/>
    <w:qFormat/>
    <w:uiPriority w:val="0"/>
    <w:pPr>
      <w:adjustRightInd w:val="0"/>
      <w:spacing w:line="312" w:lineRule="atLeast"/>
      <w:ind w:left="1260" w:hanging="420"/>
      <w:textAlignment w:val="baseline"/>
    </w:pPr>
    <w:rPr>
      <w:rFonts w:ascii="Arial" w:hAnsi="Arial"/>
      <w:kern w:val="0"/>
      <w:sz w:val="24"/>
      <w:szCs w:val="20"/>
    </w:rPr>
  </w:style>
  <w:style w:type="paragraph" w:styleId="13">
    <w:name w:val="toc 7"/>
    <w:basedOn w:val="1"/>
    <w:next w:val="1"/>
    <w:qFormat/>
    <w:uiPriority w:val="0"/>
    <w:pPr>
      <w:ind w:left="2520" w:leftChars="1200"/>
    </w:pPr>
    <w:rPr>
      <w:rFonts w:ascii="Times New Roman" w:hAnsi="Times New Roman"/>
      <w:szCs w:val="20"/>
    </w:rPr>
  </w:style>
  <w:style w:type="paragraph" w:styleId="14">
    <w:name w:val="caption"/>
    <w:basedOn w:val="1"/>
    <w:next w:val="1"/>
    <w:qFormat/>
    <w:uiPriority w:val="0"/>
    <w:pPr>
      <w:adjustRightInd w:val="0"/>
      <w:spacing w:before="152" w:after="160" w:line="312" w:lineRule="atLeast"/>
      <w:textAlignment w:val="baseline"/>
    </w:pPr>
    <w:rPr>
      <w:rFonts w:ascii="Arial" w:hAnsi="Arial" w:eastAsia="黑体"/>
      <w:kern w:val="0"/>
      <w:sz w:val="24"/>
      <w:szCs w:val="20"/>
    </w:rPr>
  </w:style>
  <w:style w:type="paragraph" w:styleId="15">
    <w:name w:val="Document Map"/>
    <w:basedOn w:val="1"/>
    <w:link w:val="142"/>
    <w:qFormat/>
    <w:uiPriority w:val="0"/>
    <w:pPr>
      <w:shd w:val="clear" w:color="auto" w:fill="000080"/>
    </w:pPr>
    <w:rPr>
      <w:rFonts w:ascii="Times New Roman" w:hAnsi="Times New Roman"/>
      <w:kern w:val="0"/>
      <w:sz w:val="20"/>
      <w:szCs w:val="24"/>
    </w:rPr>
  </w:style>
  <w:style w:type="paragraph" w:styleId="16">
    <w:name w:val="annotation text"/>
    <w:basedOn w:val="1"/>
    <w:link w:val="95"/>
    <w:unhideWhenUsed/>
    <w:qFormat/>
    <w:uiPriority w:val="0"/>
    <w:pPr>
      <w:jc w:val="left"/>
    </w:pPr>
    <w:rPr>
      <w:kern w:val="0"/>
      <w:sz w:val="20"/>
      <w:szCs w:val="20"/>
    </w:rPr>
  </w:style>
  <w:style w:type="paragraph" w:styleId="17">
    <w:name w:val="Body Text 3"/>
    <w:basedOn w:val="1"/>
    <w:link w:val="82"/>
    <w:unhideWhenUsed/>
    <w:qFormat/>
    <w:uiPriority w:val="99"/>
    <w:pPr>
      <w:spacing w:after="120"/>
    </w:pPr>
    <w:rPr>
      <w:kern w:val="0"/>
      <w:sz w:val="16"/>
      <w:szCs w:val="16"/>
    </w:rPr>
  </w:style>
  <w:style w:type="paragraph" w:styleId="18">
    <w:name w:val="Body Text"/>
    <w:basedOn w:val="1"/>
    <w:link w:val="126"/>
    <w:unhideWhenUsed/>
    <w:qFormat/>
    <w:uiPriority w:val="0"/>
    <w:pPr>
      <w:spacing w:after="120"/>
    </w:pPr>
    <w:rPr>
      <w:kern w:val="0"/>
      <w:sz w:val="20"/>
      <w:szCs w:val="20"/>
    </w:rPr>
  </w:style>
  <w:style w:type="paragraph" w:styleId="19">
    <w:name w:val="Body Text Indent"/>
    <w:basedOn w:val="1"/>
    <w:link w:val="109"/>
    <w:qFormat/>
    <w:uiPriority w:val="0"/>
    <w:pPr>
      <w:spacing w:after="120"/>
      <w:ind w:left="420" w:leftChars="200"/>
    </w:pPr>
    <w:rPr>
      <w:rFonts w:ascii="Times New Roman" w:hAnsi="Times New Roman"/>
      <w:kern w:val="0"/>
      <w:sz w:val="20"/>
      <w:szCs w:val="24"/>
    </w:rPr>
  </w:style>
  <w:style w:type="paragraph" w:styleId="20">
    <w:name w:val="List 2"/>
    <w:basedOn w:val="1"/>
    <w:qFormat/>
    <w:uiPriority w:val="0"/>
    <w:pPr>
      <w:adjustRightInd w:val="0"/>
      <w:spacing w:line="312" w:lineRule="atLeast"/>
      <w:ind w:left="840" w:hanging="420"/>
    </w:pPr>
    <w:rPr>
      <w:rFonts w:ascii="Arial" w:hAnsi="Arial"/>
      <w:kern w:val="0"/>
      <w:sz w:val="24"/>
      <w:szCs w:val="20"/>
    </w:rPr>
  </w:style>
  <w:style w:type="paragraph" w:styleId="21">
    <w:name w:val="toc 5"/>
    <w:basedOn w:val="1"/>
    <w:next w:val="1"/>
    <w:qFormat/>
    <w:uiPriority w:val="0"/>
    <w:pPr>
      <w:ind w:left="1680" w:leftChars="800"/>
    </w:pPr>
    <w:rPr>
      <w:rFonts w:ascii="Times New Roman" w:hAnsi="Times New Roman"/>
      <w:szCs w:val="20"/>
    </w:rPr>
  </w:style>
  <w:style w:type="paragraph" w:styleId="22">
    <w:name w:val="toc 3"/>
    <w:basedOn w:val="1"/>
    <w:next w:val="1"/>
    <w:unhideWhenUsed/>
    <w:qFormat/>
    <w:uiPriority w:val="0"/>
    <w:pPr>
      <w:tabs>
        <w:tab w:val="right" w:leader="dot" w:pos="8493"/>
      </w:tabs>
      <w:spacing w:line="360" w:lineRule="auto"/>
      <w:ind w:left="840" w:leftChars="400"/>
    </w:pPr>
    <w:rPr>
      <w:rFonts w:ascii="宋体" w:hAnsi="宋体"/>
      <w:sz w:val="24"/>
      <w:szCs w:val="24"/>
    </w:rPr>
  </w:style>
  <w:style w:type="paragraph" w:styleId="23">
    <w:name w:val="Plain Text"/>
    <w:basedOn w:val="1"/>
    <w:link w:val="152"/>
    <w:qFormat/>
    <w:uiPriority w:val="0"/>
    <w:rPr>
      <w:rFonts w:ascii="宋体" w:hAnsi="Courier New" w:eastAsia="楷体_GB2312"/>
      <w:kern w:val="0"/>
      <w:sz w:val="20"/>
      <w:szCs w:val="24"/>
    </w:rPr>
  </w:style>
  <w:style w:type="paragraph" w:styleId="24">
    <w:name w:val="toc 8"/>
    <w:basedOn w:val="1"/>
    <w:next w:val="1"/>
    <w:qFormat/>
    <w:uiPriority w:val="0"/>
    <w:pPr>
      <w:ind w:left="2940" w:leftChars="1400"/>
    </w:pPr>
    <w:rPr>
      <w:rFonts w:ascii="Times New Roman" w:hAnsi="Times New Roman"/>
      <w:szCs w:val="20"/>
    </w:rPr>
  </w:style>
  <w:style w:type="paragraph" w:styleId="25">
    <w:name w:val="Date"/>
    <w:basedOn w:val="1"/>
    <w:next w:val="1"/>
    <w:link w:val="133"/>
    <w:qFormat/>
    <w:uiPriority w:val="0"/>
    <w:rPr>
      <w:rFonts w:ascii="Times New Roman" w:hAnsi="Times New Roman"/>
      <w:kern w:val="0"/>
      <w:sz w:val="24"/>
      <w:szCs w:val="20"/>
    </w:rPr>
  </w:style>
  <w:style w:type="paragraph" w:styleId="26">
    <w:name w:val="Body Text Indent 2"/>
    <w:basedOn w:val="1"/>
    <w:link w:val="72"/>
    <w:qFormat/>
    <w:uiPriority w:val="0"/>
    <w:pPr>
      <w:spacing w:after="120" w:line="480" w:lineRule="auto"/>
      <w:ind w:left="420" w:leftChars="200"/>
    </w:pPr>
    <w:rPr>
      <w:rFonts w:ascii="Times New Roman" w:hAnsi="Times New Roman"/>
      <w:kern w:val="0"/>
      <w:sz w:val="20"/>
      <w:szCs w:val="24"/>
    </w:rPr>
  </w:style>
  <w:style w:type="paragraph" w:styleId="27">
    <w:name w:val="endnote text"/>
    <w:basedOn w:val="1"/>
    <w:link w:val="71"/>
    <w:unhideWhenUsed/>
    <w:qFormat/>
    <w:uiPriority w:val="99"/>
    <w:pPr>
      <w:snapToGrid w:val="0"/>
      <w:jc w:val="left"/>
    </w:pPr>
    <w:rPr>
      <w:kern w:val="0"/>
      <w:sz w:val="20"/>
      <w:szCs w:val="20"/>
    </w:rPr>
  </w:style>
  <w:style w:type="paragraph" w:styleId="28">
    <w:name w:val="List Continue 5"/>
    <w:basedOn w:val="1"/>
    <w:qFormat/>
    <w:uiPriority w:val="0"/>
    <w:pPr>
      <w:spacing w:after="120"/>
      <w:ind w:left="2100" w:leftChars="1000"/>
    </w:pPr>
    <w:rPr>
      <w:rFonts w:ascii="Times New Roman" w:hAnsi="Times New Roman"/>
      <w:szCs w:val="24"/>
    </w:rPr>
  </w:style>
  <w:style w:type="paragraph" w:styleId="29">
    <w:name w:val="Balloon Text"/>
    <w:basedOn w:val="1"/>
    <w:link w:val="91"/>
    <w:unhideWhenUsed/>
    <w:qFormat/>
    <w:uiPriority w:val="99"/>
    <w:rPr>
      <w:kern w:val="0"/>
      <w:sz w:val="18"/>
      <w:szCs w:val="18"/>
    </w:rPr>
  </w:style>
  <w:style w:type="paragraph" w:styleId="30">
    <w:name w:val="footer"/>
    <w:basedOn w:val="1"/>
    <w:link w:val="97"/>
    <w:unhideWhenUsed/>
    <w:qFormat/>
    <w:uiPriority w:val="99"/>
    <w:pPr>
      <w:tabs>
        <w:tab w:val="center" w:pos="4153"/>
        <w:tab w:val="right" w:pos="8306"/>
      </w:tabs>
      <w:snapToGrid w:val="0"/>
      <w:jc w:val="left"/>
    </w:pPr>
    <w:rPr>
      <w:kern w:val="0"/>
      <w:sz w:val="18"/>
      <w:szCs w:val="18"/>
    </w:rPr>
  </w:style>
  <w:style w:type="paragraph" w:styleId="31">
    <w:name w:val="header"/>
    <w:basedOn w:val="1"/>
    <w:link w:val="1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qFormat/>
    <w:uiPriority w:val="39"/>
    <w:pPr>
      <w:tabs>
        <w:tab w:val="right" w:leader="dot" w:pos="9060"/>
      </w:tabs>
      <w:spacing w:before="120" w:after="120"/>
      <w:jc w:val="center"/>
    </w:pPr>
    <w:rPr>
      <w:rFonts w:ascii="Times New Roman" w:hAnsi="Times New Roman"/>
      <w:b/>
      <w:bCs/>
      <w:caps/>
      <w:sz w:val="24"/>
      <w:szCs w:val="24"/>
    </w:rPr>
  </w:style>
  <w:style w:type="paragraph" w:styleId="33">
    <w:name w:val="List Continue 4"/>
    <w:basedOn w:val="1"/>
    <w:qFormat/>
    <w:uiPriority w:val="0"/>
    <w:pPr>
      <w:adjustRightInd w:val="0"/>
      <w:spacing w:after="120" w:line="312" w:lineRule="atLeast"/>
      <w:ind w:left="1680"/>
    </w:pPr>
    <w:rPr>
      <w:rFonts w:ascii="Arial" w:hAnsi="Arial"/>
      <w:kern w:val="0"/>
      <w:sz w:val="24"/>
      <w:szCs w:val="20"/>
    </w:rPr>
  </w:style>
  <w:style w:type="paragraph" w:styleId="34">
    <w:name w:val="toc 4"/>
    <w:basedOn w:val="1"/>
    <w:next w:val="1"/>
    <w:qFormat/>
    <w:uiPriority w:val="0"/>
    <w:pPr>
      <w:ind w:left="1260" w:leftChars="600"/>
    </w:pPr>
    <w:rPr>
      <w:rFonts w:ascii="Times New Roman" w:hAnsi="Times New Roman"/>
      <w:szCs w:val="20"/>
    </w:rPr>
  </w:style>
  <w:style w:type="paragraph" w:styleId="35">
    <w:name w:val="Subtitle"/>
    <w:basedOn w:val="1"/>
    <w:next w:val="1"/>
    <w:link w:val="131"/>
    <w:qFormat/>
    <w:uiPriority w:val="0"/>
    <w:pPr>
      <w:spacing w:before="240" w:after="60" w:line="312" w:lineRule="auto"/>
      <w:ind w:firstLine="200" w:firstLineChars="200"/>
      <w:jc w:val="center"/>
      <w:outlineLvl w:val="1"/>
    </w:pPr>
    <w:rPr>
      <w:rFonts w:ascii="Cambria" w:hAnsi="Cambria"/>
      <w:b/>
      <w:bCs/>
      <w:kern w:val="28"/>
      <w:sz w:val="32"/>
      <w:szCs w:val="32"/>
    </w:rPr>
  </w:style>
  <w:style w:type="paragraph" w:styleId="36">
    <w:name w:val="List"/>
    <w:basedOn w:val="1"/>
    <w:next w:val="1"/>
    <w:qFormat/>
    <w:uiPriority w:val="0"/>
    <w:pPr>
      <w:adjustRightInd w:val="0"/>
      <w:spacing w:line="312" w:lineRule="atLeast"/>
      <w:ind w:left="420" w:hanging="420"/>
    </w:pPr>
    <w:rPr>
      <w:rFonts w:ascii="Arial" w:hAnsi="Arial"/>
      <w:kern w:val="0"/>
      <w:sz w:val="24"/>
      <w:szCs w:val="20"/>
    </w:rPr>
  </w:style>
  <w:style w:type="paragraph" w:styleId="37">
    <w:name w:val="footnote text"/>
    <w:basedOn w:val="1"/>
    <w:link w:val="119"/>
    <w:qFormat/>
    <w:uiPriority w:val="0"/>
    <w:pPr>
      <w:snapToGrid w:val="0"/>
      <w:jc w:val="left"/>
    </w:pPr>
    <w:rPr>
      <w:rFonts w:ascii="Times New Roman" w:hAnsi="Times New Roman"/>
      <w:sz w:val="18"/>
      <w:szCs w:val="20"/>
    </w:rPr>
  </w:style>
  <w:style w:type="paragraph" w:styleId="38">
    <w:name w:val="toc 6"/>
    <w:basedOn w:val="1"/>
    <w:next w:val="1"/>
    <w:qFormat/>
    <w:uiPriority w:val="0"/>
    <w:pPr>
      <w:ind w:left="2100" w:leftChars="1000"/>
    </w:pPr>
    <w:rPr>
      <w:rFonts w:ascii="Times New Roman" w:hAnsi="Times New Roman"/>
      <w:szCs w:val="20"/>
    </w:rPr>
  </w:style>
  <w:style w:type="paragraph" w:styleId="39">
    <w:name w:val="List 5"/>
    <w:basedOn w:val="1"/>
    <w:qFormat/>
    <w:uiPriority w:val="0"/>
    <w:pPr>
      <w:adjustRightInd w:val="0"/>
      <w:spacing w:line="312" w:lineRule="atLeast"/>
      <w:ind w:left="2100" w:hanging="420"/>
    </w:pPr>
    <w:rPr>
      <w:rFonts w:ascii="Arial" w:hAnsi="Arial"/>
      <w:kern w:val="0"/>
      <w:sz w:val="24"/>
      <w:szCs w:val="20"/>
    </w:rPr>
  </w:style>
  <w:style w:type="paragraph" w:styleId="40">
    <w:name w:val="Body Text Indent 3"/>
    <w:basedOn w:val="1"/>
    <w:link w:val="112"/>
    <w:qFormat/>
    <w:uiPriority w:val="0"/>
    <w:pPr>
      <w:spacing w:after="120"/>
      <w:ind w:left="420" w:leftChars="200"/>
    </w:pPr>
    <w:rPr>
      <w:rFonts w:ascii="Times New Roman" w:hAnsi="Times New Roman"/>
      <w:kern w:val="0"/>
      <w:sz w:val="16"/>
      <w:szCs w:val="16"/>
    </w:rPr>
  </w:style>
  <w:style w:type="paragraph" w:styleId="41">
    <w:name w:val="table of figures"/>
    <w:basedOn w:val="1"/>
    <w:next w:val="1"/>
    <w:qFormat/>
    <w:uiPriority w:val="0"/>
    <w:pPr>
      <w:ind w:left="200" w:leftChars="200" w:hanging="200" w:hangingChars="200"/>
    </w:pPr>
    <w:rPr>
      <w:rFonts w:ascii="Times New Roman" w:hAnsi="Times New Roman"/>
      <w:szCs w:val="24"/>
    </w:rPr>
  </w:style>
  <w:style w:type="paragraph" w:styleId="42">
    <w:name w:val="toc 2"/>
    <w:basedOn w:val="1"/>
    <w:next w:val="1"/>
    <w:qFormat/>
    <w:uiPriority w:val="0"/>
    <w:pPr>
      <w:ind w:left="210"/>
      <w:jc w:val="left"/>
    </w:pPr>
    <w:rPr>
      <w:rFonts w:ascii="Times New Roman" w:hAnsi="Times New Roman"/>
      <w:smallCaps/>
      <w:sz w:val="20"/>
      <w:szCs w:val="20"/>
    </w:rPr>
  </w:style>
  <w:style w:type="paragraph" w:styleId="43">
    <w:name w:val="toc 9"/>
    <w:basedOn w:val="1"/>
    <w:next w:val="1"/>
    <w:qFormat/>
    <w:uiPriority w:val="0"/>
    <w:pPr>
      <w:ind w:left="3360" w:leftChars="1600"/>
    </w:pPr>
  </w:style>
  <w:style w:type="paragraph" w:styleId="44">
    <w:name w:val="Body Text 2"/>
    <w:basedOn w:val="1"/>
    <w:link w:val="93"/>
    <w:unhideWhenUsed/>
    <w:qFormat/>
    <w:uiPriority w:val="0"/>
    <w:rPr>
      <w:rFonts w:ascii="宋体" w:hAnsi="宋体" w:eastAsia="楷体_GB2312"/>
      <w:kern w:val="0"/>
      <w:sz w:val="20"/>
      <w:szCs w:val="24"/>
      <w:u w:val="single"/>
    </w:rPr>
  </w:style>
  <w:style w:type="paragraph" w:styleId="45">
    <w:name w:val="List 4"/>
    <w:basedOn w:val="1"/>
    <w:qFormat/>
    <w:uiPriority w:val="0"/>
    <w:pPr>
      <w:adjustRightInd w:val="0"/>
      <w:spacing w:line="312" w:lineRule="atLeast"/>
      <w:ind w:left="1680" w:hanging="420"/>
    </w:pPr>
    <w:rPr>
      <w:rFonts w:ascii="Arial" w:hAnsi="Arial"/>
      <w:kern w:val="0"/>
      <w:sz w:val="24"/>
      <w:szCs w:val="20"/>
    </w:rPr>
  </w:style>
  <w:style w:type="paragraph" w:styleId="46">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7">
    <w:name w:val="Normal (Web)"/>
    <w:basedOn w:val="1"/>
    <w:qFormat/>
    <w:uiPriority w:val="99"/>
    <w:pPr>
      <w:widowControl/>
      <w:spacing w:before="100" w:beforeAutospacing="1" w:after="100" w:afterAutospacing="1"/>
      <w:jc w:val="left"/>
    </w:pPr>
    <w:rPr>
      <w:rFonts w:ascii="Times New Roman" w:hAnsi="Times New Roman"/>
      <w:kern w:val="0"/>
      <w:sz w:val="24"/>
      <w:szCs w:val="24"/>
    </w:rPr>
  </w:style>
  <w:style w:type="paragraph" w:styleId="48">
    <w:name w:val="List Continue 3"/>
    <w:basedOn w:val="1"/>
    <w:qFormat/>
    <w:uiPriority w:val="0"/>
    <w:pPr>
      <w:adjustRightInd w:val="0"/>
      <w:spacing w:after="120" w:line="312" w:lineRule="atLeast"/>
      <w:ind w:left="1260"/>
    </w:pPr>
    <w:rPr>
      <w:rFonts w:ascii="Arial" w:hAnsi="Arial"/>
      <w:kern w:val="0"/>
      <w:sz w:val="24"/>
      <w:szCs w:val="20"/>
    </w:rPr>
  </w:style>
  <w:style w:type="paragraph" w:styleId="49">
    <w:name w:val="index 1"/>
    <w:basedOn w:val="1"/>
    <w:next w:val="1"/>
    <w:qFormat/>
    <w:uiPriority w:val="0"/>
    <w:pPr>
      <w:spacing w:line="220" w:lineRule="exact"/>
      <w:jc w:val="center"/>
    </w:pPr>
    <w:rPr>
      <w:rFonts w:ascii="仿宋_GB2312" w:hAnsi="Times New Roman" w:eastAsia="仿宋_GB2312"/>
      <w:szCs w:val="21"/>
    </w:rPr>
  </w:style>
  <w:style w:type="paragraph" w:styleId="50">
    <w:name w:val="Title"/>
    <w:basedOn w:val="1"/>
    <w:link w:val="141"/>
    <w:qFormat/>
    <w:uiPriority w:val="0"/>
    <w:pPr>
      <w:spacing w:before="120" w:after="60"/>
      <w:jc w:val="center"/>
    </w:pPr>
    <w:rPr>
      <w:rFonts w:ascii="Arial" w:hAnsi="Arial" w:eastAsia="楷体_GB2312"/>
      <w:b/>
      <w:kern w:val="0"/>
      <w:sz w:val="44"/>
      <w:szCs w:val="20"/>
    </w:rPr>
  </w:style>
  <w:style w:type="paragraph" w:styleId="51">
    <w:name w:val="annotation subject"/>
    <w:basedOn w:val="16"/>
    <w:next w:val="16"/>
    <w:link w:val="90"/>
    <w:unhideWhenUsed/>
    <w:qFormat/>
    <w:uiPriority w:val="99"/>
    <w:rPr>
      <w:b/>
      <w:bCs/>
    </w:rPr>
  </w:style>
  <w:style w:type="paragraph" w:styleId="52">
    <w:name w:val="Body Text First Indent"/>
    <w:basedOn w:val="18"/>
    <w:link w:val="106"/>
    <w:qFormat/>
    <w:uiPriority w:val="0"/>
    <w:pPr>
      <w:ind w:firstLine="420"/>
    </w:pPr>
    <w:rPr>
      <w:rFonts w:ascii="Times New Roman" w:hAnsi="Times New Roman" w:eastAsia="楷体_GB2312"/>
    </w:rPr>
  </w:style>
  <w:style w:type="paragraph" w:styleId="53">
    <w:name w:val="Body Text First Indent 2"/>
    <w:basedOn w:val="1"/>
    <w:qFormat/>
    <w:uiPriority w:val="99"/>
    <w:pPr>
      <w:autoSpaceDE w:val="0"/>
      <w:autoSpaceDN w:val="0"/>
      <w:ind w:firstLine="420" w:firstLineChars="200"/>
      <w:jc w:val="left"/>
    </w:pPr>
    <w:rPr>
      <w:rFonts w:ascii="Times New Roman" w:hAnsi="Times New Roman"/>
      <w:kern w:val="0"/>
      <w:sz w:val="22"/>
      <w:lang w:val="zh-CN" w:bidi="zh-CN"/>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6">
    <w:name w:val="Table Theme"/>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7">
    <w:name w:val="Table Professional"/>
    <w:basedOn w:val="5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59">
    <w:name w:val="Strong"/>
    <w:qFormat/>
    <w:uiPriority w:val="0"/>
    <w:rPr>
      <w:rFonts w:eastAsia="宋体"/>
      <w:b/>
      <w:bCs/>
      <w:kern w:val="2"/>
      <w:sz w:val="24"/>
      <w:szCs w:val="24"/>
      <w:lang w:val="en-US" w:eastAsia="zh-CN" w:bidi="ar-SA"/>
    </w:rPr>
  </w:style>
  <w:style w:type="character" w:styleId="60">
    <w:name w:val="endnote reference"/>
    <w:qFormat/>
    <w:uiPriority w:val="0"/>
    <w:rPr>
      <w:rFonts w:eastAsia="宋体"/>
      <w:kern w:val="2"/>
      <w:sz w:val="24"/>
      <w:szCs w:val="24"/>
      <w:vertAlign w:val="superscript"/>
      <w:lang w:val="en-US" w:eastAsia="zh-CN" w:bidi="ar-SA"/>
    </w:rPr>
  </w:style>
  <w:style w:type="character" w:styleId="61">
    <w:name w:val="page number"/>
    <w:basedOn w:val="58"/>
    <w:qFormat/>
    <w:uiPriority w:val="0"/>
    <w:rPr>
      <w:rFonts w:ascii="Arial" w:hAnsi="Arial" w:eastAsia="黑体"/>
      <w:kern w:val="2"/>
      <w:sz w:val="21"/>
      <w:szCs w:val="21"/>
      <w:lang w:val="en-US" w:eastAsia="zh-CN" w:bidi="ar-SA"/>
    </w:rPr>
  </w:style>
  <w:style w:type="character" w:styleId="62">
    <w:name w:val="FollowedHyperlink"/>
    <w:unhideWhenUsed/>
    <w:qFormat/>
    <w:uiPriority w:val="0"/>
    <w:rPr>
      <w:color w:val="800080"/>
      <w:u w:val="single"/>
    </w:rPr>
  </w:style>
  <w:style w:type="character" w:styleId="63">
    <w:name w:val="Emphasis"/>
    <w:qFormat/>
    <w:uiPriority w:val="0"/>
    <w:rPr>
      <w:color w:val="CC0000"/>
    </w:rPr>
  </w:style>
  <w:style w:type="character" w:styleId="64">
    <w:name w:val="Hyperlink"/>
    <w:qFormat/>
    <w:uiPriority w:val="99"/>
    <w:rPr>
      <w:rFonts w:ascii="Arial" w:hAnsi="Arial" w:eastAsia="黑体"/>
      <w:color w:val="0000FF"/>
      <w:kern w:val="2"/>
      <w:sz w:val="21"/>
      <w:szCs w:val="21"/>
      <w:u w:val="single"/>
      <w:lang w:val="en-US" w:eastAsia="zh-CN" w:bidi="ar-SA"/>
    </w:rPr>
  </w:style>
  <w:style w:type="character" w:styleId="65">
    <w:name w:val="annotation reference"/>
    <w:unhideWhenUsed/>
    <w:qFormat/>
    <w:uiPriority w:val="0"/>
    <w:rPr>
      <w:sz w:val="21"/>
      <w:szCs w:val="21"/>
    </w:rPr>
  </w:style>
  <w:style w:type="character" w:customStyle="1" w:styleId="66">
    <w:name w:val="Plain Text Char"/>
    <w:qFormat/>
    <w:locked/>
    <w:uiPriority w:val="0"/>
    <w:rPr>
      <w:rFonts w:ascii="宋体" w:hAnsi="Courier New" w:eastAsia="宋体"/>
      <w:kern w:val="2"/>
      <w:sz w:val="21"/>
      <w:lang w:val="en-US" w:eastAsia="zh-CN" w:bidi="ar-SA"/>
    </w:rPr>
  </w:style>
  <w:style w:type="character" w:customStyle="1" w:styleId="67">
    <w:name w:val="Char Char10"/>
    <w:qFormat/>
    <w:uiPriority w:val="0"/>
    <w:rPr>
      <w:rFonts w:ascii="Arial" w:hAnsi="Arial" w:eastAsia="宋体"/>
      <w:kern w:val="2"/>
      <w:sz w:val="24"/>
      <w:szCs w:val="24"/>
      <w:lang w:val="en-US" w:eastAsia="zh-CN" w:bidi="ar-SA"/>
    </w:rPr>
  </w:style>
  <w:style w:type="character" w:customStyle="1" w:styleId="68">
    <w:name w:val="表格 Char"/>
    <w:qFormat/>
    <w:uiPriority w:val="0"/>
    <w:rPr>
      <w:rFonts w:eastAsia="宋体" w:cs="宋体"/>
      <w:snapToGrid w:val="0"/>
      <w:sz w:val="21"/>
      <w:szCs w:val="21"/>
      <w:lang w:val="en-US" w:eastAsia="zh-CN" w:bidi="ar-SA"/>
    </w:rPr>
  </w:style>
  <w:style w:type="character" w:customStyle="1" w:styleId="69">
    <w:name w:val="手改 Char Char"/>
    <w:qFormat/>
    <w:uiPriority w:val="0"/>
    <w:rPr>
      <w:rFonts w:eastAsia="宋体"/>
      <w:kern w:val="2"/>
      <w:sz w:val="21"/>
      <w:lang w:val="en-US" w:eastAsia="zh-CN" w:bidi="ar-SA"/>
    </w:rPr>
  </w:style>
  <w:style w:type="character" w:customStyle="1" w:styleId="70">
    <w:name w:val="样式 宋体 小四 行距: 1.5 倍行距 Char"/>
    <w:qFormat/>
    <w:uiPriority w:val="0"/>
    <w:rPr>
      <w:rFonts w:ascii="宋体" w:hAnsi="宋体" w:eastAsia="宋体" w:cs="宋体"/>
      <w:kern w:val="2"/>
      <w:sz w:val="28"/>
      <w:lang w:val="en-US" w:eastAsia="zh-CN" w:bidi="ar-SA"/>
    </w:rPr>
  </w:style>
  <w:style w:type="character" w:customStyle="1" w:styleId="71">
    <w:name w:val="尾注文本 字符"/>
    <w:link w:val="27"/>
    <w:semiHidden/>
    <w:qFormat/>
    <w:uiPriority w:val="99"/>
    <w:rPr>
      <w:rFonts w:ascii="Calibri" w:hAnsi="Calibri" w:eastAsia="宋体" w:cs="Times New Roman"/>
    </w:rPr>
  </w:style>
  <w:style w:type="character" w:customStyle="1" w:styleId="72">
    <w:name w:val="正文文本缩进 2 字符"/>
    <w:link w:val="26"/>
    <w:qFormat/>
    <w:uiPriority w:val="0"/>
    <w:rPr>
      <w:rFonts w:ascii="Times New Roman" w:hAnsi="Times New Roman" w:eastAsia="宋体" w:cs="Times New Roman"/>
      <w:kern w:val="0"/>
      <w:sz w:val="20"/>
      <w:szCs w:val="24"/>
    </w:rPr>
  </w:style>
  <w:style w:type="character" w:customStyle="1" w:styleId="73">
    <w:name w:val="表正文 Char"/>
    <w:qFormat/>
    <w:uiPriority w:val="0"/>
    <w:rPr>
      <w:rFonts w:eastAsia="宋体"/>
      <w:kern w:val="2"/>
      <w:sz w:val="21"/>
      <w:lang w:val="en-US" w:eastAsia="zh-CN" w:bidi="ar-SA"/>
    </w:rPr>
  </w:style>
  <w:style w:type="character" w:customStyle="1" w:styleId="74">
    <w:name w:val="Char Char4"/>
    <w:qFormat/>
    <w:uiPriority w:val="0"/>
    <w:rPr>
      <w:rFonts w:ascii="Arial" w:hAnsi="Arial" w:eastAsia="宋体"/>
      <w:kern w:val="2"/>
      <w:sz w:val="24"/>
      <w:szCs w:val="24"/>
      <w:lang w:val="en-US" w:eastAsia="zh-CN" w:bidi="ar-SA"/>
    </w:rPr>
  </w:style>
  <w:style w:type="character" w:customStyle="1" w:styleId="75">
    <w:name w:val="Char Char1"/>
    <w:qFormat/>
    <w:uiPriority w:val="0"/>
    <w:rPr>
      <w:rFonts w:ascii="Arial" w:hAnsi="Arial" w:eastAsia="黑体"/>
      <w:b/>
      <w:bCs/>
      <w:kern w:val="2"/>
      <w:sz w:val="32"/>
      <w:szCs w:val="32"/>
      <w:lang w:val="en-US" w:eastAsia="zh-CN" w:bidi="ar-SA"/>
    </w:rPr>
  </w:style>
  <w:style w:type="character" w:customStyle="1" w:styleId="76">
    <w:name w:val="Char Char12"/>
    <w:qFormat/>
    <w:uiPriority w:val="0"/>
    <w:rPr>
      <w:rFonts w:eastAsia="宋体"/>
      <w:b/>
      <w:bCs/>
      <w:kern w:val="44"/>
      <w:sz w:val="44"/>
      <w:szCs w:val="44"/>
      <w:lang w:val="en-US" w:eastAsia="zh-CN" w:bidi="ar-SA"/>
    </w:rPr>
  </w:style>
  <w:style w:type="character" w:customStyle="1" w:styleId="77">
    <w:name w:val="标题 1 Char Char Char"/>
    <w:qFormat/>
    <w:uiPriority w:val="0"/>
    <w:rPr>
      <w:rFonts w:ascii="宋体" w:eastAsia="宋体"/>
      <w:b/>
      <w:bCs/>
      <w:kern w:val="44"/>
      <w:sz w:val="44"/>
      <w:szCs w:val="44"/>
      <w:lang w:val="en-US" w:eastAsia="zh-CN" w:bidi="ar-SA"/>
    </w:rPr>
  </w:style>
  <w:style w:type="character" w:customStyle="1" w:styleId="78">
    <w:name w:val="普通段落 Char Char"/>
    <w:link w:val="79"/>
    <w:qFormat/>
    <w:uiPriority w:val="0"/>
    <w:rPr>
      <w:rFonts w:cs="宋体"/>
      <w:kern w:val="2"/>
      <w:sz w:val="28"/>
    </w:rPr>
  </w:style>
  <w:style w:type="paragraph" w:customStyle="1" w:styleId="79">
    <w:name w:val="普通段落"/>
    <w:basedOn w:val="1"/>
    <w:link w:val="78"/>
    <w:qFormat/>
    <w:uiPriority w:val="0"/>
    <w:pPr>
      <w:ind w:firstLine="560"/>
    </w:pPr>
    <w:rPr>
      <w:sz w:val="28"/>
      <w:szCs w:val="20"/>
    </w:rPr>
  </w:style>
  <w:style w:type="character" w:customStyle="1" w:styleId="80">
    <w:name w:val="标题 4 字符"/>
    <w:link w:val="5"/>
    <w:qFormat/>
    <w:uiPriority w:val="0"/>
    <w:rPr>
      <w:rFonts w:ascii="Arial" w:hAnsi="Arial" w:eastAsia="宋体" w:cs="Times New Roman"/>
      <w:color w:val="000000"/>
      <w:kern w:val="0"/>
      <w:sz w:val="24"/>
      <w:szCs w:val="24"/>
    </w:rPr>
  </w:style>
  <w:style w:type="character" w:customStyle="1" w:styleId="81">
    <w:name w:val="标题 Char2"/>
    <w:qFormat/>
    <w:uiPriority w:val="0"/>
    <w:rPr>
      <w:rFonts w:ascii="Arial" w:hAnsi="Arial" w:eastAsia="宋体"/>
      <w:b/>
      <w:kern w:val="2"/>
      <w:sz w:val="44"/>
      <w:lang w:val="en-US" w:eastAsia="zh-CN" w:bidi="ar-SA"/>
    </w:rPr>
  </w:style>
  <w:style w:type="character" w:customStyle="1" w:styleId="82">
    <w:name w:val="正文文本 3 字符"/>
    <w:link w:val="17"/>
    <w:qFormat/>
    <w:uiPriority w:val="99"/>
    <w:rPr>
      <w:rFonts w:ascii="Calibri" w:hAnsi="Calibri" w:eastAsia="宋体" w:cs="Times New Roman"/>
      <w:kern w:val="0"/>
      <w:sz w:val="16"/>
      <w:szCs w:val="16"/>
    </w:rPr>
  </w:style>
  <w:style w:type="character" w:customStyle="1" w:styleId="83">
    <w:name w:val="标题 5 字符"/>
    <w:link w:val="7"/>
    <w:qFormat/>
    <w:uiPriority w:val="0"/>
    <w:rPr>
      <w:rFonts w:ascii="Arial" w:hAnsi="Arial" w:eastAsia="宋体" w:cs="Times New Roman"/>
      <w:color w:val="000000"/>
      <w:kern w:val="0"/>
      <w:sz w:val="24"/>
      <w:szCs w:val="24"/>
    </w:rPr>
  </w:style>
  <w:style w:type="character" w:customStyle="1" w:styleId="84">
    <w:name w:val="Char Char3"/>
    <w:qFormat/>
    <w:uiPriority w:val="0"/>
    <w:rPr>
      <w:rFonts w:ascii="Arial" w:hAnsi="Arial" w:eastAsia="黑体"/>
      <w:b/>
      <w:bCs/>
      <w:kern w:val="2"/>
      <w:sz w:val="32"/>
      <w:szCs w:val="32"/>
      <w:lang w:val="en-US" w:eastAsia="zh-CN" w:bidi="ar-SA"/>
    </w:rPr>
  </w:style>
  <w:style w:type="character" w:customStyle="1" w:styleId="85">
    <w:name w:val="标题 9 字符"/>
    <w:link w:val="11"/>
    <w:qFormat/>
    <w:uiPriority w:val="0"/>
    <w:rPr>
      <w:rFonts w:ascii="Arial" w:hAnsi="Arial" w:eastAsia="黑体" w:cs="Times New Roman"/>
      <w:kern w:val="0"/>
      <w:sz w:val="20"/>
      <w:szCs w:val="20"/>
    </w:rPr>
  </w:style>
  <w:style w:type="character" w:customStyle="1" w:styleId="86">
    <w:name w:val="font161"/>
    <w:qFormat/>
    <w:uiPriority w:val="0"/>
    <w:rPr>
      <w:rFonts w:ascii="Arial" w:hAnsi="Arial" w:eastAsia="黑体"/>
      <w:b/>
      <w:bCs/>
      <w:kern w:val="2"/>
      <w:sz w:val="32"/>
      <w:szCs w:val="32"/>
      <w:lang w:val="en-US" w:eastAsia="zh-CN" w:bidi="ar-SA"/>
    </w:rPr>
  </w:style>
  <w:style w:type="character" w:customStyle="1" w:styleId="87">
    <w:name w:val="标题 7 字符"/>
    <w:link w:val="9"/>
    <w:qFormat/>
    <w:uiPriority w:val="0"/>
    <w:rPr>
      <w:rFonts w:ascii="Times New Roman" w:hAnsi="Times New Roman" w:eastAsia="宋体" w:cs="Times New Roman"/>
      <w:b/>
      <w:kern w:val="0"/>
      <w:sz w:val="24"/>
      <w:szCs w:val="20"/>
    </w:rPr>
  </w:style>
  <w:style w:type="character" w:customStyle="1" w:styleId="88">
    <w:name w:val="h3 Char"/>
    <w:qFormat/>
    <w:uiPriority w:val="0"/>
    <w:rPr>
      <w:rFonts w:ascii="宋体" w:eastAsia="宋体"/>
      <w:b/>
      <w:bCs/>
      <w:sz w:val="32"/>
      <w:szCs w:val="32"/>
      <w:lang w:val="en-US" w:eastAsia="zh-CN" w:bidi="ar-SA"/>
    </w:rPr>
  </w:style>
  <w:style w:type="character" w:customStyle="1" w:styleId="89">
    <w:name w:val="标题 2 Char Char Char1"/>
    <w:qFormat/>
    <w:uiPriority w:val="0"/>
    <w:rPr>
      <w:rFonts w:ascii="Arial" w:hAnsi="Arial" w:eastAsia="黑体"/>
      <w:b/>
      <w:bCs/>
      <w:sz w:val="32"/>
      <w:szCs w:val="32"/>
      <w:lang w:val="en-US" w:eastAsia="zh-CN" w:bidi="ar-SA"/>
    </w:rPr>
  </w:style>
  <w:style w:type="character" w:customStyle="1" w:styleId="90">
    <w:name w:val="批注主题 字符"/>
    <w:link w:val="51"/>
    <w:semiHidden/>
    <w:qFormat/>
    <w:uiPriority w:val="99"/>
    <w:rPr>
      <w:rFonts w:ascii="Calibri" w:hAnsi="Calibri" w:eastAsia="宋体" w:cs="Times New Roman"/>
      <w:b/>
      <w:bCs/>
      <w:kern w:val="0"/>
      <w:sz w:val="20"/>
      <w:szCs w:val="20"/>
    </w:rPr>
  </w:style>
  <w:style w:type="character" w:customStyle="1" w:styleId="91">
    <w:name w:val="批注框文本 字符"/>
    <w:link w:val="29"/>
    <w:qFormat/>
    <w:uiPriority w:val="99"/>
    <w:rPr>
      <w:rFonts w:ascii="Calibri" w:hAnsi="Calibri" w:eastAsia="宋体" w:cs="Times New Roman"/>
      <w:kern w:val="0"/>
      <w:sz w:val="18"/>
      <w:szCs w:val="18"/>
    </w:rPr>
  </w:style>
  <w:style w:type="character" w:customStyle="1" w:styleId="92">
    <w:name w:val="正文缩进 字符"/>
    <w:link w:val="6"/>
    <w:qFormat/>
    <w:locked/>
    <w:uiPriority w:val="0"/>
    <w:rPr>
      <w:rFonts w:ascii="Calibri" w:hAnsi="Calibri" w:eastAsia="宋体" w:cs="Times New Roman"/>
    </w:rPr>
  </w:style>
  <w:style w:type="character" w:customStyle="1" w:styleId="93">
    <w:name w:val="正文文本 2 字符"/>
    <w:link w:val="44"/>
    <w:qFormat/>
    <w:uiPriority w:val="0"/>
    <w:rPr>
      <w:rFonts w:ascii="宋体" w:hAnsi="宋体" w:eastAsia="楷体_GB2312" w:cs="Times New Roman"/>
      <w:kern w:val="0"/>
      <w:sz w:val="20"/>
      <w:szCs w:val="24"/>
      <w:u w:val="single"/>
    </w:rPr>
  </w:style>
  <w:style w:type="character" w:customStyle="1" w:styleId="94">
    <w:name w:val="Char Char6"/>
    <w:qFormat/>
    <w:locked/>
    <w:uiPriority w:val="0"/>
    <w:rPr>
      <w:rFonts w:ascii="黑体" w:hAnsi="Arial" w:eastAsia="宋体"/>
      <w:bCs/>
      <w:color w:val="000000"/>
      <w:kern w:val="2"/>
      <w:sz w:val="28"/>
      <w:szCs w:val="28"/>
      <w:lang w:val="en-US" w:eastAsia="zh-CN" w:bidi="ar-SA"/>
    </w:rPr>
  </w:style>
  <w:style w:type="character" w:customStyle="1" w:styleId="95">
    <w:name w:val="批注文字 字符"/>
    <w:link w:val="16"/>
    <w:qFormat/>
    <w:uiPriority w:val="0"/>
    <w:rPr>
      <w:rFonts w:ascii="Calibri" w:hAnsi="Calibri" w:eastAsia="宋体" w:cs="Times New Roman"/>
    </w:rPr>
  </w:style>
  <w:style w:type="character" w:customStyle="1" w:styleId="96">
    <w:name w:val="批注文字 Char1"/>
    <w:qFormat/>
    <w:uiPriority w:val="0"/>
    <w:rPr>
      <w:rFonts w:eastAsia="宋体"/>
      <w:kern w:val="2"/>
      <w:sz w:val="21"/>
      <w:lang w:val="en-US" w:eastAsia="zh-CN" w:bidi="ar-SA"/>
    </w:rPr>
  </w:style>
  <w:style w:type="character" w:customStyle="1" w:styleId="97">
    <w:name w:val="页脚 字符"/>
    <w:link w:val="30"/>
    <w:qFormat/>
    <w:uiPriority w:val="99"/>
    <w:rPr>
      <w:rFonts w:ascii="Calibri" w:hAnsi="Calibri" w:eastAsia="宋体" w:cs="Times New Roman"/>
      <w:kern w:val="0"/>
      <w:sz w:val="18"/>
      <w:szCs w:val="18"/>
    </w:rPr>
  </w:style>
  <w:style w:type="character" w:customStyle="1" w:styleId="98">
    <w:name w:val="HTML 预设格式 字符"/>
    <w:link w:val="46"/>
    <w:qFormat/>
    <w:uiPriority w:val="0"/>
    <w:rPr>
      <w:rFonts w:ascii="Arial" w:hAnsi="Arial" w:cs="Arial"/>
      <w:sz w:val="24"/>
      <w:szCs w:val="24"/>
    </w:rPr>
  </w:style>
  <w:style w:type="character" w:customStyle="1" w:styleId="99">
    <w:name w:val="+列表编号 Char1"/>
    <w:link w:val="100"/>
    <w:qFormat/>
    <w:locked/>
    <w:uiPriority w:val="0"/>
    <w:rPr>
      <w:b/>
      <w:sz w:val="28"/>
    </w:rPr>
  </w:style>
  <w:style w:type="paragraph" w:customStyle="1" w:styleId="100">
    <w:name w:val="+列表编号"/>
    <w:basedOn w:val="1"/>
    <w:link w:val="99"/>
    <w:qFormat/>
    <w:uiPriority w:val="0"/>
    <w:pPr>
      <w:tabs>
        <w:tab w:val="center" w:pos="4200"/>
        <w:tab w:val="right" w:pos="8400"/>
      </w:tabs>
      <w:spacing w:before="120" w:after="120"/>
      <w:jc w:val="center"/>
    </w:pPr>
    <w:rPr>
      <w:b/>
      <w:kern w:val="0"/>
      <w:sz w:val="28"/>
      <w:szCs w:val="20"/>
    </w:rPr>
  </w:style>
  <w:style w:type="character" w:customStyle="1" w:styleId="101">
    <w:name w:val="标题 2 字符"/>
    <w:link w:val="3"/>
    <w:qFormat/>
    <w:uiPriority w:val="0"/>
    <w:rPr>
      <w:rFonts w:ascii="黑体" w:hAnsi="黑体" w:eastAsia="黑体" w:cs="宋体"/>
      <w:kern w:val="2"/>
      <w:sz w:val="30"/>
      <w:szCs w:val="30"/>
    </w:rPr>
  </w:style>
  <w:style w:type="character" w:customStyle="1" w:styleId="102">
    <w:name w:val="标题 3 Char1"/>
    <w:qFormat/>
    <w:uiPriority w:val="0"/>
    <w:rPr>
      <w:rFonts w:eastAsia="宋体"/>
      <w:bCs/>
      <w:kern w:val="2"/>
      <w:sz w:val="24"/>
      <w:szCs w:val="32"/>
      <w:lang w:val="en-US" w:eastAsia="zh-CN" w:bidi="ar-SA"/>
    </w:rPr>
  </w:style>
  <w:style w:type="character" w:customStyle="1" w:styleId="103">
    <w:name w:val="标题 6 字符"/>
    <w:link w:val="8"/>
    <w:qFormat/>
    <w:uiPriority w:val="0"/>
    <w:rPr>
      <w:rFonts w:ascii="Arial" w:hAnsi="Arial" w:eastAsia="黑体" w:cs="Times New Roman"/>
      <w:b/>
      <w:bCs/>
      <w:kern w:val="0"/>
      <w:sz w:val="24"/>
      <w:szCs w:val="24"/>
    </w:rPr>
  </w:style>
  <w:style w:type="character" w:customStyle="1" w:styleId="104">
    <w:name w:val="页眉 Char1"/>
    <w:qFormat/>
    <w:uiPriority w:val="0"/>
    <w:rPr>
      <w:rFonts w:eastAsia="宋体"/>
      <w:kern w:val="2"/>
      <w:sz w:val="18"/>
      <w:lang w:val="en-US" w:eastAsia="zh-CN" w:bidi="ar-SA"/>
    </w:rPr>
  </w:style>
  <w:style w:type="character" w:customStyle="1" w:styleId="105">
    <w:name w:val="m-3 Char"/>
    <w:qFormat/>
    <w:uiPriority w:val="0"/>
    <w:rPr>
      <w:rFonts w:ascii="宋体" w:hAnsi="宋体" w:eastAsia="宋体"/>
      <w:bCs/>
      <w:kern w:val="2"/>
      <w:sz w:val="21"/>
      <w:szCs w:val="32"/>
      <w:lang w:val="en-US" w:eastAsia="zh-CN" w:bidi="ar-SA"/>
    </w:rPr>
  </w:style>
  <w:style w:type="character" w:customStyle="1" w:styleId="106">
    <w:name w:val="正文文本首行缩进 字符"/>
    <w:link w:val="52"/>
    <w:qFormat/>
    <w:uiPriority w:val="0"/>
    <w:rPr>
      <w:rFonts w:ascii="Times New Roman" w:hAnsi="Times New Roman" w:eastAsia="楷体_GB2312" w:cs="Times New Roman"/>
      <w:kern w:val="0"/>
      <w:sz w:val="20"/>
      <w:szCs w:val="20"/>
    </w:rPr>
  </w:style>
  <w:style w:type="character" w:customStyle="1" w:styleId="107">
    <w:name w:val="+正文 Char4"/>
    <w:link w:val="108"/>
    <w:qFormat/>
    <w:locked/>
    <w:uiPriority w:val="0"/>
    <w:rPr>
      <w:sz w:val="28"/>
    </w:rPr>
  </w:style>
  <w:style w:type="paragraph" w:customStyle="1" w:styleId="108">
    <w:name w:val="+正文"/>
    <w:basedOn w:val="1"/>
    <w:link w:val="107"/>
    <w:qFormat/>
    <w:uiPriority w:val="0"/>
    <w:pPr>
      <w:spacing w:line="360" w:lineRule="auto"/>
      <w:ind w:firstLine="200" w:firstLineChars="200"/>
    </w:pPr>
    <w:rPr>
      <w:kern w:val="0"/>
      <w:sz w:val="28"/>
      <w:szCs w:val="20"/>
    </w:rPr>
  </w:style>
  <w:style w:type="character" w:customStyle="1" w:styleId="109">
    <w:name w:val="正文文本缩进 字符"/>
    <w:link w:val="19"/>
    <w:qFormat/>
    <w:uiPriority w:val="0"/>
    <w:rPr>
      <w:rFonts w:ascii="Times New Roman" w:hAnsi="Times New Roman" w:eastAsia="宋体" w:cs="Times New Roman"/>
      <w:kern w:val="0"/>
      <w:sz w:val="20"/>
      <w:szCs w:val="24"/>
    </w:rPr>
  </w:style>
  <w:style w:type="character" w:customStyle="1" w:styleId="110">
    <w:name w:val="段落正文 Char Char"/>
    <w:link w:val="111"/>
    <w:qFormat/>
    <w:uiPriority w:val="0"/>
    <w:rPr>
      <w:rFonts w:ascii="宋体" w:hAnsi="宋体"/>
      <w:kern w:val="2"/>
      <w:sz w:val="24"/>
      <w:szCs w:val="24"/>
    </w:rPr>
  </w:style>
  <w:style w:type="paragraph" w:customStyle="1" w:styleId="111">
    <w:name w:val="段落正文"/>
    <w:basedOn w:val="1"/>
    <w:link w:val="110"/>
    <w:qFormat/>
    <w:uiPriority w:val="0"/>
    <w:pPr>
      <w:spacing w:line="360" w:lineRule="auto"/>
      <w:ind w:firstLine="200" w:firstLineChars="200"/>
    </w:pPr>
    <w:rPr>
      <w:rFonts w:ascii="宋体" w:hAnsi="宋体"/>
      <w:sz w:val="24"/>
      <w:szCs w:val="24"/>
    </w:rPr>
  </w:style>
  <w:style w:type="character" w:customStyle="1" w:styleId="112">
    <w:name w:val="正文文本缩进 3 字符"/>
    <w:link w:val="40"/>
    <w:qFormat/>
    <w:uiPriority w:val="0"/>
    <w:rPr>
      <w:rFonts w:ascii="Times New Roman" w:hAnsi="Times New Roman" w:eastAsia="宋体" w:cs="Times New Roman"/>
      <w:kern w:val="0"/>
      <w:sz w:val="16"/>
      <w:szCs w:val="16"/>
    </w:rPr>
  </w:style>
  <w:style w:type="character" w:customStyle="1" w:styleId="113">
    <w:name w:val="标题 1 Char1"/>
    <w:qFormat/>
    <w:uiPriority w:val="0"/>
    <w:rPr>
      <w:rFonts w:ascii="Arial" w:hAnsi="Arial" w:eastAsia="宋体"/>
      <w:b/>
      <w:bCs/>
      <w:kern w:val="44"/>
      <w:sz w:val="36"/>
      <w:szCs w:val="36"/>
      <w:lang w:val="en-US" w:eastAsia="zh-CN" w:bidi="ar-SA"/>
    </w:rPr>
  </w:style>
  <w:style w:type="character" w:customStyle="1" w:styleId="114">
    <w:name w:val="tpc_content"/>
    <w:basedOn w:val="58"/>
    <w:qFormat/>
    <w:uiPriority w:val="0"/>
  </w:style>
  <w:style w:type="character" w:customStyle="1" w:styleId="115">
    <w:name w:val="正文1 Char Char Char Char"/>
    <w:link w:val="116"/>
    <w:qFormat/>
    <w:uiPriority w:val="0"/>
    <w:rPr>
      <w:rFonts w:ascii="宋体" w:hAnsi="宋体" w:cs="宋体"/>
      <w:color w:val="000000"/>
      <w:kern w:val="2"/>
      <w:sz w:val="28"/>
      <w:szCs w:val="28"/>
      <w:lang w:val="zh-CN"/>
    </w:rPr>
  </w:style>
  <w:style w:type="paragraph" w:customStyle="1" w:styleId="116">
    <w:name w:val="正文1 Char Char Char"/>
    <w:basedOn w:val="1"/>
    <w:link w:val="115"/>
    <w:qFormat/>
    <w:uiPriority w:val="0"/>
    <w:pPr>
      <w:adjustRightInd w:val="0"/>
      <w:spacing w:line="360" w:lineRule="auto"/>
      <w:ind w:firstLine="560" w:firstLineChars="200"/>
      <w:textAlignment w:val="baseline"/>
    </w:pPr>
    <w:rPr>
      <w:rFonts w:ascii="宋体" w:hAnsi="宋体"/>
      <w:color w:val="000000"/>
      <w:sz w:val="28"/>
      <w:szCs w:val="28"/>
      <w:lang w:val="zh-CN"/>
    </w:rPr>
  </w:style>
  <w:style w:type="character" w:customStyle="1" w:styleId="117">
    <w:name w:val="标题 8 字符"/>
    <w:link w:val="10"/>
    <w:qFormat/>
    <w:uiPriority w:val="0"/>
    <w:rPr>
      <w:rFonts w:ascii="Arial" w:hAnsi="Arial" w:eastAsia="黑体" w:cs="Times New Roman"/>
      <w:kern w:val="0"/>
      <w:sz w:val="24"/>
      <w:szCs w:val="20"/>
    </w:rPr>
  </w:style>
  <w:style w:type="character" w:customStyle="1" w:styleId="118">
    <w:name w:val="标题 3 字符"/>
    <w:link w:val="4"/>
    <w:qFormat/>
    <w:uiPriority w:val="0"/>
    <w:rPr>
      <w:rFonts w:ascii="Calibri" w:hAnsi="Calibri" w:eastAsia="宋体" w:cs="Times New Roman"/>
      <w:b/>
      <w:bCs/>
      <w:kern w:val="0"/>
      <w:sz w:val="32"/>
      <w:szCs w:val="32"/>
    </w:rPr>
  </w:style>
  <w:style w:type="character" w:customStyle="1" w:styleId="119">
    <w:name w:val="脚注文本 字符"/>
    <w:link w:val="37"/>
    <w:qFormat/>
    <w:uiPriority w:val="0"/>
    <w:rPr>
      <w:rFonts w:ascii="Times New Roman" w:hAnsi="Times New Roman"/>
      <w:kern w:val="2"/>
      <w:sz w:val="18"/>
    </w:rPr>
  </w:style>
  <w:style w:type="character" w:customStyle="1" w:styleId="120">
    <w:name w:val="Char Char2"/>
    <w:qFormat/>
    <w:uiPriority w:val="0"/>
    <w:rPr>
      <w:rFonts w:ascii="宋体" w:hAnsi="Courier New" w:eastAsia="宋体" w:cs="Courier New"/>
      <w:kern w:val="2"/>
      <w:sz w:val="21"/>
      <w:szCs w:val="21"/>
      <w:lang w:val="en-US" w:eastAsia="zh-CN" w:bidi="ar-SA"/>
    </w:rPr>
  </w:style>
  <w:style w:type="character" w:customStyle="1" w:styleId="121">
    <w:name w:val="正文 Char"/>
    <w:qFormat/>
    <w:uiPriority w:val="0"/>
    <w:rPr>
      <w:rFonts w:eastAsia="宋体"/>
      <w:sz w:val="24"/>
      <w:lang w:val="en-US" w:eastAsia="zh-CN" w:bidi="ar-SA"/>
    </w:rPr>
  </w:style>
  <w:style w:type="character" w:customStyle="1" w:styleId="122">
    <w:name w:val="页眉（中） Char Char"/>
    <w:qFormat/>
    <w:uiPriority w:val="0"/>
    <w:rPr>
      <w:rFonts w:ascii="宋体" w:eastAsia="宋体"/>
      <w:sz w:val="18"/>
      <w:lang w:val="en-US" w:eastAsia="zh-CN" w:bidi="ar-SA"/>
    </w:rPr>
  </w:style>
  <w:style w:type="character" w:customStyle="1" w:styleId="123">
    <w:name w:val="m-3 Char Char"/>
    <w:link w:val="124"/>
    <w:qFormat/>
    <w:uiPriority w:val="0"/>
    <w:rPr>
      <w:rFonts w:ascii="宋体" w:hAnsi="宋体"/>
      <w:bCs/>
      <w:kern w:val="2"/>
      <w:sz w:val="21"/>
      <w:szCs w:val="32"/>
    </w:rPr>
  </w:style>
  <w:style w:type="paragraph" w:customStyle="1" w:styleId="124">
    <w:name w:val="m-3"/>
    <w:basedOn w:val="4"/>
    <w:next w:val="18"/>
    <w:link w:val="123"/>
    <w:qFormat/>
    <w:uiPriority w:val="0"/>
    <w:pPr>
      <w:spacing w:before="0" w:after="0" w:line="240" w:lineRule="auto"/>
      <w:jc w:val="left"/>
    </w:pPr>
    <w:rPr>
      <w:rFonts w:ascii="宋体" w:hAnsi="宋体"/>
      <w:b w:val="0"/>
      <w:kern w:val="2"/>
      <w:sz w:val="21"/>
    </w:rPr>
  </w:style>
  <w:style w:type="character" w:customStyle="1" w:styleId="125">
    <w:name w:val="标题 1 Char Char"/>
    <w:qFormat/>
    <w:uiPriority w:val="0"/>
    <w:rPr>
      <w:rFonts w:ascii="Arial" w:hAnsi="Arial" w:eastAsia="宋体"/>
      <w:b/>
      <w:bCs/>
      <w:kern w:val="44"/>
      <w:sz w:val="36"/>
      <w:szCs w:val="36"/>
      <w:lang w:val="en-US" w:eastAsia="zh-CN" w:bidi="ar-SA"/>
    </w:rPr>
  </w:style>
  <w:style w:type="character" w:customStyle="1" w:styleId="126">
    <w:name w:val="正文文本 字符"/>
    <w:link w:val="18"/>
    <w:qFormat/>
    <w:uiPriority w:val="0"/>
    <w:rPr>
      <w:rFonts w:ascii="Calibri" w:hAnsi="Calibri" w:eastAsia="宋体" w:cs="Times New Roman"/>
    </w:rPr>
  </w:style>
  <w:style w:type="character" w:customStyle="1" w:styleId="127">
    <w:name w:val="Char Char5"/>
    <w:qFormat/>
    <w:uiPriority w:val="0"/>
    <w:rPr>
      <w:rFonts w:ascii="Arial" w:hAnsi="Arial" w:eastAsia="宋体"/>
      <w:b/>
      <w:kern w:val="28"/>
      <w:sz w:val="32"/>
      <w:szCs w:val="24"/>
      <w:lang w:val="en-US" w:eastAsia="zh-CN" w:bidi="ar-SA"/>
    </w:rPr>
  </w:style>
  <w:style w:type="character" w:customStyle="1" w:styleId="128">
    <w:name w:val="普通文字 Char Char"/>
    <w:qFormat/>
    <w:uiPriority w:val="0"/>
    <w:rPr>
      <w:rFonts w:ascii="宋体" w:hAnsi="Courier New" w:eastAsia="宋体"/>
      <w:kern w:val="2"/>
      <w:sz w:val="24"/>
      <w:lang w:val="en-US" w:eastAsia="zh-CN" w:bidi="ar-SA"/>
    </w:rPr>
  </w:style>
  <w:style w:type="character" w:customStyle="1" w:styleId="129">
    <w:name w:val="标题 Char Char"/>
    <w:qFormat/>
    <w:uiPriority w:val="0"/>
    <w:rPr>
      <w:rFonts w:ascii="Arial" w:hAnsi="Arial" w:eastAsia="宋体"/>
      <w:b/>
      <w:kern w:val="2"/>
      <w:sz w:val="44"/>
      <w:lang w:val="en-US" w:eastAsia="zh-CN" w:bidi="ar-SA"/>
    </w:rPr>
  </w:style>
  <w:style w:type="character" w:customStyle="1" w:styleId="130">
    <w:name w:val="Char Char"/>
    <w:qFormat/>
    <w:locked/>
    <w:uiPriority w:val="0"/>
    <w:rPr>
      <w:rFonts w:ascii="宋体" w:hAnsi="Courier New" w:eastAsia="宋体"/>
      <w:kern w:val="2"/>
      <w:sz w:val="21"/>
      <w:lang w:val="en-US" w:eastAsia="zh-CN" w:bidi="ar-SA"/>
    </w:rPr>
  </w:style>
  <w:style w:type="character" w:customStyle="1" w:styleId="131">
    <w:name w:val="副标题 字符"/>
    <w:link w:val="35"/>
    <w:qFormat/>
    <w:uiPriority w:val="0"/>
    <w:rPr>
      <w:rFonts w:ascii="Cambria" w:hAnsi="Cambria"/>
      <w:b/>
      <w:bCs/>
      <w:kern w:val="28"/>
      <w:sz w:val="32"/>
      <w:szCs w:val="32"/>
    </w:rPr>
  </w:style>
  <w:style w:type="character" w:customStyle="1" w:styleId="132">
    <w:name w:val="标题 1 字符"/>
    <w:link w:val="2"/>
    <w:qFormat/>
    <w:uiPriority w:val="0"/>
    <w:rPr>
      <w:rFonts w:ascii="Calibri" w:hAnsi="Calibri" w:eastAsia="宋体" w:cs="Times New Roman"/>
      <w:b/>
      <w:bCs/>
      <w:kern w:val="44"/>
      <w:sz w:val="44"/>
      <w:szCs w:val="44"/>
    </w:rPr>
  </w:style>
  <w:style w:type="character" w:customStyle="1" w:styleId="133">
    <w:name w:val="日期 字符"/>
    <w:link w:val="25"/>
    <w:qFormat/>
    <w:uiPriority w:val="0"/>
    <w:rPr>
      <w:rFonts w:ascii="Times New Roman" w:hAnsi="Times New Roman" w:eastAsia="宋体" w:cs="Times New Roman"/>
      <w:kern w:val="0"/>
      <w:sz w:val="24"/>
      <w:szCs w:val="20"/>
    </w:rPr>
  </w:style>
  <w:style w:type="character" w:customStyle="1" w:styleId="134">
    <w:name w:val="普通段落 Char"/>
    <w:qFormat/>
    <w:uiPriority w:val="0"/>
    <w:rPr>
      <w:rFonts w:eastAsia="宋体" w:cs="宋体"/>
      <w:kern w:val="2"/>
      <w:sz w:val="28"/>
      <w:lang w:val="en-US" w:eastAsia="zh-CN" w:bidi="ar-SA"/>
    </w:rPr>
  </w:style>
  <w:style w:type="character" w:customStyle="1" w:styleId="135">
    <w:name w:val="apple-style-span"/>
    <w:basedOn w:val="58"/>
    <w:qFormat/>
    <w:uiPriority w:val="0"/>
  </w:style>
  <w:style w:type="character" w:customStyle="1" w:styleId="136">
    <w:name w:val="font5 Char"/>
    <w:link w:val="137"/>
    <w:qFormat/>
    <w:uiPriority w:val="0"/>
    <w:rPr>
      <w:rFonts w:ascii="宋体" w:hAnsi="宋体" w:eastAsia="宋体" w:cs="Times New Roman"/>
      <w:kern w:val="0"/>
      <w:sz w:val="24"/>
      <w:szCs w:val="24"/>
    </w:rPr>
  </w:style>
  <w:style w:type="paragraph" w:customStyle="1" w:styleId="137">
    <w:name w:val="font5"/>
    <w:basedOn w:val="1"/>
    <w:link w:val="136"/>
    <w:qFormat/>
    <w:uiPriority w:val="0"/>
    <w:pPr>
      <w:widowControl/>
      <w:spacing w:before="100" w:beforeAutospacing="1" w:after="100" w:afterAutospacing="1"/>
      <w:jc w:val="left"/>
    </w:pPr>
    <w:rPr>
      <w:rFonts w:ascii="宋体" w:hAnsi="宋体"/>
      <w:kern w:val="0"/>
      <w:sz w:val="24"/>
      <w:szCs w:val="24"/>
    </w:rPr>
  </w:style>
  <w:style w:type="character" w:customStyle="1" w:styleId="138">
    <w:name w:val="正文 Char Char"/>
    <w:link w:val="139"/>
    <w:qFormat/>
    <w:uiPriority w:val="0"/>
    <w:rPr>
      <w:sz w:val="24"/>
    </w:rPr>
  </w:style>
  <w:style w:type="paragraph" w:customStyle="1" w:styleId="139">
    <w:name w:val="正文1"/>
    <w:basedOn w:val="1"/>
    <w:link w:val="138"/>
    <w:qFormat/>
    <w:uiPriority w:val="0"/>
    <w:pPr>
      <w:adjustRightInd w:val="0"/>
      <w:spacing w:line="240" w:lineRule="atLeast"/>
      <w:jc w:val="center"/>
      <w:textAlignment w:val="baseline"/>
    </w:pPr>
    <w:rPr>
      <w:kern w:val="0"/>
      <w:sz w:val="24"/>
      <w:szCs w:val="20"/>
    </w:rPr>
  </w:style>
  <w:style w:type="character" w:customStyle="1" w:styleId="140">
    <w:name w:val="Span_underline"/>
    <w:qFormat/>
    <w:uiPriority w:val="0"/>
    <w:rPr>
      <w:u w:val="single"/>
    </w:rPr>
  </w:style>
  <w:style w:type="character" w:customStyle="1" w:styleId="141">
    <w:name w:val="标题 字符"/>
    <w:link w:val="50"/>
    <w:qFormat/>
    <w:uiPriority w:val="0"/>
    <w:rPr>
      <w:rFonts w:ascii="Arial" w:hAnsi="Arial" w:eastAsia="楷体_GB2312" w:cs="Times New Roman"/>
      <w:b/>
      <w:kern w:val="0"/>
      <w:sz w:val="44"/>
      <w:szCs w:val="20"/>
    </w:rPr>
  </w:style>
  <w:style w:type="character" w:customStyle="1" w:styleId="142">
    <w:name w:val="文档结构图 字符"/>
    <w:link w:val="15"/>
    <w:qFormat/>
    <w:uiPriority w:val="0"/>
    <w:rPr>
      <w:rFonts w:ascii="Times New Roman" w:hAnsi="Times New Roman" w:eastAsia="宋体" w:cs="Times New Roman"/>
      <w:kern w:val="0"/>
      <w:sz w:val="20"/>
      <w:szCs w:val="24"/>
      <w:shd w:val="clear" w:color="auto" w:fill="000080"/>
    </w:rPr>
  </w:style>
  <w:style w:type="character" w:customStyle="1" w:styleId="143">
    <w:name w:val="纯文本 Char1"/>
    <w:qFormat/>
    <w:uiPriority w:val="99"/>
    <w:rPr>
      <w:rFonts w:ascii="宋体" w:hAnsi="Courier New" w:eastAsia="宋体" w:cs="Courier New"/>
      <w:szCs w:val="21"/>
    </w:rPr>
  </w:style>
  <w:style w:type="character" w:customStyle="1" w:styleId="144">
    <w:name w:val="样式 宋体 小四 行距: 1.5 倍行距 Char Char"/>
    <w:link w:val="145"/>
    <w:qFormat/>
    <w:uiPriority w:val="0"/>
    <w:rPr>
      <w:rFonts w:ascii="宋体" w:hAnsi="宋体" w:cs="宋体"/>
      <w:kern w:val="2"/>
      <w:sz w:val="28"/>
    </w:rPr>
  </w:style>
  <w:style w:type="paragraph" w:customStyle="1" w:styleId="145">
    <w:name w:val="样式 宋体 小四 行距: 1.5 倍行距"/>
    <w:basedOn w:val="1"/>
    <w:link w:val="144"/>
    <w:qFormat/>
    <w:uiPriority w:val="0"/>
    <w:pPr>
      <w:spacing w:line="360" w:lineRule="auto"/>
      <w:ind w:firstLine="480" w:firstLineChars="200"/>
    </w:pPr>
    <w:rPr>
      <w:rFonts w:ascii="宋体" w:hAnsi="宋体"/>
      <w:sz w:val="28"/>
      <w:szCs w:val="20"/>
    </w:rPr>
  </w:style>
  <w:style w:type="character" w:customStyle="1" w:styleId="146">
    <w:name w:val="页眉 字符"/>
    <w:link w:val="31"/>
    <w:qFormat/>
    <w:uiPriority w:val="99"/>
    <w:rPr>
      <w:rFonts w:ascii="Calibri" w:hAnsi="Calibri" w:eastAsia="宋体" w:cs="Times New Roman"/>
      <w:kern w:val="0"/>
      <w:sz w:val="18"/>
      <w:szCs w:val="18"/>
    </w:rPr>
  </w:style>
  <w:style w:type="character" w:customStyle="1" w:styleId="147">
    <w:name w:val="标题 4 Char Char1"/>
    <w:qFormat/>
    <w:uiPriority w:val="0"/>
    <w:rPr>
      <w:rFonts w:ascii="Arial" w:hAnsi="Arial" w:eastAsia="黑体"/>
      <w:b/>
      <w:bCs/>
      <w:kern w:val="2"/>
      <w:sz w:val="28"/>
      <w:szCs w:val="28"/>
      <w:lang w:val="en-US" w:eastAsia="zh-CN" w:bidi="ar-SA"/>
    </w:rPr>
  </w:style>
  <w:style w:type="character" w:customStyle="1" w:styleId="148">
    <w:name w:val="Char Char Char"/>
    <w:qFormat/>
    <w:uiPriority w:val="0"/>
    <w:rPr>
      <w:rFonts w:eastAsia="宋体"/>
      <w:b/>
      <w:bCs/>
      <w:kern w:val="44"/>
      <w:sz w:val="44"/>
      <w:szCs w:val="44"/>
      <w:lang w:val="en-US" w:eastAsia="zh-CN" w:bidi="ar-SA"/>
    </w:rPr>
  </w:style>
  <w:style w:type="character" w:customStyle="1" w:styleId="149">
    <w:name w:val="标题 2 Char Char Char"/>
    <w:autoRedefine/>
    <w:qFormat/>
    <w:uiPriority w:val="0"/>
    <w:rPr>
      <w:rFonts w:ascii="Arial" w:hAnsi="Arial" w:eastAsia="黑体"/>
      <w:b/>
      <w:bCs/>
      <w:kern w:val="2"/>
      <w:sz w:val="32"/>
      <w:szCs w:val="32"/>
      <w:lang w:val="en-US" w:eastAsia="zh-CN" w:bidi="ar-SA"/>
    </w:rPr>
  </w:style>
  <w:style w:type="character" w:customStyle="1" w:styleId="150">
    <w:name w:val="段落正文 Char"/>
    <w:autoRedefine/>
    <w:qFormat/>
    <w:locked/>
    <w:uiPriority w:val="0"/>
    <w:rPr>
      <w:rFonts w:ascii="宋体" w:hAnsi="宋体" w:eastAsia="宋体"/>
      <w:kern w:val="2"/>
      <w:sz w:val="24"/>
      <w:szCs w:val="24"/>
      <w:lang w:val="en-US" w:eastAsia="zh-CN" w:bidi="ar-SA"/>
    </w:rPr>
  </w:style>
  <w:style w:type="character" w:customStyle="1" w:styleId="151">
    <w:name w:val="Char Char11"/>
    <w:autoRedefine/>
    <w:qFormat/>
    <w:locked/>
    <w:uiPriority w:val="0"/>
    <w:rPr>
      <w:rFonts w:eastAsia="宋体"/>
      <w:kern w:val="2"/>
      <w:sz w:val="21"/>
      <w:lang w:val="en-US" w:eastAsia="zh-CN" w:bidi="ar-SA"/>
    </w:rPr>
  </w:style>
  <w:style w:type="character" w:customStyle="1" w:styleId="152">
    <w:name w:val="纯文本 字符"/>
    <w:link w:val="23"/>
    <w:autoRedefine/>
    <w:qFormat/>
    <w:locked/>
    <w:uiPriority w:val="0"/>
    <w:rPr>
      <w:rFonts w:ascii="宋体" w:hAnsi="Courier New" w:eastAsia="楷体_GB2312"/>
      <w:szCs w:val="24"/>
    </w:rPr>
  </w:style>
  <w:style w:type="character" w:customStyle="1" w:styleId="153">
    <w:name w:val="表格 Char Char"/>
    <w:link w:val="154"/>
    <w:autoRedefine/>
    <w:qFormat/>
    <w:uiPriority w:val="0"/>
    <w:rPr>
      <w:rFonts w:ascii="华文细黑" w:hAnsi="华文细黑"/>
      <w:sz w:val="21"/>
    </w:rPr>
  </w:style>
  <w:style w:type="paragraph" w:customStyle="1" w:styleId="154">
    <w:name w:val="表格"/>
    <w:basedOn w:val="1"/>
    <w:link w:val="153"/>
    <w:autoRedefine/>
    <w:qFormat/>
    <w:uiPriority w:val="0"/>
    <w:pPr>
      <w:jc w:val="center"/>
      <w:textAlignment w:val="center"/>
    </w:pPr>
    <w:rPr>
      <w:rFonts w:ascii="华文细黑" w:hAnsi="华文细黑"/>
      <w:kern w:val="0"/>
      <w:szCs w:val="20"/>
    </w:rPr>
  </w:style>
  <w:style w:type="character" w:customStyle="1" w:styleId="155">
    <w:name w:val="标题 1 Char2"/>
    <w:autoRedefine/>
    <w:qFormat/>
    <w:uiPriority w:val="0"/>
    <w:rPr>
      <w:rFonts w:ascii="Arial" w:hAnsi="Arial" w:eastAsia="宋体"/>
      <w:b/>
      <w:bCs/>
      <w:kern w:val="44"/>
      <w:sz w:val="36"/>
      <w:szCs w:val="36"/>
      <w:lang w:val="en-US" w:eastAsia="zh-CN" w:bidi="ar-SA"/>
    </w:rPr>
  </w:style>
  <w:style w:type="character" w:customStyle="1" w:styleId="156">
    <w:name w:val="标题 Char1"/>
    <w:autoRedefine/>
    <w:qFormat/>
    <w:uiPriority w:val="0"/>
    <w:rPr>
      <w:rFonts w:ascii="Arial" w:hAnsi="Arial" w:eastAsia="宋体"/>
      <w:b/>
      <w:kern w:val="2"/>
      <w:sz w:val="44"/>
      <w:szCs w:val="24"/>
      <w:lang w:val="en-US" w:eastAsia="zh-CN" w:bidi="ar-SA"/>
    </w:rPr>
  </w:style>
  <w:style w:type="character" w:customStyle="1" w:styleId="157">
    <w:name w:val="页脚（报告中） Char Char"/>
    <w:autoRedefine/>
    <w:qFormat/>
    <w:uiPriority w:val="0"/>
    <w:rPr>
      <w:rFonts w:eastAsia="宋体"/>
      <w:sz w:val="18"/>
      <w:lang w:val="en-US" w:eastAsia="zh-CN" w:bidi="ar-SA"/>
    </w:rPr>
  </w:style>
  <w:style w:type="paragraph" w:customStyle="1" w:styleId="158">
    <w:name w:val="样式 四号 行距: 1.5 倍行距"/>
    <w:basedOn w:val="1"/>
    <w:autoRedefine/>
    <w:qFormat/>
    <w:uiPriority w:val="0"/>
    <w:pPr>
      <w:adjustRightInd w:val="0"/>
      <w:spacing w:line="360" w:lineRule="auto"/>
    </w:pPr>
    <w:rPr>
      <w:rFonts w:ascii="Times New Roman" w:hAnsi="Times New Roman" w:cs="宋体"/>
      <w:sz w:val="28"/>
      <w:szCs w:val="20"/>
    </w:rPr>
  </w:style>
  <w:style w:type="paragraph" w:customStyle="1" w:styleId="159">
    <w:name w:val="xl141"/>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60">
    <w:name w:val="表格标题"/>
    <w:basedOn w:val="1"/>
    <w:autoRedefine/>
    <w:qFormat/>
    <w:uiPriority w:val="0"/>
    <w:pPr>
      <w:spacing w:line="500" w:lineRule="exact"/>
      <w:ind w:firstLine="539"/>
      <w:jc w:val="center"/>
    </w:pPr>
    <w:rPr>
      <w:rFonts w:ascii="宋体" w:hAnsi="宋体"/>
      <w:b/>
      <w:spacing w:val="40"/>
      <w:sz w:val="28"/>
      <w:szCs w:val="24"/>
    </w:rPr>
  </w:style>
  <w:style w:type="paragraph" w:customStyle="1" w:styleId="161">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2"/>
      <w:szCs w:val="20"/>
    </w:rPr>
  </w:style>
  <w:style w:type="paragraph" w:customStyle="1" w:styleId="162">
    <w:name w:val="xl4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int="eastAsia" w:ascii="楷体_GB2312" w:hAnsi="Arial Unicode MS" w:eastAsia="楷体_GB2312"/>
      <w:color w:val="000000"/>
      <w:kern w:val="0"/>
      <w:sz w:val="24"/>
      <w:szCs w:val="20"/>
    </w:rPr>
  </w:style>
  <w:style w:type="paragraph" w:customStyle="1" w:styleId="163">
    <w:name w:val="xl59"/>
    <w:basedOn w:val="1"/>
    <w:autoRedefine/>
    <w:qFormat/>
    <w:uiPriority w:val="0"/>
    <w:pPr>
      <w:widowControl/>
      <w:pBdr>
        <w:left w:val="single" w:color="auto" w:sz="4" w:space="0"/>
        <w:bottom w:val="single" w:color="auto" w:sz="4" w:space="0"/>
      </w:pBdr>
      <w:spacing w:before="100" w:beforeAutospacing="1" w:after="100" w:afterAutospacing="1"/>
      <w:jc w:val="center"/>
    </w:pPr>
    <w:rPr>
      <w:rFonts w:hint="eastAsia" w:ascii="楷体_GB2312" w:hAnsi="Arial Unicode MS" w:eastAsia="楷体_GB2312"/>
      <w:b/>
      <w:color w:val="000000"/>
      <w:kern w:val="0"/>
      <w:sz w:val="24"/>
      <w:szCs w:val="20"/>
    </w:rPr>
  </w:style>
  <w:style w:type="paragraph" w:customStyle="1" w:styleId="164">
    <w:name w:val="xl76"/>
    <w:basedOn w:val="1"/>
    <w:autoRedefine/>
    <w:qFormat/>
    <w:uiPriority w:val="0"/>
    <w:pPr>
      <w:widowControl/>
      <w:pBdr>
        <w:top w:val="double" w:color="auto" w:sz="6" w:space="0"/>
        <w:left w:val="single" w:color="auto" w:sz="4" w:space="0"/>
        <w:right w:val="single" w:color="auto" w:sz="4" w:space="0"/>
      </w:pBdr>
      <w:spacing w:before="100" w:beforeAutospacing="1" w:after="100" w:afterAutospacing="1"/>
      <w:jc w:val="center"/>
      <w:textAlignment w:val="center"/>
    </w:pPr>
    <w:rPr>
      <w:rFonts w:hint="eastAsia" w:ascii="楷体_GB2312" w:hAnsi="Arial Unicode MS" w:eastAsia="楷体_GB2312"/>
      <w:b/>
      <w:color w:val="000000"/>
      <w:kern w:val="0"/>
      <w:sz w:val="24"/>
      <w:szCs w:val="20"/>
    </w:rPr>
  </w:style>
  <w:style w:type="paragraph" w:customStyle="1" w:styleId="165">
    <w:name w:val="xl40"/>
    <w:basedOn w:val="1"/>
    <w:autoRedefine/>
    <w:qFormat/>
    <w:uiPriority w:val="0"/>
    <w:pPr>
      <w:widowControl/>
      <w:spacing w:before="100" w:beforeAutospacing="1" w:after="100" w:afterAutospacing="1"/>
      <w:jc w:val="center"/>
    </w:pPr>
    <w:rPr>
      <w:rFonts w:ascii="Arial Unicode MS" w:hAnsi="Arial Unicode MS" w:eastAsia="Arial Unicode MS"/>
      <w:b/>
      <w:kern w:val="0"/>
      <w:sz w:val="28"/>
      <w:szCs w:val="20"/>
    </w:rPr>
  </w:style>
  <w:style w:type="paragraph" w:customStyle="1" w:styleId="166">
    <w:name w:val="xl79"/>
    <w:basedOn w:val="1"/>
    <w:autoRedefine/>
    <w:qFormat/>
    <w:uiPriority w:val="0"/>
    <w:pPr>
      <w:widowControl/>
      <w:pBdr>
        <w:top w:val="single" w:color="auto" w:sz="4" w:space="0"/>
        <w:right w:val="single" w:color="auto" w:sz="4" w:space="0"/>
      </w:pBdr>
      <w:spacing w:before="100" w:beforeAutospacing="1" w:after="100" w:afterAutospacing="1"/>
      <w:jc w:val="center"/>
    </w:pPr>
    <w:rPr>
      <w:rFonts w:hint="eastAsia" w:ascii="楷体_GB2312" w:hAnsi="Arial Unicode MS" w:eastAsia="楷体_GB2312"/>
      <w:b/>
      <w:color w:val="000000"/>
      <w:kern w:val="0"/>
      <w:sz w:val="24"/>
      <w:szCs w:val="20"/>
    </w:rPr>
  </w:style>
  <w:style w:type="paragraph" w:customStyle="1" w:styleId="167">
    <w:name w:val="Default"/>
    <w:next w:val="3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8">
    <w:name w:val="纯文本1"/>
    <w:basedOn w:val="1"/>
    <w:autoRedefine/>
    <w:qFormat/>
    <w:uiPriority w:val="0"/>
    <w:pPr>
      <w:adjustRightInd w:val="0"/>
      <w:textAlignment w:val="baseline"/>
    </w:pPr>
    <w:rPr>
      <w:rFonts w:ascii="宋体" w:hAnsi="Times New Roman"/>
      <w:kern w:val="0"/>
      <w:sz w:val="24"/>
      <w:szCs w:val="20"/>
    </w:rPr>
  </w:style>
  <w:style w:type="paragraph" w:customStyle="1" w:styleId="169">
    <w:name w:val="标题辞"/>
    <w:basedOn w:val="2"/>
    <w:next w:val="1"/>
    <w:autoRedefine/>
    <w:qFormat/>
    <w:uiPriority w:val="0"/>
    <w:pPr>
      <w:keepLines w:val="0"/>
      <w:widowControl/>
      <w:spacing w:before="0" w:after="0" w:line="240" w:lineRule="auto"/>
      <w:jc w:val="center"/>
    </w:pPr>
    <w:rPr>
      <w:rFonts w:ascii="黑体" w:hAnsi="Times New Roman" w:eastAsia="黑体"/>
      <w:b w:val="0"/>
      <w:bCs w:val="0"/>
      <w:kern w:val="0"/>
      <w:sz w:val="52"/>
      <w:szCs w:val="20"/>
    </w:rPr>
  </w:style>
  <w:style w:type="paragraph" w:customStyle="1" w:styleId="170">
    <w:name w:val="xl12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71">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0"/>
    </w:rPr>
  </w:style>
  <w:style w:type="paragraph" w:customStyle="1" w:styleId="172">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73">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Arial Unicode MS" w:eastAsia="楷体_GB2312"/>
      <w:b/>
      <w:color w:val="000000"/>
      <w:kern w:val="0"/>
      <w:sz w:val="24"/>
      <w:szCs w:val="20"/>
    </w:rPr>
  </w:style>
  <w:style w:type="paragraph" w:customStyle="1" w:styleId="174">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175">
    <w:name w:val="et10"/>
    <w:basedOn w:val="1"/>
    <w:autoRedefine/>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176">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77">
    <w:name w:val="font1"/>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customStyle="1" w:styleId="178">
    <w:name w:val="1"/>
    <w:basedOn w:val="1"/>
    <w:autoRedefine/>
    <w:qFormat/>
    <w:uiPriority w:val="0"/>
    <w:rPr>
      <w:rFonts w:ascii="Times New Roman" w:hAnsi="Times New Roman"/>
      <w:szCs w:val="24"/>
    </w:rPr>
  </w:style>
  <w:style w:type="paragraph" w:customStyle="1" w:styleId="179">
    <w:name w:val="xl118"/>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0">
    <w:name w:val="xl83"/>
    <w:basedOn w:val="1"/>
    <w:autoRedefine/>
    <w:qFormat/>
    <w:uiPriority w:val="0"/>
    <w:pPr>
      <w:widowControl/>
      <w:pBdr>
        <w:top w:val="single" w:color="auto" w:sz="4" w:space="0"/>
      </w:pBdr>
      <w:spacing w:before="100" w:beforeAutospacing="1" w:after="100" w:afterAutospacing="1"/>
      <w:jc w:val="center"/>
      <w:textAlignment w:val="center"/>
    </w:pPr>
    <w:rPr>
      <w:rFonts w:ascii="Times New Roman" w:hAnsi="Times New Roman" w:eastAsia="Arial Unicode MS"/>
      <w:b/>
      <w:kern w:val="0"/>
      <w:szCs w:val="20"/>
    </w:rPr>
  </w:style>
  <w:style w:type="paragraph" w:customStyle="1" w:styleId="181">
    <w:name w:val="xl89"/>
    <w:basedOn w:val="1"/>
    <w:autoRedefine/>
    <w:qFormat/>
    <w:uiPriority w:val="0"/>
    <w:pPr>
      <w:widowControl/>
      <w:pBdr>
        <w:bottom w:val="double" w:color="auto" w:sz="6" w:space="0"/>
        <w:right w:val="single" w:color="auto" w:sz="4" w:space="0"/>
      </w:pBdr>
      <w:spacing w:before="100" w:beforeAutospacing="1" w:after="100" w:afterAutospacing="1"/>
      <w:jc w:val="center"/>
      <w:textAlignment w:val="top"/>
    </w:pPr>
    <w:rPr>
      <w:rFonts w:hint="eastAsia" w:ascii="楷体_GB2312" w:hAnsi="Arial Unicode MS" w:eastAsia="楷体_GB2312"/>
      <w:b/>
      <w:color w:val="000000"/>
      <w:kern w:val="0"/>
      <w:sz w:val="24"/>
      <w:szCs w:val="20"/>
    </w:rPr>
  </w:style>
  <w:style w:type="paragraph" w:customStyle="1" w:styleId="182">
    <w:name w:val="Char1 Char Char Char Char Char Char1"/>
    <w:basedOn w:val="1"/>
    <w:autoRedefine/>
    <w:qFormat/>
    <w:uiPriority w:val="0"/>
    <w:rPr>
      <w:rFonts w:ascii="Times New Roman" w:hAnsi="Times New Roman" w:eastAsia="楷体_GB2312"/>
      <w:szCs w:val="20"/>
    </w:rPr>
  </w:style>
  <w:style w:type="paragraph" w:customStyle="1" w:styleId="183">
    <w:name w:val="xl64"/>
    <w:basedOn w:val="1"/>
    <w:autoRedefine/>
    <w:qFormat/>
    <w:uiPriority w:val="0"/>
    <w:pPr>
      <w:widowControl/>
      <w:spacing w:before="100" w:beforeAutospacing="1" w:after="100" w:afterAutospacing="1"/>
      <w:jc w:val="center"/>
      <w:textAlignment w:val="center"/>
    </w:pPr>
    <w:rPr>
      <w:rFonts w:ascii="Times New Roman" w:hAnsi="Times New Roman" w:eastAsia="Arial Unicode MS"/>
      <w:color w:val="000000"/>
      <w:kern w:val="0"/>
      <w:sz w:val="24"/>
      <w:szCs w:val="20"/>
    </w:rPr>
  </w:style>
  <w:style w:type="paragraph" w:customStyle="1" w:styleId="184">
    <w:name w:val="xl106"/>
    <w:basedOn w:val="1"/>
    <w:autoRedefine/>
    <w:qFormat/>
    <w:uiPriority w:val="0"/>
    <w:pPr>
      <w:widowControl/>
      <w:pBdr>
        <w:bottom w:val="double" w:color="auto" w:sz="6" w:space="0"/>
        <w:right w:val="single" w:color="auto" w:sz="4" w:space="0"/>
      </w:pBdr>
      <w:spacing w:before="100" w:beforeAutospacing="1" w:after="100" w:afterAutospacing="1"/>
      <w:jc w:val="center"/>
      <w:textAlignment w:val="center"/>
    </w:pPr>
    <w:rPr>
      <w:rFonts w:ascii="楷体_GB2312" w:hAnsi="宋体" w:eastAsia="楷体_GB2312"/>
      <w:b/>
      <w:kern w:val="0"/>
      <w:sz w:val="22"/>
      <w:szCs w:val="20"/>
    </w:rPr>
  </w:style>
  <w:style w:type="paragraph" w:customStyle="1" w:styleId="185">
    <w:name w:val="xl142"/>
    <w:basedOn w:val="1"/>
    <w:autoRedefine/>
    <w:qFormat/>
    <w:uiPriority w:val="0"/>
    <w:pPr>
      <w:widowControl/>
      <w:pBdr>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86">
    <w:name w:val="标题9"/>
    <w:basedOn w:val="1"/>
    <w:autoRedefine/>
    <w:qFormat/>
    <w:uiPriority w:val="0"/>
    <w:pPr>
      <w:spacing w:before="156" w:beforeLines="50" w:after="156" w:afterLines="50"/>
    </w:pPr>
    <w:rPr>
      <w:rFonts w:ascii="Times New Roman" w:hAnsi="Times New Roman" w:eastAsia="黑体"/>
      <w:b/>
      <w:sz w:val="32"/>
      <w:szCs w:val="24"/>
    </w:rPr>
  </w:style>
  <w:style w:type="paragraph" w:customStyle="1" w:styleId="187">
    <w:name w:val="CM99"/>
    <w:basedOn w:val="167"/>
    <w:next w:val="167"/>
    <w:autoRedefine/>
    <w:qFormat/>
    <w:uiPriority w:val="0"/>
    <w:pPr>
      <w:spacing w:after="443"/>
    </w:pPr>
    <w:rPr>
      <w:color w:val="auto"/>
    </w:rPr>
  </w:style>
  <w:style w:type="paragraph" w:customStyle="1" w:styleId="188">
    <w:name w:val="TOC 标题1"/>
    <w:basedOn w:val="2"/>
    <w:next w:val="1"/>
    <w:autoRedefine/>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89">
    <w:name w:val="样式4"/>
    <w:basedOn w:val="4"/>
    <w:autoRedefine/>
    <w:qFormat/>
    <w:uiPriority w:val="0"/>
    <w:pPr>
      <w:spacing w:line="412" w:lineRule="auto"/>
    </w:pPr>
    <w:rPr>
      <w:rFonts w:ascii="Times New Roman" w:hAnsi="Times New Roman" w:eastAsia="Arial"/>
      <w:b w:val="0"/>
      <w:bCs w:val="0"/>
      <w:kern w:val="2"/>
    </w:rPr>
  </w:style>
  <w:style w:type="paragraph" w:customStyle="1" w:styleId="190">
    <w:name w:val="xl15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19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0"/>
    </w:rPr>
  </w:style>
  <w:style w:type="paragraph" w:customStyle="1" w:styleId="192">
    <w:name w:val="样式 样式 样式 正文文本正文文字 Char + 首行缩进:  2 字符1 Char + Times New Roman + 黑色"/>
    <w:basedOn w:val="1"/>
    <w:autoRedefine/>
    <w:qFormat/>
    <w:uiPriority w:val="0"/>
    <w:pPr>
      <w:spacing w:line="560" w:lineRule="exact"/>
      <w:ind w:firstLine="200" w:firstLineChars="200"/>
    </w:pPr>
    <w:rPr>
      <w:rFonts w:ascii="宋体" w:hAnsi="宋体" w:eastAsia="仿宋_GB2312"/>
      <w:color w:val="000000"/>
      <w:sz w:val="28"/>
      <w:szCs w:val="28"/>
    </w:rPr>
  </w:style>
  <w:style w:type="paragraph" w:customStyle="1" w:styleId="193">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楷体_GB2312" w:hAnsi="Arial Unicode MS" w:eastAsia="楷体_GB2312"/>
      <w:kern w:val="0"/>
      <w:sz w:val="24"/>
      <w:szCs w:val="20"/>
    </w:rPr>
  </w:style>
  <w:style w:type="paragraph" w:customStyle="1" w:styleId="194">
    <w:name w:val="正文 New New New New"/>
    <w:autoRedefine/>
    <w:qFormat/>
    <w:uiPriority w:val="0"/>
    <w:pPr>
      <w:widowControl w:val="0"/>
      <w:jc w:val="both"/>
    </w:pPr>
    <w:rPr>
      <w:rFonts w:ascii="Times New Roman" w:hAnsi="Times New Roman" w:eastAsia="宋体" w:cs="Times New Roman"/>
      <w:kern w:val="2"/>
      <w:sz w:val="24"/>
      <w:lang w:val="en-US" w:eastAsia="zh-CN" w:bidi="ar-SA"/>
    </w:rPr>
  </w:style>
  <w:style w:type="paragraph" w:customStyle="1" w:styleId="195">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196">
    <w:name w:val="xl13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97">
    <w:name w:val="xl62"/>
    <w:basedOn w:val="1"/>
    <w:autoRedefine/>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center"/>
      <w:textAlignment w:val="center"/>
    </w:pPr>
    <w:rPr>
      <w:rFonts w:hint="eastAsia" w:ascii="楷体_GB2312" w:hAnsi="Arial Unicode MS" w:eastAsia="楷体_GB2312"/>
      <w:color w:val="000000"/>
      <w:kern w:val="0"/>
      <w:sz w:val="24"/>
      <w:szCs w:val="20"/>
    </w:rPr>
  </w:style>
  <w:style w:type="paragraph" w:customStyle="1" w:styleId="198">
    <w:name w:val="样式2"/>
    <w:basedOn w:val="4"/>
    <w:autoRedefine/>
    <w:qFormat/>
    <w:uiPriority w:val="0"/>
    <w:pPr>
      <w:spacing w:line="412" w:lineRule="auto"/>
    </w:pPr>
    <w:rPr>
      <w:rFonts w:ascii="Times New Roman" w:hAnsi="Times New Roman"/>
      <w:b w:val="0"/>
      <w:bCs w:val="0"/>
      <w:kern w:val="2"/>
    </w:rPr>
  </w:style>
  <w:style w:type="paragraph" w:customStyle="1" w:styleId="199">
    <w:name w:val="xl101"/>
    <w:basedOn w:val="1"/>
    <w:autoRedefine/>
    <w:qFormat/>
    <w:uiPriority w:val="0"/>
    <w:pPr>
      <w:widowControl/>
      <w:pBdr>
        <w:bottom w:val="double" w:color="auto" w:sz="6" w:space="0"/>
        <w:right w:val="double" w:color="auto" w:sz="6" w:space="0"/>
      </w:pBdr>
      <w:spacing w:before="100" w:beforeAutospacing="1" w:after="100" w:afterAutospacing="1"/>
      <w:jc w:val="center"/>
      <w:textAlignment w:val="center"/>
    </w:pPr>
    <w:rPr>
      <w:rFonts w:ascii="Times New Roman" w:hAnsi="Times New Roman"/>
      <w:b/>
      <w:kern w:val="0"/>
      <w:sz w:val="22"/>
      <w:szCs w:val="20"/>
    </w:rPr>
  </w:style>
  <w:style w:type="paragraph" w:customStyle="1" w:styleId="200">
    <w:name w:val="xl103"/>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楷体_GB2312" w:hAnsi="宋体" w:eastAsia="楷体_GB2312"/>
      <w:b/>
      <w:kern w:val="0"/>
      <w:sz w:val="22"/>
      <w:szCs w:val="20"/>
    </w:rPr>
  </w:style>
  <w:style w:type="paragraph" w:customStyle="1" w:styleId="20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0"/>
    </w:rPr>
  </w:style>
  <w:style w:type="paragraph" w:customStyle="1" w:styleId="202">
    <w:name w:val="font6"/>
    <w:basedOn w:val="1"/>
    <w:autoRedefine/>
    <w:qFormat/>
    <w:uiPriority w:val="0"/>
    <w:pPr>
      <w:widowControl/>
      <w:spacing w:before="100" w:beforeAutospacing="1" w:after="100" w:afterAutospacing="1"/>
      <w:jc w:val="left"/>
    </w:pPr>
    <w:rPr>
      <w:rFonts w:hint="eastAsia" w:ascii="宋体" w:hAnsi="宋体"/>
      <w:color w:val="000000"/>
      <w:kern w:val="0"/>
      <w:sz w:val="22"/>
      <w:szCs w:val="20"/>
    </w:rPr>
  </w:style>
  <w:style w:type="paragraph" w:customStyle="1" w:styleId="203">
    <w:name w:val="Char1 Char Char Char"/>
    <w:basedOn w:val="1"/>
    <w:autoRedefine/>
    <w:qFormat/>
    <w:uiPriority w:val="0"/>
    <w:pPr>
      <w:tabs>
        <w:tab w:val="left" w:pos="600"/>
        <w:tab w:val="left" w:pos="1500"/>
      </w:tabs>
      <w:ind w:left="1500" w:hanging="420"/>
    </w:pPr>
    <w:rPr>
      <w:rFonts w:ascii="Times New Roman" w:hAnsi="Times New Roman"/>
      <w:sz w:val="24"/>
      <w:szCs w:val="24"/>
    </w:rPr>
  </w:style>
  <w:style w:type="paragraph" w:customStyle="1" w:styleId="204">
    <w:name w:val="页眉 New"/>
    <w:basedOn w:val="20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05">
    <w:name w:val="正文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6">
    <w:name w:val="xl100"/>
    <w:basedOn w:val="1"/>
    <w:autoRedefine/>
    <w:qFormat/>
    <w:uiPriority w:val="0"/>
    <w:pPr>
      <w:widowControl/>
      <w:pBdr>
        <w:left w:val="single" w:color="auto" w:sz="4" w:space="0"/>
        <w:bottom w:val="double" w:color="auto" w:sz="6" w:space="0"/>
      </w:pBdr>
      <w:spacing w:before="100" w:beforeAutospacing="1" w:after="100" w:afterAutospacing="1"/>
      <w:jc w:val="center"/>
      <w:textAlignment w:val="center"/>
    </w:pPr>
    <w:rPr>
      <w:rFonts w:ascii="Times New Roman" w:hAnsi="Times New Roman"/>
      <w:b/>
      <w:kern w:val="0"/>
      <w:sz w:val="22"/>
      <w:szCs w:val="20"/>
    </w:rPr>
  </w:style>
  <w:style w:type="paragraph" w:customStyle="1" w:styleId="207">
    <w:name w:val="font12"/>
    <w:basedOn w:val="1"/>
    <w:autoRedefine/>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208">
    <w:name w:val="公式"/>
    <w:basedOn w:val="1"/>
    <w:autoRedefine/>
    <w:qFormat/>
    <w:uiPriority w:val="0"/>
    <w:pPr>
      <w:spacing w:line="480" w:lineRule="auto"/>
      <w:ind w:firstLine="200" w:firstLineChars="200"/>
      <w:jc w:val="center"/>
    </w:pPr>
    <w:rPr>
      <w:rFonts w:ascii="Times New Roman" w:hAnsi="Times New Roman" w:eastAsia="仿宋_GB2312"/>
      <w:snapToGrid w:val="0"/>
      <w:kern w:val="0"/>
      <w:sz w:val="24"/>
      <w:szCs w:val="20"/>
    </w:rPr>
  </w:style>
  <w:style w:type="paragraph" w:customStyle="1" w:styleId="209">
    <w:name w:val="xl113"/>
    <w:basedOn w:val="1"/>
    <w:autoRedefine/>
    <w:qFormat/>
    <w:uiPriority w:val="0"/>
    <w:pPr>
      <w:widowControl/>
      <w:pBdr>
        <w:top w:val="double" w:color="auto" w:sz="6" w:space="0"/>
        <w:left w:val="single" w:color="auto" w:sz="4" w:space="0"/>
        <w:right w:val="double" w:color="auto" w:sz="6" w:space="0"/>
      </w:pBdr>
      <w:spacing w:before="100" w:beforeAutospacing="1" w:after="100" w:afterAutospacing="1"/>
      <w:jc w:val="center"/>
      <w:textAlignment w:val="center"/>
    </w:pPr>
    <w:rPr>
      <w:rFonts w:ascii="楷体_GB2312" w:hAnsi="宋体" w:eastAsia="楷体_GB2312"/>
      <w:b/>
      <w:kern w:val="0"/>
      <w:sz w:val="22"/>
      <w:szCs w:val="20"/>
    </w:rPr>
  </w:style>
  <w:style w:type="paragraph" w:customStyle="1" w:styleId="210">
    <w:name w:val="font19"/>
    <w:basedOn w:val="1"/>
    <w:autoRedefine/>
    <w:qFormat/>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211">
    <w:name w:val="xl3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kern w:val="0"/>
      <w:sz w:val="22"/>
      <w:szCs w:val="20"/>
    </w:rPr>
  </w:style>
  <w:style w:type="paragraph" w:customStyle="1" w:styleId="212">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int="eastAsia" w:ascii="楷体_GB2312" w:hAnsi="Arial Unicode MS" w:eastAsia="楷体_GB2312"/>
      <w:b/>
      <w:color w:val="000000"/>
      <w:kern w:val="0"/>
      <w:sz w:val="24"/>
      <w:szCs w:val="20"/>
    </w:rPr>
  </w:style>
  <w:style w:type="paragraph" w:customStyle="1" w:styleId="213">
    <w:name w:val="xl115"/>
    <w:basedOn w:val="1"/>
    <w:autoRedefine/>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14">
    <w:name w:val="et4"/>
    <w:basedOn w:val="1"/>
    <w:autoRedefine/>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215">
    <w:name w:val="日期1"/>
    <w:basedOn w:val="1"/>
    <w:next w:val="1"/>
    <w:autoRedefine/>
    <w:qFormat/>
    <w:uiPriority w:val="0"/>
    <w:pPr>
      <w:adjustRightInd w:val="0"/>
      <w:spacing w:line="312" w:lineRule="atLeast"/>
      <w:jc w:val="right"/>
      <w:textAlignment w:val="baseline"/>
    </w:pPr>
    <w:rPr>
      <w:rFonts w:ascii="Times New Roman" w:hAnsi="Times New Roman"/>
      <w:b/>
      <w:kern w:val="0"/>
      <w:sz w:val="30"/>
      <w:szCs w:val="20"/>
    </w:rPr>
  </w:style>
  <w:style w:type="paragraph" w:customStyle="1" w:styleId="216">
    <w:name w:val="样式1"/>
    <w:basedOn w:val="217"/>
    <w:autoRedefine/>
    <w:qFormat/>
    <w:uiPriority w:val="0"/>
    <w:rPr>
      <w:b w:val="0"/>
      <w:sz w:val="21"/>
    </w:rPr>
  </w:style>
  <w:style w:type="paragraph" w:customStyle="1" w:styleId="217">
    <w:name w:val="m-1"/>
    <w:basedOn w:val="2"/>
    <w:next w:val="18"/>
    <w:autoRedefine/>
    <w:qFormat/>
    <w:uiPriority w:val="0"/>
    <w:pPr>
      <w:spacing w:before="0" w:after="0" w:line="240" w:lineRule="auto"/>
      <w:jc w:val="center"/>
    </w:pPr>
    <w:rPr>
      <w:rFonts w:ascii="宋体" w:hAnsi="宋体"/>
      <w:sz w:val="24"/>
    </w:rPr>
  </w:style>
  <w:style w:type="paragraph" w:customStyle="1" w:styleId="21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b/>
      <w:kern w:val="0"/>
      <w:sz w:val="22"/>
      <w:szCs w:val="20"/>
    </w:rPr>
  </w:style>
  <w:style w:type="paragraph" w:customStyle="1" w:styleId="219">
    <w:name w:val="xl88"/>
    <w:basedOn w:val="1"/>
    <w:autoRedefine/>
    <w:qFormat/>
    <w:uiPriority w:val="0"/>
    <w:pPr>
      <w:widowControl/>
      <w:pBdr>
        <w:left w:val="double" w:color="auto" w:sz="6" w:space="0"/>
        <w:bottom w:val="double" w:color="auto" w:sz="6" w:space="0"/>
      </w:pBdr>
      <w:spacing w:before="100" w:beforeAutospacing="1" w:after="100" w:afterAutospacing="1"/>
      <w:jc w:val="center"/>
      <w:textAlignment w:val="top"/>
    </w:pPr>
    <w:rPr>
      <w:rFonts w:hint="eastAsia" w:ascii="楷体_GB2312" w:hAnsi="Arial Unicode MS" w:eastAsia="楷体_GB2312"/>
      <w:b/>
      <w:color w:val="000000"/>
      <w:kern w:val="0"/>
      <w:sz w:val="24"/>
      <w:szCs w:val="20"/>
    </w:rPr>
  </w:style>
  <w:style w:type="paragraph" w:customStyle="1" w:styleId="22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kern w:val="0"/>
      <w:sz w:val="22"/>
      <w:szCs w:val="20"/>
    </w:rPr>
  </w:style>
  <w:style w:type="paragraph" w:customStyle="1" w:styleId="221">
    <w:name w:val="修订1"/>
    <w:autoRedefine/>
    <w:semiHidden/>
    <w:qFormat/>
    <w:uiPriority w:val="99"/>
    <w:rPr>
      <w:rFonts w:ascii="Calibri" w:hAnsi="Calibri" w:eastAsia="宋体" w:cs="Times New Roman"/>
      <w:kern w:val="2"/>
      <w:sz w:val="21"/>
      <w:szCs w:val="22"/>
      <w:lang w:val="en-US" w:eastAsia="zh-CN" w:bidi="ar-SA"/>
    </w:rPr>
  </w:style>
  <w:style w:type="paragraph" w:customStyle="1" w:styleId="222">
    <w:name w:val="xl12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223">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4">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225">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26">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Cs w:val="20"/>
    </w:rPr>
  </w:style>
  <w:style w:type="paragraph" w:customStyle="1" w:styleId="227">
    <w:name w:val="标题3"/>
    <w:basedOn w:val="4"/>
    <w:next w:val="1"/>
    <w:autoRedefine/>
    <w:qFormat/>
    <w:uiPriority w:val="0"/>
    <w:pPr>
      <w:widowControl/>
      <w:spacing w:before="120" w:after="360" w:line="360" w:lineRule="auto"/>
      <w:jc w:val="center"/>
    </w:pPr>
    <w:rPr>
      <w:rFonts w:ascii="宋体" w:hAnsi="宋体"/>
      <w:b w:val="0"/>
      <w:szCs w:val="20"/>
    </w:rPr>
  </w:style>
  <w:style w:type="paragraph" w:customStyle="1" w:styleId="228">
    <w:name w:val="xl4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b/>
      <w:kern w:val="0"/>
      <w:sz w:val="22"/>
      <w:szCs w:val="20"/>
    </w:rPr>
  </w:style>
  <w:style w:type="paragraph" w:customStyle="1" w:styleId="229">
    <w:name w:val="xl132"/>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24"/>
      <w:szCs w:val="24"/>
    </w:rPr>
  </w:style>
  <w:style w:type="paragraph" w:customStyle="1" w:styleId="230">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hAnsi="Arial Unicode MS" w:eastAsia="楷体_GB2312"/>
      <w:b/>
      <w:color w:val="000000"/>
      <w:kern w:val="0"/>
      <w:sz w:val="24"/>
      <w:szCs w:val="20"/>
    </w:rPr>
  </w:style>
  <w:style w:type="paragraph" w:customStyle="1" w:styleId="231">
    <w:name w:val="et9"/>
    <w:basedOn w:val="1"/>
    <w:autoRedefine/>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232">
    <w:name w:val="xl95"/>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right"/>
      <w:textAlignment w:val="center"/>
    </w:pPr>
    <w:rPr>
      <w:rFonts w:ascii="Times New Roman" w:hAnsi="Times New Roman"/>
      <w:kern w:val="0"/>
      <w:sz w:val="22"/>
      <w:szCs w:val="20"/>
    </w:rPr>
  </w:style>
  <w:style w:type="paragraph" w:customStyle="1" w:styleId="233">
    <w:name w:val="样式 标题 3 + (中文) 黑体 小四 非加粗 段前: 7.8 磅 段后: 0 磅 行距: 固定值 20 磅"/>
    <w:basedOn w:val="4"/>
    <w:autoRedefine/>
    <w:qFormat/>
    <w:uiPriority w:val="0"/>
    <w:pPr>
      <w:spacing w:before="0" w:after="0" w:line="400" w:lineRule="exact"/>
      <w:jc w:val="left"/>
    </w:pPr>
    <w:rPr>
      <w:rFonts w:ascii="宋体" w:hAnsi="宋体" w:eastAsia="黑体" w:cs="宋体"/>
      <w:b w:val="0"/>
      <w:bCs w:val="0"/>
      <w:sz w:val="24"/>
      <w:szCs w:val="20"/>
    </w:rPr>
  </w:style>
  <w:style w:type="paragraph" w:customStyle="1" w:styleId="234">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b/>
      <w:kern w:val="0"/>
      <w:sz w:val="22"/>
      <w:szCs w:val="20"/>
    </w:rPr>
  </w:style>
  <w:style w:type="paragraph" w:customStyle="1" w:styleId="235">
    <w:name w:val="xl3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0"/>
    </w:rPr>
  </w:style>
  <w:style w:type="paragraph" w:customStyle="1" w:styleId="236">
    <w:name w:val="xl5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楷体_GB2312" w:hAnsi="Arial Unicode MS" w:eastAsia="楷体_GB2312"/>
      <w:b/>
      <w:color w:val="000000"/>
      <w:kern w:val="0"/>
      <w:sz w:val="24"/>
      <w:szCs w:val="20"/>
    </w:rPr>
  </w:style>
  <w:style w:type="paragraph" w:customStyle="1" w:styleId="237">
    <w:name w:val="_Style 42"/>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8">
    <w:name w:val="xl58"/>
    <w:basedOn w:val="1"/>
    <w:autoRedefine/>
    <w:qFormat/>
    <w:uiPriority w:val="0"/>
    <w:pPr>
      <w:widowControl/>
      <w:pBdr>
        <w:top w:val="single" w:color="auto" w:sz="4" w:space="0"/>
        <w:right w:val="single" w:color="auto" w:sz="4" w:space="0"/>
      </w:pBdr>
      <w:spacing w:before="100" w:beforeAutospacing="1" w:after="100" w:afterAutospacing="1"/>
      <w:jc w:val="center"/>
    </w:pPr>
    <w:rPr>
      <w:rFonts w:hint="eastAsia" w:ascii="楷体_GB2312" w:hAnsi="Arial Unicode MS" w:eastAsia="楷体_GB2312"/>
      <w:b/>
      <w:color w:val="000000"/>
      <w:kern w:val="0"/>
      <w:sz w:val="24"/>
      <w:szCs w:val="20"/>
    </w:rPr>
  </w:style>
  <w:style w:type="paragraph" w:customStyle="1" w:styleId="239">
    <w:name w:val="xl91"/>
    <w:basedOn w:val="1"/>
    <w:autoRedefine/>
    <w:qFormat/>
    <w:uiPriority w:val="0"/>
    <w:pPr>
      <w:widowControl/>
      <w:pBdr>
        <w:top w:val="single" w:color="auto" w:sz="4" w:space="0"/>
        <w:left w:val="double" w:color="auto" w:sz="6" w:space="0"/>
        <w:right w:val="single" w:color="auto" w:sz="4" w:space="0"/>
      </w:pBdr>
      <w:spacing w:before="100" w:beforeAutospacing="1" w:after="100" w:afterAutospacing="1"/>
      <w:jc w:val="center"/>
      <w:textAlignment w:val="center"/>
    </w:pPr>
    <w:rPr>
      <w:rFonts w:ascii="楷体_GB2312" w:hAnsi="宋体" w:eastAsia="楷体_GB2312"/>
      <w:b/>
      <w:kern w:val="0"/>
      <w:sz w:val="22"/>
      <w:szCs w:val="20"/>
    </w:rPr>
  </w:style>
  <w:style w:type="paragraph" w:customStyle="1" w:styleId="240">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styleId="241">
    <w:name w:val="No Spacing"/>
    <w:autoRedefine/>
    <w:qFormat/>
    <w:uiPriority w:val="0"/>
    <w:pPr>
      <w:widowControl w:val="0"/>
      <w:jc w:val="both"/>
    </w:pPr>
    <w:rPr>
      <w:rFonts w:ascii="Calibri" w:hAnsi="Calibri" w:eastAsia="宋体" w:cs="Times New Roman"/>
      <w:sz w:val="24"/>
      <w:szCs w:val="24"/>
      <w:lang w:val="en-US" w:eastAsia="zh-CN" w:bidi="ar-SA"/>
    </w:rPr>
  </w:style>
  <w:style w:type="paragraph" w:customStyle="1" w:styleId="242">
    <w:name w:val="Char1 Char Char Char1"/>
    <w:basedOn w:val="1"/>
    <w:autoRedefine/>
    <w:qFormat/>
    <w:uiPriority w:val="0"/>
    <w:pPr>
      <w:spacing w:line="360" w:lineRule="auto"/>
      <w:ind w:firstLine="200" w:firstLineChars="200"/>
    </w:pPr>
    <w:rPr>
      <w:rFonts w:ascii="宋体" w:hAnsi="宋体" w:cs="宋体"/>
      <w:sz w:val="24"/>
      <w:szCs w:val="24"/>
    </w:rPr>
  </w:style>
  <w:style w:type="paragraph" w:customStyle="1" w:styleId="243">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4">
    <w:name w:val="首行缩进"/>
    <w:basedOn w:val="1"/>
    <w:autoRedefine/>
    <w:qFormat/>
    <w:uiPriority w:val="0"/>
    <w:pPr>
      <w:spacing w:line="360" w:lineRule="auto"/>
      <w:ind w:firstLine="200" w:firstLineChars="200"/>
    </w:pPr>
    <w:rPr>
      <w:rFonts w:ascii="Times New Roman" w:hAnsi="Times New Roman"/>
      <w:sz w:val="24"/>
      <w:szCs w:val="24"/>
    </w:rPr>
  </w:style>
  <w:style w:type="paragraph" w:customStyle="1" w:styleId="245">
    <w:name w:val="正文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7">
    <w:name w:val="样式 标题 2 + Times New Roman 四号 非加粗 段前: 5 磅 段后: 0 磅 行距: 固定值 20..."/>
    <w:basedOn w:val="3"/>
    <w:autoRedefine/>
    <w:qFormat/>
    <w:uiPriority w:val="0"/>
    <w:pPr>
      <w:spacing w:before="100" w:after="0"/>
    </w:pPr>
    <w:rPr>
      <w:rFonts w:ascii="Times New Roman" w:hAnsi="Times New Roman"/>
      <w:sz w:val="28"/>
      <w:szCs w:val="20"/>
    </w:rPr>
  </w:style>
  <w:style w:type="paragraph" w:customStyle="1" w:styleId="248">
    <w:name w:val="默认段落字体 Para Char"/>
    <w:basedOn w:val="1"/>
    <w:autoRedefine/>
    <w:qFormat/>
    <w:uiPriority w:val="0"/>
    <w:rPr>
      <w:rFonts w:ascii="Times New Roman" w:hAnsi="Times New Roman"/>
      <w:sz w:val="30"/>
      <w:szCs w:val="24"/>
    </w:rPr>
  </w:style>
  <w:style w:type="paragraph" w:customStyle="1" w:styleId="249">
    <w:name w:val="xl57"/>
    <w:basedOn w:val="1"/>
    <w:autoRedefine/>
    <w:qFormat/>
    <w:uiPriority w:val="0"/>
    <w:pPr>
      <w:widowControl/>
      <w:pBdr>
        <w:top w:val="single" w:color="auto" w:sz="4" w:space="0"/>
        <w:left w:val="single" w:color="auto" w:sz="4" w:space="0"/>
      </w:pBdr>
      <w:spacing w:before="100" w:beforeAutospacing="1" w:after="100" w:afterAutospacing="1"/>
      <w:jc w:val="center"/>
    </w:pPr>
    <w:rPr>
      <w:rFonts w:hint="eastAsia" w:ascii="楷体_GB2312" w:hAnsi="Arial Unicode MS" w:eastAsia="楷体_GB2312"/>
      <w:b/>
      <w:color w:val="000000"/>
      <w:kern w:val="0"/>
      <w:sz w:val="24"/>
      <w:szCs w:val="20"/>
    </w:rPr>
  </w:style>
  <w:style w:type="paragraph" w:customStyle="1" w:styleId="250">
    <w:name w:val="xl13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51">
    <w:name w:val="标题2"/>
    <w:basedOn w:val="3"/>
    <w:next w:val="1"/>
    <w:autoRedefine/>
    <w:qFormat/>
    <w:uiPriority w:val="0"/>
    <w:pPr>
      <w:numPr>
        <w:ilvl w:val="1"/>
      </w:numPr>
      <w:snapToGrid w:val="0"/>
      <w:spacing w:before="120" w:line="240" w:lineRule="auto"/>
      <w:jc w:val="left"/>
    </w:pPr>
    <w:rPr>
      <w:rFonts w:ascii="Arial" w:hAnsi="Arial"/>
      <w:sz w:val="21"/>
      <w:szCs w:val="21"/>
    </w:rPr>
  </w:style>
  <w:style w:type="paragraph" w:customStyle="1" w:styleId="252">
    <w:name w:val="text"/>
    <w:basedOn w:val="1"/>
    <w:autoRedefine/>
    <w:qFormat/>
    <w:uiPriority w:val="0"/>
    <w:pPr>
      <w:widowControl/>
      <w:spacing w:after="120" w:line="360" w:lineRule="atLeast"/>
      <w:ind w:firstLine="300"/>
      <w:jc w:val="left"/>
    </w:pPr>
    <w:rPr>
      <w:rFonts w:ascii="宋体" w:hAnsi="宋体" w:cs="宋体"/>
      <w:kern w:val="0"/>
      <w:sz w:val="24"/>
      <w:szCs w:val="24"/>
    </w:rPr>
  </w:style>
  <w:style w:type="paragraph" w:customStyle="1" w:styleId="253">
    <w:name w:val="xl92"/>
    <w:basedOn w:val="1"/>
    <w:autoRedefine/>
    <w:qFormat/>
    <w:uiPriority w:val="0"/>
    <w:pPr>
      <w:widowControl/>
      <w:pBdr>
        <w:left w:val="double" w:color="auto" w:sz="6" w:space="0"/>
        <w:bottom w:val="double" w:color="auto" w:sz="6" w:space="0"/>
        <w:right w:val="single" w:color="auto" w:sz="4" w:space="0"/>
      </w:pBdr>
      <w:spacing w:before="100" w:beforeAutospacing="1" w:after="100" w:afterAutospacing="1"/>
      <w:jc w:val="center"/>
      <w:textAlignment w:val="center"/>
    </w:pPr>
    <w:rPr>
      <w:rFonts w:ascii="楷体_GB2312" w:hAnsi="宋体" w:eastAsia="楷体_GB2312"/>
      <w:b/>
      <w:kern w:val="0"/>
      <w:sz w:val="22"/>
      <w:szCs w:val="20"/>
    </w:rPr>
  </w:style>
  <w:style w:type="paragraph" w:customStyle="1" w:styleId="254">
    <w:name w:val="xl108"/>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楷体_GB2312" w:hAnsi="宋体" w:eastAsia="楷体_GB2312"/>
      <w:kern w:val="0"/>
      <w:sz w:val="22"/>
      <w:szCs w:val="20"/>
    </w:rPr>
  </w:style>
  <w:style w:type="paragraph" w:customStyle="1" w:styleId="255">
    <w:name w:val="font10"/>
    <w:basedOn w:val="1"/>
    <w:autoRedefine/>
    <w:qFormat/>
    <w:uiPriority w:val="0"/>
    <w:pPr>
      <w:widowControl/>
      <w:spacing w:before="100" w:beforeAutospacing="1" w:after="100" w:afterAutospacing="1"/>
      <w:jc w:val="left"/>
    </w:pPr>
    <w:rPr>
      <w:rFonts w:hint="eastAsia" w:ascii="宋体" w:hAnsi="宋体"/>
      <w:color w:val="000000"/>
      <w:kern w:val="0"/>
      <w:sz w:val="24"/>
      <w:szCs w:val="20"/>
    </w:rPr>
  </w:style>
  <w:style w:type="paragraph" w:customStyle="1" w:styleId="256">
    <w:name w:val="xl48"/>
    <w:basedOn w:val="1"/>
    <w:autoRedefine/>
    <w:qFormat/>
    <w:uiPriority w:val="0"/>
    <w:pPr>
      <w:widowControl/>
      <w:pBdr>
        <w:bottom w:val="single" w:color="auto" w:sz="4" w:space="0"/>
      </w:pBdr>
      <w:spacing w:before="100" w:beforeAutospacing="1" w:after="100" w:afterAutospacing="1"/>
      <w:jc w:val="left"/>
    </w:pPr>
    <w:rPr>
      <w:rFonts w:hint="eastAsia" w:ascii="楷体_GB2312" w:hAnsi="Arial Unicode MS" w:eastAsia="楷体_GB2312"/>
      <w:color w:val="000000"/>
      <w:kern w:val="0"/>
      <w:sz w:val="24"/>
      <w:szCs w:val="20"/>
    </w:rPr>
  </w:style>
  <w:style w:type="paragraph" w:customStyle="1" w:styleId="257">
    <w:name w:val="xl114"/>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textAlignment w:val="center"/>
    </w:pPr>
    <w:rPr>
      <w:rFonts w:ascii="楷体_GB2312" w:hAnsi="宋体" w:eastAsia="楷体_GB2312"/>
      <w:b/>
      <w:kern w:val="0"/>
      <w:sz w:val="22"/>
      <w:szCs w:val="20"/>
    </w:rPr>
  </w:style>
  <w:style w:type="paragraph" w:customStyle="1" w:styleId="258">
    <w:name w:val="xl55"/>
    <w:basedOn w:val="1"/>
    <w:autoRedefine/>
    <w:qFormat/>
    <w:uiPriority w:val="0"/>
    <w:pPr>
      <w:widowControl/>
      <w:pBdr>
        <w:bottom w:val="single" w:color="auto" w:sz="4" w:space="0"/>
      </w:pBdr>
      <w:spacing w:before="100" w:beforeAutospacing="1" w:after="100" w:afterAutospacing="1"/>
      <w:jc w:val="right"/>
    </w:pPr>
    <w:rPr>
      <w:rFonts w:hint="eastAsia" w:ascii="楷体_GB2312" w:hAnsi="Arial Unicode MS" w:eastAsia="楷体_GB2312"/>
      <w:b/>
      <w:color w:val="000000"/>
      <w:kern w:val="0"/>
      <w:sz w:val="24"/>
      <w:szCs w:val="20"/>
    </w:rPr>
  </w:style>
  <w:style w:type="paragraph" w:customStyle="1" w:styleId="259">
    <w:name w:val="xl122"/>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60">
    <w:name w:val="font22"/>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61">
    <w:name w:val="xl90"/>
    <w:basedOn w:val="1"/>
    <w:autoRedefine/>
    <w:qFormat/>
    <w:uiPriority w:val="0"/>
    <w:pPr>
      <w:widowControl/>
      <w:pBdr>
        <w:left w:val="double" w:color="auto" w:sz="6" w:space="0"/>
        <w:bottom w:val="double" w:color="auto" w:sz="6" w:space="0"/>
      </w:pBdr>
      <w:spacing w:before="100" w:beforeAutospacing="1" w:after="100" w:afterAutospacing="1"/>
      <w:jc w:val="center"/>
      <w:textAlignment w:val="center"/>
    </w:pPr>
    <w:rPr>
      <w:rFonts w:ascii="楷体_GB2312" w:hAnsi="宋体" w:eastAsia="楷体_GB2312"/>
      <w:b/>
      <w:kern w:val="0"/>
      <w:sz w:val="22"/>
      <w:szCs w:val="20"/>
    </w:rPr>
  </w:style>
  <w:style w:type="paragraph" w:customStyle="1" w:styleId="262">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3">
    <w:name w:val="font21"/>
    <w:basedOn w:val="1"/>
    <w:autoRedefine/>
    <w:qFormat/>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264">
    <w:name w:val="xl31"/>
    <w:basedOn w:val="1"/>
    <w:autoRedefine/>
    <w:qFormat/>
    <w:uiPriority w:val="0"/>
    <w:pPr>
      <w:widowControl/>
      <w:spacing w:before="100" w:beforeAutospacing="1" w:after="100" w:afterAutospacing="1"/>
      <w:jc w:val="center"/>
    </w:pPr>
    <w:rPr>
      <w:rFonts w:ascii="宋体" w:hAnsi="宋体"/>
      <w:kern w:val="0"/>
      <w:sz w:val="24"/>
      <w:szCs w:val="24"/>
    </w:rPr>
  </w:style>
  <w:style w:type="paragraph" w:customStyle="1" w:styleId="265">
    <w:name w:val="font8"/>
    <w:basedOn w:val="1"/>
    <w:autoRedefine/>
    <w:qFormat/>
    <w:uiPriority w:val="0"/>
    <w:pPr>
      <w:widowControl/>
      <w:spacing w:before="100" w:beforeAutospacing="1" w:after="100" w:afterAutospacing="1"/>
      <w:jc w:val="left"/>
    </w:pPr>
    <w:rPr>
      <w:rFonts w:ascii="Times New Roman" w:hAnsi="Times New Roman" w:eastAsia="Arial Unicode MS"/>
      <w:b/>
      <w:kern w:val="0"/>
      <w:sz w:val="36"/>
      <w:szCs w:val="20"/>
    </w:rPr>
  </w:style>
  <w:style w:type="paragraph" w:customStyle="1" w:styleId="266">
    <w:name w:val="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67">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6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2"/>
      <w:szCs w:val="20"/>
    </w:rPr>
  </w:style>
  <w:style w:type="paragraph" w:customStyle="1" w:styleId="269">
    <w:name w:val="正文文本 21"/>
    <w:basedOn w:val="1"/>
    <w:autoRedefine/>
    <w:qFormat/>
    <w:uiPriority w:val="0"/>
    <w:pPr>
      <w:adjustRightInd w:val="0"/>
      <w:spacing w:line="360" w:lineRule="atLeast"/>
      <w:ind w:firstLine="525"/>
    </w:pPr>
    <w:rPr>
      <w:rFonts w:ascii="宋体" w:hAnsi="Times New Roman"/>
      <w:kern w:val="0"/>
      <w:sz w:val="28"/>
      <w:szCs w:val="20"/>
    </w:rPr>
  </w:style>
  <w:style w:type="paragraph" w:customStyle="1" w:styleId="270">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271">
    <w:name w:val="xl29"/>
    <w:basedOn w:val="1"/>
    <w:autoRedefine/>
    <w:qFormat/>
    <w:uiPriority w:val="0"/>
    <w:pPr>
      <w:widowControl/>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272">
    <w:name w:val="et3"/>
    <w:basedOn w:val="1"/>
    <w:autoRedefine/>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273">
    <w:name w:val="Char"/>
    <w:basedOn w:val="1"/>
    <w:autoRedefine/>
    <w:qFormat/>
    <w:uiPriority w:val="0"/>
    <w:pPr>
      <w:ind w:left="567" w:hanging="279"/>
    </w:pPr>
    <w:rPr>
      <w:rFonts w:ascii="Times New Roman" w:hAnsi="Times New Roman"/>
      <w:sz w:val="24"/>
      <w:szCs w:val="24"/>
    </w:rPr>
  </w:style>
  <w:style w:type="paragraph" w:customStyle="1" w:styleId="274">
    <w:name w:val="font1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75">
    <w:name w:val="xl70"/>
    <w:basedOn w:val="1"/>
    <w:qFormat/>
    <w:uiPriority w:val="0"/>
    <w:pPr>
      <w:widowControl/>
      <w:pBdr>
        <w:top w:val="single" w:color="auto" w:sz="4" w:space="0"/>
        <w:right w:val="double" w:color="auto" w:sz="6" w:space="0"/>
      </w:pBdr>
      <w:spacing w:before="100" w:beforeAutospacing="1" w:after="100" w:afterAutospacing="1"/>
      <w:jc w:val="center"/>
      <w:textAlignment w:val="center"/>
    </w:pPr>
    <w:rPr>
      <w:rFonts w:ascii="Times New Roman" w:hAnsi="Times New Roman" w:eastAsia="Arial Unicode MS"/>
      <w:b/>
      <w:kern w:val="0"/>
      <w:szCs w:val="20"/>
    </w:rPr>
  </w:style>
  <w:style w:type="paragraph" w:customStyle="1" w:styleId="276">
    <w:name w:val="标题 1 New"/>
    <w:basedOn w:val="205"/>
    <w:next w:val="205"/>
    <w:qFormat/>
    <w:uiPriority w:val="0"/>
    <w:pPr>
      <w:keepNext/>
      <w:keepLines/>
      <w:spacing w:before="340" w:after="330" w:line="578" w:lineRule="auto"/>
      <w:outlineLvl w:val="0"/>
    </w:pPr>
    <w:rPr>
      <w:b/>
      <w:bCs/>
      <w:kern w:val="44"/>
      <w:sz w:val="44"/>
      <w:szCs w:val="44"/>
    </w:rPr>
  </w:style>
  <w:style w:type="paragraph" w:customStyle="1" w:styleId="277">
    <w:name w:val="xl73"/>
    <w:basedOn w:val="1"/>
    <w:qFormat/>
    <w:uiPriority w:val="0"/>
    <w:pPr>
      <w:widowControl/>
      <w:pBdr>
        <w:top w:val="double" w:color="auto" w:sz="6" w:space="0"/>
        <w:left w:val="single" w:color="auto" w:sz="4" w:space="0"/>
        <w:right w:val="single" w:color="auto" w:sz="4" w:space="0"/>
      </w:pBdr>
      <w:spacing w:before="100" w:beforeAutospacing="1" w:after="100" w:afterAutospacing="1"/>
      <w:jc w:val="center"/>
      <w:textAlignment w:val="center"/>
    </w:pPr>
    <w:rPr>
      <w:rFonts w:hint="eastAsia" w:ascii="楷体_GB2312" w:hAnsi="Arial Unicode MS" w:eastAsia="楷体_GB2312"/>
      <w:b/>
      <w:color w:val="000000"/>
      <w:kern w:val="0"/>
      <w:sz w:val="24"/>
      <w:szCs w:val="20"/>
    </w:rPr>
  </w:style>
  <w:style w:type="paragraph" w:customStyle="1" w:styleId="278">
    <w:name w:val="xl80"/>
    <w:basedOn w:val="1"/>
    <w:qFormat/>
    <w:uiPriority w:val="0"/>
    <w:pPr>
      <w:widowControl/>
      <w:pBdr>
        <w:left w:val="double" w:color="auto" w:sz="6" w:space="0"/>
        <w:bottom w:val="double" w:color="auto" w:sz="6" w:space="0"/>
      </w:pBdr>
      <w:spacing w:before="100" w:beforeAutospacing="1" w:after="100" w:afterAutospacing="1"/>
      <w:jc w:val="center"/>
    </w:pPr>
    <w:rPr>
      <w:rFonts w:hint="eastAsia" w:ascii="楷体_GB2312" w:hAnsi="Arial Unicode MS" w:eastAsia="楷体_GB2312"/>
      <w:b/>
      <w:color w:val="000000"/>
      <w:kern w:val="0"/>
      <w:sz w:val="24"/>
      <w:szCs w:val="20"/>
    </w:rPr>
  </w:style>
  <w:style w:type="paragraph" w:customStyle="1" w:styleId="279">
    <w:name w:val="样式 正文文本缩进 2 + 首行缩进:  1.01 厘米 段前: 7.5 磅 段后: 2.5 磅 行距: 固定值 25 磅"/>
    <w:basedOn w:val="26"/>
    <w:qFormat/>
    <w:uiPriority w:val="0"/>
    <w:pPr>
      <w:adjustRightInd w:val="0"/>
      <w:spacing w:after="0" w:line="360" w:lineRule="auto"/>
      <w:ind w:left="0" w:leftChars="0" w:firstLine="573"/>
    </w:pPr>
    <w:rPr>
      <w:rFonts w:cs="宋体"/>
      <w:color w:val="000000"/>
      <w:sz w:val="24"/>
    </w:rPr>
  </w:style>
  <w:style w:type="paragraph" w:customStyle="1" w:styleId="280">
    <w:name w:val="xl60"/>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楷体_GB2312" w:hAnsi="Arial Unicode MS" w:eastAsia="楷体_GB2312"/>
      <w:b/>
      <w:color w:val="000000"/>
      <w:kern w:val="0"/>
      <w:sz w:val="24"/>
      <w:szCs w:val="20"/>
    </w:rPr>
  </w:style>
  <w:style w:type="paragraph" w:customStyle="1" w:styleId="281">
    <w:name w:val="xl124"/>
    <w:basedOn w:val="1"/>
    <w:qFormat/>
    <w:uiPriority w:val="0"/>
    <w:pPr>
      <w:widowControl/>
      <w:pBdr>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82">
    <w:name w:val="xl72"/>
    <w:basedOn w:val="1"/>
    <w:qFormat/>
    <w:uiPriority w:val="0"/>
    <w:pPr>
      <w:widowControl/>
      <w:spacing w:before="100" w:beforeAutospacing="1" w:after="100" w:afterAutospacing="1"/>
      <w:jc w:val="center"/>
    </w:pPr>
    <w:rPr>
      <w:rFonts w:hint="eastAsia" w:ascii="楷体_GB2312" w:hAnsi="Arial Unicode MS" w:eastAsia="楷体_GB2312"/>
      <w:b/>
      <w:color w:val="000000"/>
      <w:kern w:val="0"/>
      <w:sz w:val="32"/>
      <w:szCs w:val="20"/>
    </w:rPr>
  </w:style>
  <w:style w:type="paragraph" w:customStyle="1" w:styleId="283">
    <w:name w:val="样式3"/>
    <w:basedOn w:val="4"/>
    <w:qFormat/>
    <w:uiPriority w:val="0"/>
    <w:pPr>
      <w:spacing w:line="412" w:lineRule="auto"/>
    </w:pPr>
    <w:rPr>
      <w:rFonts w:ascii="Times New Roman" w:hAnsi="Times New Roman" w:eastAsia="Arial"/>
      <w:b w:val="0"/>
      <w:bCs w:val="0"/>
      <w:kern w:val="2"/>
    </w:rPr>
  </w:style>
  <w:style w:type="paragraph" w:customStyle="1" w:styleId="284">
    <w:name w:val="xl50"/>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楷体_GB2312" w:hAnsi="Arial Unicode MS" w:eastAsia="楷体_GB2312"/>
      <w:color w:val="000000"/>
      <w:kern w:val="0"/>
      <w:sz w:val="22"/>
      <w:szCs w:val="20"/>
    </w:rPr>
  </w:style>
  <w:style w:type="paragraph" w:customStyle="1" w:styleId="285">
    <w:name w:val="xl139"/>
    <w:basedOn w:val="1"/>
    <w:qFormat/>
    <w:uiPriority w:val="0"/>
    <w:pPr>
      <w:widowControl/>
      <w:pBdr>
        <w:top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86">
    <w:name w:val="xl67"/>
    <w:basedOn w:val="1"/>
    <w:qFormat/>
    <w:uiPriority w:val="0"/>
    <w:pPr>
      <w:widowControl/>
      <w:spacing w:before="100" w:beforeAutospacing="1" w:after="100" w:afterAutospacing="1"/>
      <w:jc w:val="center"/>
      <w:textAlignment w:val="center"/>
    </w:pPr>
    <w:rPr>
      <w:rFonts w:hint="eastAsia" w:ascii="楷体_GB2312" w:hAnsi="Arial Unicode MS" w:eastAsia="楷体_GB2312"/>
      <w:color w:val="000000"/>
      <w:kern w:val="0"/>
      <w:sz w:val="24"/>
      <w:szCs w:val="20"/>
    </w:rPr>
  </w:style>
  <w:style w:type="paragraph" w:customStyle="1" w:styleId="287">
    <w:name w:val="m-2"/>
    <w:basedOn w:val="3"/>
    <w:next w:val="18"/>
    <w:qFormat/>
    <w:uiPriority w:val="0"/>
    <w:pPr>
      <w:numPr>
        <w:numId w:val="0"/>
      </w:numPr>
      <w:spacing w:before="0" w:after="0" w:line="240" w:lineRule="auto"/>
      <w:jc w:val="both"/>
    </w:pPr>
    <w:rPr>
      <w:rFonts w:ascii="宋体" w:hAnsi="宋体" w:eastAsia="宋体"/>
      <w:bCs/>
      <w:sz w:val="21"/>
      <w:szCs w:val="32"/>
    </w:rPr>
  </w:style>
  <w:style w:type="paragraph" w:customStyle="1" w:styleId="288">
    <w:name w:val="font0"/>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289">
    <w:name w:val="_Style 312"/>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0">
    <w:name w:val="et7"/>
    <w:basedOn w:val="1"/>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291">
    <w:name w:val="Char Char Char Char"/>
    <w:basedOn w:val="15"/>
    <w:qFormat/>
    <w:uiPriority w:val="0"/>
    <w:rPr>
      <w:kern w:val="2"/>
      <w:sz w:val="21"/>
      <w:szCs w:val="20"/>
    </w:rPr>
  </w:style>
  <w:style w:type="paragraph" w:customStyle="1" w:styleId="292">
    <w:name w:val="Char Char31"/>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293">
    <w:name w:val="font2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94">
    <w:name w:val="font9"/>
    <w:basedOn w:val="1"/>
    <w:qFormat/>
    <w:uiPriority w:val="0"/>
    <w:pPr>
      <w:widowControl/>
      <w:spacing w:before="100" w:beforeAutospacing="1" w:after="100" w:afterAutospacing="1"/>
      <w:jc w:val="left"/>
    </w:pPr>
    <w:rPr>
      <w:rFonts w:ascii="Times New Roman" w:hAnsi="Times New Roman" w:eastAsia="Arial Unicode MS"/>
      <w:b/>
      <w:kern w:val="0"/>
      <w:sz w:val="36"/>
      <w:szCs w:val="20"/>
    </w:rPr>
  </w:style>
  <w:style w:type="paragraph" w:customStyle="1" w:styleId="295">
    <w:name w:val="xl15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6">
    <w:name w:val="正文（用户）"/>
    <w:basedOn w:val="1"/>
    <w:qFormat/>
    <w:uiPriority w:val="0"/>
    <w:pPr>
      <w:spacing w:line="240" w:lineRule="atLeast"/>
      <w:ind w:firstLine="567"/>
    </w:pPr>
    <w:rPr>
      <w:rFonts w:ascii="Times New Roman" w:hAnsi="Times New Roman"/>
      <w:sz w:val="28"/>
      <w:szCs w:val="20"/>
    </w:rPr>
  </w:style>
  <w:style w:type="paragraph" w:customStyle="1" w:styleId="29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b/>
      <w:kern w:val="0"/>
      <w:sz w:val="22"/>
      <w:szCs w:val="20"/>
    </w:rPr>
  </w:style>
  <w:style w:type="paragraph" w:customStyle="1" w:styleId="298">
    <w:name w:val="xl39"/>
    <w:basedOn w:val="1"/>
    <w:qFormat/>
    <w:uiPriority w:val="0"/>
    <w:pPr>
      <w:widowControl/>
      <w:spacing w:before="100" w:beforeAutospacing="1" w:after="100" w:afterAutospacing="1"/>
      <w:jc w:val="center"/>
    </w:pPr>
    <w:rPr>
      <w:rFonts w:ascii="Arial Unicode MS" w:hAnsi="Arial Unicode MS" w:eastAsia="Arial Unicode MS"/>
      <w:b/>
      <w:kern w:val="0"/>
      <w:sz w:val="32"/>
      <w:szCs w:val="20"/>
    </w:rPr>
  </w:style>
  <w:style w:type="paragraph" w:customStyle="1" w:styleId="2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0"/>
    </w:rPr>
  </w:style>
  <w:style w:type="paragraph" w:customStyle="1" w:styleId="300">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1">
    <w:name w:val="et8"/>
    <w:basedOn w:val="1"/>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30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Arial Unicode MS" w:eastAsia="楷体_GB2312"/>
      <w:color w:val="000000"/>
      <w:kern w:val="0"/>
      <w:sz w:val="24"/>
      <w:szCs w:val="20"/>
    </w:rPr>
  </w:style>
  <w:style w:type="paragraph" w:customStyle="1" w:styleId="303">
    <w:name w:val="WPSOffice手动目录 1"/>
    <w:qFormat/>
    <w:uiPriority w:val="0"/>
    <w:rPr>
      <w:rFonts w:ascii="Calibri" w:hAnsi="Calibri" w:eastAsia="宋体" w:cs="Times New Roman"/>
      <w:lang w:val="en-US" w:eastAsia="zh-CN" w:bidi="ar-SA"/>
    </w:rPr>
  </w:style>
  <w:style w:type="paragraph" w:customStyle="1" w:styleId="304">
    <w:name w:val="xl5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right"/>
    </w:pPr>
    <w:rPr>
      <w:rFonts w:hint="eastAsia" w:ascii="楷体_GB2312" w:hAnsi="Arial Unicode MS" w:eastAsia="楷体_GB2312"/>
      <w:color w:val="000000"/>
      <w:kern w:val="0"/>
      <w:sz w:val="22"/>
      <w:szCs w:val="20"/>
    </w:rPr>
  </w:style>
  <w:style w:type="paragraph" w:customStyle="1" w:styleId="305">
    <w:name w:val="xl13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06">
    <w:name w:val="xl82"/>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Times New Roman" w:hAnsi="Times New Roman" w:eastAsia="Arial Unicode MS"/>
      <w:b/>
      <w:kern w:val="0"/>
      <w:szCs w:val="20"/>
    </w:rPr>
  </w:style>
  <w:style w:type="paragraph" w:customStyle="1" w:styleId="307">
    <w:name w:val="Char Char Char Char Char Char Char Char Char Char"/>
    <w:basedOn w:val="1"/>
    <w:qFormat/>
    <w:uiPriority w:val="0"/>
    <w:rPr>
      <w:rFonts w:ascii="Times New Roman" w:hAnsi="Times New Roman"/>
      <w:sz w:val="28"/>
      <w:szCs w:val="24"/>
    </w:rPr>
  </w:style>
  <w:style w:type="paragraph" w:customStyle="1" w:styleId="308">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309">
    <w:name w:val="xl143"/>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0">
    <w:name w:val="正文正文"/>
    <w:basedOn w:val="1"/>
    <w:qFormat/>
    <w:uiPriority w:val="0"/>
    <w:pPr>
      <w:spacing w:line="360" w:lineRule="auto"/>
      <w:ind w:firstLine="420" w:firstLineChars="200"/>
    </w:pPr>
    <w:rPr>
      <w:rFonts w:ascii="Times New Roman" w:hAnsi="Times New Roman"/>
      <w:szCs w:val="20"/>
    </w:rPr>
  </w:style>
  <w:style w:type="paragraph" w:customStyle="1" w:styleId="311">
    <w:name w:val="首行缩进两字"/>
    <w:basedOn w:val="1"/>
    <w:next w:val="40"/>
    <w:qFormat/>
    <w:uiPriority w:val="0"/>
    <w:pPr>
      <w:adjustRightInd w:val="0"/>
      <w:ind w:left="1260"/>
      <w:textAlignment w:val="baseline"/>
    </w:pPr>
    <w:rPr>
      <w:rFonts w:ascii="楷体_GB2312" w:hAnsi="Times New Roman" w:eastAsia="楷体_GB2312"/>
      <w:kern w:val="0"/>
      <w:sz w:val="24"/>
      <w:szCs w:val="20"/>
    </w:rPr>
  </w:style>
  <w:style w:type="paragraph" w:customStyle="1" w:styleId="31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2"/>
      <w:szCs w:val="20"/>
    </w:rPr>
  </w:style>
  <w:style w:type="paragraph" w:customStyle="1" w:styleId="313">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楷体_GB2312" w:hAnsi="Arial Unicode MS" w:eastAsia="楷体_GB2312"/>
      <w:color w:val="000000"/>
      <w:kern w:val="0"/>
      <w:sz w:val="24"/>
      <w:szCs w:val="20"/>
    </w:rPr>
  </w:style>
  <w:style w:type="paragraph" w:customStyle="1" w:styleId="314">
    <w:name w:val="xl65"/>
    <w:basedOn w:val="1"/>
    <w:qFormat/>
    <w:uiPriority w:val="0"/>
    <w:pPr>
      <w:widowControl/>
      <w:spacing w:before="100" w:beforeAutospacing="1" w:after="100" w:afterAutospacing="1"/>
      <w:textAlignment w:val="center"/>
    </w:pPr>
    <w:rPr>
      <w:rFonts w:hint="eastAsia" w:ascii="楷体_GB2312" w:hAnsi="Arial Unicode MS" w:eastAsia="楷体_GB2312"/>
      <w:color w:val="000000"/>
      <w:kern w:val="0"/>
      <w:sz w:val="24"/>
      <w:szCs w:val="20"/>
    </w:rPr>
  </w:style>
  <w:style w:type="paragraph" w:customStyle="1" w:styleId="315">
    <w:name w:val="xl133"/>
    <w:basedOn w:val="1"/>
    <w:qFormat/>
    <w:uiPriority w:val="0"/>
    <w:pPr>
      <w:widowControl/>
      <w:pBdr>
        <w:bottom w:val="single" w:color="auto" w:sz="4" w:space="0"/>
      </w:pBdr>
      <w:spacing w:before="100" w:beforeAutospacing="1" w:after="100" w:afterAutospacing="1"/>
      <w:jc w:val="left"/>
    </w:pPr>
    <w:rPr>
      <w:rFonts w:ascii="宋体" w:hAnsi="宋体" w:cs="宋体"/>
      <w:kern w:val="0"/>
      <w:sz w:val="24"/>
      <w:szCs w:val="24"/>
    </w:rPr>
  </w:style>
  <w:style w:type="paragraph" w:customStyle="1" w:styleId="316">
    <w:name w:val="xl109"/>
    <w:basedOn w:val="1"/>
    <w:qFormat/>
    <w:uiPriority w:val="0"/>
    <w:pPr>
      <w:widowControl/>
      <w:pBdr>
        <w:left w:val="double" w:color="auto" w:sz="6" w:space="0"/>
        <w:bottom w:val="double" w:color="auto" w:sz="6" w:space="0"/>
      </w:pBdr>
      <w:spacing w:before="100" w:beforeAutospacing="1" w:after="100" w:afterAutospacing="1"/>
      <w:jc w:val="center"/>
      <w:textAlignment w:val="center"/>
    </w:pPr>
    <w:rPr>
      <w:rFonts w:ascii="楷体_GB2312" w:hAnsi="宋体" w:eastAsia="楷体_GB2312"/>
      <w:kern w:val="0"/>
      <w:sz w:val="22"/>
      <w:szCs w:val="20"/>
    </w:rPr>
  </w:style>
  <w:style w:type="paragraph" w:customStyle="1" w:styleId="317">
    <w:name w:val="表格2"/>
    <w:basedOn w:val="1"/>
    <w:qFormat/>
    <w:uiPriority w:val="0"/>
    <w:pPr>
      <w:adjustRightInd w:val="0"/>
      <w:spacing w:before="60" w:after="60"/>
      <w:jc w:val="center"/>
    </w:pPr>
    <w:rPr>
      <w:rFonts w:ascii="宋体" w:hAnsi="Times New Roman"/>
      <w:color w:val="000000"/>
      <w:kern w:val="0"/>
      <w:sz w:val="24"/>
      <w:szCs w:val="20"/>
    </w:rPr>
  </w:style>
  <w:style w:type="paragraph" w:customStyle="1" w:styleId="31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2"/>
      <w:szCs w:val="20"/>
    </w:rPr>
  </w:style>
  <w:style w:type="paragraph" w:customStyle="1" w:styleId="319">
    <w:name w:val="font13"/>
    <w:basedOn w:val="1"/>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320">
    <w:name w:val="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321">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olor w:val="000000"/>
      <w:kern w:val="0"/>
      <w:sz w:val="24"/>
      <w:szCs w:val="20"/>
    </w:rPr>
  </w:style>
  <w:style w:type="paragraph" w:customStyle="1" w:styleId="322">
    <w:name w:val="正文(小4宋)"/>
    <w:basedOn w:val="1"/>
    <w:qFormat/>
    <w:uiPriority w:val="0"/>
    <w:pPr>
      <w:spacing w:line="360" w:lineRule="auto"/>
      <w:ind w:firstLine="480" w:firstLineChars="200"/>
    </w:pPr>
    <w:rPr>
      <w:rFonts w:ascii="宋体" w:hAnsi="Times New Roman"/>
      <w:sz w:val="24"/>
      <w:szCs w:val="20"/>
    </w:rPr>
  </w:style>
  <w:style w:type="paragraph" w:customStyle="1" w:styleId="323">
    <w:name w:val="xl15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24">
    <w:name w:val="liu03"/>
    <w:basedOn w:val="4"/>
    <w:qFormat/>
    <w:uiPriority w:val="0"/>
    <w:pPr>
      <w:spacing w:before="160" w:after="160" w:line="360" w:lineRule="auto"/>
      <w:jc w:val="center"/>
    </w:pPr>
    <w:rPr>
      <w:rFonts w:ascii="Times New Roman" w:hAnsi="Times New Roman"/>
      <w:b w:val="0"/>
      <w:bCs w:val="0"/>
      <w:kern w:val="2"/>
      <w:sz w:val="30"/>
      <w:szCs w:val="30"/>
    </w:rPr>
  </w:style>
  <w:style w:type="paragraph" w:customStyle="1" w:styleId="325">
    <w:name w:val="font2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6">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kern w:val="0"/>
      <w:sz w:val="22"/>
      <w:szCs w:val="20"/>
    </w:rPr>
  </w:style>
  <w:style w:type="paragraph" w:customStyle="1" w:styleId="327">
    <w:name w:val="xl117"/>
    <w:basedOn w:val="1"/>
    <w:qFormat/>
    <w:uiPriority w:val="0"/>
    <w:pPr>
      <w:widowControl/>
      <w:pBdr>
        <w:bottom w:val="single" w:color="auto" w:sz="4" w:space="0"/>
      </w:pBdr>
      <w:spacing w:before="100" w:beforeAutospacing="1" w:after="100" w:afterAutospacing="1"/>
      <w:jc w:val="left"/>
    </w:pPr>
    <w:rPr>
      <w:rFonts w:ascii="宋体" w:hAnsi="宋体" w:cs="宋体"/>
      <w:kern w:val="0"/>
      <w:sz w:val="24"/>
      <w:szCs w:val="24"/>
    </w:rPr>
  </w:style>
  <w:style w:type="paragraph" w:customStyle="1" w:styleId="328">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329">
    <w:name w:val="xl116"/>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24"/>
      <w:szCs w:val="24"/>
    </w:rPr>
  </w:style>
  <w:style w:type="paragraph" w:customStyle="1" w:styleId="330">
    <w:name w:val="xl107"/>
    <w:basedOn w:val="1"/>
    <w:qFormat/>
    <w:uiPriority w:val="0"/>
    <w:pPr>
      <w:widowControl/>
      <w:pBdr>
        <w:top w:val="single" w:color="auto" w:sz="4" w:space="0"/>
        <w:left w:val="double" w:color="auto" w:sz="6" w:space="0"/>
      </w:pBdr>
      <w:spacing w:before="100" w:beforeAutospacing="1" w:after="100" w:afterAutospacing="1"/>
      <w:jc w:val="center"/>
      <w:textAlignment w:val="center"/>
    </w:pPr>
    <w:rPr>
      <w:rFonts w:ascii="楷体_GB2312" w:hAnsi="宋体" w:eastAsia="楷体_GB2312"/>
      <w:kern w:val="0"/>
      <w:sz w:val="22"/>
      <w:szCs w:val="20"/>
    </w:rPr>
  </w:style>
  <w:style w:type="paragraph" w:customStyle="1" w:styleId="331">
    <w:name w:val="xl75"/>
    <w:basedOn w:val="1"/>
    <w:qFormat/>
    <w:uiPriority w:val="0"/>
    <w:pPr>
      <w:widowControl/>
      <w:pBdr>
        <w:bottom w:val="double" w:color="auto" w:sz="6" w:space="0"/>
      </w:pBdr>
      <w:spacing w:before="100" w:beforeAutospacing="1" w:after="100" w:afterAutospacing="1"/>
      <w:jc w:val="center"/>
    </w:pPr>
    <w:rPr>
      <w:rFonts w:hint="eastAsia" w:ascii="楷体_GB2312" w:hAnsi="Arial Unicode MS" w:eastAsia="楷体_GB2312"/>
      <w:color w:val="000000"/>
      <w:kern w:val="0"/>
      <w:sz w:val="28"/>
      <w:szCs w:val="20"/>
    </w:rPr>
  </w:style>
  <w:style w:type="paragraph" w:customStyle="1" w:styleId="332">
    <w:name w:val="样式 标题 2 + 行距: 1.5 倍行距"/>
    <w:basedOn w:val="3"/>
    <w:qFormat/>
    <w:uiPriority w:val="0"/>
    <w:pPr>
      <w:numPr>
        <w:numId w:val="0"/>
      </w:numPr>
      <w:spacing w:before="312" w:beforeLines="100" w:after="0" w:line="360" w:lineRule="auto"/>
      <w:jc w:val="both"/>
    </w:pPr>
    <w:rPr>
      <w:rFonts w:ascii="Arial" w:hAnsi="Arial"/>
      <w:b/>
      <w:bCs/>
      <w:kern w:val="0"/>
      <w:szCs w:val="20"/>
    </w:rPr>
  </w:style>
  <w:style w:type="paragraph" w:customStyle="1" w:styleId="333">
    <w:name w:val="font11"/>
    <w:basedOn w:val="1"/>
    <w:qFormat/>
    <w:uiPriority w:val="0"/>
    <w:pPr>
      <w:widowControl/>
      <w:spacing w:before="100" w:beforeAutospacing="1" w:after="100" w:afterAutospacing="1"/>
      <w:jc w:val="left"/>
    </w:pPr>
    <w:rPr>
      <w:rFonts w:hint="eastAsia" w:ascii="楷体_GB2312" w:hAnsi="Arial Unicode MS" w:eastAsia="楷体_GB2312"/>
      <w:color w:val="000000"/>
      <w:kern w:val="0"/>
      <w:sz w:val="24"/>
      <w:szCs w:val="20"/>
    </w:rPr>
  </w:style>
  <w:style w:type="paragraph" w:customStyle="1" w:styleId="334">
    <w:name w:val="et2"/>
    <w:basedOn w:val="1"/>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33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36">
    <w:name w:val="xl49"/>
    <w:basedOn w:val="1"/>
    <w:qFormat/>
    <w:uiPriority w:val="0"/>
    <w:pPr>
      <w:widowControl/>
      <w:pBdr>
        <w:bottom w:val="single" w:color="auto" w:sz="4" w:space="0"/>
      </w:pBdr>
      <w:spacing w:before="100" w:beforeAutospacing="1" w:after="100" w:afterAutospacing="1"/>
      <w:jc w:val="left"/>
    </w:pPr>
    <w:rPr>
      <w:rFonts w:hint="eastAsia" w:ascii="楷体_GB2312" w:hAnsi="Arial Unicode MS" w:eastAsia="楷体_GB2312"/>
      <w:color w:val="000000"/>
      <w:kern w:val="0"/>
      <w:sz w:val="22"/>
      <w:szCs w:val="20"/>
    </w:rPr>
  </w:style>
  <w:style w:type="paragraph" w:customStyle="1" w:styleId="337">
    <w:name w:val="xl68"/>
    <w:basedOn w:val="1"/>
    <w:qFormat/>
    <w:uiPriority w:val="0"/>
    <w:pPr>
      <w:widowControl/>
      <w:spacing w:before="100" w:beforeAutospacing="1" w:after="100" w:afterAutospacing="1"/>
      <w:jc w:val="center"/>
      <w:textAlignment w:val="center"/>
    </w:pPr>
    <w:rPr>
      <w:rFonts w:ascii="Times New Roman" w:hAnsi="Times New Roman" w:eastAsia="Arial Unicode MS"/>
      <w:b/>
      <w:kern w:val="0"/>
      <w:szCs w:val="20"/>
    </w:rPr>
  </w:style>
  <w:style w:type="paragraph" w:customStyle="1" w:styleId="338">
    <w:name w:val="xl12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39">
    <w:name w:val="xl86"/>
    <w:basedOn w:val="1"/>
    <w:qFormat/>
    <w:uiPriority w:val="0"/>
    <w:pPr>
      <w:widowControl/>
      <w:pBdr>
        <w:top w:val="double" w:color="auto" w:sz="6" w:space="0"/>
        <w:left w:val="double" w:color="auto" w:sz="6" w:space="0"/>
        <w:right w:val="single" w:color="auto" w:sz="4" w:space="0"/>
      </w:pBdr>
      <w:spacing w:before="100" w:beforeAutospacing="1" w:after="100" w:afterAutospacing="1"/>
      <w:jc w:val="center"/>
      <w:textAlignment w:val="center"/>
    </w:pPr>
    <w:rPr>
      <w:rFonts w:hint="eastAsia" w:ascii="楷体_GB2312" w:hAnsi="Arial Unicode MS" w:eastAsia="楷体_GB2312"/>
      <w:b/>
      <w:color w:val="000000"/>
      <w:kern w:val="0"/>
      <w:sz w:val="24"/>
      <w:szCs w:val="20"/>
    </w:rPr>
  </w:style>
  <w:style w:type="paragraph" w:styleId="340">
    <w:name w:val="List Paragraph"/>
    <w:basedOn w:val="1"/>
    <w:qFormat/>
    <w:uiPriority w:val="0"/>
    <w:pPr>
      <w:ind w:firstLine="420" w:firstLineChars="200"/>
    </w:pPr>
  </w:style>
  <w:style w:type="paragraph" w:customStyle="1" w:styleId="341">
    <w:name w:val="Char Char Char Char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342">
    <w:name w:val="xl63"/>
    <w:basedOn w:val="1"/>
    <w:qFormat/>
    <w:uiPriority w:val="0"/>
    <w:pPr>
      <w:widowControl/>
      <w:pBdr>
        <w:bottom w:val="single" w:color="auto" w:sz="4" w:space="0"/>
        <w:right w:val="double" w:color="auto" w:sz="6" w:space="0"/>
      </w:pBdr>
      <w:spacing w:before="100" w:beforeAutospacing="1" w:after="100" w:afterAutospacing="1"/>
      <w:jc w:val="center"/>
    </w:pPr>
    <w:rPr>
      <w:rFonts w:ascii="Arial Unicode MS" w:hAnsi="Arial Unicode MS" w:eastAsia="Arial Unicode MS"/>
      <w:b/>
      <w:color w:val="000000"/>
      <w:kern w:val="0"/>
      <w:sz w:val="24"/>
      <w:szCs w:val="20"/>
    </w:rPr>
  </w:style>
  <w:style w:type="paragraph" w:customStyle="1" w:styleId="343">
    <w:name w:val="Char Char Char Char Char Char Char Char Char"/>
    <w:basedOn w:val="1"/>
    <w:qFormat/>
    <w:uiPriority w:val="0"/>
    <w:rPr>
      <w:rFonts w:ascii="Times New Roman" w:hAnsi="Times New Roman"/>
      <w:sz w:val="28"/>
      <w:szCs w:val="24"/>
    </w:rPr>
  </w:style>
  <w:style w:type="paragraph" w:customStyle="1" w:styleId="344">
    <w:name w:val="xl87"/>
    <w:basedOn w:val="1"/>
    <w:qFormat/>
    <w:uiPriority w:val="0"/>
    <w:pPr>
      <w:widowControl/>
      <w:pBdr>
        <w:left w:val="double" w:color="auto" w:sz="6" w:space="0"/>
        <w:bottom w:val="single" w:color="auto" w:sz="4" w:space="0"/>
        <w:right w:val="single" w:color="auto" w:sz="4" w:space="0"/>
      </w:pBdr>
      <w:spacing w:before="100" w:beforeAutospacing="1" w:after="100" w:afterAutospacing="1"/>
      <w:jc w:val="center"/>
      <w:textAlignment w:val="center"/>
    </w:pPr>
    <w:rPr>
      <w:rFonts w:hint="eastAsia" w:ascii="楷体_GB2312" w:hAnsi="Arial Unicode MS" w:eastAsia="楷体_GB2312"/>
      <w:b/>
      <w:color w:val="000000"/>
      <w:kern w:val="0"/>
      <w:sz w:val="24"/>
      <w:szCs w:val="20"/>
    </w:rPr>
  </w:style>
  <w:style w:type="paragraph" w:customStyle="1" w:styleId="345">
    <w:name w:val="xl121"/>
    <w:basedOn w:val="1"/>
    <w:qFormat/>
    <w:uiPriority w:val="0"/>
    <w:pPr>
      <w:widowControl/>
      <w:pBdr>
        <w:top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46">
    <w:name w:val="font2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47">
    <w:name w:val="正文 New New New"/>
    <w:qFormat/>
    <w:uiPriority w:val="0"/>
    <w:pPr>
      <w:widowControl w:val="0"/>
      <w:jc w:val="both"/>
    </w:pPr>
    <w:rPr>
      <w:rFonts w:ascii="Times New Roman" w:hAnsi="Times New Roman" w:eastAsia="宋体" w:cs="Times New Roman"/>
      <w:kern w:val="2"/>
      <w:sz w:val="24"/>
      <w:lang w:val="en-US" w:eastAsia="zh-CN" w:bidi="ar-SA"/>
    </w:rPr>
  </w:style>
  <w:style w:type="paragraph" w:customStyle="1" w:styleId="348">
    <w:name w:val="xl15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49">
    <w:name w:val="文二"/>
    <w:basedOn w:val="1"/>
    <w:qFormat/>
    <w:uiPriority w:val="0"/>
    <w:pPr>
      <w:jc w:val="left"/>
    </w:pPr>
    <w:rPr>
      <w:rFonts w:ascii="宋体" w:hAnsi="宋体"/>
      <w:szCs w:val="21"/>
    </w:rPr>
  </w:style>
  <w:style w:type="paragraph" w:customStyle="1" w:styleId="35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351">
    <w:name w:val="样式 表格 + 居中 段前: 15.6 磅 行距: 单倍行距"/>
    <w:basedOn w:val="1"/>
    <w:qFormat/>
    <w:uiPriority w:val="0"/>
    <w:pPr>
      <w:jc w:val="center"/>
    </w:pPr>
    <w:rPr>
      <w:rFonts w:ascii="Times New Roman" w:hAnsi="Times New Roman"/>
      <w:szCs w:val="20"/>
    </w:rPr>
  </w:style>
  <w:style w:type="paragraph" w:customStyle="1" w:styleId="352">
    <w:name w:val="xl15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53">
    <w:name w:val="默认段落字体 Para Char Char Char Char"/>
    <w:basedOn w:val="1"/>
    <w:qFormat/>
    <w:uiPriority w:val="0"/>
    <w:pPr>
      <w:snapToGrid w:val="0"/>
      <w:spacing w:after="156" w:afterLines="50" w:line="360" w:lineRule="auto"/>
      <w:ind w:firstLine="480" w:firstLineChars="200"/>
    </w:pPr>
    <w:rPr>
      <w:rFonts w:ascii="Arial" w:hAnsi="Arial"/>
      <w:sz w:val="24"/>
      <w:szCs w:val="21"/>
    </w:rPr>
  </w:style>
  <w:style w:type="paragraph" w:customStyle="1" w:styleId="354">
    <w:name w:val="普通 (Web)"/>
    <w:basedOn w:val="1"/>
    <w:qFormat/>
    <w:uiPriority w:val="0"/>
    <w:pPr>
      <w:widowControl/>
      <w:spacing w:before="100" w:after="100"/>
      <w:jc w:val="left"/>
    </w:pPr>
    <w:rPr>
      <w:rFonts w:ascii="Arial Unicode MS" w:hAnsi="Arial Unicode MS" w:eastAsia="Arial Unicode MS"/>
      <w:kern w:val="0"/>
      <w:sz w:val="24"/>
      <w:szCs w:val="20"/>
    </w:rPr>
  </w:style>
  <w:style w:type="paragraph" w:customStyle="1" w:styleId="355">
    <w:name w:val="公文正文"/>
    <w:qFormat/>
    <w:uiPriority w:val="99"/>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56">
    <w:name w:val="样式 宋体 小四 左 行距: 1.5 倍行距"/>
    <w:basedOn w:val="1"/>
    <w:qFormat/>
    <w:uiPriority w:val="0"/>
    <w:pPr>
      <w:spacing w:line="360" w:lineRule="auto"/>
      <w:ind w:firstLine="480" w:firstLineChars="200"/>
      <w:jc w:val="left"/>
    </w:pPr>
    <w:rPr>
      <w:rFonts w:ascii="宋体" w:hAnsi="宋体" w:cs="宋体"/>
      <w:sz w:val="28"/>
      <w:szCs w:val="20"/>
    </w:rPr>
  </w:style>
  <w:style w:type="paragraph" w:customStyle="1" w:styleId="357">
    <w:name w:val="xl99"/>
    <w:basedOn w:val="1"/>
    <w:qFormat/>
    <w:uiPriority w:val="0"/>
    <w:pPr>
      <w:widowControl/>
      <w:pBdr>
        <w:top w:val="single" w:color="auto" w:sz="4" w:space="0"/>
        <w:right w:val="double" w:color="auto" w:sz="6" w:space="0"/>
      </w:pBdr>
      <w:spacing w:before="100" w:beforeAutospacing="1" w:after="100" w:afterAutospacing="1"/>
      <w:jc w:val="center"/>
      <w:textAlignment w:val="center"/>
    </w:pPr>
    <w:rPr>
      <w:rFonts w:ascii="Times New Roman" w:hAnsi="Times New Roman"/>
      <w:b/>
      <w:kern w:val="0"/>
      <w:sz w:val="22"/>
      <w:szCs w:val="20"/>
    </w:rPr>
  </w:style>
  <w:style w:type="paragraph" w:customStyle="1" w:styleId="358">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9">
    <w:name w:val="样式 首行缩进:  2 字符"/>
    <w:basedOn w:val="1"/>
    <w:qFormat/>
    <w:uiPriority w:val="0"/>
    <w:pPr>
      <w:adjustRightInd w:val="0"/>
      <w:spacing w:line="360" w:lineRule="auto"/>
      <w:ind w:firstLine="480" w:firstLineChars="200"/>
      <w:jc w:val="left"/>
      <w:textAlignment w:val="baseline"/>
    </w:pPr>
    <w:rPr>
      <w:rFonts w:ascii="Times New Roman" w:hAnsi="Times New Roman" w:cs="宋体"/>
      <w:kern w:val="0"/>
      <w:sz w:val="24"/>
      <w:szCs w:val="20"/>
    </w:rPr>
  </w:style>
  <w:style w:type="paragraph" w:customStyle="1" w:styleId="360">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61">
    <w:name w:val="标题1"/>
    <w:basedOn w:val="2"/>
    <w:next w:val="1"/>
    <w:qFormat/>
    <w:uiPriority w:val="0"/>
    <w:pPr>
      <w:keepLines w:val="0"/>
      <w:widowControl/>
      <w:spacing w:before="0" w:after="0" w:line="240" w:lineRule="auto"/>
      <w:jc w:val="center"/>
    </w:pPr>
    <w:rPr>
      <w:rFonts w:ascii="黑体" w:hAnsi="Times New Roman" w:eastAsia="黑体"/>
      <w:b w:val="0"/>
      <w:bCs w:val="0"/>
      <w:kern w:val="0"/>
      <w:sz w:val="36"/>
      <w:szCs w:val="20"/>
    </w:rPr>
  </w:style>
  <w:style w:type="paragraph" w:customStyle="1" w:styleId="362">
    <w:name w:val="et5"/>
    <w:basedOn w:val="1"/>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363">
    <w:name w:val="居中"/>
    <w:basedOn w:val="1"/>
    <w:qFormat/>
    <w:uiPriority w:val="0"/>
    <w:pPr>
      <w:adjustRightInd w:val="0"/>
      <w:spacing w:line="360" w:lineRule="auto"/>
      <w:ind w:left="561"/>
      <w:jc w:val="center"/>
    </w:pPr>
    <w:rPr>
      <w:rFonts w:ascii="Times New Roman" w:hAnsi="Times New Roman" w:cs="宋体"/>
      <w:sz w:val="28"/>
      <w:szCs w:val="28"/>
    </w:rPr>
  </w:style>
  <w:style w:type="paragraph" w:customStyle="1" w:styleId="364">
    <w:name w:val="Td"/>
    <w:basedOn w:val="1"/>
    <w:qFormat/>
    <w:uiPriority w:val="0"/>
    <w:pPr>
      <w:widowControl/>
      <w:pBdr>
        <w:top w:val="none" w:color="auto" w:sz="0" w:space="6"/>
        <w:left w:val="none" w:color="auto" w:sz="0" w:space="6"/>
        <w:bottom w:val="none" w:color="auto" w:sz="0" w:space="6"/>
        <w:right w:val="none" w:color="auto" w:sz="0" w:space="6"/>
      </w:pBdr>
      <w:spacing w:after="120" w:line="360" w:lineRule="atLeast"/>
      <w:jc w:val="left"/>
    </w:pPr>
    <w:rPr>
      <w:rFonts w:ascii="宋体" w:hAnsi="宋体" w:cs="宋体"/>
      <w:kern w:val="0"/>
      <w:sz w:val="24"/>
      <w:szCs w:val="24"/>
    </w:rPr>
  </w:style>
  <w:style w:type="paragraph" w:customStyle="1" w:styleId="365">
    <w:name w:val="标题10"/>
    <w:qFormat/>
    <w:uiPriority w:val="0"/>
    <w:pPr>
      <w:spacing w:after="312" w:afterLines="100"/>
    </w:pPr>
    <w:rPr>
      <w:rFonts w:ascii="Times New Roman" w:hAnsi="Times New Roman" w:eastAsia="宋体" w:cs="Times New Roman"/>
      <w:b/>
      <w:sz w:val="32"/>
      <w:lang w:val="en-US" w:eastAsia="zh-CN" w:bidi="ar-SA"/>
    </w:rPr>
  </w:style>
  <w:style w:type="paragraph" w:customStyle="1" w:styleId="366">
    <w:name w:val="标题 10"/>
    <w:basedOn w:val="10"/>
    <w:qFormat/>
    <w:uiPriority w:val="0"/>
    <w:pPr>
      <w:numPr>
        <w:numId w:val="0"/>
      </w:numPr>
      <w:snapToGrid w:val="0"/>
      <w:spacing w:line="240" w:lineRule="auto"/>
    </w:pPr>
    <w:rPr>
      <w:kern w:val="2"/>
    </w:rPr>
  </w:style>
  <w:style w:type="paragraph" w:customStyle="1" w:styleId="367">
    <w:name w:val="xl85"/>
    <w:basedOn w:val="1"/>
    <w:qFormat/>
    <w:uiPriority w:val="0"/>
    <w:pPr>
      <w:widowControl/>
      <w:pBdr>
        <w:bottom w:val="double" w:color="auto" w:sz="6" w:space="0"/>
        <w:right w:val="double" w:color="auto" w:sz="6" w:space="0"/>
      </w:pBdr>
      <w:spacing w:before="100" w:beforeAutospacing="1" w:after="100" w:afterAutospacing="1"/>
      <w:jc w:val="center"/>
      <w:textAlignment w:val="center"/>
    </w:pPr>
    <w:rPr>
      <w:rFonts w:ascii="Times New Roman" w:hAnsi="Times New Roman" w:eastAsia="Arial Unicode MS"/>
      <w:b/>
      <w:kern w:val="0"/>
      <w:szCs w:val="20"/>
    </w:rPr>
  </w:style>
  <w:style w:type="paragraph" w:customStyle="1" w:styleId="368">
    <w:name w:val="xl15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69">
    <w:name w:val="xl78"/>
    <w:basedOn w:val="1"/>
    <w:qFormat/>
    <w:uiPriority w:val="0"/>
    <w:pPr>
      <w:widowControl/>
      <w:pBdr>
        <w:top w:val="single" w:color="auto" w:sz="4" w:space="0"/>
        <w:left w:val="double" w:color="auto" w:sz="6" w:space="0"/>
      </w:pBdr>
      <w:spacing w:before="100" w:beforeAutospacing="1" w:after="100" w:afterAutospacing="1"/>
      <w:jc w:val="center"/>
    </w:pPr>
    <w:rPr>
      <w:rFonts w:hint="eastAsia" w:ascii="楷体_GB2312" w:hAnsi="Arial Unicode MS" w:eastAsia="楷体_GB2312"/>
      <w:b/>
      <w:color w:val="000000"/>
      <w:kern w:val="0"/>
      <w:sz w:val="24"/>
      <w:szCs w:val="20"/>
    </w:rPr>
  </w:style>
  <w:style w:type="paragraph" w:customStyle="1" w:styleId="370">
    <w:name w:val="xl102"/>
    <w:basedOn w:val="1"/>
    <w:qFormat/>
    <w:uiPriority w:val="0"/>
    <w:pPr>
      <w:widowControl/>
      <w:pBdr>
        <w:left w:val="single" w:color="auto" w:sz="4" w:space="0"/>
        <w:bottom w:val="double" w:color="auto" w:sz="6" w:space="0"/>
        <w:right w:val="single" w:color="auto" w:sz="4" w:space="0"/>
      </w:pBdr>
      <w:spacing w:before="100" w:beforeAutospacing="1" w:after="100" w:afterAutospacing="1"/>
      <w:jc w:val="center"/>
      <w:textAlignment w:val="center"/>
    </w:pPr>
    <w:rPr>
      <w:rFonts w:ascii="楷体_GB2312" w:hAnsi="宋体" w:eastAsia="楷体_GB2312"/>
      <w:b/>
      <w:kern w:val="0"/>
      <w:sz w:val="22"/>
      <w:szCs w:val="20"/>
    </w:rPr>
  </w:style>
  <w:style w:type="paragraph" w:customStyle="1" w:styleId="371">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372">
    <w:name w:val="标题4"/>
    <w:basedOn w:val="5"/>
    <w:next w:val="1"/>
    <w:qFormat/>
    <w:uiPriority w:val="0"/>
    <w:pPr>
      <w:widowControl/>
      <w:numPr>
        <w:numId w:val="0"/>
      </w:numPr>
      <w:tabs>
        <w:tab w:val="left" w:pos="360"/>
      </w:tabs>
      <w:spacing w:before="120" w:beforeLines="0" w:after="360" w:afterLines="0"/>
    </w:pPr>
    <w:rPr>
      <w:rFonts w:ascii="宋体" w:hAnsi="宋体"/>
      <w:bCs/>
      <w:color w:val="auto"/>
      <w:sz w:val="28"/>
      <w:szCs w:val="20"/>
    </w:rPr>
  </w:style>
  <w:style w:type="paragraph" w:customStyle="1" w:styleId="373">
    <w:name w:val="表头"/>
    <w:basedOn w:val="1"/>
    <w:qFormat/>
    <w:uiPriority w:val="0"/>
    <w:pPr>
      <w:spacing w:line="360" w:lineRule="auto"/>
      <w:jc w:val="center"/>
    </w:pPr>
    <w:rPr>
      <w:rFonts w:ascii="黑体" w:hAnsi="Times New Roman" w:eastAsia="黑体"/>
      <w:kern w:val="0"/>
      <w:sz w:val="24"/>
      <w:szCs w:val="20"/>
    </w:rPr>
  </w:style>
  <w:style w:type="paragraph" w:customStyle="1" w:styleId="374">
    <w:name w:val="xl1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75">
    <w:name w:val="xl130"/>
    <w:basedOn w:val="1"/>
    <w:qFormat/>
    <w:uiPriority w:val="0"/>
    <w:pPr>
      <w:widowControl/>
      <w:pBdr>
        <w:top w:val="single" w:color="auto" w:sz="4" w:space="0"/>
      </w:pBdr>
      <w:spacing w:before="100" w:beforeAutospacing="1" w:after="100" w:afterAutospacing="1"/>
      <w:jc w:val="left"/>
    </w:pPr>
    <w:rPr>
      <w:rFonts w:ascii="宋体" w:hAnsi="宋体" w:cs="宋体"/>
      <w:kern w:val="0"/>
      <w:sz w:val="24"/>
      <w:szCs w:val="24"/>
    </w:rPr>
  </w:style>
  <w:style w:type="paragraph" w:customStyle="1" w:styleId="376">
    <w:name w:val="et6"/>
    <w:basedOn w:val="1"/>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377">
    <w:name w:val="题注1"/>
    <w:basedOn w:val="1"/>
    <w:qFormat/>
    <w:uiPriority w:val="0"/>
    <w:pPr>
      <w:widowControl/>
      <w:pBdr>
        <w:top w:val="none" w:color="auto" w:sz="0" w:space="31"/>
      </w:pBdr>
      <w:spacing w:after="120" w:line="1200" w:lineRule="atLeast"/>
      <w:jc w:val="center"/>
    </w:pPr>
    <w:rPr>
      <w:rFonts w:ascii="宋体" w:hAnsi="宋体" w:cs="宋体"/>
      <w:b/>
      <w:kern w:val="0"/>
      <w:sz w:val="46"/>
      <w:szCs w:val="24"/>
    </w:rPr>
  </w:style>
  <w:style w:type="paragraph" w:customStyle="1" w:styleId="378">
    <w:name w:val="xl81"/>
    <w:basedOn w:val="1"/>
    <w:qFormat/>
    <w:uiPriority w:val="0"/>
    <w:pPr>
      <w:widowControl/>
      <w:pBdr>
        <w:bottom w:val="double" w:color="auto" w:sz="6" w:space="0"/>
        <w:right w:val="single" w:color="auto" w:sz="4" w:space="0"/>
      </w:pBdr>
      <w:spacing w:before="100" w:beforeAutospacing="1" w:after="100" w:afterAutospacing="1"/>
      <w:jc w:val="center"/>
    </w:pPr>
    <w:rPr>
      <w:rFonts w:hint="eastAsia" w:ascii="楷体_GB2312" w:hAnsi="Arial Unicode MS" w:eastAsia="楷体_GB2312"/>
      <w:b/>
      <w:color w:val="000000"/>
      <w:kern w:val="0"/>
      <w:sz w:val="24"/>
      <w:szCs w:val="20"/>
    </w:rPr>
  </w:style>
  <w:style w:type="paragraph" w:customStyle="1" w:styleId="379">
    <w:name w:val="xl110"/>
    <w:basedOn w:val="1"/>
    <w:qFormat/>
    <w:uiPriority w:val="0"/>
    <w:pPr>
      <w:widowControl/>
      <w:pBdr>
        <w:bottom w:val="double" w:color="auto" w:sz="6" w:space="0"/>
        <w:right w:val="single" w:color="auto" w:sz="4" w:space="0"/>
      </w:pBdr>
      <w:spacing w:before="100" w:beforeAutospacing="1" w:after="100" w:afterAutospacing="1"/>
      <w:jc w:val="center"/>
      <w:textAlignment w:val="center"/>
    </w:pPr>
    <w:rPr>
      <w:rFonts w:ascii="楷体_GB2312" w:hAnsi="宋体" w:eastAsia="楷体_GB2312"/>
      <w:kern w:val="0"/>
      <w:sz w:val="22"/>
      <w:szCs w:val="20"/>
    </w:rPr>
  </w:style>
  <w:style w:type="paragraph" w:customStyle="1" w:styleId="380">
    <w:name w:val="xl71"/>
    <w:basedOn w:val="1"/>
    <w:qFormat/>
    <w:uiPriority w:val="0"/>
    <w:pPr>
      <w:widowControl/>
      <w:pBdr>
        <w:left w:val="single" w:color="auto" w:sz="4" w:space="0"/>
        <w:bottom w:val="double" w:color="auto" w:sz="6" w:space="0"/>
      </w:pBdr>
      <w:spacing w:before="100" w:beforeAutospacing="1" w:after="100" w:afterAutospacing="1"/>
      <w:jc w:val="center"/>
      <w:textAlignment w:val="center"/>
    </w:pPr>
    <w:rPr>
      <w:rFonts w:ascii="Times New Roman" w:hAnsi="Times New Roman" w:eastAsia="Arial Unicode MS"/>
      <w:b/>
      <w:kern w:val="0"/>
      <w:szCs w:val="20"/>
    </w:rPr>
  </w:style>
  <w:style w:type="paragraph" w:customStyle="1" w:styleId="381">
    <w:name w:val="样式 行距: 固定值 25 磅"/>
    <w:basedOn w:val="1"/>
    <w:qFormat/>
    <w:uiPriority w:val="0"/>
    <w:pPr>
      <w:spacing w:line="500" w:lineRule="exact"/>
      <w:ind w:firstLine="420" w:firstLineChars="200"/>
    </w:pPr>
    <w:rPr>
      <w:rFonts w:ascii="Times New Roman" w:hAnsi="Times New Roman" w:cs="宋体"/>
      <w:sz w:val="28"/>
      <w:szCs w:val="20"/>
    </w:rPr>
  </w:style>
  <w:style w:type="paragraph" w:customStyle="1" w:styleId="382">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83">
    <w:name w:val="表文字"/>
    <w:basedOn w:val="1"/>
    <w:qFormat/>
    <w:uiPriority w:val="0"/>
    <w:pPr>
      <w:jc w:val="center"/>
    </w:pPr>
    <w:rPr>
      <w:rFonts w:ascii="Times New Roman" w:hAnsi="Times New Roman"/>
      <w:szCs w:val="28"/>
    </w:rPr>
  </w:style>
  <w:style w:type="paragraph" w:customStyle="1" w:styleId="384">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楷体_GB2312" w:hAnsi="宋体" w:eastAsia="楷体_GB2312"/>
      <w:b/>
      <w:kern w:val="0"/>
      <w:sz w:val="22"/>
      <w:szCs w:val="20"/>
    </w:rPr>
  </w:style>
  <w:style w:type="paragraph" w:customStyle="1" w:styleId="385">
    <w:name w:val="xl140"/>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6">
    <w:name w:val="Char Char Char Char Char Char Char Char1 Char"/>
    <w:basedOn w:val="1"/>
    <w:qFormat/>
    <w:uiPriority w:val="0"/>
    <w:rPr>
      <w:rFonts w:ascii="Tahoma" w:hAnsi="Tahoma"/>
      <w:sz w:val="24"/>
      <w:szCs w:val="20"/>
    </w:rPr>
  </w:style>
  <w:style w:type="paragraph" w:customStyle="1" w:styleId="387">
    <w:name w:val="xl84"/>
    <w:basedOn w:val="1"/>
    <w:qFormat/>
    <w:uiPriority w:val="0"/>
    <w:pPr>
      <w:widowControl/>
      <w:pBdr>
        <w:bottom w:val="double" w:color="auto" w:sz="6" w:space="0"/>
      </w:pBdr>
      <w:spacing w:before="100" w:beforeAutospacing="1" w:after="100" w:afterAutospacing="1"/>
      <w:jc w:val="center"/>
      <w:textAlignment w:val="center"/>
    </w:pPr>
    <w:rPr>
      <w:rFonts w:ascii="Times New Roman" w:hAnsi="Times New Roman" w:eastAsia="Arial Unicode MS"/>
      <w:b/>
      <w:kern w:val="0"/>
      <w:szCs w:val="20"/>
    </w:rPr>
  </w:style>
  <w:style w:type="paragraph" w:customStyle="1" w:styleId="388">
    <w:name w:val="123"/>
    <w:basedOn w:val="1"/>
    <w:qFormat/>
    <w:uiPriority w:val="0"/>
    <w:pPr>
      <w:jc w:val="center"/>
    </w:pPr>
    <w:rPr>
      <w:rFonts w:ascii="Times New Roman" w:hAnsi="Times New Roman"/>
      <w:sz w:val="28"/>
      <w:szCs w:val="20"/>
    </w:rPr>
  </w:style>
  <w:style w:type="paragraph" w:customStyle="1" w:styleId="38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0">
    <w:name w:val="xl104"/>
    <w:basedOn w:val="1"/>
    <w:qFormat/>
    <w:uiPriority w:val="0"/>
    <w:pPr>
      <w:widowControl/>
      <w:pBdr>
        <w:bottom w:val="double" w:color="auto" w:sz="6" w:space="0"/>
        <w:right w:val="single" w:color="auto" w:sz="4" w:space="0"/>
      </w:pBdr>
      <w:spacing w:before="100" w:beforeAutospacing="1" w:after="100" w:afterAutospacing="1"/>
      <w:jc w:val="center"/>
      <w:textAlignment w:val="center"/>
    </w:pPr>
    <w:rPr>
      <w:rFonts w:ascii="楷体_GB2312" w:hAnsi="宋体" w:eastAsia="楷体_GB2312"/>
      <w:b/>
      <w:kern w:val="0"/>
      <w:sz w:val="22"/>
      <w:szCs w:val="20"/>
    </w:rPr>
  </w:style>
  <w:style w:type="paragraph" w:customStyle="1" w:styleId="391">
    <w:name w:val="WPSOffice手动目录 2"/>
    <w:qFormat/>
    <w:uiPriority w:val="0"/>
    <w:pPr>
      <w:ind w:left="200" w:leftChars="200"/>
    </w:pPr>
    <w:rPr>
      <w:rFonts w:ascii="Calibri" w:hAnsi="Calibri" w:eastAsia="宋体" w:cs="Times New Roman"/>
      <w:lang w:val="en-US" w:eastAsia="zh-CN" w:bidi="ar-SA"/>
    </w:rPr>
  </w:style>
  <w:style w:type="paragraph" w:customStyle="1" w:styleId="392">
    <w:name w:val="页脚 New"/>
    <w:basedOn w:val="205"/>
    <w:qFormat/>
    <w:uiPriority w:val="0"/>
    <w:pPr>
      <w:tabs>
        <w:tab w:val="center" w:pos="4153"/>
        <w:tab w:val="right" w:pos="8306"/>
      </w:tabs>
      <w:snapToGrid w:val="0"/>
      <w:jc w:val="left"/>
    </w:pPr>
    <w:rPr>
      <w:sz w:val="18"/>
    </w:rPr>
  </w:style>
  <w:style w:type="paragraph" w:customStyle="1" w:styleId="393">
    <w:name w:val="font1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94">
    <w:name w:val="font18"/>
    <w:basedOn w:val="1"/>
    <w:qFormat/>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395">
    <w:name w:val="p0"/>
    <w:basedOn w:val="1"/>
    <w:qFormat/>
    <w:uiPriority w:val="0"/>
    <w:pPr>
      <w:widowControl/>
      <w:spacing w:before="75" w:after="75"/>
      <w:jc w:val="left"/>
    </w:pPr>
    <w:rPr>
      <w:rFonts w:ascii="宋体" w:hAnsi="宋体" w:cs="宋体"/>
      <w:kern w:val="0"/>
      <w:sz w:val="24"/>
      <w:szCs w:val="24"/>
    </w:rPr>
  </w:style>
  <w:style w:type="paragraph" w:customStyle="1" w:styleId="39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kern w:val="0"/>
      <w:sz w:val="22"/>
      <w:szCs w:val="20"/>
    </w:rPr>
  </w:style>
  <w:style w:type="paragraph" w:customStyle="1" w:styleId="397">
    <w:name w:val="xl56"/>
    <w:basedOn w:val="1"/>
    <w:qFormat/>
    <w:uiPriority w:val="0"/>
    <w:pPr>
      <w:widowControl/>
      <w:spacing w:before="100" w:beforeAutospacing="1" w:after="100" w:afterAutospacing="1"/>
      <w:jc w:val="center"/>
    </w:pPr>
    <w:rPr>
      <w:rFonts w:hint="eastAsia" w:ascii="楷体_GB2312" w:hAnsi="Arial Unicode MS" w:eastAsia="楷体_GB2312"/>
      <w:b/>
      <w:kern w:val="0"/>
      <w:sz w:val="32"/>
      <w:szCs w:val="20"/>
    </w:rPr>
  </w:style>
  <w:style w:type="paragraph" w:customStyle="1" w:styleId="398">
    <w:name w:val="Char2"/>
    <w:basedOn w:val="1"/>
    <w:qFormat/>
    <w:uiPriority w:val="0"/>
    <w:pPr>
      <w:numPr>
        <w:ilvl w:val="0"/>
        <w:numId w:val="3"/>
      </w:numPr>
    </w:pPr>
    <w:rPr>
      <w:rFonts w:ascii="Times New Roman" w:hAnsi="Times New Roman"/>
      <w:sz w:val="24"/>
      <w:szCs w:val="24"/>
    </w:rPr>
  </w:style>
  <w:style w:type="paragraph" w:customStyle="1" w:styleId="399">
    <w:name w:val="xl13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400">
    <w:name w:val="xl1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01">
    <w:name w:val="xl66"/>
    <w:basedOn w:val="1"/>
    <w:qFormat/>
    <w:uiPriority w:val="0"/>
    <w:pPr>
      <w:widowControl/>
      <w:spacing w:before="100" w:beforeAutospacing="1" w:after="100" w:afterAutospacing="1"/>
      <w:jc w:val="center"/>
      <w:textAlignment w:val="center"/>
    </w:pPr>
    <w:rPr>
      <w:rFonts w:hint="eastAsia" w:ascii="楷体_GB2312" w:hAnsi="Arial Unicode MS" w:eastAsia="楷体_GB2312"/>
      <w:color w:val="000000"/>
      <w:kern w:val="0"/>
      <w:sz w:val="24"/>
      <w:szCs w:val="20"/>
    </w:rPr>
  </w:style>
  <w:style w:type="paragraph" w:customStyle="1" w:styleId="402">
    <w:name w:val="正文文本缩进 21"/>
    <w:basedOn w:val="1"/>
    <w:autoRedefine/>
    <w:qFormat/>
    <w:uiPriority w:val="0"/>
    <w:pPr>
      <w:adjustRightInd w:val="0"/>
      <w:spacing w:line="360" w:lineRule="atLeast"/>
      <w:ind w:firstLine="855"/>
    </w:pPr>
    <w:rPr>
      <w:rFonts w:ascii="宋体" w:hAnsi="Times New Roman"/>
      <w:kern w:val="0"/>
      <w:sz w:val="28"/>
      <w:szCs w:val="20"/>
    </w:rPr>
  </w:style>
  <w:style w:type="paragraph" w:customStyle="1" w:styleId="403">
    <w:name w:val="xl111"/>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b/>
      <w:kern w:val="0"/>
      <w:sz w:val="22"/>
      <w:szCs w:val="20"/>
    </w:rPr>
  </w:style>
  <w:style w:type="paragraph" w:customStyle="1" w:styleId="404">
    <w:name w:val="发文落款"/>
    <w:basedOn w:val="355"/>
    <w:autoRedefine/>
    <w:qFormat/>
    <w:uiPriority w:val="99"/>
    <w:pPr>
      <w:ind w:left="4094" w:right="607" w:firstLine="0"/>
      <w:jc w:val="center"/>
    </w:pPr>
    <w:rPr>
      <w:rFonts w:cs="仿宋_GB2312"/>
      <w:szCs w:val="32"/>
    </w:rPr>
  </w:style>
  <w:style w:type="paragraph" w:customStyle="1" w:styleId="405">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hAnsi="Arial Unicode MS" w:eastAsia="楷体_GB2312"/>
      <w:b/>
      <w:color w:val="000000"/>
      <w:kern w:val="0"/>
      <w:sz w:val="24"/>
      <w:szCs w:val="20"/>
    </w:rPr>
  </w:style>
  <w:style w:type="paragraph" w:customStyle="1" w:styleId="406">
    <w:name w:val="fb样式 宋体 黑色 行距: 多倍行距 1.2 字行"/>
    <w:basedOn w:val="1"/>
    <w:autoRedefine/>
    <w:qFormat/>
    <w:uiPriority w:val="0"/>
    <w:pPr>
      <w:spacing w:line="288" w:lineRule="auto"/>
    </w:pPr>
    <w:rPr>
      <w:rFonts w:ascii="宋体" w:hAnsi="宋体" w:cs="宋体"/>
      <w:color w:val="000000"/>
      <w:szCs w:val="20"/>
    </w:rPr>
  </w:style>
  <w:style w:type="paragraph" w:customStyle="1" w:styleId="407">
    <w:name w:val="xl129"/>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08">
    <w:name w:val="样式 行距: 1.5 倍行距"/>
    <w:basedOn w:val="1"/>
    <w:autoRedefine/>
    <w:qFormat/>
    <w:uiPriority w:val="0"/>
    <w:pPr>
      <w:spacing w:line="360" w:lineRule="auto"/>
      <w:ind w:firstLine="420" w:firstLineChars="200"/>
    </w:pPr>
    <w:rPr>
      <w:rFonts w:ascii="Times New Roman" w:hAnsi="Times New Roman" w:cs="宋体"/>
      <w:sz w:val="24"/>
      <w:szCs w:val="20"/>
    </w:rPr>
  </w:style>
  <w:style w:type="paragraph" w:customStyle="1" w:styleId="409">
    <w:name w:val="正文001"/>
    <w:basedOn w:val="1"/>
    <w:next w:val="1"/>
    <w:autoRedefine/>
    <w:qFormat/>
    <w:uiPriority w:val="0"/>
    <w:pPr>
      <w:spacing w:line="360" w:lineRule="auto"/>
      <w:ind w:firstLine="200" w:firstLineChars="200"/>
    </w:pPr>
    <w:rPr>
      <w:rFonts w:ascii="Times New Roman" w:hAnsi="Times New Roman" w:cs="宋体"/>
      <w:sz w:val="24"/>
      <w:szCs w:val="24"/>
    </w:rPr>
  </w:style>
  <w:style w:type="paragraph" w:customStyle="1" w:styleId="410">
    <w:name w:val="Char Char Char Char1"/>
    <w:basedOn w:val="1"/>
    <w:autoRedefine/>
    <w:qFormat/>
    <w:uiPriority w:val="0"/>
    <w:rPr>
      <w:rFonts w:ascii="Times New Roman" w:hAnsi="Times New Roman"/>
      <w:szCs w:val="24"/>
    </w:rPr>
  </w:style>
  <w:style w:type="paragraph" w:customStyle="1" w:styleId="411">
    <w:name w:val="xl98"/>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Times New Roman" w:hAnsi="Times New Roman"/>
      <w:b/>
      <w:kern w:val="0"/>
      <w:sz w:val="22"/>
      <w:szCs w:val="20"/>
    </w:rPr>
  </w:style>
  <w:style w:type="paragraph" w:customStyle="1" w:styleId="412">
    <w:name w:val="font1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13">
    <w:name w:val="xl105"/>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楷体_GB2312" w:hAnsi="宋体" w:eastAsia="楷体_GB2312"/>
      <w:b/>
      <w:kern w:val="0"/>
      <w:sz w:val="22"/>
      <w:szCs w:val="20"/>
    </w:rPr>
  </w:style>
  <w:style w:type="paragraph" w:customStyle="1" w:styleId="414">
    <w:name w:val="p18"/>
    <w:basedOn w:val="1"/>
    <w:autoRedefine/>
    <w:qFormat/>
    <w:uiPriority w:val="0"/>
    <w:pPr>
      <w:widowControl/>
      <w:snapToGrid w:val="0"/>
      <w:spacing w:after="120" w:line="312" w:lineRule="atLeast"/>
      <w:ind w:firstLine="420"/>
    </w:pPr>
    <w:rPr>
      <w:rFonts w:ascii="Arial" w:hAnsi="Arial" w:cs="Arial"/>
      <w:kern w:val="0"/>
      <w:sz w:val="24"/>
      <w:szCs w:val="24"/>
    </w:rPr>
  </w:style>
  <w:style w:type="paragraph" w:customStyle="1" w:styleId="415">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b/>
      <w:kern w:val="0"/>
      <w:sz w:val="22"/>
      <w:szCs w:val="20"/>
    </w:rPr>
  </w:style>
  <w:style w:type="paragraph" w:customStyle="1" w:styleId="416">
    <w:name w:val="Revision"/>
    <w:autoRedefine/>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9659</Words>
  <Characters>55061</Characters>
  <Lines>458</Lines>
  <Paragraphs>129</Paragraphs>
  <TotalTime>95</TotalTime>
  <ScaleCrop>false</ScaleCrop>
  <LinksUpToDate>false</LinksUpToDate>
  <CharactersWithSpaces>64591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2021-12-23T13:05:00Z</dcterms:created>
  <dc:creator>86159</dc:creator>
  <cp:lastModifiedBy>-咕小婷</cp:lastModifiedBy>
  <cp:lastPrinted>2021-12-20T06:20:00Z</cp:lastPrinted>
  <dcterms:modified xsi:type="dcterms:W3CDTF">2024-04-26T09:48:37Z</dcterms:modified>
  <dc:title>流花湖公园雨污分流工程</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0E258EA3349343ACA4D075C26EB8DBB8_13</vt:lpwstr>
  </property>
  <property fmtid="{D5CDD505-2E9C-101B-9397-08002B2CF9AE}" pid="4" name="KSOSaveFontToCloudKey">
    <vt:lpwstr>299081854_btnclosed</vt:lpwstr>
  </property>
</Properties>
</file>